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5.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088816CF-2288-42B1-A13F-EC97190BBBD1" style="width:450pt;height:471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spacing w:after="200" w:line="276" w:lineRule="auto"/>
        <w:rPr>
          <w:noProof/>
        </w:rPr>
      </w:pPr>
      <w:bookmarkStart w:id="1" w:name="_GoBack"/>
      <w:bookmarkEnd w:id="1"/>
    </w:p>
    <w:p>
      <w:pPr>
        <w:pStyle w:val="TOC1"/>
        <w:tabs>
          <w:tab w:val="right" w:leader="dot" w:pos="9062"/>
        </w:tabs>
        <w:rPr>
          <w:rFonts w:asciiTheme="minorHAnsi" w:eastAsiaTheme="minorEastAsia" w:hAnsiTheme="minorHAnsi" w:cstheme="minorBidi"/>
          <w:noProof/>
          <w:sz w:val="22"/>
          <w:szCs w:val="22"/>
          <w:lang w:val="en-IE" w:eastAsia="en-IE"/>
        </w:rPr>
      </w:pPr>
      <w:r>
        <w:rPr>
          <w:noProof/>
        </w:rPr>
        <w:fldChar w:fldCharType="begin"/>
      </w:r>
      <w:r>
        <w:rPr>
          <w:noProof/>
        </w:rPr>
        <w:instrText xml:space="preserve"> TOC \o "4-4" \h \z \t "Heading 1;2;Heading 2;3;Heading 3;4;Manual Heading 1;1;Manual Heading 2;2;ChapterHead;1" </w:instrText>
      </w:r>
      <w:r>
        <w:rPr>
          <w:noProof/>
        </w:rPr>
        <w:fldChar w:fldCharType="separate"/>
      </w:r>
      <w:hyperlink w:anchor="_Toc16000506" w:history="1">
        <w:r>
          <w:rPr>
            <w:rStyle w:val="Hyperlink"/>
            <w:b/>
            <w:noProof/>
          </w:rPr>
          <w:t>DATA USED FOR THE COMPILATION OF INDIVIDUAL REPORTS AND INFORMATION SHEETS</w:t>
        </w:r>
        <w:r>
          <w:rPr>
            <w:noProof/>
            <w:webHidden/>
          </w:rPr>
          <w:tab/>
        </w:r>
        <w:r>
          <w:rPr>
            <w:noProof/>
            <w:webHidden/>
          </w:rPr>
          <w:fldChar w:fldCharType="begin"/>
        </w:r>
        <w:r>
          <w:rPr>
            <w:noProof/>
            <w:webHidden/>
          </w:rPr>
          <w:instrText xml:space="preserve"> PAGEREF _Toc16000506 \h </w:instrText>
        </w:r>
        <w:r>
          <w:rPr>
            <w:noProof/>
            <w:webHidden/>
          </w:rPr>
        </w:r>
        <w:r>
          <w:rPr>
            <w:noProof/>
            <w:webHidden/>
          </w:rPr>
          <w:fldChar w:fldCharType="separate"/>
        </w:r>
        <w:r>
          <w:rPr>
            <w:noProof/>
            <w:webHidden/>
          </w:rPr>
          <w:t>14</w:t>
        </w:r>
        <w:r>
          <w:rPr>
            <w:noProof/>
            <w:webHidden/>
          </w:rPr>
          <w:fldChar w:fldCharType="end"/>
        </w:r>
      </w:hyperlink>
    </w:p>
    <w:p>
      <w:pPr>
        <w:pStyle w:val="TOC1"/>
        <w:tabs>
          <w:tab w:val="left" w:pos="1320"/>
          <w:tab w:val="right" w:leader="dot" w:pos="9062"/>
        </w:tabs>
        <w:rPr>
          <w:rFonts w:asciiTheme="minorHAnsi" w:eastAsiaTheme="minorEastAsia" w:hAnsiTheme="minorHAnsi" w:cstheme="minorBidi"/>
          <w:noProof/>
          <w:sz w:val="22"/>
          <w:szCs w:val="22"/>
          <w:lang w:val="en-IE" w:eastAsia="en-IE"/>
        </w:rPr>
      </w:pPr>
      <w:hyperlink w:anchor="_Toc16000507" w:history="1">
        <w:r>
          <w:rPr>
            <w:rStyle w:val="Hyperlink"/>
            <w:b/>
            <w:noProof/>
          </w:rPr>
          <w:t xml:space="preserve">PART I: </w:t>
        </w:r>
        <w:r>
          <w:rPr>
            <w:rFonts w:asciiTheme="minorHAnsi" w:eastAsiaTheme="minorEastAsia" w:hAnsiTheme="minorHAnsi" w:cstheme="minorBidi"/>
            <w:noProof/>
            <w:sz w:val="22"/>
            <w:szCs w:val="22"/>
            <w:lang w:val="en-IE" w:eastAsia="en-IE"/>
          </w:rPr>
          <w:tab/>
        </w:r>
        <w:r>
          <w:rPr>
            <w:rStyle w:val="Hyperlink"/>
            <w:b/>
            <w:noProof/>
          </w:rPr>
          <w:t>NEW GENERATION FREE TRADE AGREEMENTS</w:t>
        </w:r>
        <w:r>
          <w:rPr>
            <w:noProof/>
            <w:webHidden/>
          </w:rPr>
          <w:tab/>
        </w:r>
        <w:r>
          <w:rPr>
            <w:noProof/>
            <w:webHidden/>
          </w:rPr>
          <w:fldChar w:fldCharType="begin"/>
        </w:r>
        <w:r>
          <w:rPr>
            <w:noProof/>
            <w:webHidden/>
          </w:rPr>
          <w:instrText xml:space="preserve"> PAGEREF _Toc16000507 \h </w:instrText>
        </w:r>
        <w:r>
          <w:rPr>
            <w:noProof/>
            <w:webHidden/>
          </w:rPr>
        </w:r>
        <w:r>
          <w:rPr>
            <w:noProof/>
            <w:webHidden/>
          </w:rPr>
          <w:fldChar w:fldCharType="separate"/>
        </w:r>
        <w:r>
          <w:rPr>
            <w:noProof/>
            <w:webHidden/>
          </w:rPr>
          <w:t>15</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en-IE" w:eastAsia="en-IE"/>
        </w:rPr>
      </w:pPr>
      <w:hyperlink w:anchor="_Toc16000508" w:history="1">
        <w:r>
          <w:rPr>
            <w:rStyle w:val="Hyperlink"/>
            <w:b/>
            <w:bCs/>
            <w:noProof/>
          </w:rPr>
          <w:t>ANNUAL REPORT ON THE IMPLEMENTATION OF THE COMPREHENSIVE ECONOMIC AND TRADE AGREEMENT (CETA) BETWEEN THE EU AND ITS MEMBER STATES AND CANADA</w:t>
        </w:r>
        <w:r>
          <w:rPr>
            <w:noProof/>
            <w:webHidden/>
          </w:rPr>
          <w:tab/>
        </w:r>
        <w:r>
          <w:rPr>
            <w:noProof/>
            <w:webHidden/>
          </w:rPr>
          <w:fldChar w:fldCharType="begin"/>
        </w:r>
        <w:r>
          <w:rPr>
            <w:noProof/>
            <w:webHidden/>
          </w:rPr>
          <w:instrText xml:space="preserve"> PAGEREF _Toc16000508 \h </w:instrText>
        </w:r>
        <w:r>
          <w:rPr>
            <w:noProof/>
            <w:webHidden/>
          </w:rPr>
        </w:r>
        <w:r>
          <w:rPr>
            <w:noProof/>
            <w:webHidden/>
          </w:rPr>
          <w:fldChar w:fldCharType="separate"/>
        </w:r>
        <w:r>
          <w:rPr>
            <w:noProof/>
            <w:webHidden/>
          </w:rPr>
          <w:t>16</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509" w:history="1">
        <w:r>
          <w:rPr>
            <w:rStyle w:val="Hyperlink"/>
            <w:noProof/>
            <w:lang w:eastAsia="en-GB"/>
          </w:rPr>
          <w:t>1.</w:t>
        </w:r>
        <w:r>
          <w:rPr>
            <w:rFonts w:asciiTheme="minorHAnsi" w:eastAsiaTheme="minorEastAsia" w:hAnsiTheme="minorHAnsi" w:cstheme="minorBidi"/>
            <w:noProof/>
            <w:sz w:val="22"/>
            <w:szCs w:val="22"/>
            <w:lang w:val="en-IE" w:eastAsia="en-IE"/>
          </w:rPr>
          <w:tab/>
        </w:r>
        <w:r>
          <w:rPr>
            <w:rStyle w:val="Hyperlink"/>
            <w:noProof/>
            <w:lang w:eastAsia="en-GB"/>
          </w:rPr>
          <w:t>Introduction</w:t>
        </w:r>
        <w:r>
          <w:rPr>
            <w:noProof/>
            <w:webHidden/>
          </w:rPr>
          <w:tab/>
        </w:r>
        <w:r>
          <w:rPr>
            <w:noProof/>
            <w:webHidden/>
          </w:rPr>
          <w:fldChar w:fldCharType="begin"/>
        </w:r>
        <w:r>
          <w:rPr>
            <w:noProof/>
            <w:webHidden/>
          </w:rPr>
          <w:instrText xml:space="preserve"> PAGEREF _Toc16000509 \h </w:instrText>
        </w:r>
        <w:r>
          <w:rPr>
            <w:noProof/>
            <w:webHidden/>
          </w:rPr>
        </w:r>
        <w:r>
          <w:rPr>
            <w:noProof/>
            <w:webHidden/>
          </w:rPr>
          <w:fldChar w:fldCharType="separate"/>
        </w:r>
        <w:r>
          <w:rPr>
            <w:noProof/>
            <w:webHidden/>
          </w:rPr>
          <w:t>16</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510" w:history="1">
        <w:r>
          <w:rPr>
            <w:rStyle w:val="Hyperlink"/>
            <w:noProof/>
          </w:rPr>
          <w:t>2.</w:t>
        </w:r>
        <w:r>
          <w:rPr>
            <w:rFonts w:asciiTheme="minorHAnsi" w:eastAsiaTheme="minorEastAsia" w:hAnsiTheme="minorHAnsi" w:cstheme="minorBidi"/>
            <w:noProof/>
            <w:sz w:val="22"/>
            <w:szCs w:val="22"/>
            <w:lang w:val="en-IE" w:eastAsia="en-IE"/>
          </w:rPr>
          <w:tab/>
        </w:r>
        <w:r>
          <w:rPr>
            <w:rStyle w:val="Hyperlink"/>
            <w:noProof/>
          </w:rPr>
          <w:t>Evolution of trade</w:t>
        </w:r>
        <w:r>
          <w:rPr>
            <w:noProof/>
            <w:webHidden/>
          </w:rPr>
          <w:tab/>
        </w:r>
        <w:r>
          <w:rPr>
            <w:noProof/>
            <w:webHidden/>
          </w:rPr>
          <w:fldChar w:fldCharType="begin"/>
        </w:r>
        <w:r>
          <w:rPr>
            <w:noProof/>
            <w:webHidden/>
          </w:rPr>
          <w:instrText xml:space="preserve"> PAGEREF _Toc16000510 \h </w:instrText>
        </w:r>
        <w:r>
          <w:rPr>
            <w:noProof/>
            <w:webHidden/>
          </w:rPr>
        </w:r>
        <w:r>
          <w:rPr>
            <w:noProof/>
            <w:webHidden/>
          </w:rPr>
          <w:fldChar w:fldCharType="separate"/>
        </w:r>
        <w:r>
          <w:rPr>
            <w:noProof/>
            <w:webHidden/>
          </w:rPr>
          <w:t>18</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511" w:history="1">
        <w:r>
          <w:rPr>
            <w:rStyle w:val="Hyperlink"/>
            <w:noProof/>
            <w:lang w:eastAsia="en-GB"/>
          </w:rPr>
          <w:t>3.</w:t>
        </w:r>
        <w:r>
          <w:rPr>
            <w:rFonts w:asciiTheme="minorHAnsi" w:eastAsiaTheme="minorEastAsia" w:hAnsiTheme="minorHAnsi" w:cstheme="minorBidi"/>
            <w:noProof/>
            <w:sz w:val="22"/>
            <w:szCs w:val="22"/>
            <w:lang w:val="en-IE" w:eastAsia="en-IE"/>
          </w:rPr>
          <w:tab/>
        </w:r>
        <w:r>
          <w:rPr>
            <w:rStyle w:val="Hyperlink"/>
            <w:noProof/>
            <w:lang w:eastAsia="en-GB"/>
          </w:rPr>
          <w:t>Activities of the implementation bodies</w:t>
        </w:r>
        <w:r>
          <w:rPr>
            <w:noProof/>
            <w:webHidden/>
          </w:rPr>
          <w:tab/>
        </w:r>
        <w:r>
          <w:rPr>
            <w:noProof/>
            <w:webHidden/>
          </w:rPr>
          <w:fldChar w:fldCharType="begin"/>
        </w:r>
        <w:r>
          <w:rPr>
            <w:noProof/>
            <w:webHidden/>
          </w:rPr>
          <w:instrText xml:space="preserve"> PAGEREF _Toc16000511 \h </w:instrText>
        </w:r>
        <w:r>
          <w:rPr>
            <w:noProof/>
            <w:webHidden/>
          </w:rPr>
        </w:r>
        <w:r>
          <w:rPr>
            <w:noProof/>
            <w:webHidden/>
          </w:rPr>
          <w:fldChar w:fldCharType="separate"/>
        </w:r>
        <w:r>
          <w:rPr>
            <w:noProof/>
            <w:webHidden/>
          </w:rPr>
          <w:t>19</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512" w:history="1">
        <w:r>
          <w:rPr>
            <w:rStyle w:val="Hyperlink"/>
            <w:noProof/>
            <w:lang w:eastAsia="en-GB"/>
          </w:rPr>
          <w:t>4.</w:t>
        </w:r>
        <w:r>
          <w:rPr>
            <w:rFonts w:asciiTheme="minorHAnsi" w:eastAsiaTheme="minorEastAsia" w:hAnsiTheme="minorHAnsi" w:cstheme="minorBidi"/>
            <w:noProof/>
            <w:sz w:val="22"/>
            <w:szCs w:val="22"/>
            <w:lang w:val="en-IE" w:eastAsia="en-IE"/>
          </w:rPr>
          <w:tab/>
        </w:r>
        <w:r>
          <w:rPr>
            <w:rStyle w:val="Hyperlink"/>
            <w:noProof/>
            <w:lang w:eastAsia="en-GB"/>
          </w:rPr>
          <w:t>Implementation of the provisions on trade and sustainable development</w:t>
        </w:r>
        <w:r>
          <w:rPr>
            <w:noProof/>
            <w:webHidden/>
          </w:rPr>
          <w:tab/>
        </w:r>
        <w:r>
          <w:rPr>
            <w:noProof/>
            <w:webHidden/>
          </w:rPr>
          <w:fldChar w:fldCharType="begin"/>
        </w:r>
        <w:r>
          <w:rPr>
            <w:noProof/>
            <w:webHidden/>
          </w:rPr>
          <w:instrText xml:space="preserve"> PAGEREF _Toc16000512 \h </w:instrText>
        </w:r>
        <w:r>
          <w:rPr>
            <w:noProof/>
            <w:webHidden/>
          </w:rPr>
        </w:r>
        <w:r>
          <w:rPr>
            <w:noProof/>
            <w:webHidden/>
          </w:rPr>
          <w:fldChar w:fldCharType="separate"/>
        </w:r>
        <w:r>
          <w:rPr>
            <w:noProof/>
            <w:webHidden/>
          </w:rPr>
          <w:t>23</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513" w:history="1">
        <w:r>
          <w:rPr>
            <w:rStyle w:val="Hyperlink"/>
            <w:noProof/>
            <w:lang w:eastAsia="en-GB"/>
          </w:rPr>
          <w:t>5.</w:t>
        </w:r>
        <w:r>
          <w:rPr>
            <w:rFonts w:asciiTheme="minorHAnsi" w:eastAsiaTheme="minorEastAsia" w:hAnsiTheme="minorHAnsi" w:cstheme="minorBidi"/>
            <w:noProof/>
            <w:sz w:val="22"/>
            <w:szCs w:val="22"/>
            <w:lang w:val="en-IE" w:eastAsia="en-IE"/>
          </w:rPr>
          <w:tab/>
        </w:r>
        <w:r>
          <w:rPr>
            <w:rStyle w:val="Hyperlink"/>
            <w:noProof/>
            <w:lang w:eastAsia="en-GB"/>
          </w:rPr>
          <w:t>Agriculture</w:t>
        </w:r>
        <w:r>
          <w:rPr>
            <w:noProof/>
            <w:webHidden/>
          </w:rPr>
          <w:tab/>
        </w:r>
        <w:r>
          <w:rPr>
            <w:noProof/>
            <w:webHidden/>
          </w:rPr>
          <w:fldChar w:fldCharType="begin"/>
        </w:r>
        <w:r>
          <w:rPr>
            <w:noProof/>
            <w:webHidden/>
          </w:rPr>
          <w:instrText xml:space="preserve"> PAGEREF _Toc16000513 \h </w:instrText>
        </w:r>
        <w:r>
          <w:rPr>
            <w:noProof/>
            <w:webHidden/>
          </w:rPr>
        </w:r>
        <w:r>
          <w:rPr>
            <w:noProof/>
            <w:webHidden/>
          </w:rPr>
          <w:fldChar w:fldCharType="separate"/>
        </w:r>
        <w:r>
          <w:rPr>
            <w:noProof/>
            <w:webHidden/>
          </w:rPr>
          <w:t>24</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514" w:history="1">
        <w:r>
          <w:rPr>
            <w:rStyle w:val="Hyperlink"/>
            <w:noProof/>
            <w:lang w:eastAsia="en-GB"/>
          </w:rPr>
          <w:t>6.</w:t>
        </w:r>
        <w:r>
          <w:rPr>
            <w:rFonts w:asciiTheme="minorHAnsi" w:eastAsiaTheme="minorEastAsia" w:hAnsiTheme="minorHAnsi" w:cstheme="minorBidi"/>
            <w:noProof/>
            <w:sz w:val="22"/>
            <w:szCs w:val="22"/>
            <w:lang w:val="en-IE" w:eastAsia="en-IE"/>
          </w:rPr>
          <w:tab/>
        </w:r>
        <w:r>
          <w:rPr>
            <w:rStyle w:val="Hyperlink"/>
            <w:noProof/>
            <w:lang w:eastAsia="en-GB"/>
          </w:rPr>
          <w:t>Regulatory Cooperation</w:t>
        </w:r>
        <w:r>
          <w:rPr>
            <w:noProof/>
            <w:webHidden/>
          </w:rPr>
          <w:tab/>
        </w:r>
        <w:r>
          <w:rPr>
            <w:noProof/>
            <w:webHidden/>
          </w:rPr>
          <w:fldChar w:fldCharType="begin"/>
        </w:r>
        <w:r>
          <w:rPr>
            <w:noProof/>
            <w:webHidden/>
          </w:rPr>
          <w:instrText xml:space="preserve"> PAGEREF _Toc16000514 \h </w:instrText>
        </w:r>
        <w:r>
          <w:rPr>
            <w:noProof/>
            <w:webHidden/>
          </w:rPr>
        </w:r>
        <w:r>
          <w:rPr>
            <w:noProof/>
            <w:webHidden/>
          </w:rPr>
          <w:fldChar w:fldCharType="separate"/>
        </w:r>
        <w:r>
          <w:rPr>
            <w:noProof/>
            <w:webHidden/>
          </w:rPr>
          <w:t>27</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515" w:history="1">
        <w:r>
          <w:rPr>
            <w:rStyle w:val="Hyperlink"/>
            <w:noProof/>
            <w:lang w:eastAsia="en-GB"/>
          </w:rPr>
          <w:t>7.</w:t>
        </w:r>
        <w:r>
          <w:rPr>
            <w:rFonts w:asciiTheme="minorHAnsi" w:eastAsiaTheme="minorEastAsia" w:hAnsiTheme="minorHAnsi" w:cstheme="minorBidi"/>
            <w:noProof/>
            <w:sz w:val="22"/>
            <w:szCs w:val="22"/>
            <w:lang w:val="en-IE" w:eastAsia="en-IE"/>
          </w:rPr>
          <w:tab/>
        </w:r>
        <w:r>
          <w:rPr>
            <w:rStyle w:val="Hyperlink"/>
            <w:noProof/>
            <w:lang w:eastAsia="en-GB"/>
          </w:rPr>
          <w:t>Conclusions and outlook</w:t>
        </w:r>
        <w:r>
          <w:rPr>
            <w:noProof/>
            <w:webHidden/>
          </w:rPr>
          <w:tab/>
        </w:r>
        <w:r>
          <w:rPr>
            <w:noProof/>
            <w:webHidden/>
          </w:rPr>
          <w:fldChar w:fldCharType="begin"/>
        </w:r>
        <w:r>
          <w:rPr>
            <w:noProof/>
            <w:webHidden/>
          </w:rPr>
          <w:instrText xml:space="preserve"> PAGEREF _Toc16000515 \h </w:instrText>
        </w:r>
        <w:r>
          <w:rPr>
            <w:noProof/>
            <w:webHidden/>
          </w:rPr>
        </w:r>
        <w:r>
          <w:rPr>
            <w:noProof/>
            <w:webHidden/>
          </w:rPr>
          <w:fldChar w:fldCharType="separate"/>
        </w:r>
        <w:r>
          <w:rPr>
            <w:noProof/>
            <w:webHidden/>
          </w:rPr>
          <w:t>28</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516" w:history="1">
        <w:r>
          <w:rPr>
            <w:rStyle w:val="Hyperlink"/>
            <w:noProof/>
            <w:lang w:eastAsia="en-GB"/>
          </w:rPr>
          <w:t>8.</w:t>
        </w:r>
        <w:r>
          <w:rPr>
            <w:rFonts w:asciiTheme="minorHAnsi" w:eastAsiaTheme="minorEastAsia" w:hAnsiTheme="minorHAnsi" w:cstheme="minorBidi"/>
            <w:noProof/>
            <w:sz w:val="22"/>
            <w:szCs w:val="22"/>
            <w:lang w:val="en-IE" w:eastAsia="en-IE"/>
          </w:rPr>
          <w:tab/>
        </w:r>
        <w:r>
          <w:rPr>
            <w:rStyle w:val="Hyperlink"/>
            <w:noProof/>
            <w:lang w:eastAsia="en-GB"/>
          </w:rPr>
          <w:t>Statistics</w:t>
        </w:r>
        <w:r>
          <w:rPr>
            <w:noProof/>
            <w:webHidden/>
          </w:rPr>
          <w:tab/>
        </w:r>
        <w:r>
          <w:rPr>
            <w:noProof/>
            <w:webHidden/>
          </w:rPr>
          <w:fldChar w:fldCharType="begin"/>
        </w:r>
        <w:r>
          <w:rPr>
            <w:noProof/>
            <w:webHidden/>
          </w:rPr>
          <w:instrText xml:space="preserve"> PAGEREF _Toc16000516 \h </w:instrText>
        </w:r>
        <w:r>
          <w:rPr>
            <w:noProof/>
            <w:webHidden/>
          </w:rPr>
        </w:r>
        <w:r>
          <w:rPr>
            <w:noProof/>
            <w:webHidden/>
          </w:rPr>
          <w:fldChar w:fldCharType="separate"/>
        </w:r>
        <w:r>
          <w:rPr>
            <w:noProof/>
            <w:webHidden/>
          </w:rPr>
          <w:t>28</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en-IE" w:eastAsia="en-IE"/>
        </w:rPr>
      </w:pPr>
      <w:hyperlink w:anchor="_Toc16000517" w:history="1">
        <w:r>
          <w:rPr>
            <w:rStyle w:val="Hyperlink"/>
            <w:b/>
            <w:bCs/>
            <w:noProof/>
          </w:rPr>
          <w:t>ANNUAL REPORT ON THE IMPLEMENTATION OF THE EU-SOUTH KOREA FREE TRADE AGREEMENT</w:t>
        </w:r>
        <w:r>
          <w:rPr>
            <w:noProof/>
            <w:webHidden/>
          </w:rPr>
          <w:tab/>
        </w:r>
        <w:r>
          <w:rPr>
            <w:noProof/>
            <w:webHidden/>
          </w:rPr>
          <w:fldChar w:fldCharType="begin"/>
        </w:r>
        <w:r>
          <w:rPr>
            <w:noProof/>
            <w:webHidden/>
          </w:rPr>
          <w:instrText xml:space="preserve"> PAGEREF _Toc16000517 \h </w:instrText>
        </w:r>
        <w:r>
          <w:rPr>
            <w:noProof/>
            <w:webHidden/>
          </w:rPr>
        </w:r>
        <w:r>
          <w:rPr>
            <w:noProof/>
            <w:webHidden/>
          </w:rPr>
          <w:fldChar w:fldCharType="separate"/>
        </w:r>
        <w:r>
          <w:rPr>
            <w:noProof/>
            <w:webHidden/>
          </w:rPr>
          <w:t>31</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518" w:history="1">
        <w:r>
          <w:rPr>
            <w:rStyle w:val="Hyperlink"/>
            <w:noProof/>
          </w:rPr>
          <w:t>1.</w:t>
        </w:r>
        <w:r>
          <w:rPr>
            <w:rFonts w:asciiTheme="minorHAnsi" w:eastAsiaTheme="minorEastAsia" w:hAnsiTheme="minorHAnsi" w:cstheme="minorBidi"/>
            <w:noProof/>
            <w:sz w:val="22"/>
            <w:szCs w:val="22"/>
            <w:lang w:val="en-IE" w:eastAsia="en-IE"/>
          </w:rPr>
          <w:tab/>
        </w:r>
        <w:r>
          <w:rPr>
            <w:rStyle w:val="Hyperlink"/>
            <w:noProof/>
          </w:rPr>
          <w:t>Introduction</w:t>
        </w:r>
        <w:r>
          <w:rPr>
            <w:noProof/>
            <w:webHidden/>
          </w:rPr>
          <w:tab/>
        </w:r>
        <w:r>
          <w:rPr>
            <w:noProof/>
            <w:webHidden/>
          </w:rPr>
          <w:fldChar w:fldCharType="begin"/>
        </w:r>
        <w:r>
          <w:rPr>
            <w:noProof/>
            <w:webHidden/>
          </w:rPr>
          <w:instrText xml:space="preserve"> PAGEREF _Toc16000518 \h </w:instrText>
        </w:r>
        <w:r>
          <w:rPr>
            <w:noProof/>
            <w:webHidden/>
          </w:rPr>
        </w:r>
        <w:r>
          <w:rPr>
            <w:noProof/>
            <w:webHidden/>
          </w:rPr>
          <w:fldChar w:fldCharType="separate"/>
        </w:r>
        <w:r>
          <w:rPr>
            <w:noProof/>
            <w:webHidden/>
          </w:rPr>
          <w:t>31</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519" w:history="1">
        <w:r>
          <w:rPr>
            <w:rStyle w:val="Hyperlink"/>
            <w:noProof/>
          </w:rPr>
          <w:t>2.</w:t>
        </w:r>
        <w:r>
          <w:rPr>
            <w:rFonts w:asciiTheme="minorHAnsi" w:eastAsiaTheme="minorEastAsia" w:hAnsiTheme="minorHAnsi" w:cstheme="minorBidi"/>
            <w:noProof/>
            <w:sz w:val="22"/>
            <w:szCs w:val="22"/>
            <w:lang w:val="en-IE" w:eastAsia="en-IE"/>
          </w:rPr>
          <w:tab/>
        </w:r>
        <w:r>
          <w:rPr>
            <w:rStyle w:val="Hyperlink"/>
            <w:noProof/>
          </w:rPr>
          <w:t>Evolution of bilateral trade</w:t>
        </w:r>
        <w:r>
          <w:rPr>
            <w:noProof/>
            <w:webHidden/>
          </w:rPr>
          <w:tab/>
        </w:r>
        <w:r>
          <w:rPr>
            <w:noProof/>
            <w:webHidden/>
          </w:rPr>
          <w:fldChar w:fldCharType="begin"/>
        </w:r>
        <w:r>
          <w:rPr>
            <w:noProof/>
            <w:webHidden/>
          </w:rPr>
          <w:instrText xml:space="preserve"> PAGEREF _Toc16000519 \h </w:instrText>
        </w:r>
        <w:r>
          <w:rPr>
            <w:noProof/>
            <w:webHidden/>
          </w:rPr>
        </w:r>
        <w:r>
          <w:rPr>
            <w:noProof/>
            <w:webHidden/>
          </w:rPr>
          <w:fldChar w:fldCharType="separate"/>
        </w:r>
        <w:r>
          <w:rPr>
            <w:noProof/>
            <w:webHidden/>
          </w:rPr>
          <w:t>31</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520" w:history="1">
        <w:r>
          <w:rPr>
            <w:rStyle w:val="Hyperlink"/>
            <w:noProof/>
          </w:rPr>
          <w:t>2.1 Trade in Goods</w:t>
        </w:r>
        <w:r>
          <w:rPr>
            <w:noProof/>
            <w:webHidden/>
          </w:rPr>
          <w:tab/>
        </w:r>
        <w:r>
          <w:rPr>
            <w:noProof/>
            <w:webHidden/>
          </w:rPr>
          <w:fldChar w:fldCharType="begin"/>
        </w:r>
        <w:r>
          <w:rPr>
            <w:noProof/>
            <w:webHidden/>
          </w:rPr>
          <w:instrText xml:space="preserve"> PAGEREF _Toc16000520 \h </w:instrText>
        </w:r>
        <w:r>
          <w:rPr>
            <w:noProof/>
            <w:webHidden/>
          </w:rPr>
        </w:r>
        <w:r>
          <w:rPr>
            <w:noProof/>
            <w:webHidden/>
          </w:rPr>
          <w:fldChar w:fldCharType="separate"/>
        </w:r>
        <w:r>
          <w:rPr>
            <w:noProof/>
            <w:webHidden/>
          </w:rPr>
          <w:t>31</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521" w:history="1">
        <w:r>
          <w:rPr>
            <w:rStyle w:val="Hyperlink"/>
            <w:noProof/>
          </w:rPr>
          <w:t>2.2 Trade in agricultural goods</w:t>
        </w:r>
        <w:r>
          <w:rPr>
            <w:noProof/>
            <w:webHidden/>
          </w:rPr>
          <w:tab/>
        </w:r>
        <w:r>
          <w:rPr>
            <w:noProof/>
            <w:webHidden/>
          </w:rPr>
          <w:fldChar w:fldCharType="begin"/>
        </w:r>
        <w:r>
          <w:rPr>
            <w:noProof/>
            <w:webHidden/>
          </w:rPr>
          <w:instrText xml:space="preserve"> PAGEREF _Toc16000521 \h </w:instrText>
        </w:r>
        <w:r>
          <w:rPr>
            <w:noProof/>
            <w:webHidden/>
          </w:rPr>
        </w:r>
        <w:r>
          <w:rPr>
            <w:noProof/>
            <w:webHidden/>
          </w:rPr>
          <w:fldChar w:fldCharType="separate"/>
        </w:r>
        <w:r>
          <w:rPr>
            <w:noProof/>
            <w:webHidden/>
          </w:rPr>
          <w:t>32</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522" w:history="1">
        <w:r>
          <w:rPr>
            <w:rStyle w:val="Hyperlink"/>
            <w:noProof/>
          </w:rPr>
          <w:t>2.3 Trade in Services and Foreign Direct Investment (FDI)</w:t>
        </w:r>
        <w:r>
          <w:rPr>
            <w:noProof/>
            <w:webHidden/>
          </w:rPr>
          <w:tab/>
        </w:r>
        <w:r>
          <w:rPr>
            <w:noProof/>
            <w:webHidden/>
          </w:rPr>
          <w:fldChar w:fldCharType="begin"/>
        </w:r>
        <w:r>
          <w:rPr>
            <w:noProof/>
            <w:webHidden/>
          </w:rPr>
          <w:instrText xml:space="preserve"> PAGEREF _Toc16000522 \h </w:instrText>
        </w:r>
        <w:r>
          <w:rPr>
            <w:noProof/>
            <w:webHidden/>
          </w:rPr>
        </w:r>
        <w:r>
          <w:rPr>
            <w:noProof/>
            <w:webHidden/>
          </w:rPr>
          <w:fldChar w:fldCharType="separate"/>
        </w:r>
        <w:r>
          <w:rPr>
            <w:noProof/>
            <w:webHidden/>
          </w:rPr>
          <w:t>33</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523" w:history="1">
        <w:r>
          <w:rPr>
            <w:rStyle w:val="Hyperlink"/>
            <w:noProof/>
          </w:rPr>
          <w:t>3.</w:t>
        </w:r>
        <w:r>
          <w:rPr>
            <w:rFonts w:asciiTheme="minorHAnsi" w:eastAsiaTheme="minorEastAsia" w:hAnsiTheme="minorHAnsi" w:cstheme="minorBidi"/>
            <w:noProof/>
            <w:sz w:val="22"/>
            <w:szCs w:val="22"/>
            <w:lang w:val="en-IE" w:eastAsia="en-IE"/>
          </w:rPr>
          <w:tab/>
        </w:r>
        <w:r>
          <w:rPr>
            <w:rStyle w:val="Hyperlink"/>
            <w:noProof/>
          </w:rPr>
          <w:t>Activities of the implementation bodies</w:t>
        </w:r>
        <w:r>
          <w:rPr>
            <w:noProof/>
            <w:webHidden/>
          </w:rPr>
          <w:tab/>
        </w:r>
        <w:r>
          <w:rPr>
            <w:noProof/>
            <w:webHidden/>
          </w:rPr>
          <w:fldChar w:fldCharType="begin"/>
        </w:r>
        <w:r>
          <w:rPr>
            <w:noProof/>
            <w:webHidden/>
          </w:rPr>
          <w:instrText xml:space="preserve"> PAGEREF _Toc16000523 \h </w:instrText>
        </w:r>
        <w:r>
          <w:rPr>
            <w:noProof/>
            <w:webHidden/>
          </w:rPr>
        </w:r>
        <w:r>
          <w:rPr>
            <w:noProof/>
            <w:webHidden/>
          </w:rPr>
          <w:fldChar w:fldCharType="separate"/>
        </w:r>
        <w:r>
          <w:rPr>
            <w:noProof/>
            <w:webHidden/>
          </w:rPr>
          <w:t>34</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524" w:history="1">
        <w:r>
          <w:rPr>
            <w:rStyle w:val="Hyperlink"/>
            <w:noProof/>
          </w:rPr>
          <w:t>4.</w:t>
        </w:r>
        <w:r>
          <w:rPr>
            <w:rFonts w:asciiTheme="minorHAnsi" w:eastAsiaTheme="minorEastAsia" w:hAnsiTheme="minorHAnsi" w:cstheme="minorBidi"/>
            <w:noProof/>
            <w:sz w:val="22"/>
            <w:szCs w:val="22"/>
            <w:lang w:val="en-IE" w:eastAsia="en-IE"/>
          </w:rPr>
          <w:tab/>
        </w:r>
        <w:r>
          <w:rPr>
            <w:rStyle w:val="Hyperlink"/>
            <w:noProof/>
          </w:rPr>
          <w:t>Implementation of the provisions on trade and sustainable development</w:t>
        </w:r>
        <w:r>
          <w:rPr>
            <w:noProof/>
            <w:webHidden/>
          </w:rPr>
          <w:tab/>
        </w:r>
        <w:r>
          <w:rPr>
            <w:noProof/>
            <w:webHidden/>
          </w:rPr>
          <w:fldChar w:fldCharType="begin"/>
        </w:r>
        <w:r>
          <w:rPr>
            <w:noProof/>
            <w:webHidden/>
          </w:rPr>
          <w:instrText xml:space="preserve"> PAGEREF _Toc16000524 \h </w:instrText>
        </w:r>
        <w:r>
          <w:rPr>
            <w:noProof/>
            <w:webHidden/>
          </w:rPr>
        </w:r>
        <w:r>
          <w:rPr>
            <w:noProof/>
            <w:webHidden/>
          </w:rPr>
          <w:fldChar w:fldCharType="separate"/>
        </w:r>
        <w:r>
          <w:rPr>
            <w:noProof/>
            <w:webHidden/>
          </w:rPr>
          <w:t>36</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525" w:history="1">
        <w:r>
          <w:rPr>
            <w:rStyle w:val="Hyperlink"/>
            <w:noProof/>
          </w:rPr>
          <w:t>5.</w:t>
        </w:r>
        <w:r>
          <w:rPr>
            <w:rFonts w:asciiTheme="minorHAnsi" w:eastAsiaTheme="minorEastAsia" w:hAnsiTheme="minorHAnsi" w:cstheme="minorBidi"/>
            <w:noProof/>
            <w:sz w:val="22"/>
            <w:szCs w:val="22"/>
            <w:lang w:val="en-IE" w:eastAsia="en-IE"/>
          </w:rPr>
          <w:tab/>
        </w:r>
        <w:r>
          <w:rPr>
            <w:rStyle w:val="Hyperlink"/>
            <w:noProof/>
          </w:rPr>
          <w:t>Specific areas subject to monitoring</w:t>
        </w:r>
        <w:r>
          <w:rPr>
            <w:noProof/>
            <w:webHidden/>
          </w:rPr>
          <w:tab/>
        </w:r>
        <w:r>
          <w:rPr>
            <w:noProof/>
            <w:webHidden/>
          </w:rPr>
          <w:fldChar w:fldCharType="begin"/>
        </w:r>
        <w:r>
          <w:rPr>
            <w:noProof/>
            <w:webHidden/>
          </w:rPr>
          <w:instrText xml:space="preserve"> PAGEREF _Toc16000525 \h </w:instrText>
        </w:r>
        <w:r>
          <w:rPr>
            <w:noProof/>
            <w:webHidden/>
          </w:rPr>
        </w:r>
        <w:r>
          <w:rPr>
            <w:noProof/>
            <w:webHidden/>
          </w:rPr>
          <w:fldChar w:fldCharType="separate"/>
        </w:r>
        <w:r>
          <w:rPr>
            <w:noProof/>
            <w:webHidden/>
          </w:rPr>
          <w:t>37</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526" w:history="1">
        <w:r>
          <w:rPr>
            <w:rStyle w:val="Hyperlink"/>
            <w:noProof/>
          </w:rPr>
          <w:t>6.</w:t>
        </w:r>
        <w:r>
          <w:rPr>
            <w:rFonts w:asciiTheme="minorHAnsi" w:eastAsiaTheme="minorEastAsia" w:hAnsiTheme="minorHAnsi" w:cstheme="minorBidi"/>
            <w:noProof/>
            <w:sz w:val="22"/>
            <w:szCs w:val="22"/>
            <w:lang w:val="en-IE" w:eastAsia="en-IE"/>
          </w:rPr>
          <w:tab/>
        </w:r>
        <w:r>
          <w:rPr>
            <w:rStyle w:val="Hyperlink"/>
            <w:noProof/>
          </w:rPr>
          <w:t>Progress, main open issues and follow-up actions</w:t>
        </w:r>
        <w:r>
          <w:rPr>
            <w:noProof/>
            <w:webHidden/>
          </w:rPr>
          <w:tab/>
        </w:r>
        <w:r>
          <w:rPr>
            <w:noProof/>
            <w:webHidden/>
          </w:rPr>
          <w:fldChar w:fldCharType="begin"/>
        </w:r>
        <w:r>
          <w:rPr>
            <w:noProof/>
            <w:webHidden/>
          </w:rPr>
          <w:instrText xml:space="preserve"> PAGEREF _Toc16000526 \h </w:instrText>
        </w:r>
        <w:r>
          <w:rPr>
            <w:noProof/>
            <w:webHidden/>
          </w:rPr>
        </w:r>
        <w:r>
          <w:rPr>
            <w:noProof/>
            <w:webHidden/>
          </w:rPr>
          <w:fldChar w:fldCharType="separate"/>
        </w:r>
        <w:r>
          <w:rPr>
            <w:noProof/>
            <w:webHidden/>
          </w:rPr>
          <w:t>38</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527" w:history="1">
        <w:r>
          <w:rPr>
            <w:rStyle w:val="Hyperlink"/>
            <w:noProof/>
          </w:rPr>
          <w:t>7.</w:t>
        </w:r>
        <w:r>
          <w:rPr>
            <w:rFonts w:asciiTheme="minorHAnsi" w:eastAsiaTheme="minorEastAsia" w:hAnsiTheme="minorHAnsi" w:cstheme="minorBidi"/>
            <w:noProof/>
            <w:sz w:val="22"/>
            <w:szCs w:val="22"/>
            <w:lang w:val="en-IE" w:eastAsia="en-IE"/>
          </w:rPr>
          <w:tab/>
        </w:r>
        <w:r>
          <w:rPr>
            <w:rStyle w:val="Hyperlink"/>
            <w:noProof/>
          </w:rPr>
          <w:t>Conclusions and outlook</w:t>
        </w:r>
        <w:r>
          <w:rPr>
            <w:noProof/>
            <w:webHidden/>
          </w:rPr>
          <w:tab/>
        </w:r>
        <w:r>
          <w:rPr>
            <w:noProof/>
            <w:webHidden/>
          </w:rPr>
          <w:fldChar w:fldCharType="begin"/>
        </w:r>
        <w:r>
          <w:rPr>
            <w:noProof/>
            <w:webHidden/>
          </w:rPr>
          <w:instrText xml:space="preserve"> PAGEREF _Toc16000527 \h </w:instrText>
        </w:r>
        <w:r>
          <w:rPr>
            <w:noProof/>
            <w:webHidden/>
          </w:rPr>
        </w:r>
        <w:r>
          <w:rPr>
            <w:noProof/>
            <w:webHidden/>
          </w:rPr>
          <w:fldChar w:fldCharType="separate"/>
        </w:r>
        <w:r>
          <w:rPr>
            <w:noProof/>
            <w:webHidden/>
          </w:rPr>
          <w:t>39</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528" w:history="1">
        <w:r>
          <w:rPr>
            <w:rStyle w:val="Hyperlink"/>
            <w:noProof/>
          </w:rPr>
          <w:t>8.</w:t>
        </w:r>
        <w:r>
          <w:rPr>
            <w:rFonts w:asciiTheme="minorHAnsi" w:eastAsiaTheme="minorEastAsia" w:hAnsiTheme="minorHAnsi" w:cstheme="minorBidi"/>
            <w:noProof/>
            <w:sz w:val="22"/>
            <w:szCs w:val="22"/>
            <w:lang w:val="en-IE" w:eastAsia="en-IE"/>
          </w:rPr>
          <w:tab/>
        </w:r>
        <w:r>
          <w:rPr>
            <w:rStyle w:val="Hyperlink"/>
            <w:noProof/>
          </w:rPr>
          <w:t>Statistics</w:t>
        </w:r>
        <w:r>
          <w:rPr>
            <w:noProof/>
            <w:webHidden/>
          </w:rPr>
          <w:tab/>
        </w:r>
        <w:r>
          <w:rPr>
            <w:noProof/>
            <w:webHidden/>
          </w:rPr>
          <w:fldChar w:fldCharType="begin"/>
        </w:r>
        <w:r>
          <w:rPr>
            <w:noProof/>
            <w:webHidden/>
          </w:rPr>
          <w:instrText xml:space="preserve"> PAGEREF _Toc16000528 \h </w:instrText>
        </w:r>
        <w:r>
          <w:rPr>
            <w:noProof/>
            <w:webHidden/>
          </w:rPr>
        </w:r>
        <w:r>
          <w:rPr>
            <w:noProof/>
            <w:webHidden/>
          </w:rPr>
          <w:fldChar w:fldCharType="separate"/>
        </w:r>
        <w:r>
          <w:rPr>
            <w:noProof/>
            <w:webHidden/>
          </w:rPr>
          <w:t>39</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en-IE" w:eastAsia="en-IE"/>
        </w:rPr>
      </w:pPr>
      <w:hyperlink w:anchor="_Toc16000529" w:history="1">
        <w:r>
          <w:rPr>
            <w:rStyle w:val="Hyperlink"/>
            <w:b/>
            <w:noProof/>
          </w:rPr>
          <w:t>ANNUAL REPORT ON THE IMPLEMENTATION OF THE EU-COLOMBIA/ECUADOR/PERU TRADE AGREEMENT</w:t>
        </w:r>
        <w:r>
          <w:rPr>
            <w:noProof/>
            <w:webHidden/>
          </w:rPr>
          <w:tab/>
        </w:r>
        <w:r>
          <w:rPr>
            <w:noProof/>
            <w:webHidden/>
          </w:rPr>
          <w:fldChar w:fldCharType="begin"/>
        </w:r>
        <w:r>
          <w:rPr>
            <w:noProof/>
            <w:webHidden/>
          </w:rPr>
          <w:instrText xml:space="preserve"> PAGEREF _Toc16000529 \h </w:instrText>
        </w:r>
        <w:r>
          <w:rPr>
            <w:noProof/>
            <w:webHidden/>
          </w:rPr>
        </w:r>
        <w:r>
          <w:rPr>
            <w:noProof/>
            <w:webHidden/>
          </w:rPr>
          <w:fldChar w:fldCharType="separate"/>
        </w:r>
        <w:r>
          <w:rPr>
            <w:noProof/>
            <w:webHidden/>
          </w:rPr>
          <w:t>41</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530" w:history="1">
        <w:r>
          <w:rPr>
            <w:rStyle w:val="Hyperlink"/>
            <w:noProof/>
          </w:rPr>
          <w:t>1.</w:t>
        </w:r>
        <w:r>
          <w:rPr>
            <w:rFonts w:asciiTheme="minorHAnsi" w:eastAsiaTheme="minorEastAsia" w:hAnsiTheme="minorHAnsi" w:cstheme="minorBidi"/>
            <w:noProof/>
            <w:sz w:val="22"/>
            <w:szCs w:val="22"/>
            <w:lang w:val="en-IE" w:eastAsia="en-IE"/>
          </w:rPr>
          <w:tab/>
        </w:r>
        <w:r>
          <w:rPr>
            <w:rStyle w:val="Hyperlink"/>
            <w:noProof/>
          </w:rPr>
          <w:t>Introduction</w:t>
        </w:r>
        <w:r>
          <w:rPr>
            <w:noProof/>
            <w:webHidden/>
          </w:rPr>
          <w:tab/>
        </w:r>
        <w:r>
          <w:rPr>
            <w:noProof/>
            <w:webHidden/>
          </w:rPr>
          <w:fldChar w:fldCharType="begin"/>
        </w:r>
        <w:r>
          <w:rPr>
            <w:noProof/>
            <w:webHidden/>
          </w:rPr>
          <w:instrText xml:space="preserve"> PAGEREF _Toc16000530 \h </w:instrText>
        </w:r>
        <w:r>
          <w:rPr>
            <w:noProof/>
            <w:webHidden/>
          </w:rPr>
        </w:r>
        <w:r>
          <w:rPr>
            <w:noProof/>
            <w:webHidden/>
          </w:rPr>
          <w:fldChar w:fldCharType="separate"/>
        </w:r>
        <w:r>
          <w:rPr>
            <w:noProof/>
            <w:webHidden/>
          </w:rPr>
          <w:t>41</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531" w:history="1">
        <w:r>
          <w:rPr>
            <w:rStyle w:val="Hyperlink"/>
            <w:noProof/>
          </w:rPr>
          <w:t>2.</w:t>
        </w:r>
        <w:r>
          <w:rPr>
            <w:rFonts w:asciiTheme="minorHAnsi" w:eastAsiaTheme="minorEastAsia" w:hAnsiTheme="minorHAnsi" w:cstheme="minorBidi"/>
            <w:noProof/>
            <w:sz w:val="22"/>
            <w:szCs w:val="22"/>
            <w:lang w:val="en-IE" w:eastAsia="en-IE"/>
          </w:rPr>
          <w:tab/>
        </w:r>
        <w:r>
          <w:rPr>
            <w:rStyle w:val="Hyperlink"/>
            <w:noProof/>
          </w:rPr>
          <w:t>Evolution of trade</w:t>
        </w:r>
        <w:r>
          <w:rPr>
            <w:noProof/>
            <w:webHidden/>
          </w:rPr>
          <w:tab/>
        </w:r>
        <w:r>
          <w:rPr>
            <w:noProof/>
            <w:webHidden/>
          </w:rPr>
          <w:fldChar w:fldCharType="begin"/>
        </w:r>
        <w:r>
          <w:rPr>
            <w:noProof/>
            <w:webHidden/>
          </w:rPr>
          <w:instrText xml:space="preserve"> PAGEREF _Toc16000531 \h </w:instrText>
        </w:r>
        <w:r>
          <w:rPr>
            <w:noProof/>
            <w:webHidden/>
          </w:rPr>
        </w:r>
        <w:r>
          <w:rPr>
            <w:noProof/>
            <w:webHidden/>
          </w:rPr>
          <w:fldChar w:fldCharType="separate"/>
        </w:r>
        <w:r>
          <w:rPr>
            <w:noProof/>
            <w:webHidden/>
          </w:rPr>
          <w:t>42</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532" w:history="1">
        <w:r>
          <w:rPr>
            <w:rStyle w:val="Hyperlink"/>
            <w:noProof/>
          </w:rPr>
          <w:t>2.1 Trade in Goods</w:t>
        </w:r>
        <w:r>
          <w:rPr>
            <w:noProof/>
            <w:webHidden/>
          </w:rPr>
          <w:tab/>
        </w:r>
        <w:r>
          <w:rPr>
            <w:noProof/>
            <w:webHidden/>
          </w:rPr>
          <w:fldChar w:fldCharType="begin"/>
        </w:r>
        <w:r>
          <w:rPr>
            <w:noProof/>
            <w:webHidden/>
          </w:rPr>
          <w:instrText xml:space="preserve"> PAGEREF _Toc16000532 \h </w:instrText>
        </w:r>
        <w:r>
          <w:rPr>
            <w:noProof/>
            <w:webHidden/>
          </w:rPr>
        </w:r>
        <w:r>
          <w:rPr>
            <w:noProof/>
            <w:webHidden/>
          </w:rPr>
          <w:fldChar w:fldCharType="separate"/>
        </w:r>
        <w:r>
          <w:rPr>
            <w:noProof/>
            <w:webHidden/>
          </w:rPr>
          <w:t>42</w:t>
        </w:r>
        <w:r>
          <w:rPr>
            <w:noProof/>
            <w:webHidden/>
          </w:rPr>
          <w:fldChar w:fldCharType="end"/>
        </w:r>
      </w:hyperlink>
    </w:p>
    <w:p>
      <w:pPr>
        <w:pStyle w:val="TOC4"/>
        <w:tabs>
          <w:tab w:val="right" w:leader="dot" w:pos="9062"/>
        </w:tabs>
        <w:rPr>
          <w:noProof/>
          <w:lang w:val="en-IE" w:eastAsia="en-IE"/>
        </w:rPr>
      </w:pPr>
      <w:hyperlink w:anchor="_Toc16000533" w:history="1">
        <w:r>
          <w:rPr>
            <w:rStyle w:val="Hyperlink"/>
            <w:noProof/>
          </w:rPr>
          <w:t>2.1.1 Overall evolution</w:t>
        </w:r>
        <w:r>
          <w:rPr>
            <w:noProof/>
            <w:webHidden/>
          </w:rPr>
          <w:tab/>
        </w:r>
        <w:r>
          <w:rPr>
            <w:noProof/>
            <w:webHidden/>
          </w:rPr>
          <w:fldChar w:fldCharType="begin"/>
        </w:r>
        <w:r>
          <w:rPr>
            <w:noProof/>
            <w:webHidden/>
          </w:rPr>
          <w:instrText xml:space="preserve"> PAGEREF _Toc16000533 \h </w:instrText>
        </w:r>
        <w:r>
          <w:rPr>
            <w:noProof/>
            <w:webHidden/>
          </w:rPr>
        </w:r>
        <w:r>
          <w:rPr>
            <w:noProof/>
            <w:webHidden/>
          </w:rPr>
          <w:fldChar w:fldCharType="separate"/>
        </w:r>
        <w:r>
          <w:rPr>
            <w:noProof/>
            <w:webHidden/>
          </w:rPr>
          <w:t>42</w:t>
        </w:r>
        <w:r>
          <w:rPr>
            <w:noProof/>
            <w:webHidden/>
          </w:rPr>
          <w:fldChar w:fldCharType="end"/>
        </w:r>
      </w:hyperlink>
    </w:p>
    <w:p>
      <w:pPr>
        <w:pStyle w:val="TOC4"/>
        <w:tabs>
          <w:tab w:val="right" w:leader="dot" w:pos="9062"/>
        </w:tabs>
        <w:rPr>
          <w:noProof/>
          <w:lang w:val="en-IE" w:eastAsia="en-IE"/>
        </w:rPr>
      </w:pPr>
      <w:hyperlink w:anchor="_Toc16000534" w:history="1">
        <w:r>
          <w:rPr>
            <w:rStyle w:val="Hyperlink"/>
            <w:noProof/>
          </w:rPr>
          <w:t>2.1.2 Trade in agricultural goods</w:t>
        </w:r>
        <w:r>
          <w:rPr>
            <w:noProof/>
            <w:webHidden/>
          </w:rPr>
          <w:tab/>
        </w:r>
        <w:r>
          <w:rPr>
            <w:noProof/>
            <w:webHidden/>
          </w:rPr>
          <w:fldChar w:fldCharType="begin"/>
        </w:r>
        <w:r>
          <w:rPr>
            <w:noProof/>
            <w:webHidden/>
          </w:rPr>
          <w:instrText xml:space="preserve"> PAGEREF _Toc16000534 \h </w:instrText>
        </w:r>
        <w:r>
          <w:rPr>
            <w:noProof/>
            <w:webHidden/>
          </w:rPr>
        </w:r>
        <w:r>
          <w:rPr>
            <w:noProof/>
            <w:webHidden/>
          </w:rPr>
          <w:fldChar w:fldCharType="separate"/>
        </w:r>
        <w:r>
          <w:rPr>
            <w:noProof/>
            <w:webHidden/>
          </w:rPr>
          <w:t>45</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535" w:history="1">
        <w:r>
          <w:rPr>
            <w:rStyle w:val="Hyperlink"/>
            <w:noProof/>
          </w:rPr>
          <w:t>2.2 Trade in Services and development of investment</w:t>
        </w:r>
        <w:r>
          <w:rPr>
            <w:noProof/>
            <w:webHidden/>
          </w:rPr>
          <w:tab/>
        </w:r>
        <w:r>
          <w:rPr>
            <w:noProof/>
            <w:webHidden/>
          </w:rPr>
          <w:fldChar w:fldCharType="begin"/>
        </w:r>
        <w:r>
          <w:rPr>
            <w:noProof/>
            <w:webHidden/>
          </w:rPr>
          <w:instrText xml:space="preserve"> PAGEREF _Toc16000535 \h </w:instrText>
        </w:r>
        <w:r>
          <w:rPr>
            <w:noProof/>
            <w:webHidden/>
          </w:rPr>
        </w:r>
        <w:r>
          <w:rPr>
            <w:noProof/>
            <w:webHidden/>
          </w:rPr>
          <w:fldChar w:fldCharType="separate"/>
        </w:r>
        <w:r>
          <w:rPr>
            <w:noProof/>
            <w:webHidden/>
          </w:rPr>
          <w:t>49</w:t>
        </w:r>
        <w:r>
          <w:rPr>
            <w:noProof/>
            <w:webHidden/>
          </w:rPr>
          <w:fldChar w:fldCharType="end"/>
        </w:r>
      </w:hyperlink>
    </w:p>
    <w:p>
      <w:pPr>
        <w:pStyle w:val="TOC4"/>
        <w:tabs>
          <w:tab w:val="right" w:leader="dot" w:pos="9062"/>
        </w:tabs>
        <w:rPr>
          <w:noProof/>
          <w:lang w:val="en-IE" w:eastAsia="en-IE"/>
        </w:rPr>
      </w:pPr>
      <w:hyperlink w:anchor="_Toc16000536" w:history="1">
        <w:r>
          <w:rPr>
            <w:rStyle w:val="Hyperlink"/>
            <w:noProof/>
            <w:lang w:val="en-US"/>
          </w:rPr>
          <w:t>2.2.1 Trade in Services</w:t>
        </w:r>
        <w:r>
          <w:rPr>
            <w:noProof/>
            <w:webHidden/>
          </w:rPr>
          <w:tab/>
        </w:r>
        <w:r>
          <w:rPr>
            <w:noProof/>
            <w:webHidden/>
          </w:rPr>
          <w:fldChar w:fldCharType="begin"/>
        </w:r>
        <w:r>
          <w:rPr>
            <w:noProof/>
            <w:webHidden/>
          </w:rPr>
          <w:instrText xml:space="preserve"> PAGEREF _Toc16000536 \h </w:instrText>
        </w:r>
        <w:r>
          <w:rPr>
            <w:noProof/>
            <w:webHidden/>
          </w:rPr>
        </w:r>
        <w:r>
          <w:rPr>
            <w:noProof/>
            <w:webHidden/>
          </w:rPr>
          <w:fldChar w:fldCharType="separate"/>
        </w:r>
        <w:r>
          <w:rPr>
            <w:noProof/>
            <w:webHidden/>
          </w:rPr>
          <w:t>49</w:t>
        </w:r>
        <w:r>
          <w:rPr>
            <w:noProof/>
            <w:webHidden/>
          </w:rPr>
          <w:fldChar w:fldCharType="end"/>
        </w:r>
      </w:hyperlink>
    </w:p>
    <w:p>
      <w:pPr>
        <w:pStyle w:val="TOC4"/>
        <w:tabs>
          <w:tab w:val="right" w:leader="dot" w:pos="9062"/>
        </w:tabs>
        <w:rPr>
          <w:noProof/>
          <w:lang w:val="en-IE" w:eastAsia="en-IE"/>
        </w:rPr>
      </w:pPr>
      <w:hyperlink w:anchor="_Toc16000537" w:history="1">
        <w:r>
          <w:rPr>
            <w:rStyle w:val="Hyperlink"/>
            <w:noProof/>
          </w:rPr>
          <w:t>2.2.2 Foreign Direct investment (FDIs)</w:t>
        </w:r>
        <w:r>
          <w:rPr>
            <w:noProof/>
            <w:webHidden/>
          </w:rPr>
          <w:tab/>
        </w:r>
        <w:r>
          <w:rPr>
            <w:noProof/>
            <w:webHidden/>
          </w:rPr>
          <w:fldChar w:fldCharType="begin"/>
        </w:r>
        <w:r>
          <w:rPr>
            <w:noProof/>
            <w:webHidden/>
          </w:rPr>
          <w:instrText xml:space="preserve"> PAGEREF _Toc16000537 \h </w:instrText>
        </w:r>
        <w:r>
          <w:rPr>
            <w:noProof/>
            <w:webHidden/>
          </w:rPr>
        </w:r>
        <w:r>
          <w:rPr>
            <w:noProof/>
            <w:webHidden/>
          </w:rPr>
          <w:fldChar w:fldCharType="separate"/>
        </w:r>
        <w:r>
          <w:rPr>
            <w:noProof/>
            <w:webHidden/>
          </w:rPr>
          <w:t>50</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538" w:history="1">
        <w:r>
          <w:rPr>
            <w:rStyle w:val="Hyperlink"/>
            <w:noProof/>
          </w:rPr>
          <w:t>3</w:t>
        </w:r>
        <w:r>
          <w:rPr>
            <w:rFonts w:asciiTheme="minorHAnsi" w:eastAsiaTheme="minorEastAsia" w:hAnsiTheme="minorHAnsi" w:cstheme="minorBidi"/>
            <w:noProof/>
            <w:sz w:val="22"/>
            <w:szCs w:val="22"/>
            <w:lang w:val="en-IE" w:eastAsia="en-IE"/>
          </w:rPr>
          <w:tab/>
        </w:r>
        <w:r>
          <w:rPr>
            <w:rStyle w:val="Hyperlink"/>
            <w:noProof/>
          </w:rPr>
          <w:t>Activities of the implementation bodies</w:t>
        </w:r>
        <w:r>
          <w:rPr>
            <w:noProof/>
            <w:webHidden/>
          </w:rPr>
          <w:tab/>
        </w:r>
        <w:r>
          <w:rPr>
            <w:noProof/>
            <w:webHidden/>
          </w:rPr>
          <w:fldChar w:fldCharType="begin"/>
        </w:r>
        <w:r>
          <w:rPr>
            <w:noProof/>
            <w:webHidden/>
          </w:rPr>
          <w:instrText xml:space="preserve"> PAGEREF _Toc16000538 \h </w:instrText>
        </w:r>
        <w:r>
          <w:rPr>
            <w:noProof/>
            <w:webHidden/>
          </w:rPr>
        </w:r>
        <w:r>
          <w:rPr>
            <w:noProof/>
            <w:webHidden/>
          </w:rPr>
          <w:fldChar w:fldCharType="separate"/>
        </w:r>
        <w:r>
          <w:rPr>
            <w:noProof/>
            <w:webHidden/>
          </w:rPr>
          <w:t>50</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539" w:history="1">
        <w:r>
          <w:rPr>
            <w:rStyle w:val="Hyperlink"/>
            <w:noProof/>
          </w:rPr>
          <w:t>4.</w:t>
        </w:r>
        <w:r>
          <w:rPr>
            <w:rFonts w:asciiTheme="minorHAnsi" w:eastAsiaTheme="minorEastAsia" w:hAnsiTheme="minorHAnsi" w:cstheme="minorBidi"/>
            <w:noProof/>
            <w:sz w:val="22"/>
            <w:szCs w:val="22"/>
            <w:lang w:val="en-IE" w:eastAsia="en-IE"/>
          </w:rPr>
          <w:tab/>
        </w:r>
        <w:r>
          <w:rPr>
            <w:rStyle w:val="Hyperlink"/>
            <w:noProof/>
          </w:rPr>
          <w:t>Implementation of the provisions on trade and sustainable development</w:t>
        </w:r>
        <w:r>
          <w:rPr>
            <w:noProof/>
            <w:webHidden/>
          </w:rPr>
          <w:tab/>
        </w:r>
        <w:r>
          <w:rPr>
            <w:noProof/>
            <w:webHidden/>
          </w:rPr>
          <w:fldChar w:fldCharType="begin"/>
        </w:r>
        <w:r>
          <w:rPr>
            <w:noProof/>
            <w:webHidden/>
          </w:rPr>
          <w:instrText xml:space="preserve"> PAGEREF _Toc16000539 \h </w:instrText>
        </w:r>
        <w:r>
          <w:rPr>
            <w:noProof/>
            <w:webHidden/>
          </w:rPr>
        </w:r>
        <w:r>
          <w:rPr>
            <w:noProof/>
            <w:webHidden/>
          </w:rPr>
          <w:fldChar w:fldCharType="separate"/>
        </w:r>
        <w:r>
          <w:rPr>
            <w:noProof/>
            <w:webHidden/>
          </w:rPr>
          <w:t>54</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540" w:history="1">
        <w:r>
          <w:rPr>
            <w:rStyle w:val="Hyperlink"/>
            <w:noProof/>
          </w:rPr>
          <w:t>5.</w:t>
        </w:r>
        <w:r>
          <w:rPr>
            <w:rFonts w:asciiTheme="minorHAnsi" w:eastAsiaTheme="minorEastAsia" w:hAnsiTheme="minorHAnsi" w:cstheme="minorBidi"/>
            <w:noProof/>
            <w:sz w:val="22"/>
            <w:szCs w:val="22"/>
            <w:lang w:val="en-IE" w:eastAsia="en-IE"/>
          </w:rPr>
          <w:tab/>
        </w:r>
        <w:r>
          <w:rPr>
            <w:rStyle w:val="Hyperlink"/>
            <w:noProof/>
          </w:rPr>
          <w:t>Specific areas subject to reporting or monitoring</w:t>
        </w:r>
        <w:r>
          <w:rPr>
            <w:noProof/>
            <w:webHidden/>
          </w:rPr>
          <w:tab/>
        </w:r>
        <w:r>
          <w:rPr>
            <w:noProof/>
            <w:webHidden/>
          </w:rPr>
          <w:fldChar w:fldCharType="begin"/>
        </w:r>
        <w:r>
          <w:rPr>
            <w:noProof/>
            <w:webHidden/>
          </w:rPr>
          <w:instrText xml:space="preserve"> PAGEREF _Toc16000540 \h </w:instrText>
        </w:r>
        <w:r>
          <w:rPr>
            <w:noProof/>
            <w:webHidden/>
          </w:rPr>
        </w:r>
        <w:r>
          <w:rPr>
            <w:noProof/>
            <w:webHidden/>
          </w:rPr>
          <w:fldChar w:fldCharType="separate"/>
        </w:r>
        <w:r>
          <w:rPr>
            <w:noProof/>
            <w:webHidden/>
          </w:rPr>
          <w:t>55</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541" w:history="1">
        <w:r>
          <w:rPr>
            <w:rStyle w:val="Hyperlink"/>
            <w:noProof/>
          </w:rPr>
          <w:t>6.</w:t>
        </w:r>
        <w:r>
          <w:rPr>
            <w:rFonts w:asciiTheme="minorHAnsi" w:eastAsiaTheme="minorEastAsia" w:hAnsiTheme="minorHAnsi" w:cstheme="minorBidi"/>
            <w:noProof/>
            <w:sz w:val="22"/>
            <w:szCs w:val="22"/>
            <w:lang w:val="en-IE" w:eastAsia="en-IE"/>
          </w:rPr>
          <w:tab/>
        </w:r>
        <w:r>
          <w:rPr>
            <w:rStyle w:val="Hyperlink"/>
            <w:noProof/>
          </w:rPr>
          <w:t>Conclusions and outlook</w:t>
        </w:r>
        <w:r>
          <w:rPr>
            <w:noProof/>
            <w:webHidden/>
          </w:rPr>
          <w:tab/>
        </w:r>
        <w:r>
          <w:rPr>
            <w:noProof/>
            <w:webHidden/>
          </w:rPr>
          <w:fldChar w:fldCharType="begin"/>
        </w:r>
        <w:r>
          <w:rPr>
            <w:noProof/>
            <w:webHidden/>
          </w:rPr>
          <w:instrText xml:space="preserve"> PAGEREF _Toc16000541 \h </w:instrText>
        </w:r>
        <w:r>
          <w:rPr>
            <w:noProof/>
            <w:webHidden/>
          </w:rPr>
        </w:r>
        <w:r>
          <w:rPr>
            <w:noProof/>
            <w:webHidden/>
          </w:rPr>
          <w:fldChar w:fldCharType="separate"/>
        </w:r>
        <w:r>
          <w:rPr>
            <w:noProof/>
            <w:webHidden/>
          </w:rPr>
          <w:t>57</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542" w:history="1">
        <w:r>
          <w:rPr>
            <w:rStyle w:val="Hyperlink"/>
            <w:noProof/>
          </w:rPr>
          <w:t>7.</w:t>
        </w:r>
        <w:r>
          <w:rPr>
            <w:rFonts w:asciiTheme="minorHAnsi" w:eastAsiaTheme="minorEastAsia" w:hAnsiTheme="minorHAnsi" w:cstheme="minorBidi"/>
            <w:noProof/>
            <w:sz w:val="22"/>
            <w:szCs w:val="22"/>
            <w:lang w:val="en-IE" w:eastAsia="en-IE"/>
          </w:rPr>
          <w:tab/>
        </w:r>
        <w:r>
          <w:rPr>
            <w:rStyle w:val="Hyperlink"/>
            <w:noProof/>
          </w:rPr>
          <w:t>Statistics</w:t>
        </w:r>
        <w:r>
          <w:rPr>
            <w:noProof/>
            <w:webHidden/>
          </w:rPr>
          <w:tab/>
        </w:r>
        <w:r>
          <w:rPr>
            <w:noProof/>
            <w:webHidden/>
          </w:rPr>
          <w:fldChar w:fldCharType="begin"/>
        </w:r>
        <w:r>
          <w:rPr>
            <w:noProof/>
            <w:webHidden/>
          </w:rPr>
          <w:instrText xml:space="preserve"> PAGEREF _Toc16000542 \h </w:instrText>
        </w:r>
        <w:r>
          <w:rPr>
            <w:noProof/>
            <w:webHidden/>
          </w:rPr>
        </w:r>
        <w:r>
          <w:rPr>
            <w:noProof/>
            <w:webHidden/>
          </w:rPr>
          <w:fldChar w:fldCharType="separate"/>
        </w:r>
        <w:r>
          <w:rPr>
            <w:noProof/>
            <w:webHidden/>
          </w:rPr>
          <w:t>57</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en-IE" w:eastAsia="en-IE"/>
        </w:rPr>
      </w:pPr>
      <w:hyperlink w:anchor="_Toc16000543" w:history="1">
        <w:r>
          <w:rPr>
            <w:rStyle w:val="Hyperlink"/>
            <w:b/>
            <w:noProof/>
          </w:rPr>
          <w:t>ANNUAL REPORT ON THE IMPLEMENTATION OF PART IV OF THE ASSOCIATION AGREEMENT BETWEEN THE EU AND ITS MEMBER STATES AND CENTRAL AMERICA</w:t>
        </w:r>
        <w:r>
          <w:rPr>
            <w:noProof/>
            <w:webHidden/>
          </w:rPr>
          <w:tab/>
        </w:r>
        <w:r>
          <w:rPr>
            <w:noProof/>
            <w:webHidden/>
          </w:rPr>
          <w:fldChar w:fldCharType="begin"/>
        </w:r>
        <w:r>
          <w:rPr>
            <w:noProof/>
            <w:webHidden/>
          </w:rPr>
          <w:instrText xml:space="preserve"> PAGEREF _Toc16000543 \h </w:instrText>
        </w:r>
        <w:r>
          <w:rPr>
            <w:noProof/>
            <w:webHidden/>
          </w:rPr>
        </w:r>
        <w:r>
          <w:rPr>
            <w:noProof/>
            <w:webHidden/>
          </w:rPr>
          <w:fldChar w:fldCharType="separate"/>
        </w:r>
        <w:r>
          <w:rPr>
            <w:noProof/>
            <w:webHidden/>
          </w:rPr>
          <w:t>63</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544" w:history="1">
        <w:r>
          <w:rPr>
            <w:rStyle w:val="Hyperlink"/>
            <w:noProof/>
          </w:rPr>
          <w:t>1.</w:t>
        </w:r>
        <w:r>
          <w:rPr>
            <w:rFonts w:asciiTheme="minorHAnsi" w:eastAsiaTheme="minorEastAsia" w:hAnsiTheme="minorHAnsi" w:cstheme="minorBidi"/>
            <w:noProof/>
            <w:sz w:val="22"/>
            <w:szCs w:val="22"/>
            <w:lang w:val="en-IE" w:eastAsia="en-IE"/>
          </w:rPr>
          <w:tab/>
        </w:r>
        <w:r>
          <w:rPr>
            <w:rStyle w:val="Hyperlink"/>
            <w:noProof/>
          </w:rPr>
          <w:t>Introduction</w:t>
        </w:r>
        <w:r>
          <w:rPr>
            <w:noProof/>
            <w:webHidden/>
          </w:rPr>
          <w:tab/>
        </w:r>
        <w:r>
          <w:rPr>
            <w:noProof/>
            <w:webHidden/>
          </w:rPr>
          <w:fldChar w:fldCharType="begin"/>
        </w:r>
        <w:r>
          <w:rPr>
            <w:noProof/>
            <w:webHidden/>
          </w:rPr>
          <w:instrText xml:space="preserve"> PAGEREF _Toc16000544 \h </w:instrText>
        </w:r>
        <w:r>
          <w:rPr>
            <w:noProof/>
            <w:webHidden/>
          </w:rPr>
        </w:r>
        <w:r>
          <w:rPr>
            <w:noProof/>
            <w:webHidden/>
          </w:rPr>
          <w:fldChar w:fldCharType="separate"/>
        </w:r>
        <w:r>
          <w:rPr>
            <w:noProof/>
            <w:webHidden/>
          </w:rPr>
          <w:t>63</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545" w:history="1">
        <w:r>
          <w:rPr>
            <w:rStyle w:val="Hyperlink"/>
            <w:noProof/>
          </w:rPr>
          <w:t>2.</w:t>
        </w:r>
        <w:r>
          <w:rPr>
            <w:rFonts w:asciiTheme="minorHAnsi" w:eastAsiaTheme="minorEastAsia" w:hAnsiTheme="minorHAnsi" w:cstheme="minorBidi"/>
            <w:noProof/>
            <w:sz w:val="22"/>
            <w:szCs w:val="22"/>
            <w:lang w:val="en-IE" w:eastAsia="en-IE"/>
          </w:rPr>
          <w:tab/>
        </w:r>
        <w:r>
          <w:rPr>
            <w:rStyle w:val="Hyperlink"/>
            <w:noProof/>
          </w:rPr>
          <w:t>Overall assessment: evolution of bilateral trade</w:t>
        </w:r>
        <w:r>
          <w:rPr>
            <w:noProof/>
            <w:webHidden/>
          </w:rPr>
          <w:tab/>
        </w:r>
        <w:r>
          <w:rPr>
            <w:noProof/>
            <w:webHidden/>
          </w:rPr>
          <w:fldChar w:fldCharType="begin"/>
        </w:r>
        <w:r>
          <w:rPr>
            <w:noProof/>
            <w:webHidden/>
          </w:rPr>
          <w:instrText xml:space="preserve"> PAGEREF _Toc16000545 \h </w:instrText>
        </w:r>
        <w:r>
          <w:rPr>
            <w:noProof/>
            <w:webHidden/>
          </w:rPr>
        </w:r>
        <w:r>
          <w:rPr>
            <w:noProof/>
            <w:webHidden/>
          </w:rPr>
          <w:fldChar w:fldCharType="separate"/>
        </w:r>
        <w:r>
          <w:rPr>
            <w:noProof/>
            <w:webHidden/>
          </w:rPr>
          <w:t>63</w:t>
        </w:r>
        <w:r>
          <w:rPr>
            <w:noProof/>
            <w:webHidden/>
          </w:rPr>
          <w:fldChar w:fldCharType="end"/>
        </w:r>
      </w:hyperlink>
    </w:p>
    <w:p>
      <w:pPr>
        <w:pStyle w:val="TOC3"/>
        <w:tabs>
          <w:tab w:val="left" w:pos="1100"/>
          <w:tab w:val="right" w:leader="dot" w:pos="9062"/>
        </w:tabs>
        <w:rPr>
          <w:rFonts w:asciiTheme="minorHAnsi" w:eastAsiaTheme="minorEastAsia" w:hAnsiTheme="minorHAnsi" w:cstheme="minorBidi"/>
          <w:noProof/>
          <w:sz w:val="22"/>
          <w:szCs w:val="22"/>
          <w:lang w:val="en-IE" w:eastAsia="en-IE"/>
        </w:rPr>
      </w:pPr>
      <w:hyperlink w:anchor="_Toc16000546" w:history="1">
        <w:r>
          <w:rPr>
            <w:rStyle w:val="Hyperlink"/>
            <w:noProof/>
          </w:rPr>
          <w:t>2.1</w:t>
        </w:r>
        <w:r>
          <w:rPr>
            <w:rFonts w:asciiTheme="minorHAnsi" w:eastAsiaTheme="minorEastAsia" w:hAnsiTheme="minorHAnsi" w:cstheme="minorBidi"/>
            <w:noProof/>
            <w:sz w:val="22"/>
            <w:szCs w:val="22"/>
            <w:lang w:val="en-IE" w:eastAsia="en-IE"/>
          </w:rPr>
          <w:tab/>
        </w:r>
        <w:r>
          <w:rPr>
            <w:rStyle w:val="Hyperlink"/>
            <w:noProof/>
          </w:rPr>
          <w:t>Trade in Goods overall</w:t>
        </w:r>
        <w:r>
          <w:rPr>
            <w:noProof/>
            <w:webHidden/>
          </w:rPr>
          <w:tab/>
        </w:r>
        <w:r>
          <w:rPr>
            <w:noProof/>
            <w:webHidden/>
          </w:rPr>
          <w:fldChar w:fldCharType="begin"/>
        </w:r>
        <w:r>
          <w:rPr>
            <w:noProof/>
            <w:webHidden/>
          </w:rPr>
          <w:instrText xml:space="preserve"> PAGEREF _Toc16000546 \h </w:instrText>
        </w:r>
        <w:r>
          <w:rPr>
            <w:noProof/>
            <w:webHidden/>
          </w:rPr>
        </w:r>
        <w:r>
          <w:rPr>
            <w:noProof/>
            <w:webHidden/>
          </w:rPr>
          <w:fldChar w:fldCharType="separate"/>
        </w:r>
        <w:r>
          <w:rPr>
            <w:noProof/>
            <w:webHidden/>
          </w:rPr>
          <w:t>63</w:t>
        </w:r>
        <w:r>
          <w:rPr>
            <w:noProof/>
            <w:webHidden/>
          </w:rPr>
          <w:fldChar w:fldCharType="end"/>
        </w:r>
      </w:hyperlink>
    </w:p>
    <w:p>
      <w:pPr>
        <w:pStyle w:val="TOC4"/>
        <w:tabs>
          <w:tab w:val="right" w:leader="dot" w:pos="9062"/>
        </w:tabs>
        <w:rPr>
          <w:noProof/>
          <w:lang w:val="en-IE" w:eastAsia="en-IE"/>
        </w:rPr>
      </w:pPr>
      <w:hyperlink w:anchor="_Toc16000547" w:history="1">
        <w:r>
          <w:rPr>
            <w:rStyle w:val="Hyperlink"/>
            <w:noProof/>
          </w:rPr>
          <w:t>Sectoral structure of trade</w:t>
        </w:r>
        <w:r>
          <w:rPr>
            <w:noProof/>
            <w:webHidden/>
          </w:rPr>
          <w:tab/>
        </w:r>
        <w:r>
          <w:rPr>
            <w:noProof/>
            <w:webHidden/>
          </w:rPr>
          <w:fldChar w:fldCharType="begin"/>
        </w:r>
        <w:r>
          <w:rPr>
            <w:noProof/>
            <w:webHidden/>
          </w:rPr>
          <w:instrText xml:space="preserve"> PAGEREF _Toc16000547 \h </w:instrText>
        </w:r>
        <w:r>
          <w:rPr>
            <w:noProof/>
            <w:webHidden/>
          </w:rPr>
        </w:r>
        <w:r>
          <w:rPr>
            <w:noProof/>
            <w:webHidden/>
          </w:rPr>
          <w:fldChar w:fldCharType="separate"/>
        </w:r>
        <w:r>
          <w:rPr>
            <w:noProof/>
            <w:webHidden/>
          </w:rPr>
          <w:t>64</w:t>
        </w:r>
        <w:r>
          <w:rPr>
            <w:noProof/>
            <w:webHidden/>
          </w:rPr>
          <w:fldChar w:fldCharType="end"/>
        </w:r>
      </w:hyperlink>
    </w:p>
    <w:p>
      <w:pPr>
        <w:pStyle w:val="TOC4"/>
        <w:tabs>
          <w:tab w:val="right" w:leader="dot" w:pos="9062"/>
        </w:tabs>
        <w:rPr>
          <w:noProof/>
          <w:lang w:val="en-IE" w:eastAsia="en-IE"/>
        </w:rPr>
      </w:pPr>
      <w:hyperlink w:anchor="_Toc16000548" w:history="1">
        <w:r>
          <w:rPr>
            <w:rStyle w:val="Hyperlink"/>
            <w:noProof/>
          </w:rPr>
          <w:t>Country-by-Country analysis</w:t>
        </w:r>
        <w:r>
          <w:rPr>
            <w:noProof/>
            <w:webHidden/>
          </w:rPr>
          <w:tab/>
        </w:r>
        <w:r>
          <w:rPr>
            <w:noProof/>
            <w:webHidden/>
          </w:rPr>
          <w:fldChar w:fldCharType="begin"/>
        </w:r>
        <w:r>
          <w:rPr>
            <w:noProof/>
            <w:webHidden/>
          </w:rPr>
          <w:instrText xml:space="preserve"> PAGEREF _Toc16000548 \h </w:instrText>
        </w:r>
        <w:r>
          <w:rPr>
            <w:noProof/>
            <w:webHidden/>
          </w:rPr>
        </w:r>
        <w:r>
          <w:rPr>
            <w:noProof/>
            <w:webHidden/>
          </w:rPr>
          <w:fldChar w:fldCharType="separate"/>
        </w:r>
        <w:r>
          <w:rPr>
            <w:noProof/>
            <w:webHidden/>
          </w:rPr>
          <w:t>64</w:t>
        </w:r>
        <w:r>
          <w:rPr>
            <w:noProof/>
            <w:webHidden/>
          </w:rPr>
          <w:fldChar w:fldCharType="end"/>
        </w:r>
      </w:hyperlink>
    </w:p>
    <w:p>
      <w:pPr>
        <w:pStyle w:val="TOC3"/>
        <w:tabs>
          <w:tab w:val="left" w:pos="1100"/>
          <w:tab w:val="right" w:leader="dot" w:pos="9062"/>
        </w:tabs>
        <w:rPr>
          <w:rFonts w:asciiTheme="minorHAnsi" w:eastAsiaTheme="minorEastAsia" w:hAnsiTheme="minorHAnsi" w:cstheme="minorBidi"/>
          <w:noProof/>
          <w:sz w:val="22"/>
          <w:szCs w:val="22"/>
          <w:lang w:val="en-IE" w:eastAsia="en-IE"/>
        </w:rPr>
      </w:pPr>
      <w:hyperlink w:anchor="_Toc16000549" w:history="1">
        <w:r>
          <w:rPr>
            <w:rStyle w:val="Hyperlink"/>
            <w:noProof/>
          </w:rPr>
          <w:t>2.2</w:t>
        </w:r>
        <w:r>
          <w:rPr>
            <w:rFonts w:asciiTheme="minorHAnsi" w:eastAsiaTheme="minorEastAsia" w:hAnsiTheme="minorHAnsi" w:cstheme="minorBidi"/>
            <w:noProof/>
            <w:sz w:val="22"/>
            <w:szCs w:val="22"/>
            <w:lang w:val="en-IE" w:eastAsia="en-IE"/>
          </w:rPr>
          <w:tab/>
        </w:r>
        <w:r>
          <w:rPr>
            <w:rStyle w:val="Hyperlink"/>
            <w:noProof/>
          </w:rPr>
          <w:t>Trade in agricultural goods</w:t>
        </w:r>
        <w:r>
          <w:rPr>
            <w:noProof/>
            <w:webHidden/>
          </w:rPr>
          <w:tab/>
        </w:r>
        <w:r>
          <w:rPr>
            <w:noProof/>
            <w:webHidden/>
          </w:rPr>
          <w:fldChar w:fldCharType="begin"/>
        </w:r>
        <w:r>
          <w:rPr>
            <w:noProof/>
            <w:webHidden/>
          </w:rPr>
          <w:instrText xml:space="preserve"> PAGEREF _Toc16000549 \h </w:instrText>
        </w:r>
        <w:r>
          <w:rPr>
            <w:noProof/>
            <w:webHidden/>
          </w:rPr>
        </w:r>
        <w:r>
          <w:rPr>
            <w:noProof/>
            <w:webHidden/>
          </w:rPr>
          <w:fldChar w:fldCharType="separate"/>
        </w:r>
        <w:r>
          <w:rPr>
            <w:noProof/>
            <w:webHidden/>
          </w:rPr>
          <w:t>66</w:t>
        </w:r>
        <w:r>
          <w:rPr>
            <w:noProof/>
            <w:webHidden/>
          </w:rPr>
          <w:fldChar w:fldCharType="end"/>
        </w:r>
      </w:hyperlink>
    </w:p>
    <w:p>
      <w:pPr>
        <w:pStyle w:val="TOC3"/>
        <w:tabs>
          <w:tab w:val="left" w:pos="1100"/>
          <w:tab w:val="right" w:leader="dot" w:pos="9062"/>
        </w:tabs>
        <w:rPr>
          <w:rFonts w:asciiTheme="minorHAnsi" w:eastAsiaTheme="minorEastAsia" w:hAnsiTheme="minorHAnsi" w:cstheme="minorBidi"/>
          <w:noProof/>
          <w:sz w:val="22"/>
          <w:szCs w:val="22"/>
          <w:lang w:val="en-IE" w:eastAsia="en-IE"/>
        </w:rPr>
      </w:pPr>
      <w:hyperlink w:anchor="_Toc16000550" w:history="1">
        <w:r>
          <w:rPr>
            <w:rStyle w:val="Hyperlink"/>
            <w:noProof/>
          </w:rPr>
          <w:t>2.3</w:t>
        </w:r>
        <w:r>
          <w:rPr>
            <w:rFonts w:asciiTheme="minorHAnsi" w:eastAsiaTheme="minorEastAsia" w:hAnsiTheme="minorHAnsi" w:cstheme="minorBidi"/>
            <w:noProof/>
            <w:sz w:val="22"/>
            <w:szCs w:val="22"/>
            <w:lang w:val="en-IE" w:eastAsia="en-IE"/>
          </w:rPr>
          <w:tab/>
        </w:r>
        <w:r>
          <w:rPr>
            <w:rStyle w:val="Hyperlink"/>
            <w:noProof/>
          </w:rPr>
          <w:t>Trade in Services and Foreign Direct investment (FDIs)</w:t>
        </w:r>
        <w:r>
          <w:rPr>
            <w:noProof/>
            <w:webHidden/>
          </w:rPr>
          <w:tab/>
        </w:r>
        <w:r>
          <w:rPr>
            <w:noProof/>
            <w:webHidden/>
          </w:rPr>
          <w:fldChar w:fldCharType="begin"/>
        </w:r>
        <w:r>
          <w:rPr>
            <w:noProof/>
            <w:webHidden/>
          </w:rPr>
          <w:instrText xml:space="preserve"> PAGEREF _Toc16000550 \h </w:instrText>
        </w:r>
        <w:r>
          <w:rPr>
            <w:noProof/>
            <w:webHidden/>
          </w:rPr>
        </w:r>
        <w:r>
          <w:rPr>
            <w:noProof/>
            <w:webHidden/>
          </w:rPr>
          <w:fldChar w:fldCharType="separate"/>
        </w:r>
        <w:r>
          <w:rPr>
            <w:noProof/>
            <w:webHidden/>
          </w:rPr>
          <w:t>68</w:t>
        </w:r>
        <w:r>
          <w:rPr>
            <w:noProof/>
            <w:webHidden/>
          </w:rPr>
          <w:fldChar w:fldCharType="end"/>
        </w:r>
      </w:hyperlink>
    </w:p>
    <w:p>
      <w:pPr>
        <w:pStyle w:val="TOC4"/>
        <w:tabs>
          <w:tab w:val="right" w:leader="dot" w:pos="9062"/>
        </w:tabs>
        <w:rPr>
          <w:noProof/>
          <w:lang w:val="en-IE" w:eastAsia="en-IE"/>
        </w:rPr>
      </w:pPr>
      <w:hyperlink w:anchor="_Toc16000551" w:history="1">
        <w:r>
          <w:rPr>
            <w:rStyle w:val="Hyperlink"/>
            <w:noProof/>
          </w:rPr>
          <w:t>Trade in Services</w:t>
        </w:r>
        <w:r>
          <w:rPr>
            <w:noProof/>
            <w:webHidden/>
          </w:rPr>
          <w:tab/>
        </w:r>
        <w:r>
          <w:rPr>
            <w:noProof/>
            <w:webHidden/>
          </w:rPr>
          <w:fldChar w:fldCharType="begin"/>
        </w:r>
        <w:r>
          <w:rPr>
            <w:noProof/>
            <w:webHidden/>
          </w:rPr>
          <w:instrText xml:space="preserve"> PAGEREF _Toc16000551 \h </w:instrText>
        </w:r>
        <w:r>
          <w:rPr>
            <w:noProof/>
            <w:webHidden/>
          </w:rPr>
        </w:r>
        <w:r>
          <w:rPr>
            <w:noProof/>
            <w:webHidden/>
          </w:rPr>
          <w:fldChar w:fldCharType="separate"/>
        </w:r>
        <w:r>
          <w:rPr>
            <w:noProof/>
            <w:webHidden/>
          </w:rPr>
          <w:t>68</w:t>
        </w:r>
        <w:r>
          <w:rPr>
            <w:noProof/>
            <w:webHidden/>
          </w:rPr>
          <w:fldChar w:fldCharType="end"/>
        </w:r>
      </w:hyperlink>
    </w:p>
    <w:p>
      <w:pPr>
        <w:pStyle w:val="TOC4"/>
        <w:tabs>
          <w:tab w:val="right" w:leader="dot" w:pos="9062"/>
        </w:tabs>
        <w:rPr>
          <w:noProof/>
          <w:lang w:val="en-IE" w:eastAsia="en-IE"/>
        </w:rPr>
      </w:pPr>
      <w:hyperlink w:anchor="_Toc16000552" w:history="1">
        <w:r>
          <w:rPr>
            <w:rStyle w:val="Hyperlink"/>
            <w:noProof/>
          </w:rPr>
          <w:t>Development of Foreign Direct investment (FDI)</w:t>
        </w:r>
        <w:r>
          <w:rPr>
            <w:noProof/>
            <w:webHidden/>
          </w:rPr>
          <w:tab/>
        </w:r>
        <w:r>
          <w:rPr>
            <w:noProof/>
            <w:webHidden/>
          </w:rPr>
          <w:fldChar w:fldCharType="begin"/>
        </w:r>
        <w:r>
          <w:rPr>
            <w:noProof/>
            <w:webHidden/>
          </w:rPr>
          <w:instrText xml:space="preserve"> PAGEREF _Toc16000552 \h </w:instrText>
        </w:r>
        <w:r>
          <w:rPr>
            <w:noProof/>
            <w:webHidden/>
          </w:rPr>
        </w:r>
        <w:r>
          <w:rPr>
            <w:noProof/>
            <w:webHidden/>
          </w:rPr>
          <w:fldChar w:fldCharType="separate"/>
        </w:r>
        <w:r>
          <w:rPr>
            <w:noProof/>
            <w:webHidden/>
          </w:rPr>
          <w:t>68</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553" w:history="1">
        <w:r>
          <w:rPr>
            <w:rStyle w:val="Hyperlink"/>
            <w:noProof/>
          </w:rPr>
          <w:t>3</w:t>
        </w:r>
        <w:r>
          <w:rPr>
            <w:rFonts w:asciiTheme="minorHAnsi" w:eastAsiaTheme="minorEastAsia" w:hAnsiTheme="minorHAnsi" w:cstheme="minorBidi"/>
            <w:noProof/>
            <w:sz w:val="22"/>
            <w:szCs w:val="22"/>
            <w:lang w:val="en-IE" w:eastAsia="en-IE"/>
          </w:rPr>
          <w:tab/>
        </w:r>
        <w:r>
          <w:rPr>
            <w:rStyle w:val="Hyperlink"/>
            <w:noProof/>
          </w:rPr>
          <w:t>Activities of the implementation bodies</w:t>
        </w:r>
        <w:r>
          <w:rPr>
            <w:noProof/>
            <w:webHidden/>
          </w:rPr>
          <w:tab/>
        </w:r>
        <w:r>
          <w:rPr>
            <w:noProof/>
            <w:webHidden/>
          </w:rPr>
          <w:fldChar w:fldCharType="begin"/>
        </w:r>
        <w:r>
          <w:rPr>
            <w:noProof/>
            <w:webHidden/>
          </w:rPr>
          <w:instrText xml:space="preserve"> PAGEREF _Toc16000553 \h </w:instrText>
        </w:r>
        <w:r>
          <w:rPr>
            <w:noProof/>
            <w:webHidden/>
          </w:rPr>
        </w:r>
        <w:r>
          <w:rPr>
            <w:noProof/>
            <w:webHidden/>
          </w:rPr>
          <w:fldChar w:fldCharType="separate"/>
        </w:r>
        <w:r>
          <w:rPr>
            <w:noProof/>
            <w:webHidden/>
          </w:rPr>
          <w:t>69</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554" w:history="1">
        <w:r>
          <w:rPr>
            <w:rStyle w:val="Hyperlink"/>
            <w:noProof/>
          </w:rPr>
          <w:t>4</w:t>
        </w:r>
        <w:r>
          <w:rPr>
            <w:rFonts w:asciiTheme="minorHAnsi" w:eastAsiaTheme="minorEastAsia" w:hAnsiTheme="minorHAnsi" w:cstheme="minorBidi"/>
            <w:noProof/>
            <w:sz w:val="22"/>
            <w:szCs w:val="22"/>
            <w:lang w:val="en-IE" w:eastAsia="en-IE"/>
          </w:rPr>
          <w:tab/>
        </w:r>
        <w:r>
          <w:rPr>
            <w:rStyle w:val="Hyperlink"/>
            <w:noProof/>
          </w:rPr>
          <w:t>Implementation of the provisions on trade and sustainable development</w:t>
        </w:r>
        <w:r>
          <w:rPr>
            <w:noProof/>
            <w:webHidden/>
          </w:rPr>
          <w:tab/>
        </w:r>
        <w:r>
          <w:rPr>
            <w:noProof/>
            <w:webHidden/>
          </w:rPr>
          <w:fldChar w:fldCharType="begin"/>
        </w:r>
        <w:r>
          <w:rPr>
            <w:noProof/>
            <w:webHidden/>
          </w:rPr>
          <w:instrText xml:space="preserve"> PAGEREF _Toc16000554 \h </w:instrText>
        </w:r>
        <w:r>
          <w:rPr>
            <w:noProof/>
            <w:webHidden/>
          </w:rPr>
        </w:r>
        <w:r>
          <w:rPr>
            <w:noProof/>
            <w:webHidden/>
          </w:rPr>
          <w:fldChar w:fldCharType="separate"/>
        </w:r>
        <w:r>
          <w:rPr>
            <w:noProof/>
            <w:webHidden/>
          </w:rPr>
          <w:t>70</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555" w:history="1">
        <w:r>
          <w:rPr>
            <w:rStyle w:val="Hyperlink"/>
            <w:noProof/>
          </w:rPr>
          <w:t>5</w:t>
        </w:r>
        <w:r>
          <w:rPr>
            <w:rFonts w:asciiTheme="minorHAnsi" w:eastAsiaTheme="minorEastAsia" w:hAnsiTheme="minorHAnsi" w:cstheme="minorBidi"/>
            <w:noProof/>
            <w:sz w:val="22"/>
            <w:szCs w:val="22"/>
            <w:lang w:val="en-IE" w:eastAsia="en-IE"/>
          </w:rPr>
          <w:tab/>
        </w:r>
        <w:r>
          <w:rPr>
            <w:rStyle w:val="Hyperlink"/>
            <w:noProof/>
          </w:rPr>
          <w:t>Specific areas subject to reporting or monitoring</w:t>
        </w:r>
        <w:r>
          <w:rPr>
            <w:noProof/>
            <w:webHidden/>
          </w:rPr>
          <w:tab/>
        </w:r>
        <w:r>
          <w:rPr>
            <w:noProof/>
            <w:webHidden/>
          </w:rPr>
          <w:fldChar w:fldCharType="begin"/>
        </w:r>
        <w:r>
          <w:rPr>
            <w:noProof/>
            <w:webHidden/>
          </w:rPr>
          <w:instrText xml:space="preserve"> PAGEREF _Toc16000555 \h </w:instrText>
        </w:r>
        <w:r>
          <w:rPr>
            <w:noProof/>
            <w:webHidden/>
          </w:rPr>
        </w:r>
        <w:r>
          <w:rPr>
            <w:noProof/>
            <w:webHidden/>
          </w:rPr>
          <w:fldChar w:fldCharType="separate"/>
        </w:r>
        <w:r>
          <w:rPr>
            <w:noProof/>
            <w:webHidden/>
          </w:rPr>
          <w:t>70</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556" w:history="1">
        <w:r>
          <w:rPr>
            <w:rStyle w:val="Hyperlink"/>
            <w:noProof/>
          </w:rPr>
          <w:t>6</w:t>
        </w:r>
        <w:r>
          <w:rPr>
            <w:rFonts w:asciiTheme="minorHAnsi" w:eastAsiaTheme="minorEastAsia" w:hAnsiTheme="minorHAnsi" w:cstheme="minorBidi"/>
            <w:noProof/>
            <w:sz w:val="22"/>
            <w:szCs w:val="22"/>
            <w:lang w:val="en-IE" w:eastAsia="en-IE"/>
          </w:rPr>
          <w:tab/>
        </w:r>
        <w:r>
          <w:rPr>
            <w:rStyle w:val="Hyperlink"/>
            <w:noProof/>
          </w:rPr>
          <w:t>Conclusions and outlook</w:t>
        </w:r>
        <w:r>
          <w:rPr>
            <w:noProof/>
            <w:webHidden/>
          </w:rPr>
          <w:tab/>
        </w:r>
        <w:r>
          <w:rPr>
            <w:noProof/>
            <w:webHidden/>
          </w:rPr>
          <w:fldChar w:fldCharType="begin"/>
        </w:r>
        <w:r>
          <w:rPr>
            <w:noProof/>
            <w:webHidden/>
          </w:rPr>
          <w:instrText xml:space="preserve"> PAGEREF _Toc16000556 \h </w:instrText>
        </w:r>
        <w:r>
          <w:rPr>
            <w:noProof/>
            <w:webHidden/>
          </w:rPr>
        </w:r>
        <w:r>
          <w:rPr>
            <w:noProof/>
            <w:webHidden/>
          </w:rPr>
          <w:fldChar w:fldCharType="separate"/>
        </w:r>
        <w:r>
          <w:rPr>
            <w:noProof/>
            <w:webHidden/>
          </w:rPr>
          <w:t>72</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557" w:history="1">
        <w:r>
          <w:rPr>
            <w:rStyle w:val="Hyperlink"/>
            <w:noProof/>
          </w:rPr>
          <w:t>7</w:t>
        </w:r>
        <w:r>
          <w:rPr>
            <w:rFonts w:asciiTheme="minorHAnsi" w:eastAsiaTheme="minorEastAsia" w:hAnsiTheme="minorHAnsi" w:cstheme="minorBidi"/>
            <w:noProof/>
            <w:sz w:val="22"/>
            <w:szCs w:val="22"/>
            <w:lang w:val="en-IE" w:eastAsia="en-IE"/>
          </w:rPr>
          <w:tab/>
        </w:r>
        <w:r>
          <w:rPr>
            <w:rStyle w:val="Hyperlink"/>
            <w:noProof/>
          </w:rPr>
          <w:t>Statistics</w:t>
        </w:r>
        <w:r>
          <w:rPr>
            <w:noProof/>
            <w:webHidden/>
          </w:rPr>
          <w:tab/>
        </w:r>
        <w:r>
          <w:rPr>
            <w:noProof/>
            <w:webHidden/>
          </w:rPr>
          <w:fldChar w:fldCharType="begin"/>
        </w:r>
        <w:r>
          <w:rPr>
            <w:noProof/>
            <w:webHidden/>
          </w:rPr>
          <w:instrText xml:space="preserve"> PAGEREF _Toc16000557 \h </w:instrText>
        </w:r>
        <w:r>
          <w:rPr>
            <w:noProof/>
            <w:webHidden/>
          </w:rPr>
        </w:r>
        <w:r>
          <w:rPr>
            <w:noProof/>
            <w:webHidden/>
          </w:rPr>
          <w:fldChar w:fldCharType="separate"/>
        </w:r>
        <w:r>
          <w:rPr>
            <w:noProof/>
            <w:webHidden/>
          </w:rPr>
          <w:t>72</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en-IE" w:eastAsia="en-IE"/>
        </w:rPr>
      </w:pPr>
      <w:hyperlink w:anchor="_Toc16000558" w:history="1">
        <w:r>
          <w:rPr>
            <w:rStyle w:val="Hyperlink"/>
            <w:b/>
            <w:noProof/>
          </w:rPr>
          <w:t>PART II: ANNUAL REPORT ON THE IMPLEMENTATION OF THE DEEP AND COMPREHENSIVE FREE TRADE AREA (DCFTA) BETWEEN THE EU AND UKRAINE, MOLDOVA AND GEORGIA</w:t>
        </w:r>
        <w:r>
          <w:rPr>
            <w:noProof/>
            <w:webHidden/>
          </w:rPr>
          <w:tab/>
        </w:r>
        <w:r>
          <w:rPr>
            <w:noProof/>
            <w:webHidden/>
          </w:rPr>
          <w:fldChar w:fldCharType="begin"/>
        </w:r>
        <w:r>
          <w:rPr>
            <w:noProof/>
            <w:webHidden/>
          </w:rPr>
          <w:instrText xml:space="preserve"> PAGEREF _Toc16000558 \h </w:instrText>
        </w:r>
        <w:r>
          <w:rPr>
            <w:noProof/>
            <w:webHidden/>
          </w:rPr>
        </w:r>
        <w:r>
          <w:rPr>
            <w:noProof/>
            <w:webHidden/>
          </w:rPr>
          <w:fldChar w:fldCharType="separate"/>
        </w:r>
        <w:r>
          <w:rPr>
            <w:noProof/>
            <w:webHidden/>
          </w:rPr>
          <w:t>81</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en-IE" w:eastAsia="en-IE"/>
        </w:rPr>
      </w:pPr>
      <w:hyperlink w:anchor="_Toc16000559" w:history="1">
        <w:r>
          <w:rPr>
            <w:rStyle w:val="Hyperlink"/>
            <w:b/>
            <w:noProof/>
          </w:rPr>
          <w:t xml:space="preserve">ANNUAL REPORT ON THE IMPLEMENTATION OF THE DEEP AND COMPREHENSIVE FREE TRADE AREA (DCFTA) BETWEEN THE EU AND ITS MEMBER STATES AND </w:t>
        </w:r>
        <w:r>
          <w:rPr>
            <w:rStyle w:val="Hyperlink"/>
            <w:b/>
            <w:bCs/>
            <w:noProof/>
          </w:rPr>
          <w:t>UKRAINE</w:t>
        </w:r>
        <w:r>
          <w:rPr>
            <w:noProof/>
            <w:webHidden/>
          </w:rPr>
          <w:tab/>
        </w:r>
        <w:r>
          <w:rPr>
            <w:noProof/>
            <w:webHidden/>
          </w:rPr>
          <w:fldChar w:fldCharType="begin"/>
        </w:r>
        <w:r>
          <w:rPr>
            <w:noProof/>
            <w:webHidden/>
          </w:rPr>
          <w:instrText xml:space="preserve"> PAGEREF _Toc16000559 \h </w:instrText>
        </w:r>
        <w:r>
          <w:rPr>
            <w:noProof/>
            <w:webHidden/>
          </w:rPr>
        </w:r>
        <w:r>
          <w:rPr>
            <w:noProof/>
            <w:webHidden/>
          </w:rPr>
          <w:fldChar w:fldCharType="separate"/>
        </w:r>
        <w:r>
          <w:rPr>
            <w:noProof/>
            <w:webHidden/>
          </w:rPr>
          <w:t>82</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560" w:history="1">
        <w:r>
          <w:rPr>
            <w:rStyle w:val="Hyperlink"/>
            <w:noProof/>
          </w:rPr>
          <w:t>1.</w:t>
        </w:r>
        <w:r>
          <w:rPr>
            <w:rFonts w:asciiTheme="minorHAnsi" w:eastAsiaTheme="minorEastAsia" w:hAnsiTheme="minorHAnsi" w:cstheme="minorBidi"/>
            <w:noProof/>
            <w:sz w:val="22"/>
            <w:szCs w:val="22"/>
            <w:lang w:val="en-IE" w:eastAsia="en-IE"/>
          </w:rPr>
          <w:tab/>
        </w:r>
        <w:r>
          <w:rPr>
            <w:rStyle w:val="Hyperlink"/>
            <w:noProof/>
          </w:rPr>
          <w:t>Evolution of trade</w:t>
        </w:r>
        <w:r>
          <w:rPr>
            <w:noProof/>
            <w:webHidden/>
          </w:rPr>
          <w:tab/>
        </w:r>
        <w:r>
          <w:rPr>
            <w:noProof/>
            <w:webHidden/>
          </w:rPr>
          <w:fldChar w:fldCharType="begin"/>
        </w:r>
        <w:r>
          <w:rPr>
            <w:noProof/>
            <w:webHidden/>
          </w:rPr>
          <w:instrText xml:space="preserve"> PAGEREF _Toc16000560 \h </w:instrText>
        </w:r>
        <w:r>
          <w:rPr>
            <w:noProof/>
            <w:webHidden/>
          </w:rPr>
        </w:r>
        <w:r>
          <w:rPr>
            <w:noProof/>
            <w:webHidden/>
          </w:rPr>
          <w:fldChar w:fldCharType="separate"/>
        </w:r>
        <w:r>
          <w:rPr>
            <w:noProof/>
            <w:webHidden/>
          </w:rPr>
          <w:t>82</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561" w:history="1">
        <w:r>
          <w:rPr>
            <w:rStyle w:val="Hyperlink"/>
            <w:noProof/>
          </w:rPr>
          <w:t>1.1 Trade in goods overall</w:t>
        </w:r>
        <w:r>
          <w:rPr>
            <w:noProof/>
            <w:webHidden/>
          </w:rPr>
          <w:tab/>
        </w:r>
        <w:r>
          <w:rPr>
            <w:noProof/>
            <w:webHidden/>
          </w:rPr>
          <w:fldChar w:fldCharType="begin"/>
        </w:r>
        <w:r>
          <w:rPr>
            <w:noProof/>
            <w:webHidden/>
          </w:rPr>
          <w:instrText xml:space="preserve"> PAGEREF _Toc16000561 \h </w:instrText>
        </w:r>
        <w:r>
          <w:rPr>
            <w:noProof/>
            <w:webHidden/>
          </w:rPr>
        </w:r>
        <w:r>
          <w:rPr>
            <w:noProof/>
            <w:webHidden/>
          </w:rPr>
          <w:fldChar w:fldCharType="separate"/>
        </w:r>
        <w:r>
          <w:rPr>
            <w:noProof/>
            <w:webHidden/>
          </w:rPr>
          <w:t>82</w:t>
        </w:r>
        <w:r>
          <w:rPr>
            <w:noProof/>
            <w:webHidden/>
          </w:rPr>
          <w:fldChar w:fldCharType="end"/>
        </w:r>
      </w:hyperlink>
    </w:p>
    <w:p>
      <w:pPr>
        <w:pStyle w:val="TOC4"/>
        <w:tabs>
          <w:tab w:val="right" w:leader="dot" w:pos="9062"/>
        </w:tabs>
        <w:rPr>
          <w:noProof/>
          <w:lang w:val="en-IE" w:eastAsia="en-IE"/>
        </w:rPr>
      </w:pPr>
      <w:hyperlink w:anchor="_Toc16000562" w:history="1">
        <w:r>
          <w:rPr>
            <w:rStyle w:val="Hyperlink"/>
            <w:noProof/>
          </w:rPr>
          <w:t>Scope of trade liberalisation</w:t>
        </w:r>
        <w:r>
          <w:rPr>
            <w:noProof/>
            <w:webHidden/>
          </w:rPr>
          <w:tab/>
        </w:r>
        <w:r>
          <w:rPr>
            <w:noProof/>
            <w:webHidden/>
          </w:rPr>
          <w:fldChar w:fldCharType="begin"/>
        </w:r>
        <w:r>
          <w:rPr>
            <w:noProof/>
            <w:webHidden/>
          </w:rPr>
          <w:instrText xml:space="preserve"> PAGEREF _Toc16000562 \h </w:instrText>
        </w:r>
        <w:r>
          <w:rPr>
            <w:noProof/>
            <w:webHidden/>
          </w:rPr>
        </w:r>
        <w:r>
          <w:rPr>
            <w:noProof/>
            <w:webHidden/>
          </w:rPr>
          <w:fldChar w:fldCharType="separate"/>
        </w:r>
        <w:r>
          <w:rPr>
            <w:noProof/>
            <w:webHidden/>
          </w:rPr>
          <w:t>82</w:t>
        </w:r>
        <w:r>
          <w:rPr>
            <w:noProof/>
            <w:webHidden/>
          </w:rPr>
          <w:fldChar w:fldCharType="end"/>
        </w:r>
      </w:hyperlink>
    </w:p>
    <w:p>
      <w:pPr>
        <w:pStyle w:val="TOC4"/>
        <w:tabs>
          <w:tab w:val="right" w:leader="dot" w:pos="9062"/>
        </w:tabs>
        <w:rPr>
          <w:noProof/>
          <w:lang w:val="en-IE" w:eastAsia="en-IE"/>
        </w:rPr>
      </w:pPr>
      <w:hyperlink w:anchor="_Toc16000563" w:history="1">
        <w:r>
          <w:rPr>
            <w:rStyle w:val="Hyperlink"/>
            <w:noProof/>
          </w:rPr>
          <w:t>Sectoral structure of EU-Ukraine trade in goods</w:t>
        </w:r>
        <w:r>
          <w:rPr>
            <w:noProof/>
            <w:webHidden/>
          </w:rPr>
          <w:tab/>
        </w:r>
        <w:r>
          <w:rPr>
            <w:noProof/>
            <w:webHidden/>
          </w:rPr>
          <w:fldChar w:fldCharType="begin"/>
        </w:r>
        <w:r>
          <w:rPr>
            <w:noProof/>
            <w:webHidden/>
          </w:rPr>
          <w:instrText xml:space="preserve"> PAGEREF _Toc16000563 \h </w:instrText>
        </w:r>
        <w:r>
          <w:rPr>
            <w:noProof/>
            <w:webHidden/>
          </w:rPr>
        </w:r>
        <w:r>
          <w:rPr>
            <w:noProof/>
            <w:webHidden/>
          </w:rPr>
          <w:fldChar w:fldCharType="separate"/>
        </w:r>
        <w:r>
          <w:rPr>
            <w:noProof/>
            <w:webHidden/>
          </w:rPr>
          <w:t>82</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564" w:history="1">
        <w:r>
          <w:rPr>
            <w:rStyle w:val="Hyperlink"/>
            <w:noProof/>
          </w:rPr>
          <w:t>1.2 Trade in agricultural goods</w:t>
        </w:r>
        <w:r>
          <w:rPr>
            <w:noProof/>
            <w:webHidden/>
          </w:rPr>
          <w:tab/>
        </w:r>
        <w:r>
          <w:rPr>
            <w:noProof/>
            <w:webHidden/>
          </w:rPr>
          <w:fldChar w:fldCharType="begin"/>
        </w:r>
        <w:r>
          <w:rPr>
            <w:noProof/>
            <w:webHidden/>
          </w:rPr>
          <w:instrText xml:space="preserve"> PAGEREF _Toc16000564 \h </w:instrText>
        </w:r>
        <w:r>
          <w:rPr>
            <w:noProof/>
            <w:webHidden/>
          </w:rPr>
        </w:r>
        <w:r>
          <w:rPr>
            <w:noProof/>
            <w:webHidden/>
          </w:rPr>
          <w:fldChar w:fldCharType="separate"/>
        </w:r>
        <w:r>
          <w:rPr>
            <w:noProof/>
            <w:webHidden/>
          </w:rPr>
          <w:t>83</w:t>
        </w:r>
        <w:r>
          <w:rPr>
            <w:noProof/>
            <w:webHidden/>
          </w:rPr>
          <w:fldChar w:fldCharType="end"/>
        </w:r>
      </w:hyperlink>
    </w:p>
    <w:p>
      <w:pPr>
        <w:pStyle w:val="TOC4"/>
        <w:tabs>
          <w:tab w:val="right" w:leader="dot" w:pos="9062"/>
        </w:tabs>
        <w:rPr>
          <w:noProof/>
          <w:lang w:val="en-IE" w:eastAsia="en-IE"/>
        </w:rPr>
      </w:pPr>
      <w:hyperlink w:anchor="_Toc16000565" w:history="1">
        <w:r>
          <w:rPr>
            <w:rStyle w:val="Hyperlink"/>
            <w:noProof/>
          </w:rPr>
          <w:t>Use of Tariff Rate Quotas</w:t>
        </w:r>
        <w:r>
          <w:rPr>
            <w:noProof/>
            <w:webHidden/>
          </w:rPr>
          <w:tab/>
        </w:r>
        <w:r>
          <w:rPr>
            <w:noProof/>
            <w:webHidden/>
          </w:rPr>
          <w:fldChar w:fldCharType="begin"/>
        </w:r>
        <w:r>
          <w:rPr>
            <w:noProof/>
            <w:webHidden/>
          </w:rPr>
          <w:instrText xml:space="preserve"> PAGEREF _Toc16000565 \h </w:instrText>
        </w:r>
        <w:r>
          <w:rPr>
            <w:noProof/>
            <w:webHidden/>
          </w:rPr>
        </w:r>
        <w:r>
          <w:rPr>
            <w:noProof/>
            <w:webHidden/>
          </w:rPr>
          <w:fldChar w:fldCharType="separate"/>
        </w:r>
        <w:r>
          <w:rPr>
            <w:noProof/>
            <w:webHidden/>
          </w:rPr>
          <w:t>83</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566" w:history="1">
        <w:r>
          <w:rPr>
            <w:rStyle w:val="Hyperlink"/>
            <w:noProof/>
          </w:rPr>
          <w:t>1.3 Autonomous trade measures</w:t>
        </w:r>
        <w:r>
          <w:rPr>
            <w:noProof/>
            <w:webHidden/>
          </w:rPr>
          <w:tab/>
        </w:r>
        <w:r>
          <w:rPr>
            <w:noProof/>
            <w:webHidden/>
          </w:rPr>
          <w:fldChar w:fldCharType="begin"/>
        </w:r>
        <w:r>
          <w:rPr>
            <w:noProof/>
            <w:webHidden/>
          </w:rPr>
          <w:instrText xml:space="preserve"> PAGEREF _Toc16000566 \h </w:instrText>
        </w:r>
        <w:r>
          <w:rPr>
            <w:noProof/>
            <w:webHidden/>
          </w:rPr>
        </w:r>
        <w:r>
          <w:rPr>
            <w:noProof/>
            <w:webHidden/>
          </w:rPr>
          <w:fldChar w:fldCharType="separate"/>
        </w:r>
        <w:r>
          <w:rPr>
            <w:noProof/>
            <w:webHidden/>
          </w:rPr>
          <w:t>85</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567" w:history="1">
        <w:r>
          <w:rPr>
            <w:rStyle w:val="Hyperlink"/>
            <w:noProof/>
          </w:rPr>
          <w:t>1.4 Establishment, trade in services and investments</w:t>
        </w:r>
        <w:r>
          <w:rPr>
            <w:noProof/>
            <w:webHidden/>
          </w:rPr>
          <w:tab/>
        </w:r>
        <w:r>
          <w:rPr>
            <w:noProof/>
            <w:webHidden/>
          </w:rPr>
          <w:fldChar w:fldCharType="begin"/>
        </w:r>
        <w:r>
          <w:rPr>
            <w:noProof/>
            <w:webHidden/>
          </w:rPr>
          <w:instrText xml:space="preserve"> PAGEREF _Toc16000567 \h </w:instrText>
        </w:r>
        <w:r>
          <w:rPr>
            <w:noProof/>
            <w:webHidden/>
          </w:rPr>
        </w:r>
        <w:r>
          <w:rPr>
            <w:noProof/>
            <w:webHidden/>
          </w:rPr>
          <w:fldChar w:fldCharType="separate"/>
        </w:r>
        <w:r>
          <w:rPr>
            <w:noProof/>
            <w:webHidden/>
          </w:rPr>
          <w:t>85</w:t>
        </w:r>
        <w:r>
          <w:rPr>
            <w:noProof/>
            <w:webHidden/>
          </w:rPr>
          <w:fldChar w:fldCharType="end"/>
        </w:r>
      </w:hyperlink>
    </w:p>
    <w:p>
      <w:pPr>
        <w:pStyle w:val="TOC4"/>
        <w:tabs>
          <w:tab w:val="right" w:leader="dot" w:pos="9062"/>
        </w:tabs>
        <w:rPr>
          <w:noProof/>
          <w:lang w:val="en-IE" w:eastAsia="en-IE"/>
        </w:rPr>
      </w:pPr>
      <w:hyperlink w:anchor="_Toc16000568" w:history="1">
        <w:r>
          <w:rPr>
            <w:rStyle w:val="Hyperlink"/>
            <w:noProof/>
          </w:rPr>
          <w:t>Market access related to establishment and trade in services</w:t>
        </w:r>
        <w:r>
          <w:rPr>
            <w:noProof/>
            <w:webHidden/>
          </w:rPr>
          <w:tab/>
        </w:r>
        <w:r>
          <w:rPr>
            <w:noProof/>
            <w:webHidden/>
          </w:rPr>
          <w:fldChar w:fldCharType="begin"/>
        </w:r>
        <w:r>
          <w:rPr>
            <w:noProof/>
            <w:webHidden/>
          </w:rPr>
          <w:instrText xml:space="preserve"> PAGEREF _Toc16000568 \h </w:instrText>
        </w:r>
        <w:r>
          <w:rPr>
            <w:noProof/>
            <w:webHidden/>
          </w:rPr>
        </w:r>
        <w:r>
          <w:rPr>
            <w:noProof/>
            <w:webHidden/>
          </w:rPr>
          <w:fldChar w:fldCharType="separate"/>
        </w:r>
        <w:r>
          <w:rPr>
            <w:noProof/>
            <w:webHidden/>
          </w:rPr>
          <w:t>85</w:t>
        </w:r>
        <w:r>
          <w:rPr>
            <w:noProof/>
            <w:webHidden/>
          </w:rPr>
          <w:fldChar w:fldCharType="end"/>
        </w:r>
      </w:hyperlink>
    </w:p>
    <w:p>
      <w:pPr>
        <w:pStyle w:val="TOC4"/>
        <w:tabs>
          <w:tab w:val="right" w:leader="dot" w:pos="9062"/>
        </w:tabs>
        <w:rPr>
          <w:noProof/>
          <w:lang w:val="en-IE" w:eastAsia="en-IE"/>
        </w:rPr>
      </w:pPr>
      <w:hyperlink w:anchor="_Toc16000569" w:history="1">
        <w:r>
          <w:rPr>
            <w:rStyle w:val="Hyperlink"/>
            <w:noProof/>
          </w:rPr>
          <w:t>Trade in services</w:t>
        </w:r>
        <w:r>
          <w:rPr>
            <w:noProof/>
            <w:webHidden/>
          </w:rPr>
          <w:tab/>
        </w:r>
        <w:r>
          <w:rPr>
            <w:noProof/>
            <w:webHidden/>
          </w:rPr>
          <w:fldChar w:fldCharType="begin"/>
        </w:r>
        <w:r>
          <w:rPr>
            <w:noProof/>
            <w:webHidden/>
          </w:rPr>
          <w:instrText xml:space="preserve"> PAGEREF _Toc16000569 \h </w:instrText>
        </w:r>
        <w:r>
          <w:rPr>
            <w:noProof/>
            <w:webHidden/>
          </w:rPr>
        </w:r>
        <w:r>
          <w:rPr>
            <w:noProof/>
            <w:webHidden/>
          </w:rPr>
          <w:fldChar w:fldCharType="separate"/>
        </w:r>
        <w:r>
          <w:rPr>
            <w:noProof/>
            <w:webHidden/>
          </w:rPr>
          <w:t>86</w:t>
        </w:r>
        <w:r>
          <w:rPr>
            <w:noProof/>
            <w:webHidden/>
          </w:rPr>
          <w:fldChar w:fldCharType="end"/>
        </w:r>
      </w:hyperlink>
    </w:p>
    <w:p>
      <w:pPr>
        <w:pStyle w:val="TOC4"/>
        <w:tabs>
          <w:tab w:val="right" w:leader="dot" w:pos="9062"/>
        </w:tabs>
        <w:rPr>
          <w:noProof/>
          <w:lang w:val="en-IE" w:eastAsia="en-IE"/>
        </w:rPr>
      </w:pPr>
      <w:hyperlink w:anchor="_Toc16000570" w:history="1">
        <w:r>
          <w:rPr>
            <w:rStyle w:val="Hyperlink"/>
            <w:noProof/>
          </w:rPr>
          <w:t>Foreign Direct investment (FDI)</w:t>
        </w:r>
        <w:r>
          <w:rPr>
            <w:noProof/>
            <w:webHidden/>
          </w:rPr>
          <w:tab/>
        </w:r>
        <w:r>
          <w:rPr>
            <w:noProof/>
            <w:webHidden/>
          </w:rPr>
          <w:fldChar w:fldCharType="begin"/>
        </w:r>
        <w:r>
          <w:rPr>
            <w:noProof/>
            <w:webHidden/>
          </w:rPr>
          <w:instrText xml:space="preserve"> PAGEREF _Toc16000570 \h </w:instrText>
        </w:r>
        <w:r>
          <w:rPr>
            <w:noProof/>
            <w:webHidden/>
          </w:rPr>
        </w:r>
        <w:r>
          <w:rPr>
            <w:noProof/>
            <w:webHidden/>
          </w:rPr>
          <w:fldChar w:fldCharType="separate"/>
        </w:r>
        <w:r>
          <w:rPr>
            <w:noProof/>
            <w:webHidden/>
          </w:rPr>
          <w:t>86</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571" w:history="1">
        <w:r>
          <w:rPr>
            <w:rStyle w:val="Hyperlink"/>
            <w:noProof/>
          </w:rPr>
          <w:t>1.5 EU support to the implementation of the DCFTA</w:t>
        </w:r>
        <w:r>
          <w:rPr>
            <w:noProof/>
            <w:webHidden/>
          </w:rPr>
          <w:tab/>
        </w:r>
        <w:r>
          <w:rPr>
            <w:noProof/>
            <w:webHidden/>
          </w:rPr>
          <w:fldChar w:fldCharType="begin"/>
        </w:r>
        <w:r>
          <w:rPr>
            <w:noProof/>
            <w:webHidden/>
          </w:rPr>
          <w:instrText xml:space="preserve"> PAGEREF _Toc16000571 \h </w:instrText>
        </w:r>
        <w:r>
          <w:rPr>
            <w:noProof/>
            <w:webHidden/>
          </w:rPr>
        </w:r>
        <w:r>
          <w:rPr>
            <w:noProof/>
            <w:webHidden/>
          </w:rPr>
          <w:fldChar w:fldCharType="separate"/>
        </w:r>
        <w:r>
          <w:rPr>
            <w:noProof/>
            <w:webHidden/>
          </w:rPr>
          <w:t>86</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572" w:history="1">
        <w:r>
          <w:rPr>
            <w:rStyle w:val="Hyperlink"/>
            <w:noProof/>
          </w:rPr>
          <w:t>1.5 EU support for Small and Medium sized Enterprises (SMEs)</w:t>
        </w:r>
        <w:r>
          <w:rPr>
            <w:noProof/>
            <w:webHidden/>
          </w:rPr>
          <w:tab/>
        </w:r>
        <w:r>
          <w:rPr>
            <w:noProof/>
            <w:webHidden/>
          </w:rPr>
          <w:fldChar w:fldCharType="begin"/>
        </w:r>
        <w:r>
          <w:rPr>
            <w:noProof/>
            <w:webHidden/>
          </w:rPr>
          <w:instrText xml:space="preserve"> PAGEREF _Toc16000572 \h </w:instrText>
        </w:r>
        <w:r>
          <w:rPr>
            <w:noProof/>
            <w:webHidden/>
          </w:rPr>
        </w:r>
        <w:r>
          <w:rPr>
            <w:noProof/>
            <w:webHidden/>
          </w:rPr>
          <w:fldChar w:fldCharType="separate"/>
        </w:r>
        <w:r>
          <w:rPr>
            <w:noProof/>
            <w:webHidden/>
          </w:rPr>
          <w:t>87</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573" w:history="1">
        <w:r>
          <w:rPr>
            <w:rStyle w:val="Hyperlink"/>
            <w:noProof/>
          </w:rPr>
          <w:t>2</w:t>
        </w:r>
        <w:r>
          <w:rPr>
            <w:rFonts w:asciiTheme="minorHAnsi" w:eastAsiaTheme="minorEastAsia" w:hAnsiTheme="minorHAnsi" w:cstheme="minorBidi"/>
            <w:noProof/>
            <w:sz w:val="22"/>
            <w:szCs w:val="22"/>
            <w:lang w:val="en-IE" w:eastAsia="en-IE"/>
          </w:rPr>
          <w:tab/>
        </w:r>
        <w:r>
          <w:rPr>
            <w:rStyle w:val="Hyperlink"/>
            <w:noProof/>
          </w:rPr>
          <w:t>Activities of the implementation bodies</w:t>
        </w:r>
        <w:r>
          <w:rPr>
            <w:noProof/>
            <w:webHidden/>
          </w:rPr>
          <w:tab/>
        </w:r>
        <w:r>
          <w:rPr>
            <w:noProof/>
            <w:webHidden/>
          </w:rPr>
          <w:fldChar w:fldCharType="begin"/>
        </w:r>
        <w:r>
          <w:rPr>
            <w:noProof/>
            <w:webHidden/>
          </w:rPr>
          <w:instrText xml:space="preserve"> PAGEREF _Toc16000573 \h </w:instrText>
        </w:r>
        <w:r>
          <w:rPr>
            <w:noProof/>
            <w:webHidden/>
          </w:rPr>
        </w:r>
        <w:r>
          <w:rPr>
            <w:noProof/>
            <w:webHidden/>
          </w:rPr>
          <w:fldChar w:fldCharType="separate"/>
        </w:r>
        <w:r>
          <w:rPr>
            <w:noProof/>
            <w:webHidden/>
          </w:rPr>
          <w:t>88</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574" w:history="1">
        <w:r>
          <w:rPr>
            <w:rStyle w:val="Hyperlink"/>
            <w:noProof/>
          </w:rPr>
          <w:t>2.1 Joint decisions of the Association Bodies</w:t>
        </w:r>
        <w:r>
          <w:rPr>
            <w:noProof/>
            <w:webHidden/>
          </w:rPr>
          <w:tab/>
        </w:r>
        <w:r>
          <w:rPr>
            <w:noProof/>
            <w:webHidden/>
          </w:rPr>
          <w:fldChar w:fldCharType="begin"/>
        </w:r>
        <w:r>
          <w:rPr>
            <w:noProof/>
            <w:webHidden/>
          </w:rPr>
          <w:instrText xml:space="preserve"> PAGEREF _Toc16000574 \h </w:instrText>
        </w:r>
        <w:r>
          <w:rPr>
            <w:noProof/>
            <w:webHidden/>
          </w:rPr>
        </w:r>
        <w:r>
          <w:rPr>
            <w:noProof/>
            <w:webHidden/>
          </w:rPr>
          <w:fldChar w:fldCharType="separate"/>
        </w:r>
        <w:r>
          <w:rPr>
            <w:noProof/>
            <w:webHidden/>
          </w:rPr>
          <w:t>88</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575" w:history="1">
        <w:r>
          <w:rPr>
            <w:rStyle w:val="Hyperlink"/>
            <w:noProof/>
          </w:rPr>
          <w:t>2.2 Meetings of the Association Bodies</w:t>
        </w:r>
        <w:r>
          <w:rPr>
            <w:noProof/>
            <w:webHidden/>
          </w:rPr>
          <w:tab/>
        </w:r>
        <w:r>
          <w:rPr>
            <w:noProof/>
            <w:webHidden/>
          </w:rPr>
          <w:fldChar w:fldCharType="begin"/>
        </w:r>
        <w:r>
          <w:rPr>
            <w:noProof/>
            <w:webHidden/>
          </w:rPr>
          <w:instrText xml:space="preserve"> PAGEREF _Toc16000575 \h </w:instrText>
        </w:r>
        <w:r>
          <w:rPr>
            <w:noProof/>
            <w:webHidden/>
          </w:rPr>
        </w:r>
        <w:r>
          <w:rPr>
            <w:noProof/>
            <w:webHidden/>
          </w:rPr>
          <w:fldChar w:fldCharType="separate"/>
        </w:r>
        <w:r>
          <w:rPr>
            <w:noProof/>
            <w:webHidden/>
          </w:rPr>
          <w:t>88</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576" w:history="1">
        <w:r>
          <w:rPr>
            <w:rStyle w:val="Hyperlink"/>
            <w:noProof/>
          </w:rPr>
          <w:t>3</w:t>
        </w:r>
        <w:r>
          <w:rPr>
            <w:rFonts w:asciiTheme="minorHAnsi" w:eastAsiaTheme="minorEastAsia" w:hAnsiTheme="minorHAnsi" w:cstheme="minorBidi"/>
            <w:noProof/>
            <w:sz w:val="22"/>
            <w:szCs w:val="22"/>
            <w:lang w:val="en-IE" w:eastAsia="en-IE"/>
          </w:rPr>
          <w:tab/>
        </w:r>
        <w:r>
          <w:rPr>
            <w:rStyle w:val="Hyperlink"/>
            <w:noProof/>
          </w:rPr>
          <w:t>Implementation of the provisions on trade and sustainable development</w:t>
        </w:r>
        <w:r>
          <w:rPr>
            <w:noProof/>
            <w:webHidden/>
          </w:rPr>
          <w:tab/>
        </w:r>
        <w:r>
          <w:rPr>
            <w:noProof/>
            <w:webHidden/>
          </w:rPr>
          <w:fldChar w:fldCharType="begin"/>
        </w:r>
        <w:r>
          <w:rPr>
            <w:noProof/>
            <w:webHidden/>
          </w:rPr>
          <w:instrText xml:space="preserve"> PAGEREF _Toc16000576 \h </w:instrText>
        </w:r>
        <w:r>
          <w:rPr>
            <w:noProof/>
            <w:webHidden/>
          </w:rPr>
        </w:r>
        <w:r>
          <w:rPr>
            <w:noProof/>
            <w:webHidden/>
          </w:rPr>
          <w:fldChar w:fldCharType="separate"/>
        </w:r>
        <w:r>
          <w:rPr>
            <w:noProof/>
            <w:webHidden/>
          </w:rPr>
          <w:t>90</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577" w:history="1">
        <w:r>
          <w:rPr>
            <w:rStyle w:val="Hyperlink"/>
            <w:noProof/>
          </w:rPr>
          <w:t>4</w:t>
        </w:r>
        <w:r>
          <w:rPr>
            <w:rFonts w:asciiTheme="minorHAnsi" w:eastAsiaTheme="minorEastAsia" w:hAnsiTheme="minorHAnsi" w:cstheme="minorBidi"/>
            <w:noProof/>
            <w:sz w:val="22"/>
            <w:szCs w:val="22"/>
            <w:lang w:val="en-IE" w:eastAsia="en-IE"/>
          </w:rPr>
          <w:tab/>
        </w:r>
        <w:r>
          <w:rPr>
            <w:rStyle w:val="Hyperlink"/>
            <w:noProof/>
          </w:rPr>
          <w:t>Progress made, main open issues and follow-up actions</w:t>
        </w:r>
        <w:r>
          <w:rPr>
            <w:noProof/>
            <w:webHidden/>
          </w:rPr>
          <w:tab/>
        </w:r>
        <w:r>
          <w:rPr>
            <w:noProof/>
            <w:webHidden/>
          </w:rPr>
          <w:fldChar w:fldCharType="begin"/>
        </w:r>
        <w:r>
          <w:rPr>
            <w:noProof/>
            <w:webHidden/>
          </w:rPr>
          <w:instrText xml:space="preserve"> PAGEREF _Toc16000577 \h </w:instrText>
        </w:r>
        <w:r>
          <w:rPr>
            <w:noProof/>
            <w:webHidden/>
          </w:rPr>
        </w:r>
        <w:r>
          <w:rPr>
            <w:noProof/>
            <w:webHidden/>
          </w:rPr>
          <w:fldChar w:fldCharType="separate"/>
        </w:r>
        <w:r>
          <w:rPr>
            <w:noProof/>
            <w:webHidden/>
          </w:rPr>
          <w:t>90</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578" w:history="1">
        <w:r>
          <w:rPr>
            <w:rStyle w:val="Hyperlink"/>
            <w:noProof/>
          </w:rPr>
          <w:t>4.1 Wood export ban</w:t>
        </w:r>
        <w:r>
          <w:rPr>
            <w:noProof/>
            <w:webHidden/>
          </w:rPr>
          <w:tab/>
        </w:r>
        <w:r>
          <w:rPr>
            <w:noProof/>
            <w:webHidden/>
          </w:rPr>
          <w:fldChar w:fldCharType="begin"/>
        </w:r>
        <w:r>
          <w:rPr>
            <w:noProof/>
            <w:webHidden/>
          </w:rPr>
          <w:instrText xml:space="preserve"> PAGEREF _Toc16000578 \h </w:instrText>
        </w:r>
        <w:r>
          <w:rPr>
            <w:noProof/>
            <w:webHidden/>
          </w:rPr>
        </w:r>
        <w:r>
          <w:rPr>
            <w:noProof/>
            <w:webHidden/>
          </w:rPr>
          <w:fldChar w:fldCharType="separate"/>
        </w:r>
        <w:r>
          <w:rPr>
            <w:noProof/>
            <w:webHidden/>
          </w:rPr>
          <w:t>90</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579" w:history="1">
        <w:r>
          <w:rPr>
            <w:rStyle w:val="Hyperlink"/>
            <w:noProof/>
          </w:rPr>
          <w:t>4.2 Value added tax law 2440</w:t>
        </w:r>
        <w:r>
          <w:rPr>
            <w:noProof/>
            <w:webHidden/>
          </w:rPr>
          <w:tab/>
        </w:r>
        <w:r>
          <w:rPr>
            <w:noProof/>
            <w:webHidden/>
          </w:rPr>
          <w:fldChar w:fldCharType="begin"/>
        </w:r>
        <w:r>
          <w:rPr>
            <w:noProof/>
            <w:webHidden/>
          </w:rPr>
          <w:instrText xml:space="preserve"> PAGEREF _Toc16000579 \h </w:instrText>
        </w:r>
        <w:r>
          <w:rPr>
            <w:noProof/>
            <w:webHidden/>
          </w:rPr>
        </w:r>
        <w:r>
          <w:rPr>
            <w:noProof/>
            <w:webHidden/>
          </w:rPr>
          <w:fldChar w:fldCharType="separate"/>
        </w:r>
        <w:r>
          <w:rPr>
            <w:noProof/>
            <w:webHidden/>
          </w:rPr>
          <w:t>91</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580" w:history="1">
        <w:r>
          <w:rPr>
            <w:rStyle w:val="Hyperlink"/>
            <w:noProof/>
          </w:rPr>
          <w:t>4.3 Poultry meat imports</w:t>
        </w:r>
        <w:r>
          <w:rPr>
            <w:noProof/>
            <w:webHidden/>
          </w:rPr>
          <w:tab/>
        </w:r>
        <w:r>
          <w:rPr>
            <w:noProof/>
            <w:webHidden/>
          </w:rPr>
          <w:fldChar w:fldCharType="begin"/>
        </w:r>
        <w:r>
          <w:rPr>
            <w:noProof/>
            <w:webHidden/>
          </w:rPr>
          <w:instrText xml:space="preserve"> PAGEREF _Toc16000580 \h </w:instrText>
        </w:r>
        <w:r>
          <w:rPr>
            <w:noProof/>
            <w:webHidden/>
          </w:rPr>
        </w:r>
        <w:r>
          <w:rPr>
            <w:noProof/>
            <w:webHidden/>
          </w:rPr>
          <w:fldChar w:fldCharType="separate"/>
        </w:r>
        <w:r>
          <w:rPr>
            <w:noProof/>
            <w:webHidden/>
          </w:rPr>
          <w:t>91</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581" w:history="1">
        <w:r>
          <w:rPr>
            <w:rStyle w:val="Hyperlink"/>
            <w:noProof/>
          </w:rPr>
          <w:t>4.4 Technical barriers to trade</w:t>
        </w:r>
        <w:r>
          <w:rPr>
            <w:noProof/>
            <w:webHidden/>
          </w:rPr>
          <w:tab/>
        </w:r>
        <w:r>
          <w:rPr>
            <w:noProof/>
            <w:webHidden/>
          </w:rPr>
          <w:fldChar w:fldCharType="begin"/>
        </w:r>
        <w:r>
          <w:rPr>
            <w:noProof/>
            <w:webHidden/>
          </w:rPr>
          <w:instrText xml:space="preserve"> PAGEREF _Toc16000581 \h </w:instrText>
        </w:r>
        <w:r>
          <w:rPr>
            <w:noProof/>
            <w:webHidden/>
          </w:rPr>
        </w:r>
        <w:r>
          <w:rPr>
            <w:noProof/>
            <w:webHidden/>
          </w:rPr>
          <w:fldChar w:fldCharType="separate"/>
        </w:r>
        <w:r>
          <w:rPr>
            <w:noProof/>
            <w:webHidden/>
          </w:rPr>
          <w:t>91</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582" w:history="1">
        <w:r>
          <w:rPr>
            <w:rStyle w:val="Hyperlink"/>
            <w:noProof/>
          </w:rPr>
          <w:t>4.5 SPS aspects</w:t>
        </w:r>
        <w:r>
          <w:rPr>
            <w:noProof/>
            <w:webHidden/>
          </w:rPr>
          <w:tab/>
        </w:r>
        <w:r>
          <w:rPr>
            <w:noProof/>
            <w:webHidden/>
          </w:rPr>
          <w:fldChar w:fldCharType="begin"/>
        </w:r>
        <w:r>
          <w:rPr>
            <w:noProof/>
            <w:webHidden/>
          </w:rPr>
          <w:instrText xml:space="preserve"> PAGEREF _Toc16000582 \h </w:instrText>
        </w:r>
        <w:r>
          <w:rPr>
            <w:noProof/>
            <w:webHidden/>
          </w:rPr>
        </w:r>
        <w:r>
          <w:rPr>
            <w:noProof/>
            <w:webHidden/>
          </w:rPr>
          <w:fldChar w:fldCharType="separate"/>
        </w:r>
        <w:r>
          <w:rPr>
            <w:noProof/>
            <w:webHidden/>
          </w:rPr>
          <w:t>92</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583" w:history="1">
        <w:r>
          <w:rPr>
            <w:rStyle w:val="Hyperlink"/>
            <w:noProof/>
          </w:rPr>
          <w:t>4.6 Customs and Trade facilitation</w:t>
        </w:r>
        <w:r>
          <w:rPr>
            <w:noProof/>
            <w:webHidden/>
          </w:rPr>
          <w:tab/>
        </w:r>
        <w:r>
          <w:rPr>
            <w:noProof/>
            <w:webHidden/>
          </w:rPr>
          <w:fldChar w:fldCharType="begin"/>
        </w:r>
        <w:r>
          <w:rPr>
            <w:noProof/>
            <w:webHidden/>
          </w:rPr>
          <w:instrText xml:space="preserve"> PAGEREF _Toc16000583 \h </w:instrText>
        </w:r>
        <w:r>
          <w:rPr>
            <w:noProof/>
            <w:webHidden/>
          </w:rPr>
        </w:r>
        <w:r>
          <w:rPr>
            <w:noProof/>
            <w:webHidden/>
          </w:rPr>
          <w:fldChar w:fldCharType="separate"/>
        </w:r>
        <w:r>
          <w:rPr>
            <w:noProof/>
            <w:webHidden/>
          </w:rPr>
          <w:t>92</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584" w:history="1">
        <w:r>
          <w:rPr>
            <w:rStyle w:val="Hyperlink"/>
            <w:noProof/>
          </w:rPr>
          <w:t>4.7 Intellectual property rights (IPR)</w:t>
        </w:r>
        <w:r>
          <w:rPr>
            <w:noProof/>
            <w:webHidden/>
          </w:rPr>
          <w:tab/>
        </w:r>
        <w:r>
          <w:rPr>
            <w:noProof/>
            <w:webHidden/>
          </w:rPr>
          <w:fldChar w:fldCharType="begin"/>
        </w:r>
        <w:r>
          <w:rPr>
            <w:noProof/>
            <w:webHidden/>
          </w:rPr>
          <w:instrText xml:space="preserve"> PAGEREF _Toc16000584 \h </w:instrText>
        </w:r>
        <w:r>
          <w:rPr>
            <w:noProof/>
            <w:webHidden/>
          </w:rPr>
        </w:r>
        <w:r>
          <w:rPr>
            <w:noProof/>
            <w:webHidden/>
          </w:rPr>
          <w:fldChar w:fldCharType="separate"/>
        </w:r>
        <w:r>
          <w:rPr>
            <w:noProof/>
            <w:webHidden/>
          </w:rPr>
          <w:t>93</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585" w:history="1">
        <w:r>
          <w:rPr>
            <w:rStyle w:val="Hyperlink"/>
            <w:noProof/>
          </w:rPr>
          <w:t>4.8 Geographical indications (GIs)</w:t>
        </w:r>
        <w:r>
          <w:rPr>
            <w:noProof/>
            <w:webHidden/>
          </w:rPr>
          <w:tab/>
        </w:r>
        <w:r>
          <w:rPr>
            <w:noProof/>
            <w:webHidden/>
          </w:rPr>
          <w:fldChar w:fldCharType="begin"/>
        </w:r>
        <w:r>
          <w:rPr>
            <w:noProof/>
            <w:webHidden/>
          </w:rPr>
          <w:instrText xml:space="preserve"> PAGEREF _Toc16000585 \h </w:instrText>
        </w:r>
        <w:r>
          <w:rPr>
            <w:noProof/>
            <w:webHidden/>
          </w:rPr>
        </w:r>
        <w:r>
          <w:rPr>
            <w:noProof/>
            <w:webHidden/>
          </w:rPr>
          <w:fldChar w:fldCharType="separate"/>
        </w:r>
        <w:r>
          <w:rPr>
            <w:noProof/>
            <w:webHidden/>
          </w:rPr>
          <w:t>93</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586" w:history="1">
        <w:r>
          <w:rPr>
            <w:rStyle w:val="Hyperlink"/>
            <w:noProof/>
          </w:rPr>
          <w:t>4.9 Competition and State aid</w:t>
        </w:r>
        <w:r>
          <w:rPr>
            <w:noProof/>
            <w:webHidden/>
          </w:rPr>
          <w:tab/>
        </w:r>
        <w:r>
          <w:rPr>
            <w:noProof/>
            <w:webHidden/>
          </w:rPr>
          <w:fldChar w:fldCharType="begin"/>
        </w:r>
        <w:r>
          <w:rPr>
            <w:noProof/>
            <w:webHidden/>
          </w:rPr>
          <w:instrText xml:space="preserve"> PAGEREF _Toc16000586 \h </w:instrText>
        </w:r>
        <w:r>
          <w:rPr>
            <w:noProof/>
            <w:webHidden/>
          </w:rPr>
        </w:r>
        <w:r>
          <w:rPr>
            <w:noProof/>
            <w:webHidden/>
          </w:rPr>
          <w:fldChar w:fldCharType="separate"/>
        </w:r>
        <w:r>
          <w:rPr>
            <w:noProof/>
            <w:webHidden/>
          </w:rPr>
          <w:t>94</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587" w:history="1">
        <w:r>
          <w:rPr>
            <w:rStyle w:val="Hyperlink"/>
            <w:noProof/>
          </w:rPr>
          <w:t>4.10 Public procurement</w:t>
        </w:r>
        <w:r>
          <w:rPr>
            <w:noProof/>
            <w:webHidden/>
          </w:rPr>
          <w:tab/>
        </w:r>
        <w:r>
          <w:rPr>
            <w:noProof/>
            <w:webHidden/>
          </w:rPr>
          <w:fldChar w:fldCharType="begin"/>
        </w:r>
        <w:r>
          <w:rPr>
            <w:noProof/>
            <w:webHidden/>
          </w:rPr>
          <w:instrText xml:space="preserve"> PAGEREF _Toc16000587 \h </w:instrText>
        </w:r>
        <w:r>
          <w:rPr>
            <w:noProof/>
            <w:webHidden/>
          </w:rPr>
        </w:r>
        <w:r>
          <w:rPr>
            <w:noProof/>
            <w:webHidden/>
          </w:rPr>
          <w:fldChar w:fldCharType="separate"/>
        </w:r>
        <w:r>
          <w:rPr>
            <w:noProof/>
            <w:webHidden/>
          </w:rPr>
          <w:t>94</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588" w:history="1">
        <w:r>
          <w:rPr>
            <w:rStyle w:val="Hyperlink"/>
            <w:noProof/>
          </w:rPr>
          <w:t>5</w:t>
        </w:r>
        <w:r>
          <w:rPr>
            <w:rFonts w:asciiTheme="minorHAnsi" w:eastAsiaTheme="minorEastAsia" w:hAnsiTheme="minorHAnsi" w:cstheme="minorBidi"/>
            <w:noProof/>
            <w:sz w:val="22"/>
            <w:szCs w:val="22"/>
            <w:lang w:val="en-IE" w:eastAsia="en-IE"/>
          </w:rPr>
          <w:tab/>
        </w:r>
        <w:r>
          <w:rPr>
            <w:rStyle w:val="Hyperlink"/>
            <w:noProof/>
          </w:rPr>
          <w:t>Conclusions and outlook</w:t>
        </w:r>
        <w:r>
          <w:rPr>
            <w:noProof/>
            <w:webHidden/>
          </w:rPr>
          <w:tab/>
        </w:r>
        <w:r>
          <w:rPr>
            <w:noProof/>
            <w:webHidden/>
          </w:rPr>
          <w:fldChar w:fldCharType="begin"/>
        </w:r>
        <w:r>
          <w:rPr>
            <w:noProof/>
            <w:webHidden/>
          </w:rPr>
          <w:instrText xml:space="preserve"> PAGEREF _Toc16000588 \h </w:instrText>
        </w:r>
        <w:r>
          <w:rPr>
            <w:noProof/>
            <w:webHidden/>
          </w:rPr>
        </w:r>
        <w:r>
          <w:rPr>
            <w:noProof/>
            <w:webHidden/>
          </w:rPr>
          <w:fldChar w:fldCharType="separate"/>
        </w:r>
        <w:r>
          <w:rPr>
            <w:noProof/>
            <w:webHidden/>
          </w:rPr>
          <w:t>94</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589" w:history="1">
        <w:r>
          <w:rPr>
            <w:rStyle w:val="Hyperlink"/>
            <w:noProof/>
          </w:rPr>
          <w:t>6</w:t>
        </w:r>
        <w:r>
          <w:rPr>
            <w:rFonts w:asciiTheme="minorHAnsi" w:eastAsiaTheme="minorEastAsia" w:hAnsiTheme="minorHAnsi" w:cstheme="minorBidi"/>
            <w:noProof/>
            <w:sz w:val="22"/>
            <w:szCs w:val="22"/>
            <w:lang w:val="en-IE" w:eastAsia="en-IE"/>
          </w:rPr>
          <w:tab/>
        </w:r>
        <w:r>
          <w:rPr>
            <w:rStyle w:val="Hyperlink"/>
            <w:noProof/>
          </w:rPr>
          <w:t>Statistics</w:t>
        </w:r>
        <w:r>
          <w:rPr>
            <w:noProof/>
            <w:webHidden/>
          </w:rPr>
          <w:tab/>
        </w:r>
        <w:r>
          <w:rPr>
            <w:noProof/>
            <w:webHidden/>
          </w:rPr>
          <w:fldChar w:fldCharType="begin"/>
        </w:r>
        <w:r>
          <w:rPr>
            <w:noProof/>
            <w:webHidden/>
          </w:rPr>
          <w:instrText xml:space="preserve"> PAGEREF _Toc16000589 \h </w:instrText>
        </w:r>
        <w:r>
          <w:rPr>
            <w:noProof/>
            <w:webHidden/>
          </w:rPr>
        </w:r>
        <w:r>
          <w:rPr>
            <w:noProof/>
            <w:webHidden/>
          </w:rPr>
          <w:fldChar w:fldCharType="separate"/>
        </w:r>
        <w:r>
          <w:rPr>
            <w:noProof/>
            <w:webHidden/>
          </w:rPr>
          <w:t>95</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en-IE" w:eastAsia="en-IE"/>
        </w:rPr>
      </w:pPr>
      <w:hyperlink w:anchor="_Toc16000590" w:history="1">
        <w:r>
          <w:rPr>
            <w:rStyle w:val="Hyperlink"/>
            <w:b/>
            <w:noProof/>
          </w:rPr>
          <w:t>ANNUAL REPORT ON THE IMPLEMENTATION OF THE DEEP AND COMPREHENSIVE FREE TRADE AREA (DCFTA) BETWEEN THE EU AND ITS MEMBER STATES AND GEORGIA</w:t>
        </w:r>
        <w:r>
          <w:rPr>
            <w:noProof/>
            <w:webHidden/>
          </w:rPr>
          <w:tab/>
        </w:r>
        <w:r>
          <w:rPr>
            <w:noProof/>
            <w:webHidden/>
          </w:rPr>
          <w:fldChar w:fldCharType="begin"/>
        </w:r>
        <w:r>
          <w:rPr>
            <w:noProof/>
            <w:webHidden/>
          </w:rPr>
          <w:instrText xml:space="preserve"> PAGEREF _Toc16000590 \h </w:instrText>
        </w:r>
        <w:r>
          <w:rPr>
            <w:noProof/>
            <w:webHidden/>
          </w:rPr>
        </w:r>
        <w:r>
          <w:rPr>
            <w:noProof/>
            <w:webHidden/>
          </w:rPr>
          <w:fldChar w:fldCharType="separate"/>
        </w:r>
        <w:r>
          <w:rPr>
            <w:noProof/>
            <w:webHidden/>
          </w:rPr>
          <w:t>97</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591" w:history="1">
        <w:r>
          <w:rPr>
            <w:rStyle w:val="Hyperlink"/>
            <w:noProof/>
          </w:rPr>
          <w:t>1.</w:t>
        </w:r>
        <w:r>
          <w:rPr>
            <w:rFonts w:asciiTheme="minorHAnsi" w:eastAsiaTheme="minorEastAsia" w:hAnsiTheme="minorHAnsi" w:cstheme="minorBidi"/>
            <w:noProof/>
            <w:sz w:val="22"/>
            <w:szCs w:val="22"/>
            <w:lang w:val="en-IE" w:eastAsia="en-IE"/>
          </w:rPr>
          <w:tab/>
        </w:r>
        <w:r>
          <w:rPr>
            <w:rStyle w:val="Hyperlink"/>
            <w:noProof/>
          </w:rPr>
          <w:t>Evolution of trade</w:t>
        </w:r>
        <w:r>
          <w:rPr>
            <w:noProof/>
            <w:webHidden/>
          </w:rPr>
          <w:tab/>
        </w:r>
        <w:r>
          <w:rPr>
            <w:noProof/>
            <w:webHidden/>
          </w:rPr>
          <w:fldChar w:fldCharType="begin"/>
        </w:r>
        <w:r>
          <w:rPr>
            <w:noProof/>
            <w:webHidden/>
          </w:rPr>
          <w:instrText xml:space="preserve"> PAGEREF _Toc16000591 \h </w:instrText>
        </w:r>
        <w:r>
          <w:rPr>
            <w:noProof/>
            <w:webHidden/>
          </w:rPr>
        </w:r>
        <w:r>
          <w:rPr>
            <w:noProof/>
            <w:webHidden/>
          </w:rPr>
          <w:fldChar w:fldCharType="separate"/>
        </w:r>
        <w:r>
          <w:rPr>
            <w:noProof/>
            <w:webHidden/>
          </w:rPr>
          <w:t>97</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592" w:history="1">
        <w:r>
          <w:rPr>
            <w:rStyle w:val="Hyperlink"/>
            <w:noProof/>
          </w:rPr>
          <w:t>1.1 Trade in Goods overall</w:t>
        </w:r>
        <w:r>
          <w:rPr>
            <w:noProof/>
            <w:webHidden/>
          </w:rPr>
          <w:tab/>
        </w:r>
        <w:r>
          <w:rPr>
            <w:noProof/>
            <w:webHidden/>
          </w:rPr>
          <w:fldChar w:fldCharType="begin"/>
        </w:r>
        <w:r>
          <w:rPr>
            <w:noProof/>
            <w:webHidden/>
          </w:rPr>
          <w:instrText xml:space="preserve"> PAGEREF _Toc16000592 \h </w:instrText>
        </w:r>
        <w:r>
          <w:rPr>
            <w:noProof/>
            <w:webHidden/>
          </w:rPr>
        </w:r>
        <w:r>
          <w:rPr>
            <w:noProof/>
            <w:webHidden/>
          </w:rPr>
          <w:fldChar w:fldCharType="separate"/>
        </w:r>
        <w:r>
          <w:rPr>
            <w:noProof/>
            <w:webHidden/>
          </w:rPr>
          <w:t>97</w:t>
        </w:r>
        <w:r>
          <w:rPr>
            <w:noProof/>
            <w:webHidden/>
          </w:rPr>
          <w:fldChar w:fldCharType="end"/>
        </w:r>
      </w:hyperlink>
    </w:p>
    <w:p>
      <w:pPr>
        <w:pStyle w:val="TOC4"/>
        <w:tabs>
          <w:tab w:val="right" w:leader="dot" w:pos="9062"/>
        </w:tabs>
        <w:rPr>
          <w:noProof/>
          <w:lang w:val="en-IE" w:eastAsia="en-IE"/>
        </w:rPr>
      </w:pPr>
      <w:hyperlink w:anchor="_Toc16000593" w:history="1">
        <w:r>
          <w:rPr>
            <w:rStyle w:val="Hyperlink"/>
            <w:noProof/>
          </w:rPr>
          <w:t>The scope of trade liberalisation</w:t>
        </w:r>
        <w:r>
          <w:rPr>
            <w:noProof/>
            <w:webHidden/>
          </w:rPr>
          <w:tab/>
        </w:r>
        <w:r>
          <w:rPr>
            <w:noProof/>
            <w:webHidden/>
          </w:rPr>
          <w:fldChar w:fldCharType="begin"/>
        </w:r>
        <w:r>
          <w:rPr>
            <w:noProof/>
            <w:webHidden/>
          </w:rPr>
          <w:instrText xml:space="preserve"> PAGEREF _Toc16000593 \h </w:instrText>
        </w:r>
        <w:r>
          <w:rPr>
            <w:noProof/>
            <w:webHidden/>
          </w:rPr>
        </w:r>
        <w:r>
          <w:rPr>
            <w:noProof/>
            <w:webHidden/>
          </w:rPr>
          <w:fldChar w:fldCharType="separate"/>
        </w:r>
        <w:r>
          <w:rPr>
            <w:noProof/>
            <w:webHidden/>
          </w:rPr>
          <w:t>97</w:t>
        </w:r>
        <w:r>
          <w:rPr>
            <w:noProof/>
            <w:webHidden/>
          </w:rPr>
          <w:fldChar w:fldCharType="end"/>
        </w:r>
      </w:hyperlink>
    </w:p>
    <w:p>
      <w:pPr>
        <w:pStyle w:val="TOC4"/>
        <w:tabs>
          <w:tab w:val="right" w:leader="dot" w:pos="9062"/>
        </w:tabs>
        <w:rPr>
          <w:noProof/>
          <w:lang w:val="en-IE" w:eastAsia="en-IE"/>
        </w:rPr>
      </w:pPr>
      <w:hyperlink w:anchor="_Toc16000594" w:history="1">
        <w:r>
          <w:rPr>
            <w:rStyle w:val="Hyperlink"/>
            <w:noProof/>
          </w:rPr>
          <w:t>Overall evolution of EU–Georgia trade in goods</w:t>
        </w:r>
        <w:r>
          <w:rPr>
            <w:noProof/>
            <w:webHidden/>
          </w:rPr>
          <w:tab/>
        </w:r>
        <w:r>
          <w:rPr>
            <w:noProof/>
            <w:webHidden/>
          </w:rPr>
          <w:fldChar w:fldCharType="begin"/>
        </w:r>
        <w:r>
          <w:rPr>
            <w:noProof/>
            <w:webHidden/>
          </w:rPr>
          <w:instrText xml:space="preserve"> PAGEREF _Toc16000594 \h </w:instrText>
        </w:r>
        <w:r>
          <w:rPr>
            <w:noProof/>
            <w:webHidden/>
          </w:rPr>
        </w:r>
        <w:r>
          <w:rPr>
            <w:noProof/>
            <w:webHidden/>
          </w:rPr>
          <w:fldChar w:fldCharType="separate"/>
        </w:r>
        <w:r>
          <w:rPr>
            <w:noProof/>
            <w:webHidden/>
          </w:rPr>
          <w:t>98</w:t>
        </w:r>
        <w:r>
          <w:rPr>
            <w:noProof/>
            <w:webHidden/>
          </w:rPr>
          <w:fldChar w:fldCharType="end"/>
        </w:r>
      </w:hyperlink>
    </w:p>
    <w:p>
      <w:pPr>
        <w:pStyle w:val="TOC4"/>
        <w:tabs>
          <w:tab w:val="right" w:leader="dot" w:pos="9062"/>
        </w:tabs>
        <w:rPr>
          <w:noProof/>
          <w:lang w:val="en-IE" w:eastAsia="en-IE"/>
        </w:rPr>
      </w:pPr>
      <w:hyperlink w:anchor="_Toc16000595" w:history="1">
        <w:r>
          <w:rPr>
            <w:rStyle w:val="Hyperlink"/>
            <w:noProof/>
          </w:rPr>
          <w:t>Sectoral structure of EU-Georgia trade in goods</w:t>
        </w:r>
        <w:r>
          <w:rPr>
            <w:noProof/>
            <w:webHidden/>
          </w:rPr>
          <w:tab/>
        </w:r>
        <w:r>
          <w:rPr>
            <w:noProof/>
            <w:webHidden/>
          </w:rPr>
          <w:fldChar w:fldCharType="begin"/>
        </w:r>
        <w:r>
          <w:rPr>
            <w:noProof/>
            <w:webHidden/>
          </w:rPr>
          <w:instrText xml:space="preserve"> PAGEREF _Toc16000595 \h </w:instrText>
        </w:r>
        <w:r>
          <w:rPr>
            <w:noProof/>
            <w:webHidden/>
          </w:rPr>
        </w:r>
        <w:r>
          <w:rPr>
            <w:noProof/>
            <w:webHidden/>
          </w:rPr>
          <w:fldChar w:fldCharType="separate"/>
        </w:r>
        <w:r>
          <w:rPr>
            <w:noProof/>
            <w:webHidden/>
          </w:rPr>
          <w:t>98</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596" w:history="1">
        <w:r>
          <w:rPr>
            <w:rStyle w:val="Hyperlink"/>
            <w:noProof/>
          </w:rPr>
          <w:t>1.2 Trade in agricultural goods</w:t>
        </w:r>
        <w:r>
          <w:rPr>
            <w:noProof/>
            <w:webHidden/>
          </w:rPr>
          <w:tab/>
        </w:r>
        <w:r>
          <w:rPr>
            <w:noProof/>
            <w:webHidden/>
          </w:rPr>
          <w:fldChar w:fldCharType="begin"/>
        </w:r>
        <w:r>
          <w:rPr>
            <w:noProof/>
            <w:webHidden/>
          </w:rPr>
          <w:instrText xml:space="preserve"> PAGEREF _Toc16000596 \h </w:instrText>
        </w:r>
        <w:r>
          <w:rPr>
            <w:noProof/>
            <w:webHidden/>
          </w:rPr>
        </w:r>
        <w:r>
          <w:rPr>
            <w:noProof/>
            <w:webHidden/>
          </w:rPr>
          <w:fldChar w:fldCharType="separate"/>
        </w:r>
        <w:r>
          <w:rPr>
            <w:noProof/>
            <w:webHidden/>
          </w:rPr>
          <w:t>99</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597" w:history="1">
        <w:r>
          <w:rPr>
            <w:rStyle w:val="Hyperlink"/>
            <w:noProof/>
          </w:rPr>
          <w:t>1.3 Use of Tariff Rate Quotas (TRQ)</w:t>
        </w:r>
        <w:r>
          <w:rPr>
            <w:noProof/>
            <w:webHidden/>
          </w:rPr>
          <w:tab/>
        </w:r>
        <w:r>
          <w:rPr>
            <w:noProof/>
            <w:webHidden/>
          </w:rPr>
          <w:fldChar w:fldCharType="begin"/>
        </w:r>
        <w:r>
          <w:rPr>
            <w:noProof/>
            <w:webHidden/>
          </w:rPr>
          <w:instrText xml:space="preserve"> PAGEREF _Toc16000597 \h </w:instrText>
        </w:r>
        <w:r>
          <w:rPr>
            <w:noProof/>
            <w:webHidden/>
          </w:rPr>
        </w:r>
        <w:r>
          <w:rPr>
            <w:noProof/>
            <w:webHidden/>
          </w:rPr>
          <w:fldChar w:fldCharType="separate"/>
        </w:r>
        <w:r>
          <w:rPr>
            <w:noProof/>
            <w:webHidden/>
          </w:rPr>
          <w:t>99</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598" w:history="1">
        <w:r>
          <w:rPr>
            <w:rStyle w:val="Hyperlink"/>
            <w:noProof/>
          </w:rPr>
          <w:t>1.4 Establishment, trade in services and investments</w:t>
        </w:r>
        <w:r>
          <w:rPr>
            <w:noProof/>
            <w:webHidden/>
          </w:rPr>
          <w:tab/>
        </w:r>
        <w:r>
          <w:rPr>
            <w:noProof/>
            <w:webHidden/>
          </w:rPr>
          <w:fldChar w:fldCharType="begin"/>
        </w:r>
        <w:r>
          <w:rPr>
            <w:noProof/>
            <w:webHidden/>
          </w:rPr>
          <w:instrText xml:space="preserve"> PAGEREF _Toc16000598 \h </w:instrText>
        </w:r>
        <w:r>
          <w:rPr>
            <w:noProof/>
            <w:webHidden/>
          </w:rPr>
        </w:r>
        <w:r>
          <w:rPr>
            <w:noProof/>
            <w:webHidden/>
          </w:rPr>
          <w:fldChar w:fldCharType="separate"/>
        </w:r>
        <w:r>
          <w:rPr>
            <w:noProof/>
            <w:webHidden/>
          </w:rPr>
          <w:t>99</w:t>
        </w:r>
        <w:r>
          <w:rPr>
            <w:noProof/>
            <w:webHidden/>
          </w:rPr>
          <w:fldChar w:fldCharType="end"/>
        </w:r>
      </w:hyperlink>
    </w:p>
    <w:p>
      <w:pPr>
        <w:pStyle w:val="TOC4"/>
        <w:tabs>
          <w:tab w:val="right" w:leader="dot" w:pos="9062"/>
        </w:tabs>
        <w:rPr>
          <w:noProof/>
          <w:lang w:val="en-IE" w:eastAsia="en-IE"/>
        </w:rPr>
      </w:pPr>
      <w:hyperlink w:anchor="_Toc16000599" w:history="1">
        <w:r>
          <w:rPr>
            <w:rStyle w:val="Hyperlink"/>
            <w:noProof/>
          </w:rPr>
          <w:t>Market access related to establishment and trade in services</w:t>
        </w:r>
        <w:r>
          <w:rPr>
            <w:noProof/>
            <w:webHidden/>
          </w:rPr>
          <w:tab/>
        </w:r>
        <w:r>
          <w:rPr>
            <w:noProof/>
            <w:webHidden/>
          </w:rPr>
          <w:fldChar w:fldCharType="begin"/>
        </w:r>
        <w:r>
          <w:rPr>
            <w:noProof/>
            <w:webHidden/>
          </w:rPr>
          <w:instrText xml:space="preserve"> PAGEREF _Toc16000599 \h </w:instrText>
        </w:r>
        <w:r>
          <w:rPr>
            <w:noProof/>
            <w:webHidden/>
          </w:rPr>
        </w:r>
        <w:r>
          <w:rPr>
            <w:noProof/>
            <w:webHidden/>
          </w:rPr>
          <w:fldChar w:fldCharType="separate"/>
        </w:r>
        <w:r>
          <w:rPr>
            <w:noProof/>
            <w:webHidden/>
          </w:rPr>
          <w:t>99</w:t>
        </w:r>
        <w:r>
          <w:rPr>
            <w:noProof/>
            <w:webHidden/>
          </w:rPr>
          <w:fldChar w:fldCharType="end"/>
        </w:r>
      </w:hyperlink>
    </w:p>
    <w:p>
      <w:pPr>
        <w:pStyle w:val="TOC4"/>
        <w:tabs>
          <w:tab w:val="right" w:leader="dot" w:pos="9062"/>
        </w:tabs>
        <w:rPr>
          <w:noProof/>
          <w:lang w:val="en-IE" w:eastAsia="en-IE"/>
        </w:rPr>
      </w:pPr>
      <w:hyperlink w:anchor="_Toc16000600" w:history="1">
        <w:r>
          <w:rPr>
            <w:rStyle w:val="Hyperlink"/>
            <w:noProof/>
          </w:rPr>
          <w:t>Trade in services</w:t>
        </w:r>
        <w:r>
          <w:rPr>
            <w:noProof/>
            <w:webHidden/>
          </w:rPr>
          <w:tab/>
        </w:r>
        <w:r>
          <w:rPr>
            <w:noProof/>
            <w:webHidden/>
          </w:rPr>
          <w:fldChar w:fldCharType="begin"/>
        </w:r>
        <w:r>
          <w:rPr>
            <w:noProof/>
            <w:webHidden/>
          </w:rPr>
          <w:instrText xml:space="preserve"> PAGEREF _Toc16000600 \h </w:instrText>
        </w:r>
        <w:r>
          <w:rPr>
            <w:noProof/>
            <w:webHidden/>
          </w:rPr>
        </w:r>
        <w:r>
          <w:rPr>
            <w:noProof/>
            <w:webHidden/>
          </w:rPr>
          <w:fldChar w:fldCharType="separate"/>
        </w:r>
        <w:r>
          <w:rPr>
            <w:noProof/>
            <w:webHidden/>
          </w:rPr>
          <w:t>100</w:t>
        </w:r>
        <w:r>
          <w:rPr>
            <w:noProof/>
            <w:webHidden/>
          </w:rPr>
          <w:fldChar w:fldCharType="end"/>
        </w:r>
      </w:hyperlink>
    </w:p>
    <w:p>
      <w:pPr>
        <w:pStyle w:val="TOC4"/>
        <w:tabs>
          <w:tab w:val="right" w:leader="dot" w:pos="9062"/>
        </w:tabs>
        <w:rPr>
          <w:noProof/>
          <w:lang w:val="en-IE" w:eastAsia="en-IE"/>
        </w:rPr>
      </w:pPr>
      <w:hyperlink w:anchor="_Toc16000601" w:history="1">
        <w:r>
          <w:rPr>
            <w:rStyle w:val="Hyperlink"/>
            <w:noProof/>
          </w:rPr>
          <w:t>Foreign Direct investment</w:t>
        </w:r>
        <w:r>
          <w:rPr>
            <w:noProof/>
            <w:webHidden/>
          </w:rPr>
          <w:tab/>
        </w:r>
        <w:r>
          <w:rPr>
            <w:noProof/>
            <w:webHidden/>
          </w:rPr>
          <w:fldChar w:fldCharType="begin"/>
        </w:r>
        <w:r>
          <w:rPr>
            <w:noProof/>
            <w:webHidden/>
          </w:rPr>
          <w:instrText xml:space="preserve"> PAGEREF _Toc16000601 \h </w:instrText>
        </w:r>
        <w:r>
          <w:rPr>
            <w:noProof/>
            <w:webHidden/>
          </w:rPr>
        </w:r>
        <w:r>
          <w:rPr>
            <w:noProof/>
            <w:webHidden/>
          </w:rPr>
          <w:fldChar w:fldCharType="separate"/>
        </w:r>
        <w:r>
          <w:rPr>
            <w:noProof/>
            <w:webHidden/>
          </w:rPr>
          <w:t>100</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602" w:history="1">
        <w:r>
          <w:rPr>
            <w:rStyle w:val="Hyperlink"/>
            <w:noProof/>
          </w:rPr>
          <w:t>2.</w:t>
        </w:r>
        <w:r>
          <w:rPr>
            <w:rFonts w:asciiTheme="minorHAnsi" w:eastAsiaTheme="minorEastAsia" w:hAnsiTheme="minorHAnsi" w:cstheme="minorBidi"/>
            <w:noProof/>
            <w:sz w:val="22"/>
            <w:szCs w:val="22"/>
            <w:lang w:val="en-IE" w:eastAsia="en-IE"/>
          </w:rPr>
          <w:tab/>
        </w:r>
        <w:r>
          <w:rPr>
            <w:rStyle w:val="Hyperlink"/>
            <w:noProof/>
          </w:rPr>
          <w:t>Activities of the implementation bodies</w:t>
        </w:r>
        <w:r>
          <w:rPr>
            <w:noProof/>
            <w:webHidden/>
          </w:rPr>
          <w:tab/>
        </w:r>
        <w:r>
          <w:rPr>
            <w:noProof/>
            <w:webHidden/>
          </w:rPr>
          <w:fldChar w:fldCharType="begin"/>
        </w:r>
        <w:r>
          <w:rPr>
            <w:noProof/>
            <w:webHidden/>
          </w:rPr>
          <w:instrText xml:space="preserve"> PAGEREF _Toc16000602 \h </w:instrText>
        </w:r>
        <w:r>
          <w:rPr>
            <w:noProof/>
            <w:webHidden/>
          </w:rPr>
        </w:r>
        <w:r>
          <w:rPr>
            <w:noProof/>
            <w:webHidden/>
          </w:rPr>
          <w:fldChar w:fldCharType="separate"/>
        </w:r>
        <w:r>
          <w:rPr>
            <w:noProof/>
            <w:webHidden/>
          </w:rPr>
          <w:t>100</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603" w:history="1">
        <w:r>
          <w:rPr>
            <w:rStyle w:val="Hyperlink"/>
            <w:noProof/>
          </w:rPr>
          <w:t>2.1 Joint decisions of the Association Bodies</w:t>
        </w:r>
        <w:r>
          <w:rPr>
            <w:noProof/>
            <w:webHidden/>
          </w:rPr>
          <w:tab/>
        </w:r>
        <w:r>
          <w:rPr>
            <w:noProof/>
            <w:webHidden/>
          </w:rPr>
          <w:fldChar w:fldCharType="begin"/>
        </w:r>
        <w:r>
          <w:rPr>
            <w:noProof/>
            <w:webHidden/>
          </w:rPr>
          <w:instrText xml:space="preserve"> PAGEREF _Toc16000603 \h </w:instrText>
        </w:r>
        <w:r>
          <w:rPr>
            <w:noProof/>
            <w:webHidden/>
          </w:rPr>
        </w:r>
        <w:r>
          <w:rPr>
            <w:noProof/>
            <w:webHidden/>
          </w:rPr>
          <w:fldChar w:fldCharType="separate"/>
        </w:r>
        <w:r>
          <w:rPr>
            <w:noProof/>
            <w:webHidden/>
          </w:rPr>
          <w:t>100</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604" w:history="1">
        <w:r>
          <w:rPr>
            <w:rStyle w:val="Hyperlink"/>
            <w:noProof/>
          </w:rPr>
          <w:t>2.2 Meetings of the Association Bodies</w:t>
        </w:r>
        <w:r>
          <w:rPr>
            <w:noProof/>
            <w:webHidden/>
          </w:rPr>
          <w:tab/>
        </w:r>
        <w:r>
          <w:rPr>
            <w:noProof/>
            <w:webHidden/>
          </w:rPr>
          <w:fldChar w:fldCharType="begin"/>
        </w:r>
        <w:r>
          <w:rPr>
            <w:noProof/>
            <w:webHidden/>
          </w:rPr>
          <w:instrText xml:space="preserve"> PAGEREF _Toc16000604 \h </w:instrText>
        </w:r>
        <w:r>
          <w:rPr>
            <w:noProof/>
            <w:webHidden/>
          </w:rPr>
        </w:r>
        <w:r>
          <w:rPr>
            <w:noProof/>
            <w:webHidden/>
          </w:rPr>
          <w:fldChar w:fldCharType="separate"/>
        </w:r>
        <w:r>
          <w:rPr>
            <w:noProof/>
            <w:webHidden/>
          </w:rPr>
          <w:t>101</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605" w:history="1">
        <w:r>
          <w:rPr>
            <w:rStyle w:val="Hyperlink"/>
            <w:noProof/>
          </w:rPr>
          <w:t>3.</w:t>
        </w:r>
        <w:r>
          <w:rPr>
            <w:rFonts w:asciiTheme="minorHAnsi" w:eastAsiaTheme="minorEastAsia" w:hAnsiTheme="minorHAnsi" w:cstheme="minorBidi"/>
            <w:noProof/>
            <w:sz w:val="22"/>
            <w:szCs w:val="22"/>
            <w:lang w:val="en-IE" w:eastAsia="en-IE"/>
          </w:rPr>
          <w:tab/>
        </w:r>
        <w:r>
          <w:rPr>
            <w:rStyle w:val="Hyperlink"/>
            <w:noProof/>
          </w:rPr>
          <w:t>Implementation of the provisions on trade and sustainable development</w:t>
        </w:r>
        <w:r>
          <w:rPr>
            <w:noProof/>
            <w:webHidden/>
          </w:rPr>
          <w:tab/>
        </w:r>
        <w:r>
          <w:rPr>
            <w:noProof/>
            <w:webHidden/>
          </w:rPr>
          <w:fldChar w:fldCharType="begin"/>
        </w:r>
        <w:r>
          <w:rPr>
            <w:noProof/>
            <w:webHidden/>
          </w:rPr>
          <w:instrText xml:space="preserve"> PAGEREF _Toc16000605 \h </w:instrText>
        </w:r>
        <w:r>
          <w:rPr>
            <w:noProof/>
            <w:webHidden/>
          </w:rPr>
        </w:r>
        <w:r>
          <w:rPr>
            <w:noProof/>
            <w:webHidden/>
          </w:rPr>
          <w:fldChar w:fldCharType="separate"/>
        </w:r>
        <w:r>
          <w:rPr>
            <w:noProof/>
            <w:webHidden/>
          </w:rPr>
          <w:t>102</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606" w:history="1">
        <w:r>
          <w:rPr>
            <w:rStyle w:val="Hyperlink"/>
            <w:noProof/>
          </w:rPr>
          <w:t>4.</w:t>
        </w:r>
        <w:r>
          <w:rPr>
            <w:rFonts w:asciiTheme="minorHAnsi" w:eastAsiaTheme="minorEastAsia" w:hAnsiTheme="minorHAnsi" w:cstheme="minorBidi"/>
            <w:noProof/>
            <w:sz w:val="22"/>
            <w:szCs w:val="22"/>
            <w:lang w:val="en-IE" w:eastAsia="en-IE"/>
          </w:rPr>
          <w:tab/>
        </w:r>
        <w:r>
          <w:rPr>
            <w:rStyle w:val="Hyperlink"/>
            <w:noProof/>
          </w:rPr>
          <w:t>Specific areas subject to reporting or monitoring</w:t>
        </w:r>
        <w:r>
          <w:rPr>
            <w:noProof/>
            <w:webHidden/>
          </w:rPr>
          <w:tab/>
        </w:r>
        <w:r>
          <w:rPr>
            <w:noProof/>
            <w:webHidden/>
          </w:rPr>
          <w:fldChar w:fldCharType="begin"/>
        </w:r>
        <w:r>
          <w:rPr>
            <w:noProof/>
            <w:webHidden/>
          </w:rPr>
          <w:instrText xml:space="preserve"> PAGEREF _Toc16000606 \h </w:instrText>
        </w:r>
        <w:r>
          <w:rPr>
            <w:noProof/>
            <w:webHidden/>
          </w:rPr>
        </w:r>
        <w:r>
          <w:rPr>
            <w:noProof/>
            <w:webHidden/>
          </w:rPr>
          <w:fldChar w:fldCharType="separate"/>
        </w:r>
        <w:r>
          <w:rPr>
            <w:noProof/>
            <w:webHidden/>
          </w:rPr>
          <w:t>103</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607" w:history="1">
        <w:r>
          <w:rPr>
            <w:rStyle w:val="Hyperlink"/>
            <w:noProof/>
          </w:rPr>
          <w:t>5.</w:t>
        </w:r>
        <w:r>
          <w:rPr>
            <w:rFonts w:asciiTheme="minorHAnsi" w:eastAsiaTheme="minorEastAsia" w:hAnsiTheme="minorHAnsi" w:cstheme="minorBidi"/>
            <w:noProof/>
            <w:sz w:val="22"/>
            <w:szCs w:val="22"/>
            <w:lang w:val="en-IE" w:eastAsia="en-IE"/>
          </w:rPr>
          <w:tab/>
        </w:r>
        <w:r>
          <w:rPr>
            <w:rStyle w:val="Hyperlink"/>
            <w:noProof/>
          </w:rPr>
          <w:t>Progress made, main open issues and follow-up actions</w:t>
        </w:r>
        <w:r>
          <w:rPr>
            <w:noProof/>
            <w:webHidden/>
          </w:rPr>
          <w:tab/>
        </w:r>
        <w:r>
          <w:rPr>
            <w:noProof/>
            <w:webHidden/>
          </w:rPr>
          <w:fldChar w:fldCharType="begin"/>
        </w:r>
        <w:r>
          <w:rPr>
            <w:noProof/>
            <w:webHidden/>
          </w:rPr>
          <w:instrText xml:space="preserve"> PAGEREF _Toc16000607 \h </w:instrText>
        </w:r>
        <w:r>
          <w:rPr>
            <w:noProof/>
            <w:webHidden/>
          </w:rPr>
        </w:r>
        <w:r>
          <w:rPr>
            <w:noProof/>
            <w:webHidden/>
          </w:rPr>
          <w:fldChar w:fldCharType="separate"/>
        </w:r>
        <w:r>
          <w:rPr>
            <w:noProof/>
            <w:webHidden/>
          </w:rPr>
          <w:t>103</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608" w:history="1">
        <w:r>
          <w:rPr>
            <w:rStyle w:val="Hyperlink"/>
            <w:noProof/>
            <w:lang w:val="fr-BE"/>
          </w:rPr>
          <w:t>6.</w:t>
        </w:r>
        <w:r>
          <w:rPr>
            <w:rFonts w:asciiTheme="minorHAnsi" w:eastAsiaTheme="minorEastAsia" w:hAnsiTheme="minorHAnsi" w:cstheme="minorBidi"/>
            <w:noProof/>
            <w:sz w:val="22"/>
            <w:szCs w:val="22"/>
            <w:lang w:val="en-IE" w:eastAsia="en-IE"/>
          </w:rPr>
          <w:tab/>
        </w:r>
        <w:r>
          <w:rPr>
            <w:rStyle w:val="Hyperlink"/>
            <w:noProof/>
            <w:lang w:val="en-US"/>
          </w:rPr>
          <w:t>EU support to DCFTA implementation</w:t>
        </w:r>
        <w:r>
          <w:rPr>
            <w:noProof/>
            <w:webHidden/>
          </w:rPr>
          <w:tab/>
        </w:r>
        <w:r>
          <w:rPr>
            <w:noProof/>
            <w:webHidden/>
          </w:rPr>
          <w:fldChar w:fldCharType="begin"/>
        </w:r>
        <w:r>
          <w:rPr>
            <w:noProof/>
            <w:webHidden/>
          </w:rPr>
          <w:instrText xml:space="preserve"> PAGEREF _Toc16000608 \h </w:instrText>
        </w:r>
        <w:r>
          <w:rPr>
            <w:noProof/>
            <w:webHidden/>
          </w:rPr>
        </w:r>
        <w:r>
          <w:rPr>
            <w:noProof/>
            <w:webHidden/>
          </w:rPr>
          <w:fldChar w:fldCharType="separate"/>
        </w:r>
        <w:r>
          <w:rPr>
            <w:noProof/>
            <w:webHidden/>
          </w:rPr>
          <w:t>106</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609" w:history="1">
        <w:r>
          <w:rPr>
            <w:rStyle w:val="Hyperlink"/>
            <w:noProof/>
          </w:rPr>
          <w:t>7.</w:t>
        </w:r>
        <w:r>
          <w:rPr>
            <w:rFonts w:asciiTheme="minorHAnsi" w:eastAsiaTheme="minorEastAsia" w:hAnsiTheme="minorHAnsi" w:cstheme="minorBidi"/>
            <w:noProof/>
            <w:sz w:val="22"/>
            <w:szCs w:val="22"/>
            <w:lang w:val="en-IE" w:eastAsia="en-IE"/>
          </w:rPr>
          <w:tab/>
        </w:r>
        <w:r>
          <w:rPr>
            <w:rStyle w:val="Hyperlink"/>
            <w:noProof/>
          </w:rPr>
          <w:t>Conclusions and outlook</w:t>
        </w:r>
        <w:r>
          <w:rPr>
            <w:noProof/>
            <w:webHidden/>
          </w:rPr>
          <w:tab/>
        </w:r>
        <w:r>
          <w:rPr>
            <w:noProof/>
            <w:webHidden/>
          </w:rPr>
          <w:fldChar w:fldCharType="begin"/>
        </w:r>
        <w:r>
          <w:rPr>
            <w:noProof/>
            <w:webHidden/>
          </w:rPr>
          <w:instrText xml:space="preserve"> PAGEREF _Toc16000609 \h </w:instrText>
        </w:r>
        <w:r>
          <w:rPr>
            <w:noProof/>
            <w:webHidden/>
          </w:rPr>
        </w:r>
        <w:r>
          <w:rPr>
            <w:noProof/>
            <w:webHidden/>
          </w:rPr>
          <w:fldChar w:fldCharType="separate"/>
        </w:r>
        <w:r>
          <w:rPr>
            <w:noProof/>
            <w:webHidden/>
          </w:rPr>
          <w:t>106</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610" w:history="1">
        <w:r>
          <w:rPr>
            <w:rStyle w:val="Hyperlink"/>
            <w:noProof/>
          </w:rPr>
          <w:t>7.</w:t>
        </w:r>
        <w:r>
          <w:rPr>
            <w:rFonts w:asciiTheme="minorHAnsi" w:eastAsiaTheme="minorEastAsia" w:hAnsiTheme="minorHAnsi" w:cstheme="minorBidi"/>
            <w:noProof/>
            <w:sz w:val="22"/>
            <w:szCs w:val="22"/>
            <w:lang w:val="en-IE" w:eastAsia="en-IE"/>
          </w:rPr>
          <w:tab/>
        </w:r>
        <w:r>
          <w:rPr>
            <w:rStyle w:val="Hyperlink"/>
            <w:noProof/>
          </w:rPr>
          <w:t>Statistics</w:t>
        </w:r>
        <w:r>
          <w:rPr>
            <w:noProof/>
            <w:webHidden/>
          </w:rPr>
          <w:tab/>
        </w:r>
        <w:r>
          <w:rPr>
            <w:noProof/>
            <w:webHidden/>
          </w:rPr>
          <w:fldChar w:fldCharType="begin"/>
        </w:r>
        <w:r>
          <w:rPr>
            <w:noProof/>
            <w:webHidden/>
          </w:rPr>
          <w:instrText xml:space="preserve"> PAGEREF _Toc16000610 \h </w:instrText>
        </w:r>
        <w:r>
          <w:rPr>
            <w:noProof/>
            <w:webHidden/>
          </w:rPr>
        </w:r>
        <w:r>
          <w:rPr>
            <w:noProof/>
            <w:webHidden/>
          </w:rPr>
          <w:fldChar w:fldCharType="separate"/>
        </w:r>
        <w:r>
          <w:rPr>
            <w:noProof/>
            <w:webHidden/>
          </w:rPr>
          <w:t>107</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en-IE" w:eastAsia="en-IE"/>
        </w:rPr>
      </w:pPr>
      <w:hyperlink w:anchor="_Toc16000611" w:history="1">
        <w:r>
          <w:rPr>
            <w:rStyle w:val="Hyperlink"/>
            <w:b/>
            <w:noProof/>
          </w:rPr>
          <w:t>ANNUAL REPORT ON THE IMPLEMENTATION OF THE DEEP AND COMPREHENSIVE FREE TRADE AREA (DCFTA) BETWEEN THE EU AND ITS MEMBER STATES AND MOLDOVA</w:t>
        </w:r>
        <w:r>
          <w:rPr>
            <w:noProof/>
            <w:webHidden/>
          </w:rPr>
          <w:tab/>
        </w:r>
        <w:r>
          <w:rPr>
            <w:noProof/>
            <w:webHidden/>
          </w:rPr>
          <w:fldChar w:fldCharType="begin"/>
        </w:r>
        <w:r>
          <w:rPr>
            <w:noProof/>
            <w:webHidden/>
          </w:rPr>
          <w:instrText xml:space="preserve"> PAGEREF _Toc16000611 \h </w:instrText>
        </w:r>
        <w:r>
          <w:rPr>
            <w:noProof/>
            <w:webHidden/>
          </w:rPr>
        </w:r>
        <w:r>
          <w:rPr>
            <w:noProof/>
            <w:webHidden/>
          </w:rPr>
          <w:fldChar w:fldCharType="separate"/>
        </w:r>
        <w:r>
          <w:rPr>
            <w:noProof/>
            <w:webHidden/>
          </w:rPr>
          <w:t>109</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612" w:history="1">
        <w:r>
          <w:rPr>
            <w:rStyle w:val="Hyperlink"/>
            <w:noProof/>
          </w:rPr>
          <w:t>1</w:t>
        </w:r>
        <w:r>
          <w:rPr>
            <w:rFonts w:asciiTheme="minorHAnsi" w:eastAsiaTheme="minorEastAsia" w:hAnsiTheme="minorHAnsi" w:cstheme="minorBidi"/>
            <w:noProof/>
            <w:sz w:val="22"/>
            <w:szCs w:val="22"/>
            <w:lang w:val="en-IE" w:eastAsia="en-IE"/>
          </w:rPr>
          <w:tab/>
        </w:r>
        <w:r>
          <w:rPr>
            <w:rStyle w:val="Hyperlink"/>
            <w:noProof/>
          </w:rPr>
          <w:t>Evolution of trade</w:t>
        </w:r>
        <w:r>
          <w:rPr>
            <w:noProof/>
            <w:webHidden/>
          </w:rPr>
          <w:tab/>
        </w:r>
        <w:r>
          <w:rPr>
            <w:noProof/>
            <w:webHidden/>
          </w:rPr>
          <w:fldChar w:fldCharType="begin"/>
        </w:r>
        <w:r>
          <w:rPr>
            <w:noProof/>
            <w:webHidden/>
          </w:rPr>
          <w:instrText xml:space="preserve"> PAGEREF _Toc16000612 \h </w:instrText>
        </w:r>
        <w:r>
          <w:rPr>
            <w:noProof/>
            <w:webHidden/>
          </w:rPr>
        </w:r>
        <w:r>
          <w:rPr>
            <w:noProof/>
            <w:webHidden/>
          </w:rPr>
          <w:fldChar w:fldCharType="separate"/>
        </w:r>
        <w:r>
          <w:rPr>
            <w:noProof/>
            <w:webHidden/>
          </w:rPr>
          <w:t>109</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613" w:history="1">
        <w:r>
          <w:rPr>
            <w:rStyle w:val="Hyperlink"/>
            <w:noProof/>
          </w:rPr>
          <w:t>1.1 Trade in goods overall</w:t>
        </w:r>
        <w:r>
          <w:rPr>
            <w:noProof/>
            <w:webHidden/>
          </w:rPr>
          <w:tab/>
        </w:r>
        <w:r>
          <w:rPr>
            <w:noProof/>
            <w:webHidden/>
          </w:rPr>
          <w:fldChar w:fldCharType="begin"/>
        </w:r>
        <w:r>
          <w:rPr>
            <w:noProof/>
            <w:webHidden/>
          </w:rPr>
          <w:instrText xml:space="preserve"> PAGEREF _Toc16000613 \h </w:instrText>
        </w:r>
        <w:r>
          <w:rPr>
            <w:noProof/>
            <w:webHidden/>
          </w:rPr>
        </w:r>
        <w:r>
          <w:rPr>
            <w:noProof/>
            <w:webHidden/>
          </w:rPr>
          <w:fldChar w:fldCharType="separate"/>
        </w:r>
        <w:r>
          <w:rPr>
            <w:noProof/>
            <w:webHidden/>
          </w:rPr>
          <w:t>109</w:t>
        </w:r>
        <w:r>
          <w:rPr>
            <w:noProof/>
            <w:webHidden/>
          </w:rPr>
          <w:fldChar w:fldCharType="end"/>
        </w:r>
      </w:hyperlink>
    </w:p>
    <w:p>
      <w:pPr>
        <w:pStyle w:val="TOC4"/>
        <w:tabs>
          <w:tab w:val="right" w:leader="dot" w:pos="9062"/>
        </w:tabs>
        <w:rPr>
          <w:noProof/>
          <w:lang w:val="en-IE" w:eastAsia="en-IE"/>
        </w:rPr>
      </w:pPr>
      <w:hyperlink w:anchor="_Toc16000614" w:history="1">
        <w:r>
          <w:rPr>
            <w:rStyle w:val="Hyperlink"/>
            <w:noProof/>
          </w:rPr>
          <w:t>The scope of trade liberalisation</w:t>
        </w:r>
        <w:r>
          <w:rPr>
            <w:noProof/>
            <w:webHidden/>
          </w:rPr>
          <w:tab/>
        </w:r>
        <w:r>
          <w:rPr>
            <w:noProof/>
            <w:webHidden/>
          </w:rPr>
          <w:fldChar w:fldCharType="begin"/>
        </w:r>
        <w:r>
          <w:rPr>
            <w:noProof/>
            <w:webHidden/>
          </w:rPr>
          <w:instrText xml:space="preserve"> PAGEREF _Toc16000614 \h </w:instrText>
        </w:r>
        <w:r>
          <w:rPr>
            <w:noProof/>
            <w:webHidden/>
          </w:rPr>
        </w:r>
        <w:r>
          <w:rPr>
            <w:noProof/>
            <w:webHidden/>
          </w:rPr>
          <w:fldChar w:fldCharType="separate"/>
        </w:r>
        <w:r>
          <w:rPr>
            <w:noProof/>
            <w:webHidden/>
          </w:rPr>
          <w:t>109</w:t>
        </w:r>
        <w:r>
          <w:rPr>
            <w:noProof/>
            <w:webHidden/>
          </w:rPr>
          <w:fldChar w:fldCharType="end"/>
        </w:r>
      </w:hyperlink>
    </w:p>
    <w:p>
      <w:pPr>
        <w:pStyle w:val="TOC4"/>
        <w:tabs>
          <w:tab w:val="right" w:leader="dot" w:pos="9062"/>
        </w:tabs>
        <w:rPr>
          <w:noProof/>
          <w:lang w:val="en-IE" w:eastAsia="en-IE"/>
        </w:rPr>
      </w:pPr>
      <w:hyperlink w:anchor="_Toc16000615" w:history="1">
        <w:r>
          <w:rPr>
            <w:rStyle w:val="Hyperlink"/>
            <w:noProof/>
          </w:rPr>
          <w:t>Overall evolution of EU-Moldova trade in goods</w:t>
        </w:r>
        <w:r>
          <w:rPr>
            <w:noProof/>
            <w:webHidden/>
          </w:rPr>
          <w:tab/>
        </w:r>
        <w:r>
          <w:rPr>
            <w:noProof/>
            <w:webHidden/>
          </w:rPr>
          <w:fldChar w:fldCharType="begin"/>
        </w:r>
        <w:r>
          <w:rPr>
            <w:noProof/>
            <w:webHidden/>
          </w:rPr>
          <w:instrText xml:space="preserve"> PAGEREF _Toc16000615 \h </w:instrText>
        </w:r>
        <w:r>
          <w:rPr>
            <w:noProof/>
            <w:webHidden/>
          </w:rPr>
        </w:r>
        <w:r>
          <w:rPr>
            <w:noProof/>
            <w:webHidden/>
          </w:rPr>
          <w:fldChar w:fldCharType="separate"/>
        </w:r>
        <w:r>
          <w:rPr>
            <w:noProof/>
            <w:webHidden/>
          </w:rPr>
          <w:t>110</w:t>
        </w:r>
        <w:r>
          <w:rPr>
            <w:noProof/>
            <w:webHidden/>
          </w:rPr>
          <w:fldChar w:fldCharType="end"/>
        </w:r>
      </w:hyperlink>
    </w:p>
    <w:p>
      <w:pPr>
        <w:pStyle w:val="TOC4"/>
        <w:tabs>
          <w:tab w:val="right" w:leader="dot" w:pos="9062"/>
        </w:tabs>
        <w:rPr>
          <w:noProof/>
          <w:lang w:val="en-IE" w:eastAsia="en-IE"/>
        </w:rPr>
      </w:pPr>
      <w:hyperlink w:anchor="_Toc16000616" w:history="1">
        <w:r>
          <w:rPr>
            <w:rStyle w:val="Hyperlink"/>
            <w:noProof/>
          </w:rPr>
          <w:t>Sectoral structure of EU-Moldova trade in goods</w:t>
        </w:r>
        <w:r>
          <w:rPr>
            <w:noProof/>
            <w:webHidden/>
          </w:rPr>
          <w:tab/>
        </w:r>
        <w:r>
          <w:rPr>
            <w:noProof/>
            <w:webHidden/>
          </w:rPr>
          <w:fldChar w:fldCharType="begin"/>
        </w:r>
        <w:r>
          <w:rPr>
            <w:noProof/>
            <w:webHidden/>
          </w:rPr>
          <w:instrText xml:space="preserve"> PAGEREF _Toc16000616 \h </w:instrText>
        </w:r>
        <w:r>
          <w:rPr>
            <w:noProof/>
            <w:webHidden/>
          </w:rPr>
        </w:r>
        <w:r>
          <w:rPr>
            <w:noProof/>
            <w:webHidden/>
          </w:rPr>
          <w:fldChar w:fldCharType="separate"/>
        </w:r>
        <w:r>
          <w:rPr>
            <w:noProof/>
            <w:webHidden/>
          </w:rPr>
          <w:t>110</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617" w:history="1">
        <w:r>
          <w:rPr>
            <w:rStyle w:val="Hyperlink"/>
            <w:noProof/>
          </w:rPr>
          <w:t>1.2 Trade in agricultural goods</w:t>
        </w:r>
        <w:r>
          <w:rPr>
            <w:noProof/>
            <w:webHidden/>
          </w:rPr>
          <w:tab/>
        </w:r>
        <w:r>
          <w:rPr>
            <w:noProof/>
            <w:webHidden/>
          </w:rPr>
          <w:fldChar w:fldCharType="begin"/>
        </w:r>
        <w:r>
          <w:rPr>
            <w:noProof/>
            <w:webHidden/>
          </w:rPr>
          <w:instrText xml:space="preserve"> PAGEREF _Toc16000617 \h </w:instrText>
        </w:r>
        <w:r>
          <w:rPr>
            <w:noProof/>
            <w:webHidden/>
          </w:rPr>
        </w:r>
        <w:r>
          <w:rPr>
            <w:noProof/>
            <w:webHidden/>
          </w:rPr>
          <w:fldChar w:fldCharType="separate"/>
        </w:r>
        <w:r>
          <w:rPr>
            <w:noProof/>
            <w:webHidden/>
          </w:rPr>
          <w:t>111</w:t>
        </w:r>
        <w:r>
          <w:rPr>
            <w:noProof/>
            <w:webHidden/>
          </w:rPr>
          <w:fldChar w:fldCharType="end"/>
        </w:r>
      </w:hyperlink>
    </w:p>
    <w:p>
      <w:pPr>
        <w:pStyle w:val="TOC4"/>
        <w:tabs>
          <w:tab w:val="right" w:leader="dot" w:pos="9062"/>
        </w:tabs>
        <w:rPr>
          <w:noProof/>
          <w:lang w:val="en-IE" w:eastAsia="en-IE"/>
        </w:rPr>
      </w:pPr>
      <w:hyperlink w:anchor="_Toc16000618" w:history="1">
        <w:r>
          <w:rPr>
            <w:rStyle w:val="Hyperlink"/>
            <w:noProof/>
          </w:rPr>
          <w:t>Review clause for agricultural products</w:t>
        </w:r>
        <w:r>
          <w:rPr>
            <w:noProof/>
            <w:webHidden/>
          </w:rPr>
          <w:tab/>
        </w:r>
        <w:r>
          <w:rPr>
            <w:noProof/>
            <w:webHidden/>
          </w:rPr>
          <w:fldChar w:fldCharType="begin"/>
        </w:r>
        <w:r>
          <w:rPr>
            <w:noProof/>
            <w:webHidden/>
          </w:rPr>
          <w:instrText xml:space="preserve"> PAGEREF _Toc16000618 \h </w:instrText>
        </w:r>
        <w:r>
          <w:rPr>
            <w:noProof/>
            <w:webHidden/>
          </w:rPr>
        </w:r>
        <w:r>
          <w:rPr>
            <w:noProof/>
            <w:webHidden/>
          </w:rPr>
          <w:fldChar w:fldCharType="separate"/>
        </w:r>
        <w:r>
          <w:rPr>
            <w:noProof/>
            <w:webHidden/>
          </w:rPr>
          <w:t>111</w:t>
        </w:r>
        <w:r>
          <w:rPr>
            <w:noProof/>
            <w:webHidden/>
          </w:rPr>
          <w:fldChar w:fldCharType="end"/>
        </w:r>
      </w:hyperlink>
    </w:p>
    <w:p>
      <w:pPr>
        <w:pStyle w:val="TOC4"/>
        <w:tabs>
          <w:tab w:val="right" w:leader="dot" w:pos="9062"/>
        </w:tabs>
        <w:rPr>
          <w:noProof/>
          <w:lang w:val="en-IE" w:eastAsia="en-IE"/>
        </w:rPr>
      </w:pPr>
      <w:hyperlink w:anchor="_Toc16000619" w:history="1">
        <w:r>
          <w:rPr>
            <w:rStyle w:val="Hyperlink"/>
            <w:noProof/>
          </w:rPr>
          <w:t>Anti-circumvention mechanism for agricultural products</w:t>
        </w:r>
        <w:r>
          <w:rPr>
            <w:noProof/>
            <w:webHidden/>
          </w:rPr>
          <w:tab/>
        </w:r>
        <w:r>
          <w:rPr>
            <w:noProof/>
            <w:webHidden/>
          </w:rPr>
          <w:fldChar w:fldCharType="begin"/>
        </w:r>
        <w:r>
          <w:rPr>
            <w:noProof/>
            <w:webHidden/>
          </w:rPr>
          <w:instrText xml:space="preserve"> PAGEREF _Toc16000619 \h </w:instrText>
        </w:r>
        <w:r>
          <w:rPr>
            <w:noProof/>
            <w:webHidden/>
          </w:rPr>
        </w:r>
        <w:r>
          <w:rPr>
            <w:noProof/>
            <w:webHidden/>
          </w:rPr>
          <w:fldChar w:fldCharType="separate"/>
        </w:r>
        <w:r>
          <w:rPr>
            <w:noProof/>
            <w:webHidden/>
          </w:rPr>
          <w:t>111</w:t>
        </w:r>
        <w:r>
          <w:rPr>
            <w:noProof/>
            <w:webHidden/>
          </w:rPr>
          <w:fldChar w:fldCharType="end"/>
        </w:r>
      </w:hyperlink>
    </w:p>
    <w:p>
      <w:pPr>
        <w:pStyle w:val="TOC4"/>
        <w:tabs>
          <w:tab w:val="right" w:leader="dot" w:pos="9062"/>
        </w:tabs>
        <w:rPr>
          <w:noProof/>
          <w:lang w:val="en-IE" w:eastAsia="en-IE"/>
        </w:rPr>
      </w:pPr>
      <w:hyperlink w:anchor="_Toc16000620" w:history="1">
        <w:r>
          <w:rPr>
            <w:rStyle w:val="Hyperlink"/>
            <w:noProof/>
          </w:rPr>
          <w:t>Use of Tariff Rate Quotas (TRQs)</w:t>
        </w:r>
        <w:r>
          <w:rPr>
            <w:noProof/>
            <w:webHidden/>
          </w:rPr>
          <w:tab/>
        </w:r>
        <w:r>
          <w:rPr>
            <w:noProof/>
            <w:webHidden/>
          </w:rPr>
          <w:fldChar w:fldCharType="begin"/>
        </w:r>
        <w:r>
          <w:rPr>
            <w:noProof/>
            <w:webHidden/>
          </w:rPr>
          <w:instrText xml:space="preserve"> PAGEREF _Toc16000620 \h </w:instrText>
        </w:r>
        <w:r>
          <w:rPr>
            <w:noProof/>
            <w:webHidden/>
          </w:rPr>
        </w:r>
        <w:r>
          <w:rPr>
            <w:noProof/>
            <w:webHidden/>
          </w:rPr>
          <w:fldChar w:fldCharType="separate"/>
        </w:r>
        <w:r>
          <w:rPr>
            <w:noProof/>
            <w:webHidden/>
          </w:rPr>
          <w:t>112</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621" w:history="1">
        <w:r>
          <w:rPr>
            <w:rStyle w:val="Hyperlink"/>
            <w:noProof/>
          </w:rPr>
          <w:t>1.3 Establishment, trade in services and investments</w:t>
        </w:r>
        <w:r>
          <w:rPr>
            <w:noProof/>
            <w:webHidden/>
          </w:rPr>
          <w:tab/>
        </w:r>
        <w:r>
          <w:rPr>
            <w:noProof/>
            <w:webHidden/>
          </w:rPr>
          <w:fldChar w:fldCharType="begin"/>
        </w:r>
        <w:r>
          <w:rPr>
            <w:noProof/>
            <w:webHidden/>
          </w:rPr>
          <w:instrText xml:space="preserve"> PAGEREF _Toc16000621 \h </w:instrText>
        </w:r>
        <w:r>
          <w:rPr>
            <w:noProof/>
            <w:webHidden/>
          </w:rPr>
        </w:r>
        <w:r>
          <w:rPr>
            <w:noProof/>
            <w:webHidden/>
          </w:rPr>
          <w:fldChar w:fldCharType="separate"/>
        </w:r>
        <w:r>
          <w:rPr>
            <w:noProof/>
            <w:webHidden/>
          </w:rPr>
          <w:t>112</w:t>
        </w:r>
        <w:r>
          <w:rPr>
            <w:noProof/>
            <w:webHidden/>
          </w:rPr>
          <w:fldChar w:fldCharType="end"/>
        </w:r>
      </w:hyperlink>
    </w:p>
    <w:p>
      <w:pPr>
        <w:pStyle w:val="TOC4"/>
        <w:tabs>
          <w:tab w:val="right" w:leader="dot" w:pos="9062"/>
        </w:tabs>
        <w:rPr>
          <w:noProof/>
          <w:lang w:val="en-IE" w:eastAsia="en-IE"/>
        </w:rPr>
      </w:pPr>
      <w:hyperlink w:anchor="_Toc16000622" w:history="1">
        <w:r>
          <w:rPr>
            <w:rStyle w:val="Hyperlink"/>
            <w:noProof/>
          </w:rPr>
          <w:t>Market access related to establishment and trade in services</w:t>
        </w:r>
        <w:r>
          <w:rPr>
            <w:noProof/>
            <w:webHidden/>
          </w:rPr>
          <w:tab/>
        </w:r>
        <w:r>
          <w:rPr>
            <w:noProof/>
            <w:webHidden/>
          </w:rPr>
          <w:fldChar w:fldCharType="begin"/>
        </w:r>
        <w:r>
          <w:rPr>
            <w:noProof/>
            <w:webHidden/>
          </w:rPr>
          <w:instrText xml:space="preserve"> PAGEREF _Toc16000622 \h </w:instrText>
        </w:r>
        <w:r>
          <w:rPr>
            <w:noProof/>
            <w:webHidden/>
          </w:rPr>
        </w:r>
        <w:r>
          <w:rPr>
            <w:noProof/>
            <w:webHidden/>
          </w:rPr>
          <w:fldChar w:fldCharType="separate"/>
        </w:r>
        <w:r>
          <w:rPr>
            <w:noProof/>
            <w:webHidden/>
          </w:rPr>
          <w:t>112</w:t>
        </w:r>
        <w:r>
          <w:rPr>
            <w:noProof/>
            <w:webHidden/>
          </w:rPr>
          <w:fldChar w:fldCharType="end"/>
        </w:r>
      </w:hyperlink>
    </w:p>
    <w:p>
      <w:pPr>
        <w:pStyle w:val="TOC4"/>
        <w:tabs>
          <w:tab w:val="right" w:leader="dot" w:pos="9062"/>
        </w:tabs>
        <w:rPr>
          <w:noProof/>
          <w:lang w:val="en-IE" w:eastAsia="en-IE"/>
        </w:rPr>
      </w:pPr>
      <w:hyperlink w:anchor="_Toc16000623" w:history="1">
        <w:r>
          <w:rPr>
            <w:rStyle w:val="Hyperlink"/>
            <w:noProof/>
          </w:rPr>
          <w:t>Trade in Services</w:t>
        </w:r>
        <w:r>
          <w:rPr>
            <w:noProof/>
            <w:webHidden/>
          </w:rPr>
          <w:tab/>
        </w:r>
        <w:r>
          <w:rPr>
            <w:noProof/>
            <w:webHidden/>
          </w:rPr>
          <w:fldChar w:fldCharType="begin"/>
        </w:r>
        <w:r>
          <w:rPr>
            <w:noProof/>
            <w:webHidden/>
          </w:rPr>
          <w:instrText xml:space="preserve"> PAGEREF _Toc16000623 \h </w:instrText>
        </w:r>
        <w:r>
          <w:rPr>
            <w:noProof/>
            <w:webHidden/>
          </w:rPr>
        </w:r>
        <w:r>
          <w:rPr>
            <w:noProof/>
            <w:webHidden/>
          </w:rPr>
          <w:fldChar w:fldCharType="separate"/>
        </w:r>
        <w:r>
          <w:rPr>
            <w:noProof/>
            <w:webHidden/>
          </w:rPr>
          <w:t>113</w:t>
        </w:r>
        <w:r>
          <w:rPr>
            <w:noProof/>
            <w:webHidden/>
          </w:rPr>
          <w:fldChar w:fldCharType="end"/>
        </w:r>
      </w:hyperlink>
    </w:p>
    <w:p>
      <w:pPr>
        <w:pStyle w:val="TOC4"/>
        <w:tabs>
          <w:tab w:val="right" w:leader="dot" w:pos="9062"/>
        </w:tabs>
        <w:rPr>
          <w:noProof/>
          <w:lang w:val="en-IE" w:eastAsia="en-IE"/>
        </w:rPr>
      </w:pPr>
      <w:hyperlink w:anchor="_Toc16000624" w:history="1">
        <w:r>
          <w:rPr>
            <w:rStyle w:val="Hyperlink"/>
            <w:noProof/>
          </w:rPr>
          <w:t>Foreign Direct investment (FDIs)</w:t>
        </w:r>
        <w:r>
          <w:rPr>
            <w:noProof/>
            <w:webHidden/>
          </w:rPr>
          <w:tab/>
        </w:r>
        <w:r>
          <w:rPr>
            <w:noProof/>
            <w:webHidden/>
          </w:rPr>
          <w:fldChar w:fldCharType="begin"/>
        </w:r>
        <w:r>
          <w:rPr>
            <w:noProof/>
            <w:webHidden/>
          </w:rPr>
          <w:instrText xml:space="preserve"> PAGEREF _Toc16000624 \h </w:instrText>
        </w:r>
        <w:r>
          <w:rPr>
            <w:noProof/>
            <w:webHidden/>
          </w:rPr>
        </w:r>
        <w:r>
          <w:rPr>
            <w:noProof/>
            <w:webHidden/>
          </w:rPr>
          <w:fldChar w:fldCharType="separate"/>
        </w:r>
        <w:r>
          <w:rPr>
            <w:noProof/>
            <w:webHidden/>
          </w:rPr>
          <w:t>113</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625" w:history="1">
        <w:r>
          <w:rPr>
            <w:rStyle w:val="Hyperlink"/>
            <w:noProof/>
          </w:rPr>
          <w:t>2.</w:t>
        </w:r>
        <w:r>
          <w:rPr>
            <w:rFonts w:asciiTheme="minorHAnsi" w:eastAsiaTheme="minorEastAsia" w:hAnsiTheme="minorHAnsi" w:cstheme="minorBidi"/>
            <w:noProof/>
            <w:sz w:val="22"/>
            <w:szCs w:val="22"/>
            <w:lang w:val="en-IE" w:eastAsia="en-IE"/>
          </w:rPr>
          <w:tab/>
        </w:r>
        <w:r>
          <w:rPr>
            <w:rStyle w:val="Hyperlink"/>
            <w:noProof/>
          </w:rPr>
          <w:t>Activities of the implementation bodies</w:t>
        </w:r>
        <w:r>
          <w:rPr>
            <w:noProof/>
            <w:webHidden/>
          </w:rPr>
          <w:tab/>
        </w:r>
        <w:r>
          <w:rPr>
            <w:noProof/>
            <w:webHidden/>
          </w:rPr>
          <w:fldChar w:fldCharType="begin"/>
        </w:r>
        <w:r>
          <w:rPr>
            <w:noProof/>
            <w:webHidden/>
          </w:rPr>
          <w:instrText xml:space="preserve"> PAGEREF _Toc16000625 \h </w:instrText>
        </w:r>
        <w:r>
          <w:rPr>
            <w:noProof/>
            <w:webHidden/>
          </w:rPr>
        </w:r>
        <w:r>
          <w:rPr>
            <w:noProof/>
            <w:webHidden/>
          </w:rPr>
          <w:fldChar w:fldCharType="separate"/>
        </w:r>
        <w:r>
          <w:rPr>
            <w:noProof/>
            <w:webHidden/>
          </w:rPr>
          <w:t>113</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626" w:history="1">
        <w:r>
          <w:rPr>
            <w:rStyle w:val="Hyperlink"/>
            <w:noProof/>
          </w:rPr>
          <w:t>2.1 Joint decisions of the Association Bodies</w:t>
        </w:r>
        <w:r>
          <w:rPr>
            <w:noProof/>
            <w:webHidden/>
          </w:rPr>
          <w:tab/>
        </w:r>
        <w:r>
          <w:rPr>
            <w:noProof/>
            <w:webHidden/>
          </w:rPr>
          <w:fldChar w:fldCharType="begin"/>
        </w:r>
        <w:r>
          <w:rPr>
            <w:noProof/>
            <w:webHidden/>
          </w:rPr>
          <w:instrText xml:space="preserve"> PAGEREF _Toc16000626 \h </w:instrText>
        </w:r>
        <w:r>
          <w:rPr>
            <w:noProof/>
            <w:webHidden/>
          </w:rPr>
        </w:r>
        <w:r>
          <w:rPr>
            <w:noProof/>
            <w:webHidden/>
          </w:rPr>
          <w:fldChar w:fldCharType="separate"/>
        </w:r>
        <w:r>
          <w:rPr>
            <w:noProof/>
            <w:webHidden/>
          </w:rPr>
          <w:t>113</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627" w:history="1">
        <w:r>
          <w:rPr>
            <w:rStyle w:val="Hyperlink"/>
            <w:noProof/>
          </w:rPr>
          <w:t>2.2 Meetings of the Association Bodies</w:t>
        </w:r>
        <w:r>
          <w:rPr>
            <w:noProof/>
            <w:webHidden/>
          </w:rPr>
          <w:tab/>
        </w:r>
        <w:r>
          <w:rPr>
            <w:noProof/>
            <w:webHidden/>
          </w:rPr>
          <w:fldChar w:fldCharType="begin"/>
        </w:r>
        <w:r>
          <w:rPr>
            <w:noProof/>
            <w:webHidden/>
          </w:rPr>
          <w:instrText xml:space="preserve"> PAGEREF _Toc16000627 \h </w:instrText>
        </w:r>
        <w:r>
          <w:rPr>
            <w:noProof/>
            <w:webHidden/>
          </w:rPr>
        </w:r>
        <w:r>
          <w:rPr>
            <w:noProof/>
            <w:webHidden/>
          </w:rPr>
          <w:fldChar w:fldCharType="separate"/>
        </w:r>
        <w:r>
          <w:rPr>
            <w:noProof/>
            <w:webHidden/>
          </w:rPr>
          <w:t>114</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628" w:history="1">
        <w:r>
          <w:rPr>
            <w:rStyle w:val="Hyperlink"/>
            <w:noProof/>
          </w:rPr>
          <w:t>3.</w:t>
        </w:r>
        <w:r>
          <w:rPr>
            <w:rFonts w:asciiTheme="minorHAnsi" w:eastAsiaTheme="minorEastAsia" w:hAnsiTheme="minorHAnsi" w:cstheme="minorBidi"/>
            <w:noProof/>
            <w:sz w:val="22"/>
            <w:szCs w:val="22"/>
            <w:lang w:val="en-IE" w:eastAsia="en-IE"/>
          </w:rPr>
          <w:tab/>
        </w:r>
        <w:r>
          <w:rPr>
            <w:rStyle w:val="Hyperlink"/>
            <w:noProof/>
          </w:rPr>
          <w:t>Implementation of the provisions on trade and sustainable development</w:t>
        </w:r>
        <w:r>
          <w:rPr>
            <w:noProof/>
            <w:webHidden/>
          </w:rPr>
          <w:tab/>
        </w:r>
        <w:r>
          <w:rPr>
            <w:noProof/>
            <w:webHidden/>
          </w:rPr>
          <w:fldChar w:fldCharType="begin"/>
        </w:r>
        <w:r>
          <w:rPr>
            <w:noProof/>
            <w:webHidden/>
          </w:rPr>
          <w:instrText xml:space="preserve"> PAGEREF _Toc16000628 \h </w:instrText>
        </w:r>
        <w:r>
          <w:rPr>
            <w:noProof/>
            <w:webHidden/>
          </w:rPr>
        </w:r>
        <w:r>
          <w:rPr>
            <w:noProof/>
            <w:webHidden/>
          </w:rPr>
          <w:fldChar w:fldCharType="separate"/>
        </w:r>
        <w:r>
          <w:rPr>
            <w:noProof/>
            <w:webHidden/>
          </w:rPr>
          <w:t>115</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629" w:history="1">
        <w:r>
          <w:rPr>
            <w:rStyle w:val="Hyperlink"/>
            <w:noProof/>
          </w:rPr>
          <w:t>4.</w:t>
        </w:r>
        <w:r>
          <w:rPr>
            <w:rFonts w:asciiTheme="minorHAnsi" w:eastAsiaTheme="minorEastAsia" w:hAnsiTheme="minorHAnsi" w:cstheme="minorBidi"/>
            <w:noProof/>
            <w:sz w:val="22"/>
            <w:szCs w:val="22"/>
            <w:lang w:val="en-IE" w:eastAsia="en-IE"/>
          </w:rPr>
          <w:tab/>
        </w:r>
        <w:r>
          <w:rPr>
            <w:rStyle w:val="Hyperlink"/>
            <w:noProof/>
          </w:rPr>
          <w:t>Progress made, main open issues and follow-up actions</w:t>
        </w:r>
        <w:r>
          <w:rPr>
            <w:noProof/>
            <w:webHidden/>
          </w:rPr>
          <w:tab/>
        </w:r>
        <w:r>
          <w:rPr>
            <w:noProof/>
            <w:webHidden/>
          </w:rPr>
          <w:fldChar w:fldCharType="begin"/>
        </w:r>
        <w:r>
          <w:rPr>
            <w:noProof/>
            <w:webHidden/>
          </w:rPr>
          <w:instrText xml:space="preserve"> PAGEREF _Toc16000629 \h </w:instrText>
        </w:r>
        <w:r>
          <w:rPr>
            <w:noProof/>
            <w:webHidden/>
          </w:rPr>
        </w:r>
        <w:r>
          <w:rPr>
            <w:noProof/>
            <w:webHidden/>
          </w:rPr>
          <w:fldChar w:fldCharType="separate"/>
        </w:r>
        <w:r>
          <w:rPr>
            <w:noProof/>
            <w:webHidden/>
          </w:rPr>
          <w:t>115</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630" w:history="1">
        <w:r>
          <w:rPr>
            <w:rStyle w:val="Hyperlink"/>
            <w:noProof/>
          </w:rPr>
          <w:t>4.1 SPS aspects</w:t>
        </w:r>
        <w:r>
          <w:rPr>
            <w:noProof/>
            <w:webHidden/>
          </w:rPr>
          <w:tab/>
        </w:r>
        <w:r>
          <w:rPr>
            <w:noProof/>
            <w:webHidden/>
          </w:rPr>
          <w:fldChar w:fldCharType="begin"/>
        </w:r>
        <w:r>
          <w:rPr>
            <w:noProof/>
            <w:webHidden/>
          </w:rPr>
          <w:instrText xml:space="preserve"> PAGEREF _Toc16000630 \h </w:instrText>
        </w:r>
        <w:r>
          <w:rPr>
            <w:noProof/>
            <w:webHidden/>
          </w:rPr>
        </w:r>
        <w:r>
          <w:rPr>
            <w:noProof/>
            <w:webHidden/>
          </w:rPr>
          <w:fldChar w:fldCharType="separate"/>
        </w:r>
        <w:r>
          <w:rPr>
            <w:noProof/>
            <w:webHidden/>
          </w:rPr>
          <w:t>115</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631" w:history="1">
        <w:r>
          <w:rPr>
            <w:rStyle w:val="Hyperlink"/>
            <w:noProof/>
          </w:rPr>
          <w:t>4.2 Technical Barriers to Trade</w:t>
        </w:r>
        <w:r>
          <w:rPr>
            <w:noProof/>
            <w:webHidden/>
          </w:rPr>
          <w:tab/>
        </w:r>
        <w:r>
          <w:rPr>
            <w:noProof/>
            <w:webHidden/>
          </w:rPr>
          <w:fldChar w:fldCharType="begin"/>
        </w:r>
        <w:r>
          <w:rPr>
            <w:noProof/>
            <w:webHidden/>
          </w:rPr>
          <w:instrText xml:space="preserve"> PAGEREF _Toc16000631 \h </w:instrText>
        </w:r>
        <w:r>
          <w:rPr>
            <w:noProof/>
            <w:webHidden/>
          </w:rPr>
        </w:r>
        <w:r>
          <w:rPr>
            <w:noProof/>
            <w:webHidden/>
          </w:rPr>
          <w:fldChar w:fldCharType="separate"/>
        </w:r>
        <w:r>
          <w:rPr>
            <w:noProof/>
            <w:webHidden/>
          </w:rPr>
          <w:t>116</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632" w:history="1">
        <w:r>
          <w:rPr>
            <w:rStyle w:val="Hyperlink"/>
            <w:noProof/>
          </w:rPr>
          <w:t>4.3 Customs and Trade Facilitation</w:t>
        </w:r>
        <w:r>
          <w:rPr>
            <w:noProof/>
            <w:webHidden/>
          </w:rPr>
          <w:tab/>
        </w:r>
        <w:r>
          <w:rPr>
            <w:noProof/>
            <w:webHidden/>
          </w:rPr>
          <w:fldChar w:fldCharType="begin"/>
        </w:r>
        <w:r>
          <w:rPr>
            <w:noProof/>
            <w:webHidden/>
          </w:rPr>
          <w:instrText xml:space="preserve"> PAGEREF _Toc16000632 \h </w:instrText>
        </w:r>
        <w:r>
          <w:rPr>
            <w:noProof/>
            <w:webHidden/>
          </w:rPr>
        </w:r>
        <w:r>
          <w:rPr>
            <w:noProof/>
            <w:webHidden/>
          </w:rPr>
          <w:fldChar w:fldCharType="separate"/>
        </w:r>
        <w:r>
          <w:rPr>
            <w:noProof/>
            <w:webHidden/>
          </w:rPr>
          <w:t>116</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633" w:history="1">
        <w:r>
          <w:rPr>
            <w:rStyle w:val="Hyperlink"/>
            <w:noProof/>
          </w:rPr>
          <w:t>4.4 Energy</w:t>
        </w:r>
        <w:r>
          <w:rPr>
            <w:noProof/>
            <w:webHidden/>
          </w:rPr>
          <w:tab/>
        </w:r>
        <w:r>
          <w:rPr>
            <w:noProof/>
            <w:webHidden/>
          </w:rPr>
          <w:fldChar w:fldCharType="begin"/>
        </w:r>
        <w:r>
          <w:rPr>
            <w:noProof/>
            <w:webHidden/>
          </w:rPr>
          <w:instrText xml:space="preserve"> PAGEREF _Toc16000633 \h </w:instrText>
        </w:r>
        <w:r>
          <w:rPr>
            <w:noProof/>
            <w:webHidden/>
          </w:rPr>
        </w:r>
        <w:r>
          <w:rPr>
            <w:noProof/>
            <w:webHidden/>
          </w:rPr>
          <w:fldChar w:fldCharType="separate"/>
        </w:r>
        <w:r>
          <w:rPr>
            <w:noProof/>
            <w:webHidden/>
          </w:rPr>
          <w:t>116</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634" w:history="1">
        <w:r>
          <w:rPr>
            <w:rStyle w:val="Hyperlink"/>
            <w:noProof/>
          </w:rPr>
          <w:t>4.5 Competition policy</w:t>
        </w:r>
        <w:r>
          <w:rPr>
            <w:noProof/>
            <w:webHidden/>
          </w:rPr>
          <w:tab/>
        </w:r>
        <w:r>
          <w:rPr>
            <w:noProof/>
            <w:webHidden/>
          </w:rPr>
          <w:fldChar w:fldCharType="begin"/>
        </w:r>
        <w:r>
          <w:rPr>
            <w:noProof/>
            <w:webHidden/>
          </w:rPr>
          <w:instrText xml:space="preserve"> PAGEREF _Toc16000634 \h </w:instrText>
        </w:r>
        <w:r>
          <w:rPr>
            <w:noProof/>
            <w:webHidden/>
          </w:rPr>
        </w:r>
        <w:r>
          <w:rPr>
            <w:noProof/>
            <w:webHidden/>
          </w:rPr>
          <w:fldChar w:fldCharType="separate"/>
        </w:r>
        <w:r>
          <w:rPr>
            <w:noProof/>
            <w:webHidden/>
          </w:rPr>
          <w:t>117</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635" w:history="1">
        <w:r>
          <w:rPr>
            <w:rStyle w:val="Hyperlink"/>
            <w:noProof/>
          </w:rPr>
          <w:t>4.6 Intellectual Property Rights</w:t>
        </w:r>
        <w:r>
          <w:rPr>
            <w:noProof/>
            <w:webHidden/>
          </w:rPr>
          <w:tab/>
        </w:r>
        <w:r>
          <w:rPr>
            <w:noProof/>
            <w:webHidden/>
          </w:rPr>
          <w:fldChar w:fldCharType="begin"/>
        </w:r>
        <w:r>
          <w:rPr>
            <w:noProof/>
            <w:webHidden/>
          </w:rPr>
          <w:instrText xml:space="preserve"> PAGEREF _Toc16000635 \h </w:instrText>
        </w:r>
        <w:r>
          <w:rPr>
            <w:noProof/>
            <w:webHidden/>
          </w:rPr>
        </w:r>
        <w:r>
          <w:rPr>
            <w:noProof/>
            <w:webHidden/>
          </w:rPr>
          <w:fldChar w:fldCharType="separate"/>
        </w:r>
        <w:r>
          <w:rPr>
            <w:noProof/>
            <w:webHidden/>
          </w:rPr>
          <w:t>117</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636" w:history="1">
        <w:r>
          <w:rPr>
            <w:rStyle w:val="Hyperlink"/>
            <w:noProof/>
          </w:rPr>
          <w:t>4.7 Services</w:t>
        </w:r>
        <w:r>
          <w:rPr>
            <w:noProof/>
            <w:webHidden/>
          </w:rPr>
          <w:tab/>
        </w:r>
        <w:r>
          <w:rPr>
            <w:noProof/>
            <w:webHidden/>
          </w:rPr>
          <w:fldChar w:fldCharType="begin"/>
        </w:r>
        <w:r>
          <w:rPr>
            <w:noProof/>
            <w:webHidden/>
          </w:rPr>
          <w:instrText xml:space="preserve"> PAGEREF _Toc16000636 \h </w:instrText>
        </w:r>
        <w:r>
          <w:rPr>
            <w:noProof/>
            <w:webHidden/>
          </w:rPr>
        </w:r>
        <w:r>
          <w:rPr>
            <w:noProof/>
            <w:webHidden/>
          </w:rPr>
          <w:fldChar w:fldCharType="separate"/>
        </w:r>
        <w:r>
          <w:rPr>
            <w:noProof/>
            <w:webHidden/>
          </w:rPr>
          <w:t>117</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637" w:history="1">
        <w:r>
          <w:rPr>
            <w:rStyle w:val="Hyperlink"/>
            <w:noProof/>
          </w:rPr>
          <w:t>4.8 Public Procurement</w:t>
        </w:r>
        <w:r>
          <w:rPr>
            <w:noProof/>
            <w:webHidden/>
          </w:rPr>
          <w:tab/>
        </w:r>
        <w:r>
          <w:rPr>
            <w:noProof/>
            <w:webHidden/>
          </w:rPr>
          <w:fldChar w:fldCharType="begin"/>
        </w:r>
        <w:r>
          <w:rPr>
            <w:noProof/>
            <w:webHidden/>
          </w:rPr>
          <w:instrText xml:space="preserve"> PAGEREF _Toc16000637 \h </w:instrText>
        </w:r>
        <w:r>
          <w:rPr>
            <w:noProof/>
            <w:webHidden/>
          </w:rPr>
        </w:r>
        <w:r>
          <w:rPr>
            <w:noProof/>
            <w:webHidden/>
          </w:rPr>
          <w:fldChar w:fldCharType="separate"/>
        </w:r>
        <w:r>
          <w:rPr>
            <w:noProof/>
            <w:webHidden/>
          </w:rPr>
          <w:t>117</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638" w:history="1">
        <w:r>
          <w:rPr>
            <w:rStyle w:val="Hyperlink"/>
            <w:noProof/>
            <w:lang w:val="fr-BE"/>
          </w:rPr>
          <w:t>5.</w:t>
        </w:r>
        <w:r>
          <w:rPr>
            <w:rFonts w:asciiTheme="minorHAnsi" w:eastAsiaTheme="minorEastAsia" w:hAnsiTheme="minorHAnsi" w:cstheme="minorBidi"/>
            <w:noProof/>
            <w:sz w:val="22"/>
            <w:szCs w:val="22"/>
            <w:lang w:val="en-IE" w:eastAsia="en-IE"/>
          </w:rPr>
          <w:tab/>
        </w:r>
        <w:r>
          <w:rPr>
            <w:rStyle w:val="Hyperlink"/>
            <w:noProof/>
          </w:rPr>
          <w:t>EU support to DCFTA implementation</w:t>
        </w:r>
        <w:r>
          <w:rPr>
            <w:noProof/>
            <w:webHidden/>
          </w:rPr>
          <w:tab/>
        </w:r>
        <w:r>
          <w:rPr>
            <w:noProof/>
            <w:webHidden/>
          </w:rPr>
          <w:fldChar w:fldCharType="begin"/>
        </w:r>
        <w:r>
          <w:rPr>
            <w:noProof/>
            <w:webHidden/>
          </w:rPr>
          <w:instrText xml:space="preserve"> PAGEREF _Toc16000638 \h </w:instrText>
        </w:r>
        <w:r>
          <w:rPr>
            <w:noProof/>
            <w:webHidden/>
          </w:rPr>
        </w:r>
        <w:r>
          <w:rPr>
            <w:noProof/>
            <w:webHidden/>
          </w:rPr>
          <w:fldChar w:fldCharType="separate"/>
        </w:r>
        <w:r>
          <w:rPr>
            <w:noProof/>
            <w:webHidden/>
          </w:rPr>
          <w:t>118</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639" w:history="1">
        <w:r>
          <w:rPr>
            <w:rStyle w:val="Hyperlink"/>
            <w:noProof/>
          </w:rPr>
          <w:t>5.1 EU Support to DCFTA-related reforms</w:t>
        </w:r>
        <w:r>
          <w:rPr>
            <w:noProof/>
            <w:webHidden/>
          </w:rPr>
          <w:tab/>
        </w:r>
        <w:r>
          <w:rPr>
            <w:noProof/>
            <w:webHidden/>
          </w:rPr>
          <w:fldChar w:fldCharType="begin"/>
        </w:r>
        <w:r>
          <w:rPr>
            <w:noProof/>
            <w:webHidden/>
          </w:rPr>
          <w:instrText xml:space="preserve"> PAGEREF _Toc16000639 \h </w:instrText>
        </w:r>
        <w:r>
          <w:rPr>
            <w:noProof/>
            <w:webHidden/>
          </w:rPr>
        </w:r>
        <w:r>
          <w:rPr>
            <w:noProof/>
            <w:webHidden/>
          </w:rPr>
          <w:fldChar w:fldCharType="separate"/>
        </w:r>
        <w:r>
          <w:rPr>
            <w:noProof/>
            <w:webHidden/>
          </w:rPr>
          <w:t>118</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640" w:history="1">
        <w:r>
          <w:rPr>
            <w:rStyle w:val="Hyperlink"/>
            <w:noProof/>
          </w:rPr>
          <w:t>5.2 EU Support for SMEs</w:t>
        </w:r>
        <w:r>
          <w:rPr>
            <w:noProof/>
            <w:webHidden/>
          </w:rPr>
          <w:tab/>
        </w:r>
        <w:r>
          <w:rPr>
            <w:noProof/>
            <w:webHidden/>
          </w:rPr>
          <w:fldChar w:fldCharType="begin"/>
        </w:r>
        <w:r>
          <w:rPr>
            <w:noProof/>
            <w:webHidden/>
          </w:rPr>
          <w:instrText xml:space="preserve"> PAGEREF _Toc16000640 \h </w:instrText>
        </w:r>
        <w:r>
          <w:rPr>
            <w:noProof/>
            <w:webHidden/>
          </w:rPr>
        </w:r>
        <w:r>
          <w:rPr>
            <w:noProof/>
            <w:webHidden/>
          </w:rPr>
          <w:fldChar w:fldCharType="separate"/>
        </w:r>
        <w:r>
          <w:rPr>
            <w:noProof/>
            <w:webHidden/>
          </w:rPr>
          <w:t>118</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641" w:history="1">
        <w:r>
          <w:rPr>
            <w:rStyle w:val="Hyperlink"/>
            <w:noProof/>
          </w:rPr>
          <w:t>6.</w:t>
        </w:r>
        <w:r>
          <w:rPr>
            <w:rFonts w:asciiTheme="minorHAnsi" w:eastAsiaTheme="minorEastAsia" w:hAnsiTheme="minorHAnsi" w:cstheme="minorBidi"/>
            <w:noProof/>
            <w:sz w:val="22"/>
            <w:szCs w:val="22"/>
            <w:lang w:val="en-IE" w:eastAsia="en-IE"/>
          </w:rPr>
          <w:tab/>
        </w:r>
        <w:r>
          <w:rPr>
            <w:rStyle w:val="Hyperlink"/>
            <w:noProof/>
          </w:rPr>
          <w:t>Outlook and Conclusion</w:t>
        </w:r>
        <w:r>
          <w:rPr>
            <w:noProof/>
            <w:webHidden/>
          </w:rPr>
          <w:tab/>
        </w:r>
        <w:r>
          <w:rPr>
            <w:noProof/>
            <w:webHidden/>
          </w:rPr>
          <w:fldChar w:fldCharType="begin"/>
        </w:r>
        <w:r>
          <w:rPr>
            <w:noProof/>
            <w:webHidden/>
          </w:rPr>
          <w:instrText xml:space="preserve"> PAGEREF _Toc16000641 \h </w:instrText>
        </w:r>
        <w:r>
          <w:rPr>
            <w:noProof/>
            <w:webHidden/>
          </w:rPr>
        </w:r>
        <w:r>
          <w:rPr>
            <w:noProof/>
            <w:webHidden/>
          </w:rPr>
          <w:fldChar w:fldCharType="separate"/>
        </w:r>
        <w:r>
          <w:rPr>
            <w:noProof/>
            <w:webHidden/>
          </w:rPr>
          <w:t>118</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642" w:history="1">
        <w:r>
          <w:rPr>
            <w:rStyle w:val="Hyperlink"/>
            <w:noProof/>
          </w:rPr>
          <w:t>7.</w:t>
        </w:r>
        <w:r>
          <w:rPr>
            <w:rFonts w:asciiTheme="minorHAnsi" w:eastAsiaTheme="minorEastAsia" w:hAnsiTheme="minorHAnsi" w:cstheme="minorBidi"/>
            <w:noProof/>
            <w:sz w:val="22"/>
            <w:szCs w:val="22"/>
            <w:lang w:val="en-IE" w:eastAsia="en-IE"/>
          </w:rPr>
          <w:tab/>
        </w:r>
        <w:r>
          <w:rPr>
            <w:rStyle w:val="Hyperlink"/>
            <w:noProof/>
          </w:rPr>
          <w:t>Statistics</w:t>
        </w:r>
        <w:r>
          <w:rPr>
            <w:noProof/>
            <w:webHidden/>
          </w:rPr>
          <w:tab/>
        </w:r>
        <w:r>
          <w:rPr>
            <w:noProof/>
            <w:webHidden/>
          </w:rPr>
          <w:fldChar w:fldCharType="begin"/>
        </w:r>
        <w:r>
          <w:rPr>
            <w:noProof/>
            <w:webHidden/>
          </w:rPr>
          <w:instrText xml:space="preserve"> PAGEREF _Toc16000642 \h </w:instrText>
        </w:r>
        <w:r>
          <w:rPr>
            <w:noProof/>
            <w:webHidden/>
          </w:rPr>
        </w:r>
        <w:r>
          <w:rPr>
            <w:noProof/>
            <w:webHidden/>
          </w:rPr>
          <w:fldChar w:fldCharType="separate"/>
        </w:r>
        <w:r>
          <w:rPr>
            <w:noProof/>
            <w:webHidden/>
          </w:rPr>
          <w:t>120</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en-IE" w:eastAsia="en-IE"/>
        </w:rPr>
      </w:pPr>
      <w:hyperlink w:anchor="_Toc16000643" w:history="1">
        <w:r>
          <w:rPr>
            <w:rStyle w:val="Hyperlink"/>
            <w:b/>
            <w:noProof/>
          </w:rPr>
          <w:t>PART III: FIRST GENERATION FREE TRADE AGREEMENTS</w:t>
        </w:r>
        <w:r>
          <w:rPr>
            <w:noProof/>
            <w:webHidden/>
          </w:rPr>
          <w:tab/>
        </w:r>
        <w:r>
          <w:rPr>
            <w:noProof/>
            <w:webHidden/>
          </w:rPr>
          <w:fldChar w:fldCharType="begin"/>
        </w:r>
        <w:r>
          <w:rPr>
            <w:noProof/>
            <w:webHidden/>
          </w:rPr>
          <w:instrText xml:space="preserve"> PAGEREF _Toc16000643 \h </w:instrText>
        </w:r>
        <w:r>
          <w:rPr>
            <w:noProof/>
            <w:webHidden/>
          </w:rPr>
        </w:r>
        <w:r>
          <w:rPr>
            <w:noProof/>
            <w:webHidden/>
          </w:rPr>
          <w:fldChar w:fldCharType="separate"/>
        </w:r>
        <w:r>
          <w:rPr>
            <w:noProof/>
            <w:webHidden/>
          </w:rPr>
          <w:t>122</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en-IE" w:eastAsia="en-IE"/>
        </w:rPr>
      </w:pPr>
      <w:hyperlink w:anchor="_Toc16000644" w:history="1">
        <w:r>
          <w:rPr>
            <w:rStyle w:val="Hyperlink"/>
            <w:b/>
            <w:noProof/>
          </w:rPr>
          <w:t>FIRST GENERATION FREE TRADE AGREEMENTS WITH MEDITERRANEAN PARTNERS</w:t>
        </w:r>
        <w:r>
          <w:rPr>
            <w:noProof/>
            <w:webHidden/>
          </w:rPr>
          <w:tab/>
        </w:r>
        <w:r>
          <w:rPr>
            <w:noProof/>
            <w:webHidden/>
          </w:rPr>
          <w:fldChar w:fldCharType="begin"/>
        </w:r>
        <w:r>
          <w:rPr>
            <w:noProof/>
            <w:webHidden/>
          </w:rPr>
          <w:instrText xml:space="preserve"> PAGEREF _Toc16000644 \h </w:instrText>
        </w:r>
        <w:r>
          <w:rPr>
            <w:noProof/>
            <w:webHidden/>
          </w:rPr>
        </w:r>
        <w:r>
          <w:rPr>
            <w:noProof/>
            <w:webHidden/>
          </w:rPr>
          <w:fldChar w:fldCharType="separate"/>
        </w:r>
        <w:r>
          <w:rPr>
            <w:noProof/>
            <w:webHidden/>
          </w:rPr>
          <w:t>123</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en-IE" w:eastAsia="en-IE"/>
        </w:rPr>
      </w:pPr>
      <w:hyperlink w:anchor="_Toc16000645" w:history="1">
        <w:r>
          <w:rPr>
            <w:rStyle w:val="Hyperlink"/>
            <w:b/>
            <w:noProof/>
          </w:rPr>
          <w:t>ANNUAL INFO SHEET ON THE IMPLEMENTATION OF THE EU-ALGERIA ASSOCIATION AGREEMENT</w:t>
        </w:r>
        <w:r>
          <w:rPr>
            <w:noProof/>
            <w:webHidden/>
          </w:rPr>
          <w:tab/>
        </w:r>
        <w:r>
          <w:rPr>
            <w:noProof/>
            <w:webHidden/>
          </w:rPr>
          <w:fldChar w:fldCharType="begin"/>
        </w:r>
        <w:r>
          <w:rPr>
            <w:noProof/>
            <w:webHidden/>
          </w:rPr>
          <w:instrText xml:space="preserve"> PAGEREF _Toc16000645 \h </w:instrText>
        </w:r>
        <w:r>
          <w:rPr>
            <w:noProof/>
            <w:webHidden/>
          </w:rPr>
        </w:r>
        <w:r>
          <w:rPr>
            <w:noProof/>
            <w:webHidden/>
          </w:rPr>
          <w:fldChar w:fldCharType="separate"/>
        </w:r>
        <w:r>
          <w:rPr>
            <w:noProof/>
            <w:webHidden/>
          </w:rPr>
          <w:t>124</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646" w:history="1">
        <w:r>
          <w:rPr>
            <w:rStyle w:val="Hyperlink"/>
            <w:noProof/>
          </w:rPr>
          <w:t>1.</w:t>
        </w:r>
        <w:r>
          <w:rPr>
            <w:rFonts w:asciiTheme="minorHAnsi" w:eastAsiaTheme="minorEastAsia" w:hAnsiTheme="minorHAnsi" w:cstheme="minorBidi"/>
            <w:noProof/>
            <w:sz w:val="22"/>
            <w:szCs w:val="22"/>
            <w:lang w:val="en-IE" w:eastAsia="en-IE"/>
          </w:rPr>
          <w:tab/>
        </w:r>
        <w:r>
          <w:rPr>
            <w:rStyle w:val="Hyperlink"/>
            <w:noProof/>
          </w:rPr>
          <w:t>Introduction</w:t>
        </w:r>
        <w:r>
          <w:rPr>
            <w:noProof/>
            <w:webHidden/>
          </w:rPr>
          <w:tab/>
        </w:r>
        <w:r>
          <w:rPr>
            <w:noProof/>
            <w:webHidden/>
          </w:rPr>
          <w:fldChar w:fldCharType="begin"/>
        </w:r>
        <w:r>
          <w:rPr>
            <w:noProof/>
            <w:webHidden/>
          </w:rPr>
          <w:instrText xml:space="preserve"> PAGEREF _Toc16000646 \h </w:instrText>
        </w:r>
        <w:r>
          <w:rPr>
            <w:noProof/>
            <w:webHidden/>
          </w:rPr>
        </w:r>
        <w:r>
          <w:rPr>
            <w:noProof/>
            <w:webHidden/>
          </w:rPr>
          <w:fldChar w:fldCharType="separate"/>
        </w:r>
        <w:r>
          <w:rPr>
            <w:noProof/>
            <w:webHidden/>
          </w:rPr>
          <w:t>124</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647" w:history="1">
        <w:r>
          <w:rPr>
            <w:rStyle w:val="Hyperlink"/>
            <w:noProof/>
          </w:rPr>
          <w:t>2.</w:t>
        </w:r>
        <w:r>
          <w:rPr>
            <w:rFonts w:asciiTheme="minorHAnsi" w:eastAsiaTheme="minorEastAsia" w:hAnsiTheme="minorHAnsi" w:cstheme="minorBidi"/>
            <w:noProof/>
            <w:sz w:val="22"/>
            <w:szCs w:val="22"/>
            <w:lang w:val="en-IE" w:eastAsia="en-IE"/>
          </w:rPr>
          <w:tab/>
        </w:r>
        <w:r>
          <w:rPr>
            <w:rStyle w:val="Hyperlink"/>
            <w:noProof/>
          </w:rPr>
          <w:t>Evolution of trade</w:t>
        </w:r>
        <w:r>
          <w:rPr>
            <w:noProof/>
            <w:webHidden/>
          </w:rPr>
          <w:tab/>
        </w:r>
        <w:r>
          <w:rPr>
            <w:noProof/>
            <w:webHidden/>
          </w:rPr>
          <w:fldChar w:fldCharType="begin"/>
        </w:r>
        <w:r>
          <w:rPr>
            <w:noProof/>
            <w:webHidden/>
          </w:rPr>
          <w:instrText xml:space="preserve"> PAGEREF _Toc16000647 \h </w:instrText>
        </w:r>
        <w:r>
          <w:rPr>
            <w:noProof/>
            <w:webHidden/>
          </w:rPr>
        </w:r>
        <w:r>
          <w:rPr>
            <w:noProof/>
            <w:webHidden/>
          </w:rPr>
          <w:fldChar w:fldCharType="separate"/>
        </w:r>
        <w:r>
          <w:rPr>
            <w:noProof/>
            <w:webHidden/>
          </w:rPr>
          <w:t>124</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648" w:history="1">
        <w:r>
          <w:rPr>
            <w:rStyle w:val="Hyperlink"/>
            <w:noProof/>
          </w:rPr>
          <w:t>2.1 Trade in Goods</w:t>
        </w:r>
        <w:r>
          <w:rPr>
            <w:noProof/>
            <w:webHidden/>
          </w:rPr>
          <w:tab/>
        </w:r>
        <w:r>
          <w:rPr>
            <w:noProof/>
            <w:webHidden/>
          </w:rPr>
          <w:fldChar w:fldCharType="begin"/>
        </w:r>
        <w:r>
          <w:rPr>
            <w:noProof/>
            <w:webHidden/>
          </w:rPr>
          <w:instrText xml:space="preserve"> PAGEREF _Toc16000648 \h </w:instrText>
        </w:r>
        <w:r>
          <w:rPr>
            <w:noProof/>
            <w:webHidden/>
          </w:rPr>
        </w:r>
        <w:r>
          <w:rPr>
            <w:noProof/>
            <w:webHidden/>
          </w:rPr>
          <w:fldChar w:fldCharType="separate"/>
        </w:r>
        <w:r>
          <w:rPr>
            <w:noProof/>
            <w:webHidden/>
          </w:rPr>
          <w:t>124</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649" w:history="1">
        <w:r>
          <w:rPr>
            <w:rStyle w:val="Hyperlink"/>
            <w:noProof/>
          </w:rPr>
          <w:t>2.2 Trade in agricultural goods</w:t>
        </w:r>
        <w:r>
          <w:rPr>
            <w:noProof/>
            <w:webHidden/>
          </w:rPr>
          <w:tab/>
        </w:r>
        <w:r>
          <w:rPr>
            <w:noProof/>
            <w:webHidden/>
          </w:rPr>
          <w:fldChar w:fldCharType="begin"/>
        </w:r>
        <w:r>
          <w:rPr>
            <w:noProof/>
            <w:webHidden/>
          </w:rPr>
          <w:instrText xml:space="preserve"> PAGEREF _Toc16000649 \h </w:instrText>
        </w:r>
        <w:r>
          <w:rPr>
            <w:noProof/>
            <w:webHidden/>
          </w:rPr>
        </w:r>
        <w:r>
          <w:rPr>
            <w:noProof/>
            <w:webHidden/>
          </w:rPr>
          <w:fldChar w:fldCharType="separate"/>
        </w:r>
        <w:r>
          <w:rPr>
            <w:noProof/>
            <w:webHidden/>
          </w:rPr>
          <w:t>125</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650" w:history="1">
        <w:r>
          <w:rPr>
            <w:rStyle w:val="Hyperlink"/>
            <w:noProof/>
          </w:rPr>
          <w:t>2.3 Trade in Services and Investment</w:t>
        </w:r>
        <w:r>
          <w:rPr>
            <w:noProof/>
            <w:webHidden/>
          </w:rPr>
          <w:tab/>
        </w:r>
        <w:r>
          <w:rPr>
            <w:noProof/>
            <w:webHidden/>
          </w:rPr>
          <w:fldChar w:fldCharType="begin"/>
        </w:r>
        <w:r>
          <w:rPr>
            <w:noProof/>
            <w:webHidden/>
          </w:rPr>
          <w:instrText xml:space="preserve"> PAGEREF _Toc16000650 \h </w:instrText>
        </w:r>
        <w:r>
          <w:rPr>
            <w:noProof/>
            <w:webHidden/>
          </w:rPr>
        </w:r>
        <w:r>
          <w:rPr>
            <w:noProof/>
            <w:webHidden/>
          </w:rPr>
          <w:fldChar w:fldCharType="separate"/>
        </w:r>
        <w:r>
          <w:rPr>
            <w:noProof/>
            <w:webHidden/>
          </w:rPr>
          <w:t>126</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651" w:history="1">
        <w:r>
          <w:rPr>
            <w:rStyle w:val="Hyperlink"/>
            <w:noProof/>
          </w:rPr>
          <w:t>3.</w:t>
        </w:r>
        <w:r>
          <w:rPr>
            <w:rFonts w:asciiTheme="minorHAnsi" w:eastAsiaTheme="minorEastAsia" w:hAnsiTheme="minorHAnsi" w:cstheme="minorBidi"/>
            <w:noProof/>
            <w:sz w:val="22"/>
            <w:szCs w:val="22"/>
            <w:lang w:val="en-IE" w:eastAsia="en-IE"/>
          </w:rPr>
          <w:tab/>
        </w:r>
        <w:r>
          <w:rPr>
            <w:rStyle w:val="Hyperlink"/>
            <w:noProof/>
          </w:rPr>
          <w:t>Issues addressed in the Sub-Committee meetings</w:t>
        </w:r>
        <w:r>
          <w:rPr>
            <w:noProof/>
            <w:webHidden/>
          </w:rPr>
          <w:tab/>
        </w:r>
        <w:r>
          <w:rPr>
            <w:noProof/>
            <w:webHidden/>
          </w:rPr>
          <w:fldChar w:fldCharType="begin"/>
        </w:r>
        <w:r>
          <w:rPr>
            <w:noProof/>
            <w:webHidden/>
          </w:rPr>
          <w:instrText xml:space="preserve"> PAGEREF _Toc16000651 \h </w:instrText>
        </w:r>
        <w:r>
          <w:rPr>
            <w:noProof/>
            <w:webHidden/>
          </w:rPr>
        </w:r>
        <w:r>
          <w:rPr>
            <w:noProof/>
            <w:webHidden/>
          </w:rPr>
          <w:fldChar w:fldCharType="separate"/>
        </w:r>
        <w:r>
          <w:rPr>
            <w:noProof/>
            <w:webHidden/>
          </w:rPr>
          <w:t>126</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652" w:history="1">
        <w:r>
          <w:rPr>
            <w:rStyle w:val="Hyperlink"/>
            <w:noProof/>
          </w:rPr>
          <w:t>4.</w:t>
        </w:r>
        <w:r>
          <w:rPr>
            <w:rFonts w:asciiTheme="minorHAnsi" w:eastAsiaTheme="minorEastAsia" w:hAnsiTheme="minorHAnsi" w:cstheme="minorBidi"/>
            <w:noProof/>
            <w:sz w:val="22"/>
            <w:szCs w:val="22"/>
            <w:lang w:val="en-IE" w:eastAsia="en-IE"/>
          </w:rPr>
          <w:tab/>
        </w:r>
        <w:r>
          <w:rPr>
            <w:rStyle w:val="Hyperlink"/>
            <w:noProof/>
          </w:rPr>
          <w:t>Specific areas of importance</w:t>
        </w:r>
        <w:r>
          <w:rPr>
            <w:noProof/>
            <w:webHidden/>
          </w:rPr>
          <w:tab/>
        </w:r>
        <w:r>
          <w:rPr>
            <w:noProof/>
            <w:webHidden/>
          </w:rPr>
          <w:fldChar w:fldCharType="begin"/>
        </w:r>
        <w:r>
          <w:rPr>
            <w:noProof/>
            <w:webHidden/>
          </w:rPr>
          <w:instrText xml:space="preserve"> PAGEREF _Toc16000652 \h </w:instrText>
        </w:r>
        <w:r>
          <w:rPr>
            <w:noProof/>
            <w:webHidden/>
          </w:rPr>
        </w:r>
        <w:r>
          <w:rPr>
            <w:noProof/>
            <w:webHidden/>
          </w:rPr>
          <w:fldChar w:fldCharType="separate"/>
        </w:r>
        <w:r>
          <w:rPr>
            <w:noProof/>
            <w:webHidden/>
          </w:rPr>
          <w:t>127</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653" w:history="1">
        <w:r>
          <w:rPr>
            <w:rStyle w:val="Hyperlink"/>
            <w:noProof/>
          </w:rPr>
          <w:t>5.</w:t>
        </w:r>
        <w:r>
          <w:rPr>
            <w:rFonts w:asciiTheme="minorHAnsi" w:eastAsiaTheme="minorEastAsia" w:hAnsiTheme="minorHAnsi" w:cstheme="minorBidi"/>
            <w:noProof/>
            <w:sz w:val="22"/>
            <w:szCs w:val="22"/>
            <w:lang w:val="en-IE" w:eastAsia="en-IE"/>
          </w:rPr>
          <w:tab/>
        </w:r>
        <w:r>
          <w:rPr>
            <w:rStyle w:val="Hyperlink"/>
            <w:noProof/>
          </w:rPr>
          <w:t>Progress made, main open issues and follow-up actions</w:t>
        </w:r>
        <w:r>
          <w:rPr>
            <w:noProof/>
            <w:webHidden/>
          </w:rPr>
          <w:tab/>
        </w:r>
        <w:r>
          <w:rPr>
            <w:noProof/>
            <w:webHidden/>
          </w:rPr>
          <w:fldChar w:fldCharType="begin"/>
        </w:r>
        <w:r>
          <w:rPr>
            <w:noProof/>
            <w:webHidden/>
          </w:rPr>
          <w:instrText xml:space="preserve"> PAGEREF _Toc16000653 \h </w:instrText>
        </w:r>
        <w:r>
          <w:rPr>
            <w:noProof/>
            <w:webHidden/>
          </w:rPr>
        </w:r>
        <w:r>
          <w:rPr>
            <w:noProof/>
            <w:webHidden/>
          </w:rPr>
          <w:fldChar w:fldCharType="separate"/>
        </w:r>
        <w:r>
          <w:rPr>
            <w:noProof/>
            <w:webHidden/>
          </w:rPr>
          <w:t>128</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654" w:history="1">
        <w:r>
          <w:rPr>
            <w:rStyle w:val="Hyperlink"/>
            <w:noProof/>
          </w:rPr>
          <w:t>6.</w:t>
        </w:r>
        <w:r>
          <w:rPr>
            <w:rFonts w:asciiTheme="minorHAnsi" w:eastAsiaTheme="minorEastAsia" w:hAnsiTheme="minorHAnsi" w:cstheme="minorBidi"/>
            <w:noProof/>
            <w:sz w:val="22"/>
            <w:szCs w:val="22"/>
            <w:lang w:val="en-IE" w:eastAsia="en-IE"/>
          </w:rPr>
          <w:tab/>
        </w:r>
        <w:r>
          <w:rPr>
            <w:rStyle w:val="Hyperlink"/>
            <w:noProof/>
          </w:rPr>
          <w:t>Conclusions and outlook</w:t>
        </w:r>
        <w:r>
          <w:rPr>
            <w:noProof/>
            <w:webHidden/>
          </w:rPr>
          <w:tab/>
        </w:r>
        <w:r>
          <w:rPr>
            <w:noProof/>
            <w:webHidden/>
          </w:rPr>
          <w:fldChar w:fldCharType="begin"/>
        </w:r>
        <w:r>
          <w:rPr>
            <w:noProof/>
            <w:webHidden/>
          </w:rPr>
          <w:instrText xml:space="preserve"> PAGEREF _Toc16000654 \h </w:instrText>
        </w:r>
        <w:r>
          <w:rPr>
            <w:noProof/>
            <w:webHidden/>
          </w:rPr>
        </w:r>
        <w:r>
          <w:rPr>
            <w:noProof/>
            <w:webHidden/>
          </w:rPr>
          <w:fldChar w:fldCharType="separate"/>
        </w:r>
        <w:r>
          <w:rPr>
            <w:noProof/>
            <w:webHidden/>
          </w:rPr>
          <w:t>128</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655" w:history="1">
        <w:r>
          <w:rPr>
            <w:rStyle w:val="Hyperlink"/>
            <w:noProof/>
          </w:rPr>
          <w:t>7.</w:t>
        </w:r>
        <w:r>
          <w:rPr>
            <w:rFonts w:asciiTheme="minorHAnsi" w:eastAsiaTheme="minorEastAsia" w:hAnsiTheme="minorHAnsi" w:cstheme="minorBidi"/>
            <w:noProof/>
            <w:sz w:val="22"/>
            <w:szCs w:val="22"/>
            <w:lang w:val="en-IE" w:eastAsia="en-IE"/>
          </w:rPr>
          <w:tab/>
        </w:r>
        <w:r>
          <w:rPr>
            <w:rStyle w:val="Hyperlink"/>
            <w:noProof/>
          </w:rPr>
          <w:t>Statistics</w:t>
        </w:r>
        <w:r>
          <w:rPr>
            <w:noProof/>
            <w:webHidden/>
          </w:rPr>
          <w:tab/>
        </w:r>
        <w:r>
          <w:rPr>
            <w:noProof/>
            <w:webHidden/>
          </w:rPr>
          <w:fldChar w:fldCharType="begin"/>
        </w:r>
        <w:r>
          <w:rPr>
            <w:noProof/>
            <w:webHidden/>
          </w:rPr>
          <w:instrText xml:space="preserve"> PAGEREF _Toc16000655 \h </w:instrText>
        </w:r>
        <w:r>
          <w:rPr>
            <w:noProof/>
            <w:webHidden/>
          </w:rPr>
        </w:r>
        <w:r>
          <w:rPr>
            <w:noProof/>
            <w:webHidden/>
          </w:rPr>
          <w:fldChar w:fldCharType="separate"/>
        </w:r>
        <w:r>
          <w:rPr>
            <w:noProof/>
            <w:webHidden/>
          </w:rPr>
          <w:t>128</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en-IE" w:eastAsia="en-IE"/>
        </w:rPr>
      </w:pPr>
      <w:hyperlink w:anchor="_Toc16000656" w:history="1">
        <w:r>
          <w:rPr>
            <w:rStyle w:val="Hyperlink"/>
            <w:b/>
            <w:noProof/>
          </w:rPr>
          <w:t>ANNUAL INFO SHEET ON THE IMPLEMENTATION OF THE EU-EGYPT ASSOCIATION AGREEMENT</w:t>
        </w:r>
        <w:r>
          <w:rPr>
            <w:noProof/>
            <w:webHidden/>
          </w:rPr>
          <w:tab/>
        </w:r>
        <w:r>
          <w:rPr>
            <w:noProof/>
            <w:webHidden/>
          </w:rPr>
          <w:fldChar w:fldCharType="begin"/>
        </w:r>
        <w:r>
          <w:rPr>
            <w:noProof/>
            <w:webHidden/>
          </w:rPr>
          <w:instrText xml:space="preserve"> PAGEREF _Toc16000656 \h </w:instrText>
        </w:r>
        <w:r>
          <w:rPr>
            <w:noProof/>
            <w:webHidden/>
          </w:rPr>
        </w:r>
        <w:r>
          <w:rPr>
            <w:noProof/>
            <w:webHidden/>
          </w:rPr>
          <w:fldChar w:fldCharType="separate"/>
        </w:r>
        <w:r>
          <w:rPr>
            <w:noProof/>
            <w:webHidden/>
          </w:rPr>
          <w:t>131</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657" w:history="1">
        <w:r>
          <w:rPr>
            <w:rStyle w:val="Hyperlink"/>
            <w:caps/>
            <w:noProof/>
            <w:lang w:val="en-US"/>
          </w:rPr>
          <w:t>1.</w:t>
        </w:r>
        <w:r>
          <w:rPr>
            <w:rFonts w:asciiTheme="minorHAnsi" w:eastAsiaTheme="minorEastAsia" w:hAnsiTheme="minorHAnsi" w:cstheme="minorBidi"/>
            <w:noProof/>
            <w:sz w:val="22"/>
            <w:szCs w:val="22"/>
            <w:lang w:val="en-IE" w:eastAsia="en-IE"/>
          </w:rPr>
          <w:tab/>
        </w:r>
        <w:r>
          <w:rPr>
            <w:rStyle w:val="Hyperlink"/>
            <w:noProof/>
            <w:lang w:val="en-US"/>
          </w:rPr>
          <w:t>Introduction</w:t>
        </w:r>
        <w:r>
          <w:rPr>
            <w:noProof/>
            <w:webHidden/>
          </w:rPr>
          <w:tab/>
        </w:r>
        <w:r>
          <w:rPr>
            <w:noProof/>
            <w:webHidden/>
          </w:rPr>
          <w:fldChar w:fldCharType="begin"/>
        </w:r>
        <w:r>
          <w:rPr>
            <w:noProof/>
            <w:webHidden/>
          </w:rPr>
          <w:instrText xml:space="preserve"> PAGEREF _Toc16000657 \h </w:instrText>
        </w:r>
        <w:r>
          <w:rPr>
            <w:noProof/>
            <w:webHidden/>
          </w:rPr>
        </w:r>
        <w:r>
          <w:rPr>
            <w:noProof/>
            <w:webHidden/>
          </w:rPr>
          <w:fldChar w:fldCharType="separate"/>
        </w:r>
        <w:r>
          <w:rPr>
            <w:noProof/>
            <w:webHidden/>
          </w:rPr>
          <w:t>131</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658" w:history="1">
        <w:r>
          <w:rPr>
            <w:rStyle w:val="Hyperlink"/>
            <w:noProof/>
            <w:lang w:val="en-US" w:eastAsia="en-GB"/>
          </w:rPr>
          <w:t>2.</w:t>
        </w:r>
        <w:r>
          <w:rPr>
            <w:rFonts w:asciiTheme="minorHAnsi" w:eastAsiaTheme="minorEastAsia" w:hAnsiTheme="minorHAnsi" w:cstheme="minorBidi"/>
            <w:noProof/>
            <w:sz w:val="22"/>
            <w:szCs w:val="22"/>
            <w:lang w:val="en-IE" w:eastAsia="en-IE"/>
          </w:rPr>
          <w:tab/>
        </w:r>
        <w:r>
          <w:rPr>
            <w:rStyle w:val="Hyperlink"/>
            <w:noProof/>
            <w:lang w:val="en-US" w:eastAsia="en-GB"/>
          </w:rPr>
          <w:t>Evolution of trade</w:t>
        </w:r>
        <w:r>
          <w:rPr>
            <w:noProof/>
            <w:webHidden/>
          </w:rPr>
          <w:tab/>
        </w:r>
        <w:r>
          <w:rPr>
            <w:noProof/>
            <w:webHidden/>
          </w:rPr>
          <w:fldChar w:fldCharType="begin"/>
        </w:r>
        <w:r>
          <w:rPr>
            <w:noProof/>
            <w:webHidden/>
          </w:rPr>
          <w:instrText xml:space="preserve"> PAGEREF _Toc16000658 \h </w:instrText>
        </w:r>
        <w:r>
          <w:rPr>
            <w:noProof/>
            <w:webHidden/>
          </w:rPr>
        </w:r>
        <w:r>
          <w:rPr>
            <w:noProof/>
            <w:webHidden/>
          </w:rPr>
          <w:fldChar w:fldCharType="separate"/>
        </w:r>
        <w:r>
          <w:rPr>
            <w:noProof/>
            <w:webHidden/>
          </w:rPr>
          <w:t>131</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659" w:history="1">
        <w:r>
          <w:rPr>
            <w:rStyle w:val="Hyperlink"/>
            <w:noProof/>
            <w:lang w:val="en-US"/>
          </w:rPr>
          <w:t>2.1 Trade in Goods</w:t>
        </w:r>
        <w:r>
          <w:rPr>
            <w:noProof/>
            <w:webHidden/>
          </w:rPr>
          <w:tab/>
        </w:r>
        <w:r>
          <w:rPr>
            <w:noProof/>
            <w:webHidden/>
          </w:rPr>
          <w:fldChar w:fldCharType="begin"/>
        </w:r>
        <w:r>
          <w:rPr>
            <w:noProof/>
            <w:webHidden/>
          </w:rPr>
          <w:instrText xml:space="preserve"> PAGEREF _Toc16000659 \h </w:instrText>
        </w:r>
        <w:r>
          <w:rPr>
            <w:noProof/>
            <w:webHidden/>
          </w:rPr>
        </w:r>
        <w:r>
          <w:rPr>
            <w:noProof/>
            <w:webHidden/>
          </w:rPr>
          <w:fldChar w:fldCharType="separate"/>
        </w:r>
        <w:r>
          <w:rPr>
            <w:noProof/>
            <w:webHidden/>
          </w:rPr>
          <w:t>131</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660" w:history="1">
        <w:r>
          <w:rPr>
            <w:rStyle w:val="Hyperlink"/>
            <w:noProof/>
            <w:lang w:val="en-US"/>
          </w:rPr>
          <w:t xml:space="preserve">2.2 Trade in agricultural </w:t>
        </w:r>
        <w:r>
          <w:rPr>
            <w:rStyle w:val="Hyperlink"/>
            <w:rFonts w:eastAsia="Times New Roman"/>
            <w:noProof/>
            <w:lang w:val="en-US"/>
          </w:rPr>
          <w:t>goods</w:t>
        </w:r>
        <w:r>
          <w:rPr>
            <w:noProof/>
            <w:webHidden/>
          </w:rPr>
          <w:tab/>
        </w:r>
        <w:r>
          <w:rPr>
            <w:noProof/>
            <w:webHidden/>
          </w:rPr>
          <w:fldChar w:fldCharType="begin"/>
        </w:r>
        <w:r>
          <w:rPr>
            <w:noProof/>
            <w:webHidden/>
          </w:rPr>
          <w:instrText xml:space="preserve"> PAGEREF _Toc16000660 \h </w:instrText>
        </w:r>
        <w:r>
          <w:rPr>
            <w:noProof/>
            <w:webHidden/>
          </w:rPr>
        </w:r>
        <w:r>
          <w:rPr>
            <w:noProof/>
            <w:webHidden/>
          </w:rPr>
          <w:fldChar w:fldCharType="separate"/>
        </w:r>
        <w:r>
          <w:rPr>
            <w:noProof/>
            <w:webHidden/>
          </w:rPr>
          <w:t>132</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661" w:history="1">
        <w:r>
          <w:rPr>
            <w:rStyle w:val="Hyperlink"/>
            <w:noProof/>
            <w:lang w:val="en-US"/>
          </w:rPr>
          <w:t>2.3 Trade in Services and Foreign Direct Investment</w:t>
        </w:r>
        <w:r>
          <w:rPr>
            <w:noProof/>
            <w:webHidden/>
          </w:rPr>
          <w:tab/>
        </w:r>
        <w:r>
          <w:rPr>
            <w:noProof/>
            <w:webHidden/>
          </w:rPr>
          <w:fldChar w:fldCharType="begin"/>
        </w:r>
        <w:r>
          <w:rPr>
            <w:noProof/>
            <w:webHidden/>
          </w:rPr>
          <w:instrText xml:space="preserve"> PAGEREF _Toc16000661 \h </w:instrText>
        </w:r>
        <w:r>
          <w:rPr>
            <w:noProof/>
            <w:webHidden/>
          </w:rPr>
        </w:r>
        <w:r>
          <w:rPr>
            <w:noProof/>
            <w:webHidden/>
          </w:rPr>
          <w:fldChar w:fldCharType="separate"/>
        </w:r>
        <w:r>
          <w:rPr>
            <w:noProof/>
            <w:webHidden/>
          </w:rPr>
          <w:t>133</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662" w:history="1">
        <w:r>
          <w:rPr>
            <w:rStyle w:val="Hyperlink"/>
            <w:noProof/>
            <w:lang w:val="en-US" w:eastAsia="en-GB"/>
          </w:rPr>
          <w:t>3.</w:t>
        </w:r>
        <w:r>
          <w:rPr>
            <w:rFonts w:asciiTheme="minorHAnsi" w:eastAsiaTheme="minorEastAsia" w:hAnsiTheme="minorHAnsi" w:cstheme="minorBidi"/>
            <w:noProof/>
            <w:sz w:val="22"/>
            <w:szCs w:val="22"/>
            <w:lang w:val="en-IE" w:eastAsia="en-IE"/>
          </w:rPr>
          <w:tab/>
        </w:r>
        <w:r>
          <w:rPr>
            <w:rStyle w:val="Hyperlink"/>
            <w:noProof/>
            <w:lang w:val="en-US" w:eastAsia="en-GB"/>
          </w:rPr>
          <w:t>Issues addressed in the Joint Committee meetings</w:t>
        </w:r>
        <w:r>
          <w:rPr>
            <w:noProof/>
            <w:webHidden/>
          </w:rPr>
          <w:tab/>
        </w:r>
        <w:r>
          <w:rPr>
            <w:noProof/>
            <w:webHidden/>
          </w:rPr>
          <w:fldChar w:fldCharType="begin"/>
        </w:r>
        <w:r>
          <w:rPr>
            <w:noProof/>
            <w:webHidden/>
          </w:rPr>
          <w:instrText xml:space="preserve"> PAGEREF _Toc16000662 \h </w:instrText>
        </w:r>
        <w:r>
          <w:rPr>
            <w:noProof/>
            <w:webHidden/>
          </w:rPr>
        </w:r>
        <w:r>
          <w:rPr>
            <w:noProof/>
            <w:webHidden/>
          </w:rPr>
          <w:fldChar w:fldCharType="separate"/>
        </w:r>
        <w:r>
          <w:rPr>
            <w:noProof/>
            <w:webHidden/>
          </w:rPr>
          <w:t>133</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663" w:history="1">
        <w:r>
          <w:rPr>
            <w:rStyle w:val="Hyperlink"/>
            <w:noProof/>
            <w:lang w:val="en-US" w:eastAsia="en-GB"/>
          </w:rPr>
          <w:t>4.</w:t>
        </w:r>
        <w:r>
          <w:rPr>
            <w:rFonts w:asciiTheme="minorHAnsi" w:eastAsiaTheme="minorEastAsia" w:hAnsiTheme="minorHAnsi" w:cstheme="minorBidi"/>
            <w:noProof/>
            <w:sz w:val="22"/>
            <w:szCs w:val="22"/>
            <w:lang w:val="en-IE" w:eastAsia="en-IE"/>
          </w:rPr>
          <w:tab/>
        </w:r>
        <w:r>
          <w:rPr>
            <w:rStyle w:val="Hyperlink"/>
            <w:noProof/>
            <w:lang w:val="en-US" w:eastAsia="en-GB"/>
          </w:rPr>
          <w:t>Specific areas of importance</w:t>
        </w:r>
        <w:r>
          <w:rPr>
            <w:noProof/>
            <w:webHidden/>
          </w:rPr>
          <w:tab/>
        </w:r>
        <w:r>
          <w:rPr>
            <w:noProof/>
            <w:webHidden/>
          </w:rPr>
          <w:fldChar w:fldCharType="begin"/>
        </w:r>
        <w:r>
          <w:rPr>
            <w:noProof/>
            <w:webHidden/>
          </w:rPr>
          <w:instrText xml:space="preserve"> PAGEREF _Toc16000663 \h </w:instrText>
        </w:r>
        <w:r>
          <w:rPr>
            <w:noProof/>
            <w:webHidden/>
          </w:rPr>
        </w:r>
        <w:r>
          <w:rPr>
            <w:noProof/>
            <w:webHidden/>
          </w:rPr>
          <w:fldChar w:fldCharType="separate"/>
        </w:r>
        <w:r>
          <w:rPr>
            <w:noProof/>
            <w:webHidden/>
          </w:rPr>
          <w:t>134</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664" w:history="1">
        <w:r>
          <w:rPr>
            <w:rStyle w:val="Hyperlink"/>
            <w:noProof/>
            <w:lang w:val="en-US" w:eastAsia="en-GB"/>
          </w:rPr>
          <w:t>5.</w:t>
        </w:r>
        <w:r>
          <w:rPr>
            <w:rFonts w:asciiTheme="minorHAnsi" w:eastAsiaTheme="minorEastAsia" w:hAnsiTheme="minorHAnsi" w:cstheme="minorBidi"/>
            <w:noProof/>
            <w:sz w:val="22"/>
            <w:szCs w:val="22"/>
            <w:lang w:val="en-IE" w:eastAsia="en-IE"/>
          </w:rPr>
          <w:tab/>
        </w:r>
        <w:r>
          <w:rPr>
            <w:rStyle w:val="Hyperlink"/>
            <w:noProof/>
            <w:lang w:val="en-US" w:eastAsia="en-GB"/>
          </w:rPr>
          <w:t>Progress made, main open issues and follow-up actions</w:t>
        </w:r>
        <w:r>
          <w:rPr>
            <w:noProof/>
            <w:webHidden/>
          </w:rPr>
          <w:tab/>
        </w:r>
        <w:r>
          <w:rPr>
            <w:noProof/>
            <w:webHidden/>
          </w:rPr>
          <w:fldChar w:fldCharType="begin"/>
        </w:r>
        <w:r>
          <w:rPr>
            <w:noProof/>
            <w:webHidden/>
          </w:rPr>
          <w:instrText xml:space="preserve"> PAGEREF _Toc16000664 \h </w:instrText>
        </w:r>
        <w:r>
          <w:rPr>
            <w:noProof/>
            <w:webHidden/>
          </w:rPr>
        </w:r>
        <w:r>
          <w:rPr>
            <w:noProof/>
            <w:webHidden/>
          </w:rPr>
          <w:fldChar w:fldCharType="separate"/>
        </w:r>
        <w:r>
          <w:rPr>
            <w:noProof/>
            <w:webHidden/>
          </w:rPr>
          <w:t>135</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665" w:history="1">
        <w:r>
          <w:rPr>
            <w:rStyle w:val="Hyperlink"/>
            <w:noProof/>
            <w:lang w:val="en-US" w:eastAsia="en-GB"/>
          </w:rPr>
          <w:t>6.</w:t>
        </w:r>
        <w:r>
          <w:rPr>
            <w:rFonts w:asciiTheme="minorHAnsi" w:eastAsiaTheme="minorEastAsia" w:hAnsiTheme="minorHAnsi" w:cstheme="minorBidi"/>
            <w:noProof/>
            <w:sz w:val="22"/>
            <w:szCs w:val="22"/>
            <w:lang w:val="en-IE" w:eastAsia="en-IE"/>
          </w:rPr>
          <w:tab/>
        </w:r>
        <w:r>
          <w:rPr>
            <w:rStyle w:val="Hyperlink"/>
            <w:noProof/>
            <w:lang w:val="en-US" w:eastAsia="en-GB"/>
          </w:rPr>
          <w:t>Conclusions and outlook</w:t>
        </w:r>
        <w:r>
          <w:rPr>
            <w:noProof/>
            <w:webHidden/>
          </w:rPr>
          <w:tab/>
        </w:r>
        <w:r>
          <w:rPr>
            <w:noProof/>
            <w:webHidden/>
          </w:rPr>
          <w:fldChar w:fldCharType="begin"/>
        </w:r>
        <w:r>
          <w:rPr>
            <w:noProof/>
            <w:webHidden/>
          </w:rPr>
          <w:instrText xml:space="preserve"> PAGEREF _Toc16000665 \h </w:instrText>
        </w:r>
        <w:r>
          <w:rPr>
            <w:noProof/>
            <w:webHidden/>
          </w:rPr>
        </w:r>
        <w:r>
          <w:rPr>
            <w:noProof/>
            <w:webHidden/>
          </w:rPr>
          <w:fldChar w:fldCharType="separate"/>
        </w:r>
        <w:r>
          <w:rPr>
            <w:noProof/>
            <w:webHidden/>
          </w:rPr>
          <w:t>136</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666" w:history="1">
        <w:r>
          <w:rPr>
            <w:rStyle w:val="Hyperlink"/>
            <w:noProof/>
            <w:lang w:val="en-US" w:eastAsia="en-GB"/>
          </w:rPr>
          <w:t>7.</w:t>
        </w:r>
        <w:r>
          <w:rPr>
            <w:rFonts w:asciiTheme="minorHAnsi" w:eastAsiaTheme="minorEastAsia" w:hAnsiTheme="minorHAnsi" w:cstheme="minorBidi"/>
            <w:noProof/>
            <w:sz w:val="22"/>
            <w:szCs w:val="22"/>
            <w:lang w:val="en-IE" w:eastAsia="en-IE"/>
          </w:rPr>
          <w:tab/>
        </w:r>
        <w:r>
          <w:rPr>
            <w:rStyle w:val="Hyperlink"/>
            <w:noProof/>
            <w:lang w:val="en-US" w:eastAsia="en-GB"/>
          </w:rPr>
          <w:t>Statistics</w:t>
        </w:r>
        <w:r>
          <w:rPr>
            <w:noProof/>
            <w:webHidden/>
          </w:rPr>
          <w:tab/>
        </w:r>
        <w:r>
          <w:rPr>
            <w:noProof/>
            <w:webHidden/>
          </w:rPr>
          <w:fldChar w:fldCharType="begin"/>
        </w:r>
        <w:r>
          <w:rPr>
            <w:noProof/>
            <w:webHidden/>
          </w:rPr>
          <w:instrText xml:space="preserve"> PAGEREF _Toc16000666 \h </w:instrText>
        </w:r>
        <w:r>
          <w:rPr>
            <w:noProof/>
            <w:webHidden/>
          </w:rPr>
        </w:r>
        <w:r>
          <w:rPr>
            <w:noProof/>
            <w:webHidden/>
          </w:rPr>
          <w:fldChar w:fldCharType="separate"/>
        </w:r>
        <w:r>
          <w:rPr>
            <w:noProof/>
            <w:webHidden/>
          </w:rPr>
          <w:t>136</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en-IE" w:eastAsia="en-IE"/>
        </w:rPr>
      </w:pPr>
      <w:hyperlink w:anchor="_Toc16000667" w:history="1">
        <w:r>
          <w:rPr>
            <w:rStyle w:val="Hyperlink"/>
            <w:b/>
            <w:noProof/>
          </w:rPr>
          <w:t>ANNUAL INFO SHEET ON THE IMPLEMENTATION OF THE EU-ISRAEL ASSOCIATION AGREEMENT</w:t>
        </w:r>
        <w:r>
          <w:rPr>
            <w:noProof/>
            <w:webHidden/>
          </w:rPr>
          <w:tab/>
        </w:r>
        <w:r>
          <w:rPr>
            <w:noProof/>
            <w:webHidden/>
          </w:rPr>
          <w:fldChar w:fldCharType="begin"/>
        </w:r>
        <w:r>
          <w:rPr>
            <w:noProof/>
            <w:webHidden/>
          </w:rPr>
          <w:instrText xml:space="preserve"> PAGEREF _Toc16000667 \h </w:instrText>
        </w:r>
        <w:r>
          <w:rPr>
            <w:noProof/>
            <w:webHidden/>
          </w:rPr>
        </w:r>
        <w:r>
          <w:rPr>
            <w:noProof/>
            <w:webHidden/>
          </w:rPr>
          <w:fldChar w:fldCharType="separate"/>
        </w:r>
        <w:r>
          <w:rPr>
            <w:noProof/>
            <w:webHidden/>
          </w:rPr>
          <w:t>138</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668" w:history="1">
        <w:r>
          <w:rPr>
            <w:rStyle w:val="Hyperlink"/>
            <w:noProof/>
          </w:rPr>
          <w:t>1.</w:t>
        </w:r>
        <w:r>
          <w:rPr>
            <w:rFonts w:asciiTheme="minorHAnsi" w:eastAsiaTheme="minorEastAsia" w:hAnsiTheme="minorHAnsi" w:cstheme="minorBidi"/>
            <w:noProof/>
            <w:sz w:val="22"/>
            <w:szCs w:val="22"/>
            <w:lang w:val="en-IE" w:eastAsia="en-IE"/>
          </w:rPr>
          <w:tab/>
        </w:r>
        <w:r>
          <w:rPr>
            <w:rStyle w:val="Hyperlink"/>
            <w:noProof/>
          </w:rPr>
          <w:t>Introduction</w:t>
        </w:r>
        <w:r>
          <w:rPr>
            <w:noProof/>
            <w:webHidden/>
          </w:rPr>
          <w:tab/>
        </w:r>
        <w:r>
          <w:rPr>
            <w:noProof/>
            <w:webHidden/>
          </w:rPr>
          <w:fldChar w:fldCharType="begin"/>
        </w:r>
        <w:r>
          <w:rPr>
            <w:noProof/>
            <w:webHidden/>
          </w:rPr>
          <w:instrText xml:space="preserve"> PAGEREF _Toc16000668 \h </w:instrText>
        </w:r>
        <w:r>
          <w:rPr>
            <w:noProof/>
            <w:webHidden/>
          </w:rPr>
        </w:r>
        <w:r>
          <w:rPr>
            <w:noProof/>
            <w:webHidden/>
          </w:rPr>
          <w:fldChar w:fldCharType="separate"/>
        </w:r>
        <w:r>
          <w:rPr>
            <w:noProof/>
            <w:webHidden/>
          </w:rPr>
          <w:t>138</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669" w:history="1">
        <w:r>
          <w:rPr>
            <w:rStyle w:val="Hyperlink"/>
            <w:noProof/>
          </w:rPr>
          <w:t>2.</w:t>
        </w:r>
        <w:r>
          <w:rPr>
            <w:rFonts w:asciiTheme="minorHAnsi" w:eastAsiaTheme="minorEastAsia" w:hAnsiTheme="minorHAnsi" w:cstheme="minorBidi"/>
            <w:noProof/>
            <w:sz w:val="22"/>
            <w:szCs w:val="22"/>
            <w:lang w:val="en-IE" w:eastAsia="en-IE"/>
          </w:rPr>
          <w:tab/>
        </w:r>
        <w:r>
          <w:rPr>
            <w:rStyle w:val="Hyperlink"/>
            <w:noProof/>
          </w:rPr>
          <w:t>Evolution of trade</w:t>
        </w:r>
        <w:r>
          <w:rPr>
            <w:noProof/>
            <w:webHidden/>
          </w:rPr>
          <w:tab/>
        </w:r>
        <w:r>
          <w:rPr>
            <w:noProof/>
            <w:webHidden/>
          </w:rPr>
          <w:fldChar w:fldCharType="begin"/>
        </w:r>
        <w:r>
          <w:rPr>
            <w:noProof/>
            <w:webHidden/>
          </w:rPr>
          <w:instrText xml:space="preserve"> PAGEREF _Toc16000669 \h </w:instrText>
        </w:r>
        <w:r>
          <w:rPr>
            <w:noProof/>
            <w:webHidden/>
          </w:rPr>
        </w:r>
        <w:r>
          <w:rPr>
            <w:noProof/>
            <w:webHidden/>
          </w:rPr>
          <w:fldChar w:fldCharType="separate"/>
        </w:r>
        <w:r>
          <w:rPr>
            <w:noProof/>
            <w:webHidden/>
          </w:rPr>
          <w:t>138</w:t>
        </w:r>
        <w:r>
          <w:rPr>
            <w:noProof/>
            <w:webHidden/>
          </w:rPr>
          <w:fldChar w:fldCharType="end"/>
        </w:r>
      </w:hyperlink>
    </w:p>
    <w:p>
      <w:pPr>
        <w:pStyle w:val="TOC3"/>
        <w:tabs>
          <w:tab w:val="left" w:pos="1100"/>
          <w:tab w:val="right" w:leader="dot" w:pos="9062"/>
        </w:tabs>
        <w:rPr>
          <w:rFonts w:asciiTheme="minorHAnsi" w:eastAsiaTheme="minorEastAsia" w:hAnsiTheme="minorHAnsi" w:cstheme="minorBidi"/>
          <w:noProof/>
          <w:sz w:val="22"/>
          <w:szCs w:val="22"/>
          <w:lang w:val="en-IE" w:eastAsia="en-IE"/>
        </w:rPr>
      </w:pPr>
      <w:hyperlink w:anchor="_Toc16000670" w:history="1">
        <w:r>
          <w:rPr>
            <w:rStyle w:val="Hyperlink"/>
            <w:noProof/>
          </w:rPr>
          <w:t>2.1</w:t>
        </w:r>
        <w:r>
          <w:rPr>
            <w:rFonts w:asciiTheme="minorHAnsi" w:eastAsiaTheme="minorEastAsia" w:hAnsiTheme="minorHAnsi" w:cstheme="minorBidi"/>
            <w:noProof/>
            <w:sz w:val="22"/>
            <w:szCs w:val="22"/>
            <w:lang w:val="en-IE" w:eastAsia="en-IE"/>
          </w:rPr>
          <w:tab/>
        </w:r>
        <w:r>
          <w:rPr>
            <w:rStyle w:val="Hyperlink"/>
            <w:noProof/>
          </w:rPr>
          <w:t>Trade in Goods</w:t>
        </w:r>
        <w:r>
          <w:rPr>
            <w:noProof/>
            <w:webHidden/>
          </w:rPr>
          <w:tab/>
        </w:r>
        <w:r>
          <w:rPr>
            <w:noProof/>
            <w:webHidden/>
          </w:rPr>
          <w:fldChar w:fldCharType="begin"/>
        </w:r>
        <w:r>
          <w:rPr>
            <w:noProof/>
            <w:webHidden/>
          </w:rPr>
          <w:instrText xml:space="preserve"> PAGEREF _Toc16000670 \h </w:instrText>
        </w:r>
        <w:r>
          <w:rPr>
            <w:noProof/>
            <w:webHidden/>
          </w:rPr>
        </w:r>
        <w:r>
          <w:rPr>
            <w:noProof/>
            <w:webHidden/>
          </w:rPr>
          <w:fldChar w:fldCharType="separate"/>
        </w:r>
        <w:r>
          <w:rPr>
            <w:noProof/>
            <w:webHidden/>
          </w:rPr>
          <w:t>138</w:t>
        </w:r>
        <w:r>
          <w:rPr>
            <w:noProof/>
            <w:webHidden/>
          </w:rPr>
          <w:fldChar w:fldCharType="end"/>
        </w:r>
      </w:hyperlink>
    </w:p>
    <w:p>
      <w:pPr>
        <w:pStyle w:val="TOC3"/>
        <w:tabs>
          <w:tab w:val="left" w:pos="1100"/>
          <w:tab w:val="right" w:leader="dot" w:pos="9062"/>
        </w:tabs>
        <w:rPr>
          <w:rFonts w:asciiTheme="minorHAnsi" w:eastAsiaTheme="minorEastAsia" w:hAnsiTheme="minorHAnsi" w:cstheme="minorBidi"/>
          <w:noProof/>
          <w:sz w:val="22"/>
          <w:szCs w:val="22"/>
          <w:lang w:val="en-IE" w:eastAsia="en-IE"/>
        </w:rPr>
      </w:pPr>
      <w:hyperlink w:anchor="_Toc16000671" w:history="1">
        <w:r>
          <w:rPr>
            <w:rStyle w:val="Hyperlink"/>
            <w:noProof/>
          </w:rPr>
          <w:t>2.2</w:t>
        </w:r>
        <w:r>
          <w:rPr>
            <w:rFonts w:asciiTheme="minorHAnsi" w:eastAsiaTheme="minorEastAsia" w:hAnsiTheme="minorHAnsi" w:cstheme="minorBidi"/>
            <w:noProof/>
            <w:sz w:val="22"/>
            <w:szCs w:val="22"/>
            <w:lang w:val="en-IE" w:eastAsia="en-IE"/>
          </w:rPr>
          <w:tab/>
        </w:r>
        <w:r>
          <w:rPr>
            <w:rStyle w:val="Hyperlink"/>
            <w:noProof/>
          </w:rPr>
          <w:t>Trade in agricultural goods</w:t>
        </w:r>
        <w:r>
          <w:rPr>
            <w:noProof/>
            <w:webHidden/>
          </w:rPr>
          <w:tab/>
        </w:r>
        <w:r>
          <w:rPr>
            <w:noProof/>
            <w:webHidden/>
          </w:rPr>
          <w:fldChar w:fldCharType="begin"/>
        </w:r>
        <w:r>
          <w:rPr>
            <w:noProof/>
            <w:webHidden/>
          </w:rPr>
          <w:instrText xml:space="preserve"> PAGEREF _Toc16000671 \h </w:instrText>
        </w:r>
        <w:r>
          <w:rPr>
            <w:noProof/>
            <w:webHidden/>
          </w:rPr>
        </w:r>
        <w:r>
          <w:rPr>
            <w:noProof/>
            <w:webHidden/>
          </w:rPr>
          <w:fldChar w:fldCharType="separate"/>
        </w:r>
        <w:r>
          <w:rPr>
            <w:noProof/>
            <w:webHidden/>
          </w:rPr>
          <w:t>139</w:t>
        </w:r>
        <w:r>
          <w:rPr>
            <w:noProof/>
            <w:webHidden/>
          </w:rPr>
          <w:fldChar w:fldCharType="end"/>
        </w:r>
      </w:hyperlink>
    </w:p>
    <w:p>
      <w:pPr>
        <w:pStyle w:val="TOC3"/>
        <w:tabs>
          <w:tab w:val="left" w:pos="1100"/>
          <w:tab w:val="right" w:leader="dot" w:pos="9062"/>
        </w:tabs>
        <w:rPr>
          <w:rFonts w:asciiTheme="minorHAnsi" w:eastAsiaTheme="minorEastAsia" w:hAnsiTheme="minorHAnsi" w:cstheme="minorBidi"/>
          <w:noProof/>
          <w:sz w:val="22"/>
          <w:szCs w:val="22"/>
          <w:lang w:val="en-IE" w:eastAsia="en-IE"/>
        </w:rPr>
      </w:pPr>
      <w:hyperlink w:anchor="_Toc16000672" w:history="1">
        <w:r>
          <w:rPr>
            <w:rStyle w:val="Hyperlink"/>
            <w:noProof/>
          </w:rPr>
          <w:t>2.3</w:t>
        </w:r>
        <w:r>
          <w:rPr>
            <w:rFonts w:asciiTheme="minorHAnsi" w:eastAsiaTheme="minorEastAsia" w:hAnsiTheme="minorHAnsi" w:cstheme="minorBidi"/>
            <w:noProof/>
            <w:sz w:val="22"/>
            <w:szCs w:val="22"/>
            <w:lang w:val="en-IE" w:eastAsia="en-IE"/>
          </w:rPr>
          <w:tab/>
        </w:r>
        <w:r>
          <w:rPr>
            <w:rStyle w:val="Hyperlink"/>
            <w:noProof/>
          </w:rPr>
          <w:t>Trade in Services and Foreign Direct Investment (FDI)</w:t>
        </w:r>
        <w:r>
          <w:rPr>
            <w:noProof/>
            <w:webHidden/>
          </w:rPr>
          <w:tab/>
        </w:r>
        <w:r>
          <w:rPr>
            <w:noProof/>
            <w:webHidden/>
          </w:rPr>
          <w:fldChar w:fldCharType="begin"/>
        </w:r>
        <w:r>
          <w:rPr>
            <w:noProof/>
            <w:webHidden/>
          </w:rPr>
          <w:instrText xml:space="preserve"> PAGEREF _Toc16000672 \h </w:instrText>
        </w:r>
        <w:r>
          <w:rPr>
            <w:noProof/>
            <w:webHidden/>
          </w:rPr>
        </w:r>
        <w:r>
          <w:rPr>
            <w:noProof/>
            <w:webHidden/>
          </w:rPr>
          <w:fldChar w:fldCharType="separate"/>
        </w:r>
        <w:r>
          <w:rPr>
            <w:noProof/>
            <w:webHidden/>
          </w:rPr>
          <w:t>140</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673" w:history="1">
        <w:r>
          <w:rPr>
            <w:rStyle w:val="Hyperlink"/>
            <w:noProof/>
          </w:rPr>
          <w:t>3.</w:t>
        </w:r>
        <w:r>
          <w:rPr>
            <w:rFonts w:asciiTheme="minorHAnsi" w:eastAsiaTheme="minorEastAsia" w:hAnsiTheme="minorHAnsi" w:cstheme="minorBidi"/>
            <w:noProof/>
            <w:sz w:val="22"/>
            <w:szCs w:val="22"/>
            <w:lang w:val="en-IE" w:eastAsia="en-IE"/>
          </w:rPr>
          <w:tab/>
        </w:r>
        <w:r>
          <w:rPr>
            <w:rStyle w:val="Hyperlink"/>
            <w:noProof/>
          </w:rPr>
          <w:t>Issues addressed in the Annual (Joint Committee/Trade Committee) meeting</w:t>
        </w:r>
        <w:r>
          <w:rPr>
            <w:noProof/>
            <w:webHidden/>
          </w:rPr>
          <w:tab/>
        </w:r>
        <w:r>
          <w:rPr>
            <w:noProof/>
            <w:webHidden/>
          </w:rPr>
          <w:fldChar w:fldCharType="begin"/>
        </w:r>
        <w:r>
          <w:rPr>
            <w:noProof/>
            <w:webHidden/>
          </w:rPr>
          <w:instrText xml:space="preserve"> PAGEREF _Toc16000673 \h </w:instrText>
        </w:r>
        <w:r>
          <w:rPr>
            <w:noProof/>
            <w:webHidden/>
          </w:rPr>
        </w:r>
        <w:r>
          <w:rPr>
            <w:noProof/>
            <w:webHidden/>
          </w:rPr>
          <w:fldChar w:fldCharType="separate"/>
        </w:r>
        <w:r>
          <w:rPr>
            <w:noProof/>
            <w:webHidden/>
          </w:rPr>
          <w:t>140</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674" w:history="1">
        <w:r>
          <w:rPr>
            <w:rStyle w:val="Hyperlink"/>
            <w:noProof/>
          </w:rPr>
          <w:t>4.</w:t>
        </w:r>
        <w:r>
          <w:rPr>
            <w:rFonts w:asciiTheme="minorHAnsi" w:eastAsiaTheme="minorEastAsia" w:hAnsiTheme="minorHAnsi" w:cstheme="minorBidi"/>
            <w:noProof/>
            <w:sz w:val="22"/>
            <w:szCs w:val="22"/>
            <w:lang w:val="en-IE" w:eastAsia="en-IE"/>
          </w:rPr>
          <w:tab/>
        </w:r>
        <w:r>
          <w:rPr>
            <w:rStyle w:val="Hyperlink"/>
            <w:noProof/>
          </w:rPr>
          <w:t>Specific areas of importance</w:t>
        </w:r>
        <w:r>
          <w:rPr>
            <w:noProof/>
            <w:webHidden/>
          </w:rPr>
          <w:tab/>
        </w:r>
        <w:r>
          <w:rPr>
            <w:noProof/>
            <w:webHidden/>
          </w:rPr>
          <w:fldChar w:fldCharType="begin"/>
        </w:r>
        <w:r>
          <w:rPr>
            <w:noProof/>
            <w:webHidden/>
          </w:rPr>
          <w:instrText xml:space="preserve"> PAGEREF _Toc16000674 \h </w:instrText>
        </w:r>
        <w:r>
          <w:rPr>
            <w:noProof/>
            <w:webHidden/>
          </w:rPr>
        </w:r>
        <w:r>
          <w:rPr>
            <w:noProof/>
            <w:webHidden/>
          </w:rPr>
          <w:fldChar w:fldCharType="separate"/>
        </w:r>
        <w:r>
          <w:rPr>
            <w:noProof/>
            <w:webHidden/>
          </w:rPr>
          <w:t>141</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675" w:history="1">
        <w:r>
          <w:rPr>
            <w:rStyle w:val="Hyperlink"/>
            <w:noProof/>
          </w:rPr>
          <w:t>5.</w:t>
        </w:r>
        <w:r>
          <w:rPr>
            <w:rFonts w:asciiTheme="minorHAnsi" w:eastAsiaTheme="minorEastAsia" w:hAnsiTheme="minorHAnsi" w:cstheme="minorBidi"/>
            <w:noProof/>
            <w:sz w:val="22"/>
            <w:szCs w:val="22"/>
            <w:lang w:val="en-IE" w:eastAsia="en-IE"/>
          </w:rPr>
          <w:tab/>
        </w:r>
        <w:r>
          <w:rPr>
            <w:rStyle w:val="Hyperlink"/>
            <w:noProof/>
          </w:rPr>
          <w:t>Progress made, main open issues and follow-up actions</w:t>
        </w:r>
        <w:r>
          <w:rPr>
            <w:noProof/>
            <w:webHidden/>
          </w:rPr>
          <w:tab/>
        </w:r>
        <w:r>
          <w:rPr>
            <w:noProof/>
            <w:webHidden/>
          </w:rPr>
          <w:fldChar w:fldCharType="begin"/>
        </w:r>
        <w:r>
          <w:rPr>
            <w:noProof/>
            <w:webHidden/>
          </w:rPr>
          <w:instrText xml:space="preserve"> PAGEREF _Toc16000675 \h </w:instrText>
        </w:r>
        <w:r>
          <w:rPr>
            <w:noProof/>
            <w:webHidden/>
          </w:rPr>
        </w:r>
        <w:r>
          <w:rPr>
            <w:noProof/>
            <w:webHidden/>
          </w:rPr>
          <w:fldChar w:fldCharType="separate"/>
        </w:r>
        <w:r>
          <w:rPr>
            <w:noProof/>
            <w:webHidden/>
          </w:rPr>
          <w:t>141</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676" w:history="1">
        <w:r>
          <w:rPr>
            <w:rStyle w:val="Hyperlink"/>
            <w:noProof/>
          </w:rPr>
          <w:t>6.</w:t>
        </w:r>
        <w:r>
          <w:rPr>
            <w:rFonts w:asciiTheme="minorHAnsi" w:eastAsiaTheme="minorEastAsia" w:hAnsiTheme="minorHAnsi" w:cstheme="minorBidi"/>
            <w:noProof/>
            <w:sz w:val="22"/>
            <w:szCs w:val="22"/>
            <w:lang w:val="en-IE" w:eastAsia="en-IE"/>
          </w:rPr>
          <w:tab/>
        </w:r>
        <w:r>
          <w:rPr>
            <w:rStyle w:val="Hyperlink"/>
            <w:noProof/>
          </w:rPr>
          <w:t>Conclusions and outlook</w:t>
        </w:r>
        <w:r>
          <w:rPr>
            <w:noProof/>
            <w:webHidden/>
          </w:rPr>
          <w:tab/>
        </w:r>
        <w:r>
          <w:rPr>
            <w:noProof/>
            <w:webHidden/>
          </w:rPr>
          <w:fldChar w:fldCharType="begin"/>
        </w:r>
        <w:r>
          <w:rPr>
            <w:noProof/>
            <w:webHidden/>
          </w:rPr>
          <w:instrText xml:space="preserve"> PAGEREF _Toc16000676 \h </w:instrText>
        </w:r>
        <w:r>
          <w:rPr>
            <w:noProof/>
            <w:webHidden/>
          </w:rPr>
        </w:r>
        <w:r>
          <w:rPr>
            <w:noProof/>
            <w:webHidden/>
          </w:rPr>
          <w:fldChar w:fldCharType="separate"/>
        </w:r>
        <w:r>
          <w:rPr>
            <w:noProof/>
            <w:webHidden/>
          </w:rPr>
          <w:t>142</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677" w:history="1">
        <w:r>
          <w:rPr>
            <w:rStyle w:val="Hyperlink"/>
            <w:noProof/>
          </w:rPr>
          <w:t>7.</w:t>
        </w:r>
        <w:r>
          <w:rPr>
            <w:rFonts w:asciiTheme="minorHAnsi" w:eastAsiaTheme="minorEastAsia" w:hAnsiTheme="minorHAnsi" w:cstheme="minorBidi"/>
            <w:noProof/>
            <w:sz w:val="22"/>
            <w:szCs w:val="22"/>
            <w:lang w:val="en-IE" w:eastAsia="en-IE"/>
          </w:rPr>
          <w:tab/>
        </w:r>
        <w:r>
          <w:rPr>
            <w:rStyle w:val="Hyperlink"/>
            <w:noProof/>
          </w:rPr>
          <w:t>Statistics</w:t>
        </w:r>
        <w:r>
          <w:rPr>
            <w:noProof/>
            <w:webHidden/>
          </w:rPr>
          <w:tab/>
        </w:r>
        <w:r>
          <w:rPr>
            <w:noProof/>
            <w:webHidden/>
          </w:rPr>
          <w:fldChar w:fldCharType="begin"/>
        </w:r>
        <w:r>
          <w:rPr>
            <w:noProof/>
            <w:webHidden/>
          </w:rPr>
          <w:instrText xml:space="preserve"> PAGEREF _Toc16000677 \h </w:instrText>
        </w:r>
        <w:r>
          <w:rPr>
            <w:noProof/>
            <w:webHidden/>
          </w:rPr>
        </w:r>
        <w:r>
          <w:rPr>
            <w:noProof/>
            <w:webHidden/>
          </w:rPr>
          <w:fldChar w:fldCharType="separate"/>
        </w:r>
        <w:r>
          <w:rPr>
            <w:noProof/>
            <w:webHidden/>
          </w:rPr>
          <w:t>142</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en-IE" w:eastAsia="en-IE"/>
        </w:rPr>
      </w:pPr>
      <w:hyperlink w:anchor="_Toc16000678" w:history="1">
        <w:r>
          <w:rPr>
            <w:rStyle w:val="Hyperlink"/>
            <w:b/>
            <w:noProof/>
          </w:rPr>
          <w:t>ANNUAL INFO SHEET ON THE IMPLEMENTATION OF THE EU-JORDAN ASSOCIATION AGREEMENT</w:t>
        </w:r>
        <w:r>
          <w:rPr>
            <w:noProof/>
            <w:webHidden/>
          </w:rPr>
          <w:tab/>
        </w:r>
        <w:r>
          <w:rPr>
            <w:noProof/>
            <w:webHidden/>
          </w:rPr>
          <w:fldChar w:fldCharType="begin"/>
        </w:r>
        <w:r>
          <w:rPr>
            <w:noProof/>
            <w:webHidden/>
          </w:rPr>
          <w:instrText xml:space="preserve"> PAGEREF _Toc16000678 \h </w:instrText>
        </w:r>
        <w:r>
          <w:rPr>
            <w:noProof/>
            <w:webHidden/>
          </w:rPr>
        </w:r>
        <w:r>
          <w:rPr>
            <w:noProof/>
            <w:webHidden/>
          </w:rPr>
          <w:fldChar w:fldCharType="separate"/>
        </w:r>
        <w:r>
          <w:rPr>
            <w:noProof/>
            <w:webHidden/>
          </w:rPr>
          <w:t>144</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679" w:history="1">
        <w:r>
          <w:rPr>
            <w:rStyle w:val="Hyperlink"/>
            <w:noProof/>
          </w:rPr>
          <w:t>1.</w:t>
        </w:r>
        <w:r>
          <w:rPr>
            <w:rFonts w:asciiTheme="minorHAnsi" w:eastAsiaTheme="minorEastAsia" w:hAnsiTheme="minorHAnsi" w:cstheme="minorBidi"/>
            <w:noProof/>
            <w:sz w:val="22"/>
            <w:szCs w:val="22"/>
            <w:lang w:val="en-IE" w:eastAsia="en-IE"/>
          </w:rPr>
          <w:tab/>
        </w:r>
        <w:r>
          <w:rPr>
            <w:rStyle w:val="Hyperlink"/>
            <w:noProof/>
          </w:rPr>
          <w:t>Introduction</w:t>
        </w:r>
        <w:r>
          <w:rPr>
            <w:noProof/>
            <w:webHidden/>
          </w:rPr>
          <w:tab/>
        </w:r>
        <w:r>
          <w:rPr>
            <w:noProof/>
            <w:webHidden/>
          </w:rPr>
          <w:fldChar w:fldCharType="begin"/>
        </w:r>
        <w:r>
          <w:rPr>
            <w:noProof/>
            <w:webHidden/>
          </w:rPr>
          <w:instrText xml:space="preserve"> PAGEREF _Toc16000679 \h </w:instrText>
        </w:r>
        <w:r>
          <w:rPr>
            <w:noProof/>
            <w:webHidden/>
          </w:rPr>
        </w:r>
        <w:r>
          <w:rPr>
            <w:noProof/>
            <w:webHidden/>
          </w:rPr>
          <w:fldChar w:fldCharType="separate"/>
        </w:r>
        <w:r>
          <w:rPr>
            <w:noProof/>
            <w:webHidden/>
          </w:rPr>
          <w:t>144</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680" w:history="1">
        <w:r>
          <w:rPr>
            <w:rStyle w:val="Hyperlink"/>
            <w:noProof/>
          </w:rPr>
          <w:t>2.</w:t>
        </w:r>
        <w:r>
          <w:rPr>
            <w:rFonts w:asciiTheme="minorHAnsi" w:eastAsiaTheme="minorEastAsia" w:hAnsiTheme="minorHAnsi" w:cstheme="minorBidi"/>
            <w:noProof/>
            <w:sz w:val="22"/>
            <w:szCs w:val="22"/>
            <w:lang w:val="en-IE" w:eastAsia="en-IE"/>
          </w:rPr>
          <w:tab/>
        </w:r>
        <w:r>
          <w:rPr>
            <w:rStyle w:val="Hyperlink"/>
            <w:noProof/>
          </w:rPr>
          <w:t>Evolution of trade</w:t>
        </w:r>
        <w:r>
          <w:rPr>
            <w:noProof/>
            <w:webHidden/>
          </w:rPr>
          <w:tab/>
        </w:r>
        <w:r>
          <w:rPr>
            <w:noProof/>
            <w:webHidden/>
          </w:rPr>
          <w:fldChar w:fldCharType="begin"/>
        </w:r>
        <w:r>
          <w:rPr>
            <w:noProof/>
            <w:webHidden/>
          </w:rPr>
          <w:instrText xml:space="preserve"> PAGEREF _Toc16000680 \h </w:instrText>
        </w:r>
        <w:r>
          <w:rPr>
            <w:noProof/>
            <w:webHidden/>
          </w:rPr>
        </w:r>
        <w:r>
          <w:rPr>
            <w:noProof/>
            <w:webHidden/>
          </w:rPr>
          <w:fldChar w:fldCharType="separate"/>
        </w:r>
        <w:r>
          <w:rPr>
            <w:noProof/>
            <w:webHidden/>
          </w:rPr>
          <w:t>144</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en-IE" w:eastAsia="en-IE"/>
        </w:rPr>
      </w:pPr>
      <w:hyperlink w:anchor="_Toc16000681" w:history="1">
        <w:r>
          <w:rPr>
            <w:rStyle w:val="Hyperlink"/>
            <w:noProof/>
          </w:rPr>
          <w:t>2.1.</w:t>
        </w:r>
        <w:r>
          <w:rPr>
            <w:rFonts w:asciiTheme="minorHAnsi" w:eastAsiaTheme="minorEastAsia" w:hAnsiTheme="minorHAnsi" w:cstheme="minorBidi"/>
            <w:noProof/>
            <w:sz w:val="22"/>
            <w:szCs w:val="22"/>
            <w:lang w:val="en-IE" w:eastAsia="en-IE"/>
          </w:rPr>
          <w:tab/>
        </w:r>
        <w:r>
          <w:rPr>
            <w:rStyle w:val="Hyperlink"/>
            <w:noProof/>
          </w:rPr>
          <w:t>Trade in Goods</w:t>
        </w:r>
        <w:r>
          <w:rPr>
            <w:noProof/>
            <w:webHidden/>
          </w:rPr>
          <w:tab/>
        </w:r>
        <w:r>
          <w:rPr>
            <w:noProof/>
            <w:webHidden/>
          </w:rPr>
          <w:fldChar w:fldCharType="begin"/>
        </w:r>
        <w:r>
          <w:rPr>
            <w:noProof/>
            <w:webHidden/>
          </w:rPr>
          <w:instrText xml:space="preserve"> PAGEREF _Toc16000681 \h </w:instrText>
        </w:r>
        <w:r>
          <w:rPr>
            <w:noProof/>
            <w:webHidden/>
          </w:rPr>
        </w:r>
        <w:r>
          <w:rPr>
            <w:noProof/>
            <w:webHidden/>
          </w:rPr>
          <w:fldChar w:fldCharType="separate"/>
        </w:r>
        <w:r>
          <w:rPr>
            <w:noProof/>
            <w:webHidden/>
          </w:rPr>
          <w:t>144</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en-IE" w:eastAsia="en-IE"/>
        </w:rPr>
      </w:pPr>
      <w:hyperlink w:anchor="_Toc16000682" w:history="1">
        <w:r>
          <w:rPr>
            <w:rStyle w:val="Hyperlink"/>
            <w:noProof/>
          </w:rPr>
          <w:t>2.2.</w:t>
        </w:r>
        <w:r>
          <w:rPr>
            <w:rFonts w:asciiTheme="minorHAnsi" w:eastAsiaTheme="minorEastAsia" w:hAnsiTheme="minorHAnsi" w:cstheme="minorBidi"/>
            <w:noProof/>
            <w:sz w:val="22"/>
            <w:szCs w:val="22"/>
            <w:lang w:val="en-IE" w:eastAsia="en-IE"/>
          </w:rPr>
          <w:tab/>
        </w:r>
        <w:r>
          <w:rPr>
            <w:rStyle w:val="Hyperlink"/>
            <w:noProof/>
          </w:rPr>
          <w:t>Trade in agricultural goods</w:t>
        </w:r>
        <w:r>
          <w:rPr>
            <w:noProof/>
            <w:webHidden/>
          </w:rPr>
          <w:tab/>
        </w:r>
        <w:r>
          <w:rPr>
            <w:noProof/>
            <w:webHidden/>
          </w:rPr>
          <w:fldChar w:fldCharType="begin"/>
        </w:r>
        <w:r>
          <w:rPr>
            <w:noProof/>
            <w:webHidden/>
          </w:rPr>
          <w:instrText xml:space="preserve"> PAGEREF _Toc16000682 \h </w:instrText>
        </w:r>
        <w:r>
          <w:rPr>
            <w:noProof/>
            <w:webHidden/>
          </w:rPr>
        </w:r>
        <w:r>
          <w:rPr>
            <w:noProof/>
            <w:webHidden/>
          </w:rPr>
          <w:fldChar w:fldCharType="separate"/>
        </w:r>
        <w:r>
          <w:rPr>
            <w:noProof/>
            <w:webHidden/>
          </w:rPr>
          <w:t>145</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en-IE" w:eastAsia="en-IE"/>
        </w:rPr>
      </w:pPr>
      <w:hyperlink w:anchor="_Toc16000683" w:history="1">
        <w:r>
          <w:rPr>
            <w:rStyle w:val="Hyperlink"/>
            <w:noProof/>
          </w:rPr>
          <w:t>2.3.</w:t>
        </w:r>
        <w:r>
          <w:rPr>
            <w:rFonts w:asciiTheme="minorHAnsi" w:eastAsiaTheme="minorEastAsia" w:hAnsiTheme="minorHAnsi" w:cstheme="minorBidi"/>
            <w:noProof/>
            <w:sz w:val="22"/>
            <w:szCs w:val="22"/>
            <w:lang w:val="en-IE" w:eastAsia="en-IE"/>
          </w:rPr>
          <w:tab/>
        </w:r>
        <w:r>
          <w:rPr>
            <w:rStyle w:val="Hyperlink"/>
            <w:noProof/>
          </w:rPr>
          <w:t>Trade in Services and Investment</w:t>
        </w:r>
        <w:r>
          <w:rPr>
            <w:noProof/>
            <w:webHidden/>
          </w:rPr>
          <w:tab/>
        </w:r>
        <w:r>
          <w:rPr>
            <w:noProof/>
            <w:webHidden/>
          </w:rPr>
          <w:fldChar w:fldCharType="begin"/>
        </w:r>
        <w:r>
          <w:rPr>
            <w:noProof/>
            <w:webHidden/>
          </w:rPr>
          <w:instrText xml:space="preserve"> PAGEREF _Toc16000683 \h </w:instrText>
        </w:r>
        <w:r>
          <w:rPr>
            <w:noProof/>
            <w:webHidden/>
          </w:rPr>
        </w:r>
        <w:r>
          <w:rPr>
            <w:noProof/>
            <w:webHidden/>
          </w:rPr>
          <w:fldChar w:fldCharType="separate"/>
        </w:r>
        <w:r>
          <w:rPr>
            <w:noProof/>
            <w:webHidden/>
          </w:rPr>
          <w:t>145</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684" w:history="1">
        <w:r>
          <w:rPr>
            <w:rStyle w:val="Hyperlink"/>
            <w:noProof/>
          </w:rPr>
          <w:t>3.</w:t>
        </w:r>
        <w:r>
          <w:rPr>
            <w:rFonts w:asciiTheme="minorHAnsi" w:eastAsiaTheme="minorEastAsia" w:hAnsiTheme="minorHAnsi" w:cstheme="minorBidi"/>
            <w:noProof/>
            <w:sz w:val="22"/>
            <w:szCs w:val="22"/>
            <w:lang w:val="en-IE" w:eastAsia="en-IE"/>
          </w:rPr>
          <w:tab/>
        </w:r>
        <w:r>
          <w:rPr>
            <w:rStyle w:val="Hyperlink"/>
            <w:noProof/>
          </w:rPr>
          <w:t>Issues addressed in the Annual (Joint Committee/Trade Committee) meeting</w:t>
        </w:r>
        <w:r>
          <w:rPr>
            <w:noProof/>
            <w:webHidden/>
          </w:rPr>
          <w:tab/>
        </w:r>
        <w:r>
          <w:rPr>
            <w:noProof/>
            <w:webHidden/>
          </w:rPr>
          <w:fldChar w:fldCharType="begin"/>
        </w:r>
        <w:r>
          <w:rPr>
            <w:noProof/>
            <w:webHidden/>
          </w:rPr>
          <w:instrText xml:space="preserve"> PAGEREF _Toc16000684 \h </w:instrText>
        </w:r>
        <w:r>
          <w:rPr>
            <w:noProof/>
            <w:webHidden/>
          </w:rPr>
        </w:r>
        <w:r>
          <w:rPr>
            <w:noProof/>
            <w:webHidden/>
          </w:rPr>
          <w:fldChar w:fldCharType="separate"/>
        </w:r>
        <w:r>
          <w:rPr>
            <w:noProof/>
            <w:webHidden/>
          </w:rPr>
          <w:t>146</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685" w:history="1">
        <w:r>
          <w:rPr>
            <w:rStyle w:val="Hyperlink"/>
            <w:noProof/>
          </w:rPr>
          <w:t>4.</w:t>
        </w:r>
        <w:r>
          <w:rPr>
            <w:rFonts w:asciiTheme="minorHAnsi" w:eastAsiaTheme="minorEastAsia" w:hAnsiTheme="minorHAnsi" w:cstheme="minorBidi"/>
            <w:noProof/>
            <w:sz w:val="22"/>
            <w:szCs w:val="22"/>
            <w:lang w:val="en-IE" w:eastAsia="en-IE"/>
          </w:rPr>
          <w:tab/>
        </w:r>
        <w:r>
          <w:rPr>
            <w:rStyle w:val="Hyperlink"/>
            <w:noProof/>
          </w:rPr>
          <w:t>Specific areas of importance</w:t>
        </w:r>
        <w:r>
          <w:rPr>
            <w:noProof/>
            <w:webHidden/>
          </w:rPr>
          <w:tab/>
        </w:r>
        <w:r>
          <w:rPr>
            <w:noProof/>
            <w:webHidden/>
          </w:rPr>
          <w:fldChar w:fldCharType="begin"/>
        </w:r>
        <w:r>
          <w:rPr>
            <w:noProof/>
            <w:webHidden/>
          </w:rPr>
          <w:instrText xml:space="preserve"> PAGEREF _Toc16000685 \h </w:instrText>
        </w:r>
        <w:r>
          <w:rPr>
            <w:noProof/>
            <w:webHidden/>
          </w:rPr>
        </w:r>
        <w:r>
          <w:rPr>
            <w:noProof/>
            <w:webHidden/>
          </w:rPr>
          <w:fldChar w:fldCharType="separate"/>
        </w:r>
        <w:r>
          <w:rPr>
            <w:noProof/>
            <w:webHidden/>
          </w:rPr>
          <w:t>146</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686" w:history="1">
        <w:r>
          <w:rPr>
            <w:rStyle w:val="Hyperlink"/>
            <w:noProof/>
          </w:rPr>
          <w:t>5.</w:t>
        </w:r>
        <w:r>
          <w:rPr>
            <w:rFonts w:asciiTheme="minorHAnsi" w:eastAsiaTheme="minorEastAsia" w:hAnsiTheme="minorHAnsi" w:cstheme="minorBidi"/>
            <w:noProof/>
            <w:sz w:val="22"/>
            <w:szCs w:val="22"/>
            <w:lang w:val="en-IE" w:eastAsia="en-IE"/>
          </w:rPr>
          <w:tab/>
        </w:r>
        <w:r>
          <w:rPr>
            <w:rStyle w:val="Hyperlink"/>
            <w:noProof/>
          </w:rPr>
          <w:t>Progress made, main open issues and follow-up actions</w:t>
        </w:r>
        <w:r>
          <w:rPr>
            <w:noProof/>
            <w:webHidden/>
          </w:rPr>
          <w:tab/>
        </w:r>
        <w:r>
          <w:rPr>
            <w:noProof/>
            <w:webHidden/>
          </w:rPr>
          <w:fldChar w:fldCharType="begin"/>
        </w:r>
        <w:r>
          <w:rPr>
            <w:noProof/>
            <w:webHidden/>
          </w:rPr>
          <w:instrText xml:space="preserve"> PAGEREF _Toc16000686 \h </w:instrText>
        </w:r>
        <w:r>
          <w:rPr>
            <w:noProof/>
            <w:webHidden/>
          </w:rPr>
        </w:r>
        <w:r>
          <w:rPr>
            <w:noProof/>
            <w:webHidden/>
          </w:rPr>
          <w:fldChar w:fldCharType="separate"/>
        </w:r>
        <w:r>
          <w:rPr>
            <w:noProof/>
            <w:webHidden/>
          </w:rPr>
          <w:t>148</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687" w:history="1">
        <w:r>
          <w:rPr>
            <w:rStyle w:val="Hyperlink"/>
            <w:noProof/>
          </w:rPr>
          <w:t>6.</w:t>
        </w:r>
        <w:r>
          <w:rPr>
            <w:rFonts w:asciiTheme="minorHAnsi" w:eastAsiaTheme="minorEastAsia" w:hAnsiTheme="minorHAnsi" w:cstheme="minorBidi"/>
            <w:noProof/>
            <w:sz w:val="22"/>
            <w:szCs w:val="22"/>
            <w:lang w:val="en-IE" w:eastAsia="en-IE"/>
          </w:rPr>
          <w:tab/>
        </w:r>
        <w:r>
          <w:rPr>
            <w:rStyle w:val="Hyperlink"/>
            <w:noProof/>
          </w:rPr>
          <w:t>Conclusions and outlook</w:t>
        </w:r>
        <w:r>
          <w:rPr>
            <w:noProof/>
            <w:webHidden/>
          </w:rPr>
          <w:tab/>
        </w:r>
        <w:r>
          <w:rPr>
            <w:noProof/>
            <w:webHidden/>
          </w:rPr>
          <w:fldChar w:fldCharType="begin"/>
        </w:r>
        <w:r>
          <w:rPr>
            <w:noProof/>
            <w:webHidden/>
          </w:rPr>
          <w:instrText xml:space="preserve"> PAGEREF _Toc16000687 \h </w:instrText>
        </w:r>
        <w:r>
          <w:rPr>
            <w:noProof/>
            <w:webHidden/>
          </w:rPr>
        </w:r>
        <w:r>
          <w:rPr>
            <w:noProof/>
            <w:webHidden/>
          </w:rPr>
          <w:fldChar w:fldCharType="separate"/>
        </w:r>
        <w:r>
          <w:rPr>
            <w:noProof/>
            <w:webHidden/>
          </w:rPr>
          <w:t>148</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688" w:history="1">
        <w:r>
          <w:rPr>
            <w:rStyle w:val="Hyperlink"/>
            <w:noProof/>
          </w:rPr>
          <w:t>7.</w:t>
        </w:r>
        <w:r>
          <w:rPr>
            <w:rFonts w:asciiTheme="minorHAnsi" w:eastAsiaTheme="minorEastAsia" w:hAnsiTheme="minorHAnsi" w:cstheme="minorBidi"/>
            <w:noProof/>
            <w:sz w:val="22"/>
            <w:szCs w:val="22"/>
            <w:lang w:val="en-IE" w:eastAsia="en-IE"/>
          </w:rPr>
          <w:tab/>
        </w:r>
        <w:r>
          <w:rPr>
            <w:rStyle w:val="Hyperlink"/>
            <w:noProof/>
          </w:rPr>
          <w:t>Statistics</w:t>
        </w:r>
        <w:r>
          <w:rPr>
            <w:noProof/>
            <w:webHidden/>
          </w:rPr>
          <w:tab/>
        </w:r>
        <w:r>
          <w:rPr>
            <w:noProof/>
            <w:webHidden/>
          </w:rPr>
          <w:fldChar w:fldCharType="begin"/>
        </w:r>
        <w:r>
          <w:rPr>
            <w:noProof/>
            <w:webHidden/>
          </w:rPr>
          <w:instrText xml:space="preserve"> PAGEREF _Toc16000688 \h </w:instrText>
        </w:r>
        <w:r>
          <w:rPr>
            <w:noProof/>
            <w:webHidden/>
          </w:rPr>
        </w:r>
        <w:r>
          <w:rPr>
            <w:noProof/>
            <w:webHidden/>
          </w:rPr>
          <w:fldChar w:fldCharType="separate"/>
        </w:r>
        <w:r>
          <w:rPr>
            <w:noProof/>
            <w:webHidden/>
          </w:rPr>
          <w:t>148</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en-IE" w:eastAsia="en-IE"/>
        </w:rPr>
      </w:pPr>
      <w:hyperlink w:anchor="_Toc16000689" w:history="1">
        <w:r>
          <w:rPr>
            <w:rStyle w:val="Hyperlink"/>
            <w:b/>
            <w:noProof/>
          </w:rPr>
          <w:t>ANNUAL INFO SHEET ON THE IMPLEMENTATION OF THE EU-LEBANON ASSOCIATION AGREEMENT</w:t>
        </w:r>
        <w:r>
          <w:rPr>
            <w:noProof/>
            <w:webHidden/>
          </w:rPr>
          <w:tab/>
        </w:r>
        <w:r>
          <w:rPr>
            <w:noProof/>
            <w:webHidden/>
          </w:rPr>
          <w:fldChar w:fldCharType="begin"/>
        </w:r>
        <w:r>
          <w:rPr>
            <w:noProof/>
            <w:webHidden/>
          </w:rPr>
          <w:instrText xml:space="preserve"> PAGEREF _Toc16000689 \h </w:instrText>
        </w:r>
        <w:r>
          <w:rPr>
            <w:noProof/>
            <w:webHidden/>
          </w:rPr>
        </w:r>
        <w:r>
          <w:rPr>
            <w:noProof/>
            <w:webHidden/>
          </w:rPr>
          <w:fldChar w:fldCharType="separate"/>
        </w:r>
        <w:r>
          <w:rPr>
            <w:noProof/>
            <w:webHidden/>
          </w:rPr>
          <w:t>151</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690" w:history="1">
        <w:r>
          <w:rPr>
            <w:rStyle w:val="Hyperlink"/>
            <w:noProof/>
          </w:rPr>
          <w:t>1.</w:t>
        </w:r>
        <w:r>
          <w:rPr>
            <w:rFonts w:asciiTheme="minorHAnsi" w:eastAsiaTheme="minorEastAsia" w:hAnsiTheme="minorHAnsi" w:cstheme="minorBidi"/>
            <w:noProof/>
            <w:sz w:val="22"/>
            <w:szCs w:val="22"/>
            <w:lang w:val="en-IE" w:eastAsia="en-IE"/>
          </w:rPr>
          <w:tab/>
        </w:r>
        <w:r>
          <w:rPr>
            <w:rStyle w:val="Hyperlink"/>
            <w:noProof/>
          </w:rPr>
          <w:t>Introduction</w:t>
        </w:r>
        <w:r>
          <w:rPr>
            <w:noProof/>
            <w:webHidden/>
          </w:rPr>
          <w:tab/>
        </w:r>
        <w:r>
          <w:rPr>
            <w:noProof/>
            <w:webHidden/>
          </w:rPr>
          <w:fldChar w:fldCharType="begin"/>
        </w:r>
        <w:r>
          <w:rPr>
            <w:noProof/>
            <w:webHidden/>
          </w:rPr>
          <w:instrText xml:space="preserve"> PAGEREF _Toc16000690 \h </w:instrText>
        </w:r>
        <w:r>
          <w:rPr>
            <w:noProof/>
            <w:webHidden/>
          </w:rPr>
        </w:r>
        <w:r>
          <w:rPr>
            <w:noProof/>
            <w:webHidden/>
          </w:rPr>
          <w:fldChar w:fldCharType="separate"/>
        </w:r>
        <w:r>
          <w:rPr>
            <w:noProof/>
            <w:webHidden/>
          </w:rPr>
          <w:t>151</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691" w:history="1">
        <w:r>
          <w:rPr>
            <w:rStyle w:val="Hyperlink"/>
            <w:noProof/>
          </w:rPr>
          <w:t>2.</w:t>
        </w:r>
        <w:r>
          <w:rPr>
            <w:rFonts w:asciiTheme="minorHAnsi" w:eastAsiaTheme="minorEastAsia" w:hAnsiTheme="minorHAnsi" w:cstheme="minorBidi"/>
            <w:noProof/>
            <w:sz w:val="22"/>
            <w:szCs w:val="22"/>
            <w:lang w:val="en-IE" w:eastAsia="en-IE"/>
          </w:rPr>
          <w:tab/>
        </w:r>
        <w:r>
          <w:rPr>
            <w:rStyle w:val="Hyperlink"/>
            <w:noProof/>
          </w:rPr>
          <w:t>Evolution of trade</w:t>
        </w:r>
        <w:r>
          <w:rPr>
            <w:noProof/>
            <w:webHidden/>
          </w:rPr>
          <w:tab/>
        </w:r>
        <w:r>
          <w:rPr>
            <w:noProof/>
            <w:webHidden/>
          </w:rPr>
          <w:fldChar w:fldCharType="begin"/>
        </w:r>
        <w:r>
          <w:rPr>
            <w:noProof/>
            <w:webHidden/>
          </w:rPr>
          <w:instrText xml:space="preserve"> PAGEREF _Toc16000691 \h </w:instrText>
        </w:r>
        <w:r>
          <w:rPr>
            <w:noProof/>
            <w:webHidden/>
          </w:rPr>
        </w:r>
        <w:r>
          <w:rPr>
            <w:noProof/>
            <w:webHidden/>
          </w:rPr>
          <w:fldChar w:fldCharType="separate"/>
        </w:r>
        <w:r>
          <w:rPr>
            <w:noProof/>
            <w:webHidden/>
          </w:rPr>
          <w:t>151</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692" w:history="1">
        <w:r>
          <w:rPr>
            <w:rStyle w:val="Hyperlink"/>
            <w:noProof/>
          </w:rPr>
          <w:t>2.1 Trade in Goods</w:t>
        </w:r>
        <w:r>
          <w:rPr>
            <w:noProof/>
            <w:webHidden/>
          </w:rPr>
          <w:tab/>
        </w:r>
        <w:r>
          <w:rPr>
            <w:noProof/>
            <w:webHidden/>
          </w:rPr>
          <w:fldChar w:fldCharType="begin"/>
        </w:r>
        <w:r>
          <w:rPr>
            <w:noProof/>
            <w:webHidden/>
          </w:rPr>
          <w:instrText xml:space="preserve"> PAGEREF _Toc16000692 \h </w:instrText>
        </w:r>
        <w:r>
          <w:rPr>
            <w:noProof/>
            <w:webHidden/>
          </w:rPr>
        </w:r>
        <w:r>
          <w:rPr>
            <w:noProof/>
            <w:webHidden/>
          </w:rPr>
          <w:fldChar w:fldCharType="separate"/>
        </w:r>
        <w:r>
          <w:rPr>
            <w:noProof/>
            <w:webHidden/>
          </w:rPr>
          <w:t>151</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693" w:history="1">
        <w:r>
          <w:rPr>
            <w:rStyle w:val="Hyperlink"/>
            <w:noProof/>
          </w:rPr>
          <w:t>2.2 Trade in agricultural goods</w:t>
        </w:r>
        <w:r>
          <w:rPr>
            <w:noProof/>
            <w:webHidden/>
          </w:rPr>
          <w:tab/>
        </w:r>
        <w:r>
          <w:rPr>
            <w:noProof/>
            <w:webHidden/>
          </w:rPr>
          <w:fldChar w:fldCharType="begin"/>
        </w:r>
        <w:r>
          <w:rPr>
            <w:noProof/>
            <w:webHidden/>
          </w:rPr>
          <w:instrText xml:space="preserve"> PAGEREF _Toc16000693 \h </w:instrText>
        </w:r>
        <w:r>
          <w:rPr>
            <w:noProof/>
            <w:webHidden/>
          </w:rPr>
        </w:r>
        <w:r>
          <w:rPr>
            <w:noProof/>
            <w:webHidden/>
          </w:rPr>
          <w:fldChar w:fldCharType="separate"/>
        </w:r>
        <w:r>
          <w:rPr>
            <w:noProof/>
            <w:webHidden/>
          </w:rPr>
          <w:t>152</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694" w:history="1">
        <w:r>
          <w:rPr>
            <w:rStyle w:val="Hyperlink"/>
            <w:noProof/>
          </w:rPr>
          <w:t>2.3 Trade in Services and Foreign Direct Investment (FDI)</w:t>
        </w:r>
        <w:r>
          <w:rPr>
            <w:noProof/>
            <w:webHidden/>
          </w:rPr>
          <w:tab/>
        </w:r>
        <w:r>
          <w:rPr>
            <w:noProof/>
            <w:webHidden/>
          </w:rPr>
          <w:fldChar w:fldCharType="begin"/>
        </w:r>
        <w:r>
          <w:rPr>
            <w:noProof/>
            <w:webHidden/>
          </w:rPr>
          <w:instrText xml:space="preserve"> PAGEREF _Toc16000694 \h </w:instrText>
        </w:r>
        <w:r>
          <w:rPr>
            <w:noProof/>
            <w:webHidden/>
          </w:rPr>
        </w:r>
        <w:r>
          <w:rPr>
            <w:noProof/>
            <w:webHidden/>
          </w:rPr>
          <w:fldChar w:fldCharType="separate"/>
        </w:r>
        <w:r>
          <w:rPr>
            <w:noProof/>
            <w:webHidden/>
          </w:rPr>
          <w:t>152</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695" w:history="1">
        <w:r>
          <w:rPr>
            <w:rStyle w:val="Hyperlink"/>
            <w:noProof/>
          </w:rPr>
          <w:t>3.</w:t>
        </w:r>
        <w:r>
          <w:rPr>
            <w:rFonts w:asciiTheme="minorHAnsi" w:eastAsiaTheme="minorEastAsia" w:hAnsiTheme="minorHAnsi" w:cstheme="minorBidi"/>
            <w:noProof/>
            <w:sz w:val="22"/>
            <w:szCs w:val="22"/>
            <w:lang w:val="en-IE" w:eastAsia="en-IE"/>
          </w:rPr>
          <w:tab/>
        </w:r>
        <w:r>
          <w:rPr>
            <w:rStyle w:val="Hyperlink"/>
            <w:noProof/>
          </w:rPr>
          <w:t>Issues addressed in the Annual Joint Committee meetings</w:t>
        </w:r>
        <w:r>
          <w:rPr>
            <w:noProof/>
            <w:webHidden/>
          </w:rPr>
          <w:tab/>
        </w:r>
        <w:r>
          <w:rPr>
            <w:noProof/>
            <w:webHidden/>
          </w:rPr>
          <w:fldChar w:fldCharType="begin"/>
        </w:r>
        <w:r>
          <w:rPr>
            <w:noProof/>
            <w:webHidden/>
          </w:rPr>
          <w:instrText xml:space="preserve"> PAGEREF _Toc16000695 \h </w:instrText>
        </w:r>
        <w:r>
          <w:rPr>
            <w:noProof/>
            <w:webHidden/>
          </w:rPr>
        </w:r>
        <w:r>
          <w:rPr>
            <w:noProof/>
            <w:webHidden/>
          </w:rPr>
          <w:fldChar w:fldCharType="separate"/>
        </w:r>
        <w:r>
          <w:rPr>
            <w:noProof/>
            <w:webHidden/>
          </w:rPr>
          <w:t>153</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696" w:history="1">
        <w:r>
          <w:rPr>
            <w:rStyle w:val="Hyperlink"/>
            <w:noProof/>
          </w:rPr>
          <w:t>4.</w:t>
        </w:r>
        <w:r>
          <w:rPr>
            <w:rFonts w:asciiTheme="minorHAnsi" w:eastAsiaTheme="minorEastAsia" w:hAnsiTheme="minorHAnsi" w:cstheme="minorBidi"/>
            <w:noProof/>
            <w:sz w:val="22"/>
            <w:szCs w:val="22"/>
            <w:lang w:val="en-IE" w:eastAsia="en-IE"/>
          </w:rPr>
          <w:tab/>
        </w:r>
        <w:r>
          <w:rPr>
            <w:rStyle w:val="Hyperlink"/>
            <w:noProof/>
          </w:rPr>
          <w:t>Specific areas of importance</w:t>
        </w:r>
        <w:r>
          <w:rPr>
            <w:noProof/>
            <w:webHidden/>
          </w:rPr>
          <w:tab/>
        </w:r>
        <w:r>
          <w:rPr>
            <w:noProof/>
            <w:webHidden/>
          </w:rPr>
          <w:fldChar w:fldCharType="begin"/>
        </w:r>
        <w:r>
          <w:rPr>
            <w:noProof/>
            <w:webHidden/>
          </w:rPr>
          <w:instrText xml:space="preserve"> PAGEREF _Toc16000696 \h </w:instrText>
        </w:r>
        <w:r>
          <w:rPr>
            <w:noProof/>
            <w:webHidden/>
          </w:rPr>
        </w:r>
        <w:r>
          <w:rPr>
            <w:noProof/>
            <w:webHidden/>
          </w:rPr>
          <w:fldChar w:fldCharType="separate"/>
        </w:r>
        <w:r>
          <w:rPr>
            <w:noProof/>
            <w:webHidden/>
          </w:rPr>
          <w:t>154</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697" w:history="1">
        <w:r>
          <w:rPr>
            <w:rStyle w:val="Hyperlink"/>
            <w:noProof/>
          </w:rPr>
          <w:t>5.</w:t>
        </w:r>
        <w:r>
          <w:rPr>
            <w:rFonts w:asciiTheme="minorHAnsi" w:eastAsiaTheme="minorEastAsia" w:hAnsiTheme="minorHAnsi" w:cstheme="minorBidi"/>
            <w:noProof/>
            <w:sz w:val="22"/>
            <w:szCs w:val="22"/>
            <w:lang w:val="en-IE" w:eastAsia="en-IE"/>
          </w:rPr>
          <w:tab/>
        </w:r>
        <w:r>
          <w:rPr>
            <w:rStyle w:val="Hyperlink"/>
            <w:noProof/>
          </w:rPr>
          <w:t>Progress made, main open issues and follow-up actions</w:t>
        </w:r>
        <w:r>
          <w:rPr>
            <w:noProof/>
            <w:webHidden/>
          </w:rPr>
          <w:tab/>
        </w:r>
        <w:r>
          <w:rPr>
            <w:noProof/>
            <w:webHidden/>
          </w:rPr>
          <w:fldChar w:fldCharType="begin"/>
        </w:r>
        <w:r>
          <w:rPr>
            <w:noProof/>
            <w:webHidden/>
          </w:rPr>
          <w:instrText xml:space="preserve"> PAGEREF _Toc16000697 \h </w:instrText>
        </w:r>
        <w:r>
          <w:rPr>
            <w:noProof/>
            <w:webHidden/>
          </w:rPr>
        </w:r>
        <w:r>
          <w:rPr>
            <w:noProof/>
            <w:webHidden/>
          </w:rPr>
          <w:fldChar w:fldCharType="separate"/>
        </w:r>
        <w:r>
          <w:rPr>
            <w:noProof/>
            <w:webHidden/>
          </w:rPr>
          <w:t>154</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698" w:history="1">
        <w:r>
          <w:rPr>
            <w:rStyle w:val="Hyperlink"/>
            <w:noProof/>
          </w:rPr>
          <w:t>6.</w:t>
        </w:r>
        <w:r>
          <w:rPr>
            <w:rFonts w:asciiTheme="minorHAnsi" w:eastAsiaTheme="minorEastAsia" w:hAnsiTheme="minorHAnsi" w:cstheme="minorBidi"/>
            <w:noProof/>
            <w:sz w:val="22"/>
            <w:szCs w:val="22"/>
            <w:lang w:val="en-IE" w:eastAsia="en-IE"/>
          </w:rPr>
          <w:tab/>
        </w:r>
        <w:r>
          <w:rPr>
            <w:rStyle w:val="Hyperlink"/>
            <w:noProof/>
          </w:rPr>
          <w:t>Conclusions and outlook</w:t>
        </w:r>
        <w:r>
          <w:rPr>
            <w:noProof/>
            <w:webHidden/>
          </w:rPr>
          <w:tab/>
        </w:r>
        <w:r>
          <w:rPr>
            <w:noProof/>
            <w:webHidden/>
          </w:rPr>
          <w:fldChar w:fldCharType="begin"/>
        </w:r>
        <w:r>
          <w:rPr>
            <w:noProof/>
            <w:webHidden/>
          </w:rPr>
          <w:instrText xml:space="preserve"> PAGEREF _Toc16000698 \h </w:instrText>
        </w:r>
        <w:r>
          <w:rPr>
            <w:noProof/>
            <w:webHidden/>
          </w:rPr>
        </w:r>
        <w:r>
          <w:rPr>
            <w:noProof/>
            <w:webHidden/>
          </w:rPr>
          <w:fldChar w:fldCharType="separate"/>
        </w:r>
        <w:r>
          <w:rPr>
            <w:noProof/>
            <w:webHidden/>
          </w:rPr>
          <w:t>155</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699" w:history="1">
        <w:r>
          <w:rPr>
            <w:rStyle w:val="Hyperlink"/>
            <w:noProof/>
          </w:rPr>
          <w:t>7.</w:t>
        </w:r>
        <w:r>
          <w:rPr>
            <w:rFonts w:asciiTheme="minorHAnsi" w:eastAsiaTheme="minorEastAsia" w:hAnsiTheme="minorHAnsi" w:cstheme="minorBidi"/>
            <w:noProof/>
            <w:sz w:val="22"/>
            <w:szCs w:val="22"/>
            <w:lang w:val="en-IE" w:eastAsia="en-IE"/>
          </w:rPr>
          <w:tab/>
        </w:r>
        <w:r>
          <w:rPr>
            <w:rStyle w:val="Hyperlink"/>
            <w:noProof/>
          </w:rPr>
          <w:t>Statistics</w:t>
        </w:r>
        <w:r>
          <w:rPr>
            <w:noProof/>
            <w:webHidden/>
          </w:rPr>
          <w:tab/>
        </w:r>
        <w:r>
          <w:rPr>
            <w:noProof/>
            <w:webHidden/>
          </w:rPr>
          <w:fldChar w:fldCharType="begin"/>
        </w:r>
        <w:r>
          <w:rPr>
            <w:noProof/>
            <w:webHidden/>
          </w:rPr>
          <w:instrText xml:space="preserve"> PAGEREF _Toc16000699 \h </w:instrText>
        </w:r>
        <w:r>
          <w:rPr>
            <w:noProof/>
            <w:webHidden/>
          </w:rPr>
        </w:r>
        <w:r>
          <w:rPr>
            <w:noProof/>
            <w:webHidden/>
          </w:rPr>
          <w:fldChar w:fldCharType="separate"/>
        </w:r>
        <w:r>
          <w:rPr>
            <w:noProof/>
            <w:webHidden/>
          </w:rPr>
          <w:t>155</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en-IE" w:eastAsia="en-IE"/>
        </w:rPr>
      </w:pPr>
      <w:hyperlink w:anchor="_Toc16000700" w:history="1">
        <w:r>
          <w:rPr>
            <w:rStyle w:val="Hyperlink"/>
            <w:b/>
            <w:noProof/>
          </w:rPr>
          <w:t>ANNUAL INFO SHEET ON THE IMPLEMENTATION OF THE EU-MOROCCO ASSOCIATION AGREEMENT</w:t>
        </w:r>
        <w:r>
          <w:rPr>
            <w:noProof/>
            <w:webHidden/>
          </w:rPr>
          <w:tab/>
        </w:r>
        <w:r>
          <w:rPr>
            <w:noProof/>
            <w:webHidden/>
          </w:rPr>
          <w:fldChar w:fldCharType="begin"/>
        </w:r>
        <w:r>
          <w:rPr>
            <w:noProof/>
            <w:webHidden/>
          </w:rPr>
          <w:instrText xml:space="preserve"> PAGEREF _Toc16000700 \h </w:instrText>
        </w:r>
        <w:r>
          <w:rPr>
            <w:noProof/>
            <w:webHidden/>
          </w:rPr>
        </w:r>
        <w:r>
          <w:rPr>
            <w:noProof/>
            <w:webHidden/>
          </w:rPr>
          <w:fldChar w:fldCharType="separate"/>
        </w:r>
        <w:r>
          <w:rPr>
            <w:noProof/>
            <w:webHidden/>
          </w:rPr>
          <w:t>157</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701" w:history="1">
        <w:r>
          <w:rPr>
            <w:rStyle w:val="Hyperlink"/>
            <w:noProof/>
          </w:rPr>
          <w:t>1.</w:t>
        </w:r>
        <w:r>
          <w:rPr>
            <w:rFonts w:asciiTheme="minorHAnsi" w:eastAsiaTheme="minorEastAsia" w:hAnsiTheme="minorHAnsi" w:cstheme="minorBidi"/>
            <w:noProof/>
            <w:sz w:val="22"/>
            <w:szCs w:val="22"/>
            <w:lang w:val="en-IE" w:eastAsia="en-IE"/>
          </w:rPr>
          <w:tab/>
        </w:r>
        <w:r>
          <w:rPr>
            <w:rStyle w:val="Hyperlink"/>
            <w:noProof/>
          </w:rPr>
          <w:t>Introduction</w:t>
        </w:r>
        <w:r>
          <w:rPr>
            <w:noProof/>
            <w:webHidden/>
          </w:rPr>
          <w:tab/>
        </w:r>
        <w:r>
          <w:rPr>
            <w:noProof/>
            <w:webHidden/>
          </w:rPr>
          <w:fldChar w:fldCharType="begin"/>
        </w:r>
        <w:r>
          <w:rPr>
            <w:noProof/>
            <w:webHidden/>
          </w:rPr>
          <w:instrText xml:space="preserve"> PAGEREF _Toc16000701 \h </w:instrText>
        </w:r>
        <w:r>
          <w:rPr>
            <w:noProof/>
            <w:webHidden/>
          </w:rPr>
        </w:r>
        <w:r>
          <w:rPr>
            <w:noProof/>
            <w:webHidden/>
          </w:rPr>
          <w:fldChar w:fldCharType="separate"/>
        </w:r>
        <w:r>
          <w:rPr>
            <w:noProof/>
            <w:webHidden/>
          </w:rPr>
          <w:t>157</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702" w:history="1">
        <w:r>
          <w:rPr>
            <w:rStyle w:val="Hyperlink"/>
            <w:noProof/>
          </w:rPr>
          <w:t>2.</w:t>
        </w:r>
        <w:r>
          <w:rPr>
            <w:rFonts w:asciiTheme="minorHAnsi" w:eastAsiaTheme="minorEastAsia" w:hAnsiTheme="minorHAnsi" w:cstheme="minorBidi"/>
            <w:noProof/>
            <w:sz w:val="22"/>
            <w:szCs w:val="22"/>
            <w:lang w:val="en-IE" w:eastAsia="en-IE"/>
          </w:rPr>
          <w:tab/>
        </w:r>
        <w:r>
          <w:rPr>
            <w:rStyle w:val="Hyperlink"/>
            <w:noProof/>
          </w:rPr>
          <w:t>Evolution of trade</w:t>
        </w:r>
        <w:r>
          <w:rPr>
            <w:noProof/>
            <w:webHidden/>
          </w:rPr>
          <w:tab/>
        </w:r>
        <w:r>
          <w:rPr>
            <w:noProof/>
            <w:webHidden/>
          </w:rPr>
          <w:fldChar w:fldCharType="begin"/>
        </w:r>
        <w:r>
          <w:rPr>
            <w:noProof/>
            <w:webHidden/>
          </w:rPr>
          <w:instrText xml:space="preserve"> PAGEREF _Toc16000702 \h </w:instrText>
        </w:r>
        <w:r>
          <w:rPr>
            <w:noProof/>
            <w:webHidden/>
          </w:rPr>
        </w:r>
        <w:r>
          <w:rPr>
            <w:noProof/>
            <w:webHidden/>
          </w:rPr>
          <w:fldChar w:fldCharType="separate"/>
        </w:r>
        <w:r>
          <w:rPr>
            <w:noProof/>
            <w:webHidden/>
          </w:rPr>
          <w:t>157</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703" w:history="1">
        <w:r>
          <w:rPr>
            <w:rStyle w:val="Hyperlink"/>
            <w:noProof/>
          </w:rPr>
          <w:t>2.1 Trade in Goods</w:t>
        </w:r>
        <w:r>
          <w:rPr>
            <w:noProof/>
            <w:webHidden/>
          </w:rPr>
          <w:tab/>
        </w:r>
        <w:r>
          <w:rPr>
            <w:noProof/>
            <w:webHidden/>
          </w:rPr>
          <w:fldChar w:fldCharType="begin"/>
        </w:r>
        <w:r>
          <w:rPr>
            <w:noProof/>
            <w:webHidden/>
          </w:rPr>
          <w:instrText xml:space="preserve"> PAGEREF _Toc16000703 \h </w:instrText>
        </w:r>
        <w:r>
          <w:rPr>
            <w:noProof/>
            <w:webHidden/>
          </w:rPr>
        </w:r>
        <w:r>
          <w:rPr>
            <w:noProof/>
            <w:webHidden/>
          </w:rPr>
          <w:fldChar w:fldCharType="separate"/>
        </w:r>
        <w:r>
          <w:rPr>
            <w:noProof/>
            <w:webHidden/>
          </w:rPr>
          <w:t>157</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704" w:history="1">
        <w:r>
          <w:rPr>
            <w:rStyle w:val="Hyperlink"/>
            <w:noProof/>
          </w:rPr>
          <w:t>2.2 Trade in agricultural goods</w:t>
        </w:r>
        <w:r>
          <w:rPr>
            <w:noProof/>
            <w:webHidden/>
          </w:rPr>
          <w:tab/>
        </w:r>
        <w:r>
          <w:rPr>
            <w:noProof/>
            <w:webHidden/>
          </w:rPr>
          <w:fldChar w:fldCharType="begin"/>
        </w:r>
        <w:r>
          <w:rPr>
            <w:noProof/>
            <w:webHidden/>
          </w:rPr>
          <w:instrText xml:space="preserve"> PAGEREF _Toc16000704 \h </w:instrText>
        </w:r>
        <w:r>
          <w:rPr>
            <w:noProof/>
            <w:webHidden/>
          </w:rPr>
        </w:r>
        <w:r>
          <w:rPr>
            <w:noProof/>
            <w:webHidden/>
          </w:rPr>
          <w:fldChar w:fldCharType="separate"/>
        </w:r>
        <w:r>
          <w:rPr>
            <w:noProof/>
            <w:webHidden/>
          </w:rPr>
          <w:t>158</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705" w:history="1">
        <w:r>
          <w:rPr>
            <w:rStyle w:val="Hyperlink"/>
            <w:noProof/>
          </w:rPr>
          <w:t>2.3 Trade in Services and Foreign Direct investment (FDIs)</w:t>
        </w:r>
        <w:r>
          <w:rPr>
            <w:noProof/>
            <w:webHidden/>
          </w:rPr>
          <w:tab/>
        </w:r>
        <w:r>
          <w:rPr>
            <w:noProof/>
            <w:webHidden/>
          </w:rPr>
          <w:fldChar w:fldCharType="begin"/>
        </w:r>
        <w:r>
          <w:rPr>
            <w:noProof/>
            <w:webHidden/>
          </w:rPr>
          <w:instrText xml:space="preserve"> PAGEREF _Toc16000705 \h </w:instrText>
        </w:r>
        <w:r>
          <w:rPr>
            <w:noProof/>
            <w:webHidden/>
          </w:rPr>
        </w:r>
        <w:r>
          <w:rPr>
            <w:noProof/>
            <w:webHidden/>
          </w:rPr>
          <w:fldChar w:fldCharType="separate"/>
        </w:r>
        <w:r>
          <w:rPr>
            <w:noProof/>
            <w:webHidden/>
          </w:rPr>
          <w:t>159</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706" w:history="1">
        <w:r>
          <w:rPr>
            <w:rStyle w:val="Hyperlink"/>
            <w:noProof/>
          </w:rPr>
          <w:t>3.</w:t>
        </w:r>
        <w:r>
          <w:rPr>
            <w:rFonts w:asciiTheme="minorHAnsi" w:eastAsiaTheme="minorEastAsia" w:hAnsiTheme="minorHAnsi" w:cstheme="minorBidi"/>
            <w:noProof/>
            <w:sz w:val="22"/>
            <w:szCs w:val="22"/>
            <w:lang w:val="en-IE" w:eastAsia="en-IE"/>
          </w:rPr>
          <w:tab/>
        </w:r>
        <w:r>
          <w:rPr>
            <w:rStyle w:val="Hyperlink"/>
            <w:noProof/>
          </w:rPr>
          <w:t>Issues addressed in the Joint Committee meetings</w:t>
        </w:r>
        <w:r>
          <w:rPr>
            <w:noProof/>
            <w:webHidden/>
          </w:rPr>
          <w:tab/>
        </w:r>
        <w:r>
          <w:rPr>
            <w:noProof/>
            <w:webHidden/>
          </w:rPr>
          <w:fldChar w:fldCharType="begin"/>
        </w:r>
        <w:r>
          <w:rPr>
            <w:noProof/>
            <w:webHidden/>
          </w:rPr>
          <w:instrText xml:space="preserve"> PAGEREF _Toc16000706 \h </w:instrText>
        </w:r>
        <w:r>
          <w:rPr>
            <w:noProof/>
            <w:webHidden/>
          </w:rPr>
        </w:r>
        <w:r>
          <w:rPr>
            <w:noProof/>
            <w:webHidden/>
          </w:rPr>
          <w:fldChar w:fldCharType="separate"/>
        </w:r>
        <w:r>
          <w:rPr>
            <w:noProof/>
            <w:webHidden/>
          </w:rPr>
          <w:t>159</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707" w:history="1">
        <w:r>
          <w:rPr>
            <w:rStyle w:val="Hyperlink"/>
            <w:noProof/>
          </w:rPr>
          <w:t>4.</w:t>
        </w:r>
        <w:r>
          <w:rPr>
            <w:rFonts w:asciiTheme="minorHAnsi" w:eastAsiaTheme="minorEastAsia" w:hAnsiTheme="minorHAnsi" w:cstheme="minorBidi"/>
            <w:noProof/>
            <w:sz w:val="22"/>
            <w:szCs w:val="22"/>
            <w:lang w:val="en-IE" w:eastAsia="en-IE"/>
          </w:rPr>
          <w:tab/>
        </w:r>
        <w:r>
          <w:rPr>
            <w:rStyle w:val="Hyperlink"/>
            <w:noProof/>
          </w:rPr>
          <w:t>Specific areas of importance</w:t>
        </w:r>
        <w:r>
          <w:rPr>
            <w:noProof/>
            <w:webHidden/>
          </w:rPr>
          <w:tab/>
        </w:r>
        <w:r>
          <w:rPr>
            <w:noProof/>
            <w:webHidden/>
          </w:rPr>
          <w:fldChar w:fldCharType="begin"/>
        </w:r>
        <w:r>
          <w:rPr>
            <w:noProof/>
            <w:webHidden/>
          </w:rPr>
          <w:instrText xml:space="preserve"> PAGEREF _Toc16000707 \h </w:instrText>
        </w:r>
        <w:r>
          <w:rPr>
            <w:noProof/>
            <w:webHidden/>
          </w:rPr>
        </w:r>
        <w:r>
          <w:rPr>
            <w:noProof/>
            <w:webHidden/>
          </w:rPr>
          <w:fldChar w:fldCharType="separate"/>
        </w:r>
        <w:r>
          <w:rPr>
            <w:noProof/>
            <w:webHidden/>
          </w:rPr>
          <w:t>159</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708" w:history="1">
        <w:r>
          <w:rPr>
            <w:rStyle w:val="Hyperlink"/>
            <w:noProof/>
          </w:rPr>
          <w:t>5.</w:t>
        </w:r>
        <w:r>
          <w:rPr>
            <w:rFonts w:asciiTheme="minorHAnsi" w:eastAsiaTheme="minorEastAsia" w:hAnsiTheme="minorHAnsi" w:cstheme="minorBidi"/>
            <w:noProof/>
            <w:sz w:val="22"/>
            <w:szCs w:val="22"/>
            <w:lang w:val="en-IE" w:eastAsia="en-IE"/>
          </w:rPr>
          <w:tab/>
        </w:r>
        <w:r>
          <w:rPr>
            <w:rStyle w:val="Hyperlink"/>
            <w:noProof/>
          </w:rPr>
          <w:t>Progress made, main open issues and follow-up actions</w:t>
        </w:r>
        <w:r>
          <w:rPr>
            <w:noProof/>
            <w:webHidden/>
          </w:rPr>
          <w:tab/>
        </w:r>
        <w:r>
          <w:rPr>
            <w:noProof/>
            <w:webHidden/>
          </w:rPr>
          <w:fldChar w:fldCharType="begin"/>
        </w:r>
        <w:r>
          <w:rPr>
            <w:noProof/>
            <w:webHidden/>
          </w:rPr>
          <w:instrText xml:space="preserve"> PAGEREF _Toc16000708 \h </w:instrText>
        </w:r>
        <w:r>
          <w:rPr>
            <w:noProof/>
            <w:webHidden/>
          </w:rPr>
        </w:r>
        <w:r>
          <w:rPr>
            <w:noProof/>
            <w:webHidden/>
          </w:rPr>
          <w:fldChar w:fldCharType="separate"/>
        </w:r>
        <w:r>
          <w:rPr>
            <w:noProof/>
            <w:webHidden/>
          </w:rPr>
          <w:t>160</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709" w:history="1">
        <w:r>
          <w:rPr>
            <w:rStyle w:val="Hyperlink"/>
            <w:noProof/>
          </w:rPr>
          <w:t>6.</w:t>
        </w:r>
        <w:r>
          <w:rPr>
            <w:rFonts w:asciiTheme="minorHAnsi" w:eastAsiaTheme="minorEastAsia" w:hAnsiTheme="minorHAnsi" w:cstheme="minorBidi"/>
            <w:noProof/>
            <w:sz w:val="22"/>
            <w:szCs w:val="22"/>
            <w:lang w:val="en-IE" w:eastAsia="en-IE"/>
          </w:rPr>
          <w:tab/>
        </w:r>
        <w:r>
          <w:rPr>
            <w:rStyle w:val="Hyperlink"/>
            <w:noProof/>
          </w:rPr>
          <w:t>Conclusions and outlook</w:t>
        </w:r>
        <w:r>
          <w:rPr>
            <w:noProof/>
            <w:webHidden/>
          </w:rPr>
          <w:tab/>
        </w:r>
        <w:r>
          <w:rPr>
            <w:noProof/>
            <w:webHidden/>
          </w:rPr>
          <w:fldChar w:fldCharType="begin"/>
        </w:r>
        <w:r>
          <w:rPr>
            <w:noProof/>
            <w:webHidden/>
          </w:rPr>
          <w:instrText xml:space="preserve"> PAGEREF _Toc16000709 \h </w:instrText>
        </w:r>
        <w:r>
          <w:rPr>
            <w:noProof/>
            <w:webHidden/>
          </w:rPr>
        </w:r>
        <w:r>
          <w:rPr>
            <w:noProof/>
            <w:webHidden/>
          </w:rPr>
          <w:fldChar w:fldCharType="separate"/>
        </w:r>
        <w:r>
          <w:rPr>
            <w:noProof/>
            <w:webHidden/>
          </w:rPr>
          <w:t>161</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710" w:history="1">
        <w:r>
          <w:rPr>
            <w:rStyle w:val="Hyperlink"/>
            <w:noProof/>
          </w:rPr>
          <w:t>7.</w:t>
        </w:r>
        <w:r>
          <w:rPr>
            <w:rFonts w:asciiTheme="minorHAnsi" w:eastAsiaTheme="minorEastAsia" w:hAnsiTheme="minorHAnsi" w:cstheme="minorBidi"/>
            <w:noProof/>
            <w:sz w:val="22"/>
            <w:szCs w:val="22"/>
            <w:lang w:val="en-IE" w:eastAsia="en-IE"/>
          </w:rPr>
          <w:tab/>
        </w:r>
        <w:r>
          <w:rPr>
            <w:rStyle w:val="Hyperlink"/>
            <w:noProof/>
          </w:rPr>
          <w:t>Statistics</w:t>
        </w:r>
        <w:r>
          <w:rPr>
            <w:noProof/>
            <w:webHidden/>
          </w:rPr>
          <w:tab/>
        </w:r>
        <w:r>
          <w:rPr>
            <w:noProof/>
            <w:webHidden/>
          </w:rPr>
          <w:fldChar w:fldCharType="begin"/>
        </w:r>
        <w:r>
          <w:rPr>
            <w:noProof/>
            <w:webHidden/>
          </w:rPr>
          <w:instrText xml:space="preserve"> PAGEREF _Toc16000710 \h </w:instrText>
        </w:r>
        <w:r>
          <w:rPr>
            <w:noProof/>
            <w:webHidden/>
          </w:rPr>
        </w:r>
        <w:r>
          <w:rPr>
            <w:noProof/>
            <w:webHidden/>
          </w:rPr>
          <w:fldChar w:fldCharType="separate"/>
        </w:r>
        <w:r>
          <w:rPr>
            <w:noProof/>
            <w:webHidden/>
          </w:rPr>
          <w:t>161</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en-IE" w:eastAsia="en-IE"/>
        </w:rPr>
      </w:pPr>
      <w:hyperlink w:anchor="_Toc16000711" w:history="1">
        <w:r>
          <w:rPr>
            <w:rStyle w:val="Hyperlink"/>
            <w:b/>
            <w:noProof/>
          </w:rPr>
          <w:t>ANNUAL INFO SHEET ON THE IMPLEMENTATION OF THE EU-PALESTINE INTERIM ASSOCIATION AGREEMENT</w:t>
        </w:r>
        <w:r>
          <w:rPr>
            <w:noProof/>
            <w:webHidden/>
          </w:rPr>
          <w:tab/>
        </w:r>
        <w:r>
          <w:rPr>
            <w:noProof/>
            <w:webHidden/>
          </w:rPr>
          <w:fldChar w:fldCharType="begin"/>
        </w:r>
        <w:r>
          <w:rPr>
            <w:noProof/>
            <w:webHidden/>
          </w:rPr>
          <w:instrText xml:space="preserve"> PAGEREF _Toc16000711 \h </w:instrText>
        </w:r>
        <w:r>
          <w:rPr>
            <w:noProof/>
            <w:webHidden/>
          </w:rPr>
        </w:r>
        <w:r>
          <w:rPr>
            <w:noProof/>
            <w:webHidden/>
          </w:rPr>
          <w:fldChar w:fldCharType="separate"/>
        </w:r>
        <w:r>
          <w:rPr>
            <w:noProof/>
            <w:webHidden/>
          </w:rPr>
          <w:t>163</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712" w:history="1">
        <w:r>
          <w:rPr>
            <w:rStyle w:val="Hyperlink"/>
            <w:noProof/>
          </w:rPr>
          <w:t>1.</w:t>
        </w:r>
        <w:r>
          <w:rPr>
            <w:rFonts w:asciiTheme="minorHAnsi" w:eastAsiaTheme="minorEastAsia" w:hAnsiTheme="minorHAnsi" w:cstheme="minorBidi"/>
            <w:noProof/>
            <w:sz w:val="22"/>
            <w:szCs w:val="22"/>
            <w:lang w:val="en-IE" w:eastAsia="en-IE"/>
          </w:rPr>
          <w:tab/>
        </w:r>
        <w:r>
          <w:rPr>
            <w:rStyle w:val="Hyperlink"/>
            <w:noProof/>
          </w:rPr>
          <w:t>Introduction</w:t>
        </w:r>
        <w:r>
          <w:rPr>
            <w:noProof/>
            <w:webHidden/>
          </w:rPr>
          <w:tab/>
        </w:r>
        <w:r>
          <w:rPr>
            <w:noProof/>
            <w:webHidden/>
          </w:rPr>
          <w:fldChar w:fldCharType="begin"/>
        </w:r>
        <w:r>
          <w:rPr>
            <w:noProof/>
            <w:webHidden/>
          </w:rPr>
          <w:instrText xml:space="preserve"> PAGEREF _Toc16000712 \h </w:instrText>
        </w:r>
        <w:r>
          <w:rPr>
            <w:noProof/>
            <w:webHidden/>
          </w:rPr>
        </w:r>
        <w:r>
          <w:rPr>
            <w:noProof/>
            <w:webHidden/>
          </w:rPr>
          <w:fldChar w:fldCharType="separate"/>
        </w:r>
        <w:r>
          <w:rPr>
            <w:noProof/>
            <w:webHidden/>
          </w:rPr>
          <w:t>163</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713" w:history="1">
        <w:r>
          <w:rPr>
            <w:rStyle w:val="Hyperlink"/>
            <w:noProof/>
          </w:rPr>
          <w:t>2.</w:t>
        </w:r>
        <w:r>
          <w:rPr>
            <w:rFonts w:asciiTheme="minorHAnsi" w:eastAsiaTheme="minorEastAsia" w:hAnsiTheme="minorHAnsi" w:cstheme="minorBidi"/>
            <w:noProof/>
            <w:sz w:val="22"/>
            <w:szCs w:val="22"/>
            <w:lang w:val="en-IE" w:eastAsia="en-IE"/>
          </w:rPr>
          <w:tab/>
        </w:r>
        <w:r>
          <w:rPr>
            <w:rStyle w:val="Hyperlink"/>
            <w:noProof/>
          </w:rPr>
          <w:t>Evolution of trade</w:t>
        </w:r>
        <w:r>
          <w:rPr>
            <w:noProof/>
            <w:webHidden/>
          </w:rPr>
          <w:tab/>
        </w:r>
        <w:r>
          <w:rPr>
            <w:noProof/>
            <w:webHidden/>
          </w:rPr>
          <w:fldChar w:fldCharType="begin"/>
        </w:r>
        <w:r>
          <w:rPr>
            <w:noProof/>
            <w:webHidden/>
          </w:rPr>
          <w:instrText xml:space="preserve"> PAGEREF _Toc16000713 \h </w:instrText>
        </w:r>
        <w:r>
          <w:rPr>
            <w:noProof/>
            <w:webHidden/>
          </w:rPr>
        </w:r>
        <w:r>
          <w:rPr>
            <w:noProof/>
            <w:webHidden/>
          </w:rPr>
          <w:fldChar w:fldCharType="separate"/>
        </w:r>
        <w:r>
          <w:rPr>
            <w:noProof/>
            <w:webHidden/>
          </w:rPr>
          <w:t>163</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714" w:history="1">
        <w:r>
          <w:rPr>
            <w:rStyle w:val="Hyperlink"/>
            <w:noProof/>
          </w:rPr>
          <w:t>2.1 Trade in Goods</w:t>
        </w:r>
        <w:r>
          <w:rPr>
            <w:noProof/>
            <w:webHidden/>
          </w:rPr>
          <w:tab/>
        </w:r>
        <w:r>
          <w:rPr>
            <w:noProof/>
            <w:webHidden/>
          </w:rPr>
          <w:fldChar w:fldCharType="begin"/>
        </w:r>
        <w:r>
          <w:rPr>
            <w:noProof/>
            <w:webHidden/>
          </w:rPr>
          <w:instrText xml:space="preserve"> PAGEREF _Toc16000714 \h </w:instrText>
        </w:r>
        <w:r>
          <w:rPr>
            <w:noProof/>
            <w:webHidden/>
          </w:rPr>
        </w:r>
        <w:r>
          <w:rPr>
            <w:noProof/>
            <w:webHidden/>
          </w:rPr>
          <w:fldChar w:fldCharType="separate"/>
        </w:r>
        <w:r>
          <w:rPr>
            <w:noProof/>
            <w:webHidden/>
          </w:rPr>
          <w:t>163</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715" w:history="1">
        <w:r>
          <w:rPr>
            <w:rStyle w:val="Hyperlink"/>
            <w:noProof/>
          </w:rPr>
          <w:t>2.2 Trade in agricultural goods</w:t>
        </w:r>
        <w:r>
          <w:rPr>
            <w:noProof/>
            <w:webHidden/>
          </w:rPr>
          <w:tab/>
        </w:r>
        <w:r>
          <w:rPr>
            <w:noProof/>
            <w:webHidden/>
          </w:rPr>
          <w:fldChar w:fldCharType="begin"/>
        </w:r>
        <w:r>
          <w:rPr>
            <w:noProof/>
            <w:webHidden/>
          </w:rPr>
          <w:instrText xml:space="preserve"> PAGEREF _Toc16000715 \h </w:instrText>
        </w:r>
        <w:r>
          <w:rPr>
            <w:noProof/>
            <w:webHidden/>
          </w:rPr>
        </w:r>
        <w:r>
          <w:rPr>
            <w:noProof/>
            <w:webHidden/>
          </w:rPr>
          <w:fldChar w:fldCharType="separate"/>
        </w:r>
        <w:r>
          <w:rPr>
            <w:noProof/>
            <w:webHidden/>
          </w:rPr>
          <w:t>164</w:t>
        </w:r>
        <w:r>
          <w:rPr>
            <w:noProof/>
            <w:webHidden/>
          </w:rPr>
          <w:fldChar w:fldCharType="end"/>
        </w:r>
      </w:hyperlink>
    </w:p>
    <w:p>
      <w:pPr>
        <w:pStyle w:val="TOC3"/>
        <w:tabs>
          <w:tab w:val="left" w:pos="1100"/>
          <w:tab w:val="right" w:leader="dot" w:pos="9062"/>
        </w:tabs>
        <w:rPr>
          <w:rFonts w:asciiTheme="minorHAnsi" w:eastAsiaTheme="minorEastAsia" w:hAnsiTheme="minorHAnsi" w:cstheme="minorBidi"/>
          <w:noProof/>
          <w:sz w:val="22"/>
          <w:szCs w:val="22"/>
          <w:lang w:val="en-IE" w:eastAsia="en-IE"/>
        </w:rPr>
      </w:pPr>
      <w:hyperlink w:anchor="_Toc16000716" w:history="1">
        <w:r>
          <w:rPr>
            <w:rStyle w:val="Hyperlink"/>
            <w:noProof/>
          </w:rPr>
          <w:t>2.3</w:t>
        </w:r>
        <w:r>
          <w:rPr>
            <w:rFonts w:asciiTheme="minorHAnsi" w:eastAsiaTheme="minorEastAsia" w:hAnsiTheme="minorHAnsi" w:cstheme="minorBidi"/>
            <w:noProof/>
            <w:sz w:val="22"/>
            <w:szCs w:val="22"/>
            <w:lang w:val="en-IE" w:eastAsia="en-IE"/>
          </w:rPr>
          <w:tab/>
        </w:r>
        <w:r>
          <w:rPr>
            <w:rStyle w:val="Hyperlink"/>
            <w:noProof/>
          </w:rPr>
          <w:t>Trade in Services and Foreign Direct investment (FDIs)</w:t>
        </w:r>
        <w:r>
          <w:rPr>
            <w:noProof/>
            <w:webHidden/>
          </w:rPr>
          <w:tab/>
        </w:r>
        <w:r>
          <w:rPr>
            <w:noProof/>
            <w:webHidden/>
          </w:rPr>
          <w:fldChar w:fldCharType="begin"/>
        </w:r>
        <w:r>
          <w:rPr>
            <w:noProof/>
            <w:webHidden/>
          </w:rPr>
          <w:instrText xml:space="preserve"> PAGEREF _Toc16000716 \h </w:instrText>
        </w:r>
        <w:r>
          <w:rPr>
            <w:noProof/>
            <w:webHidden/>
          </w:rPr>
        </w:r>
        <w:r>
          <w:rPr>
            <w:noProof/>
            <w:webHidden/>
          </w:rPr>
          <w:fldChar w:fldCharType="separate"/>
        </w:r>
        <w:r>
          <w:rPr>
            <w:noProof/>
            <w:webHidden/>
          </w:rPr>
          <w:t>165</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717" w:history="1">
        <w:r>
          <w:rPr>
            <w:rStyle w:val="Hyperlink"/>
            <w:noProof/>
          </w:rPr>
          <w:t>3.</w:t>
        </w:r>
        <w:r>
          <w:rPr>
            <w:rFonts w:asciiTheme="minorHAnsi" w:eastAsiaTheme="minorEastAsia" w:hAnsiTheme="minorHAnsi" w:cstheme="minorBidi"/>
            <w:noProof/>
            <w:sz w:val="22"/>
            <w:szCs w:val="22"/>
            <w:lang w:val="en-IE" w:eastAsia="en-IE"/>
          </w:rPr>
          <w:tab/>
        </w:r>
        <w:r>
          <w:rPr>
            <w:rStyle w:val="Hyperlink"/>
            <w:noProof/>
          </w:rPr>
          <w:t>Issues addressed in the Annual (Joint Committee/Trade Committee) meeting</w:t>
        </w:r>
        <w:r>
          <w:rPr>
            <w:noProof/>
            <w:webHidden/>
          </w:rPr>
          <w:tab/>
        </w:r>
        <w:r>
          <w:rPr>
            <w:noProof/>
            <w:webHidden/>
          </w:rPr>
          <w:fldChar w:fldCharType="begin"/>
        </w:r>
        <w:r>
          <w:rPr>
            <w:noProof/>
            <w:webHidden/>
          </w:rPr>
          <w:instrText xml:space="preserve"> PAGEREF _Toc16000717 \h </w:instrText>
        </w:r>
        <w:r>
          <w:rPr>
            <w:noProof/>
            <w:webHidden/>
          </w:rPr>
        </w:r>
        <w:r>
          <w:rPr>
            <w:noProof/>
            <w:webHidden/>
          </w:rPr>
          <w:fldChar w:fldCharType="separate"/>
        </w:r>
        <w:r>
          <w:rPr>
            <w:noProof/>
            <w:webHidden/>
          </w:rPr>
          <w:t>165</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718" w:history="1">
        <w:r>
          <w:rPr>
            <w:rStyle w:val="Hyperlink"/>
            <w:noProof/>
          </w:rPr>
          <w:t>4.</w:t>
        </w:r>
        <w:r>
          <w:rPr>
            <w:rFonts w:asciiTheme="minorHAnsi" w:eastAsiaTheme="minorEastAsia" w:hAnsiTheme="minorHAnsi" w:cstheme="minorBidi"/>
            <w:noProof/>
            <w:sz w:val="22"/>
            <w:szCs w:val="22"/>
            <w:lang w:val="en-IE" w:eastAsia="en-IE"/>
          </w:rPr>
          <w:tab/>
        </w:r>
        <w:r>
          <w:rPr>
            <w:rStyle w:val="Hyperlink"/>
            <w:noProof/>
          </w:rPr>
          <w:t>Specific areas of importance</w:t>
        </w:r>
        <w:r>
          <w:rPr>
            <w:noProof/>
            <w:webHidden/>
          </w:rPr>
          <w:tab/>
        </w:r>
        <w:r>
          <w:rPr>
            <w:noProof/>
            <w:webHidden/>
          </w:rPr>
          <w:fldChar w:fldCharType="begin"/>
        </w:r>
        <w:r>
          <w:rPr>
            <w:noProof/>
            <w:webHidden/>
          </w:rPr>
          <w:instrText xml:space="preserve"> PAGEREF _Toc16000718 \h </w:instrText>
        </w:r>
        <w:r>
          <w:rPr>
            <w:noProof/>
            <w:webHidden/>
          </w:rPr>
        </w:r>
        <w:r>
          <w:rPr>
            <w:noProof/>
            <w:webHidden/>
          </w:rPr>
          <w:fldChar w:fldCharType="separate"/>
        </w:r>
        <w:r>
          <w:rPr>
            <w:noProof/>
            <w:webHidden/>
          </w:rPr>
          <w:t>165</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719" w:history="1">
        <w:r>
          <w:rPr>
            <w:rStyle w:val="Hyperlink"/>
            <w:noProof/>
          </w:rPr>
          <w:t>5.</w:t>
        </w:r>
        <w:r>
          <w:rPr>
            <w:rFonts w:asciiTheme="minorHAnsi" w:eastAsiaTheme="minorEastAsia" w:hAnsiTheme="minorHAnsi" w:cstheme="minorBidi"/>
            <w:noProof/>
            <w:sz w:val="22"/>
            <w:szCs w:val="22"/>
            <w:lang w:val="en-IE" w:eastAsia="en-IE"/>
          </w:rPr>
          <w:tab/>
        </w:r>
        <w:r>
          <w:rPr>
            <w:rStyle w:val="Hyperlink"/>
            <w:noProof/>
          </w:rPr>
          <w:t>Progress made, main open issues and follow-up actions</w:t>
        </w:r>
        <w:r>
          <w:rPr>
            <w:noProof/>
            <w:webHidden/>
          </w:rPr>
          <w:tab/>
        </w:r>
        <w:r>
          <w:rPr>
            <w:noProof/>
            <w:webHidden/>
          </w:rPr>
          <w:fldChar w:fldCharType="begin"/>
        </w:r>
        <w:r>
          <w:rPr>
            <w:noProof/>
            <w:webHidden/>
          </w:rPr>
          <w:instrText xml:space="preserve"> PAGEREF _Toc16000719 \h </w:instrText>
        </w:r>
        <w:r>
          <w:rPr>
            <w:noProof/>
            <w:webHidden/>
          </w:rPr>
        </w:r>
        <w:r>
          <w:rPr>
            <w:noProof/>
            <w:webHidden/>
          </w:rPr>
          <w:fldChar w:fldCharType="separate"/>
        </w:r>
        <w:r>
          <w:rPr>
            <w:noProof/>
            <w:webHidden/>
          </w:rPr>
          <w:t>166</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720" w:history="1">
        <w:r>
          <w:rPr>
            <w:rStyle w:val="Hyperlink"/>
            <w:noProof/>
          </w:rPr>
          <w:t>6.</w:t>
        </w:r>
        <w:r>
          <w:rPr>
            <w:rFonts w:asciiTheme="minorHAnsi" w:eastAsiaTheme="minorEastAsia" w:hAnsiTheme="minorHAnsi" w:cstheme="minorBidi"/>
            <w:noProof/>
            <w:sz w:val="22"/>
            <w:szCs w:val="22"/>
            <w:lang w:val="en-IE" w:eastAsia="en-IE"/>
          </w:rPr>
          <w:tab/>
        </w:r>
        <w:r>
          <w:rPr>
            <w:rStyle w:val="Hyperlink"/>
            <w:noProof/>
          </w:rPr>
          <w:t>Conclusions and outlook</w:t>
        </w:r>
        <w:r>
          <w:rPr>
            <w:noProof/>
            <w:webHidden/>
          </w:rPr>
          <w:tab/>
        </w:r>
        <w:r>
          <w:rPr>
            <w:noProof/>
            <w:webHidden/>
          </w:rPr>
          <w:fldChar w:fldCharType="begin"/>
        </w:r>
        <w:r>
          <w:rPr>
            <w:noProof/>
            <w:webHidden/>
          </w:rPr>
          <w:instrText xml:space="preserve"> PAGEREF _Toc16000720 \h </w:instrText>
        </w:r>
        <w:r>
          <w:rPr>
            <w:noProof/>
            <w:webHidden/>
          </w:rPr>
        </w:r>
        <w:r>
          <w:rPr>
            <w:noProof/>
            <w:webHidden/>
          </w:rPr>
          <w:fldChar w:fldCharType="separate"/>
        </w:r>
        <w:r>
          <w:rPr>
            <w:noProof/>
            <w:webHidden/>
          </w:rPr>
          <w:t>166</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721" w:history="1">
        <w:r>
          <w:rPr>
            <w:rStyle w:val="Hyperlink"/>
            <w:noProof/>
          </w:rPr>
          <w:t>7.</w:t>
        </w:r>
        <w:r>
          <w:rPr>
            <w:rFonts w:asciiTheme="minorHAnsi" w:eastAsiaTheme="minorEastAsia" w:hAnsiTheme="minorHAnsi" w:cstheme="minorBidi"/>
            <w:noProof/>
            <w:sz w:val="22"/>
            <w:szCs w:val="22"/>
            <w:lang w:val="en-IE" w:eastAsia="en-IE"/>
          </w:rPr>
          <w:tab/>
        </w:r>
        <w:r>
          <w:rPr>
            <w:rStyle w:val="Hyperlink"/>
            <w:noProof/>
          </w:rPr>
          <w:t>Statistics</w:t>
        </w:r>
        <w:r>
          <w:rPr>
            <w:noProof/>
            <w:webHidden/>
          </w:rPr>
          <w:tab/>
        </w:r>
        <w:r>
          <w:rPr>
            <w:noProof/>
            <w:webHidden/>
          </w:rPr>
          <w:fldChar w:fldCharType="begin"/>
        </w:r>
        <w:r>
          <w:rPr>
            <w:noProof/>
            <w:webHidden/>
          </w:rPr>
          <w:instrText xml:space="preserve"> PAGEREF _Toc16000721 \h </w:instrText>
        </w:r>
        <w:r>
          <w:rPr>
            <w:noProof/>
            <w:webHidden/>
          </w:rPr>
        </w:r>
        <w:r>
          <w:rPr>
            <w:noProof/>
            <w:webHidden/>
          </w:rPr>
          <w:fldChar w:fldCharType="separate"/>
        </w:r>
        <w:r>
          <w:rPr>
            <w:noProof/>
            <w:webHidden/>
          </w:rPr>
          <w:t>166</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en-IE" w:eastAsia="en-IE"/>
        </w:rPr>
      </w:pPr>
      <w:hyperlink w:anchor="_Toc16000722" w:history="1">
        <w:r>
          <w:rPr>
            <w:rStyle w:val="Hyperlink"/>
            <w:b/>
            <w:noProof/>
          </w:rPr>
          <w:t>ANNUAL INFO SHEET ON THE IMPLEMENTATION OF THE EU-TUNISIA ASSOCIATION AGREEMENT</w:t>
        </w:r>
        <w:r>
          <w:rPr>
            <w:noProof/>
            <w:webHidden/>
          </w:rPr>
          <w:tab/>
        </w:r>
        <w:r>
          <w:rPr>
            <w:noProof/>
            <w:webHidden/>
          </w:rPr>
          <w:fldChar w:fldCharType="begin"/>
        </w:r>
        <w:r>
          <w:rPr>
            <w:noProof/>
            <w:webHidden/>
          </w:rPr>
          <w:instrText xml:space="preserve"> PAGEREF _Toc16000722 \h </w:instrText>
        </w:r>
        <w:r>
          <w:rPr>
            <w:noProof/>
            <w:webHidden/>
          </w:rPr>
        </w:r>
        <w:r>
          <w:rPr>
            <w:noProof/>
            <w:webHidden/>
          </w:rPr>
          <w:fldChar w:fldCharType="separate"/>
        </w:r>
        <w:r>
          <w:rPr>
            <w:noProof/>
            <w:webHidden/>
          </w:rPr>
          <w:t>169</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en-IE" w:eastAsia="en-IE"/>
        </w:rPr>
      </w:pPr>
      <w:hyperlink w:anchor="_Toc16000723" w:history="1">
        <w:r>
          <w:rPr>
            <w:rStyle w:val="Hyperlink"/>
            <w:noProof/>
          </w:rPr>
          <w:t>1.</w:t>
        </w:r>
        <w:r>
          <w:rPr>
            <w:rFonts w:asciiTheme="minorHAnsi" w:eastAsiaTheme="minorEastAsia" w:hAnsiTheme="minorHAnsi" w:cstheme="minorBidi"/>
            <w:noProof/>
            <w:sz w:val="22"/>
            <w:szCs w:val="22"/>
            <w:lang w:val="en-IE" w:eastAsia="en-IE"/>
          </w:rPr>
          <w:tab/>
        </w:r>
        <w:r>
          <w:rPr>
            <w:rStyle w:val="Hyperlink"/>
            <w:noProof/>
          </w:rPr>
          <w:t>Introduction</w:t>
        </w:r>
        <w:r>
          <w:rPr>
            <w:noProof/>
            <w:webHidden/>
          </w:rPr>
          <w:tab/>
        </w:r>
        <w:r>
          <w:rPr>
            <w:noProof/>
            <w:webHidden/>
          </w:rPr>
          <w:fldChar w:fldCharType="begin"/>
        </w:r>
        <w:r>
          <w:rPr>
            <w:noProof/>
            <w:webHidden/>
          </w:rPr>
          <w:instrText xml:space="preserve"> PAGEREF _Toc16000723 \h </w:instrText>
        </w:r>
        <w:r>
          <w:rPr>
            <w:noProof/>
            <w:webHidden/>
          </w:rPr>
        </w:r>
        <w:r>
          <w:rPr>
            <w:noProof/>
            <w:webHidden/>
          </w:rPr>
          <w:fldChar w:fldCharType="separate"/>
        </w:r>
        <w:r>
          <w:rPr>
            <w:noProof/>
            <w:webHidden/>
          </w:rPr>
          <w:t>169</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en-IE" w:eastAsia="en-IE"/>
        </w:rPr>
      </w:pPr>
      <w:hyperlink w:anchor="_Toc16000724" w:history="1">
        <w:r>
          <w:rPr>
            <w:rStyle w:val="Hyperlink"/>
            <w:noProof/>
          </w:rPr>
          <w:t xml:space="preserve">2. </w:t>
        </w:r>
        <w:r>
          <w:rPr>
            <w:rFonts w:asciiTheme="minorHAnsi" w:eastAsiaTheme="minorEastAsia" w:hAnsiTheme="minorHAnsi" w:cstheme="minorBidi"/>
            <w:noProof/>
            <w:sz w:val="22"/>
            <w:szCs w:val="22"/>
            <w:lang w:val="en-IE" w:eastAsia="en-IE"/>
          </w:rPr>
          <w:tab/>
        </w:r>
        <w:r>
          <w:rPr>
            <w:rStyle w:val="Hyperlink"/>
            <w:noProof/>
          </w:rPr>
          <w:t>Evolution of trade</w:t>
        </w:r>
        <w:r>
          <w:rPr>
            <w:noProof/>
            <w:webHidden/>
          </w:rPr>
          <w:tab/>
        </w:r>
        <w:r>
          <w:rPr>
            <w:noProof/>
            <w:webHidden/>
          </w:rPr>
          <w:fldChar w:fldCharType="begin"/>
        </w:r>
        <w:r>
          <w:rPr>
            <w:noProof/>
            <w:webHidden/>
          </w:rPr>
          <w:instrText xml:space="preserve"> PAGEREF _Toc16000724 \h </w:instrText>
        </w:r>
        <w:r>
          <w:rPr>
            <w:noProof/>
            <w:webHidden/>
          </w:rPr>
        </w:r>
        <w:r>
          <w:rPr>
            <w:noProof/>
            <w:webHidden/>
          </w:rPr>
          <w:fldChar w:fldCharType="separate"/>
        </w:r>
        <w:r>
          <w:rPr>
            <w:noProof/>
            <w:webHidden/>
          </w:rPr>
          <w:t>170</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725" w:history="1">
        <w:r>
          <w:rPr>
            <w:rStyle w:val="Hyperlink"/>
            <w:noProof/>
          </w:rPr>
          <w:t>2.1 Trade in Goods</w:t>
        </w:r>
        <w:r>
          <w:rPr>
            <w:noProof/>
            <w:webHidden/>
          </w:rPr>
          <w:tab/>
        </w:r>
        <w:r>
          <w:rPr>
            <w:noProof/>
            <w:webHidden/>
          </w:rPr>
          <w:fldChar w:fldCharType="begin"/>
        </w:r>
        <w:r>
          <w:rPr>
            <w:noProof/>
            <w:webHidden/>
          </w:rPr>
          <w:instrText xml:space="preserve"> PAGEREF _Toc16000725 \h </w:instrText>
        </w:r>
        <w:r>
          <w:rPr>
            <w:noProof/>
            <w:webHidden/>
          </w:rPr>
        </w:r>
        <w:r>
          <w:rPr>
            <w:noProof/>
            <w:webHidden/>
          </w:rPr>
          <w:fldChar w:fldCharType="separate"/>
        </w:r>
        <w:r>
          <w:rPr>
            <w:noProof/>
            <w:webHidden/>
          </w:rPr>
          <w:t>170</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726" w:history="1">
        <w:r>
          <w:rPr>
            <w:rStyle w:val="Hyperlink"/>
            <w:noProof/>
          </w:rPr>
          <w:t>2.2 Trade in agricultural goods</w:t>
        </w:r>
        <w:r>
          <w:rPr>
            <w:noProof/>
            <w:webHidden/>
          </w:rPr>
          <w:tab/>
        </w:r>
        <w:r>
          <w:rPr>
            <w:noProof/>
            <w:webHidden/>
          </w:rPr>
          <w:fldChar w:fldCharType="begin"/>
        </w:r>
        <w:r>
          <w:rPr>
            <w:noProof/>
            <w:webHidden/>
          </w:rPr>
          <w:instrText xml:space="preserve"> PAGEREF _Toc16000726 \h </w:instrText>
        </w:r>
        <w:r>
          <w:rPr>
            <w:noProof/>
            <w:webHidden/>
          </w:rPr>
        </w:r>
        <w:r>
          <w:rPr>
            <w:noProof/>
            <w:webHidden/>
          </w:rPr>
          <w:fldChar w:fldCharType="separate"/>
        </w:r>
        <w:r>
          <w:rPr>
            <w:noProof/>
            <w:webHidden/>
          </w:rPr>
          <w:t>171</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727" w:history="1">
        <w:r>
          <w:rPr>
            <w:rStyle w:val="Hyperlink"/>
            <w:noProof/>
          </w:rPr>
          <w:t>2.4 Trade in Services and Investment</w:t>
        </w:r>
        <w:r>
          <w:rPr>
            <w:noProof/>
            <w:webHidden/>
          </w:rPr>
          <w:tab/>
        </w:r>
        <w:r>
          <w:rPr>
            <w:noProof/>
            <w:webHidden/>
          </w:rPr>
          <w:fldChar w:fldCharType="begin"/>
        </w:r>
        <w:r>
          <w:rPr>
            <w:noProof/>
            <w:webHidden/>
          </w:rPr>
          <w:instrText xml:space="preserve"> PAGEREF _Toc16000727 \h </w:instrText>
        </w:r>
        <w:r>
          <w:rPr>
            <w:noProof/>
            <w:webHidden/>
          </w:rPr>
        </w:r>
        <w:r>
          <w:rPr>
            <w:noProof/>
            <w:webHidden/>
          </w:rPr>
          <w:fldChar w:fldCharType="separate"/>
        </w:r>
        <w:r>
          <w:rPr>
            <w:noProof/>
            <w:webHidden/>
          </w:rPr>
          <w:t>171</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en-IE" w:eastAsia="en-IE"/>
        </w:rPr>
      </w:pPr>
      <w:hyperlink w:anchor="_Toc16000728" w:history="1">
        <w:r>
          <w:rPr>
            <w:rStyle w:val="Hyperlink"/>
            <w:noProof/>
          </w:rPr>
          <w:t>3.</w:t>
        </w:r>
        <w:r>
          <w:rPr>
            <w:rFonts w:asciiTheme="minorHAnsi" w:eastAsiaTheme="minorEastAsia" w:hAnsiTheme="minorHAnsi" w:cstheme="minorBidi"/>
            <w:noProof/>
            <w:sz w:val="22"/>
            <w:szCs w:val="22"/>
            <w:lang w:val="en-IE" w:eastAsia="en-IE"/>
          </w:rPr>
          <w:tab/>
        </w:r>
        <w:r>
          <w:rPr>
            <w:rStyle w:val="Hyperlink"/>
            <w:noProof/>
          </w:rPr>
          <w:t>Issues addressed in the Joint Committee meetings</w:t>
        </w:r>
        <w:r>
          <w:rPr>
            <w:noProof/>
            <w:webHidden/>
          </w:rPr>
          <w:tab/>
        </w:r>
        <w:r>
          <w:rPr>
            <w:noProof/>
            <w:webHidden/>
          </w:rPr>
          <w:fldChar w:fldCharType="begin"/>
        </w:r>
        <w:r>
          <w:rPr>
            <w:noProof/>
            <w:webHidden/>
          </w:rPr>
          <w:instrText xml:space="preserve"> PAGEREF _Toc16000728 \h </w:instrText>
        </w:r>
        <w:r>
          <w:rPr>
            <w:noProof/>
            <w:webHidden/>
          </w:rPr>
        </w:r>
        <w:r>
          <w:rPr>
            <w:noProof/>
            <w:webHidden/>
          </w:rPr>
          <w:fldChar w:fldCharType="separate"/>
        </w:r>
        <w:r>
          <w:rPr>
            <w:noProof/>
            <w:webHidden/>
          </w:rPr>
          <w:t>172</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en-IE" w:eastAsia="en-IE"/>
        </w:rPr>
      </w:pPr>
      <w:hyperlink w:anchor="_Toc16000729" w:history="1">
        <w:r>
          <w:rPr>
            <w:rStyle w:val="Hyperlink"/>
            <w:noProof/>
          </w:rPr>
          <w:t>4.</w:t>
        </w:r>
        <w:r>
          <w:rPr>
            <w:rFonts w:asciiTheme="minorHAnsi" w:eastAsiaTheme="minorEastAsia" w:hAnsiTheme="minorHAnsi" w:cstheme="minorBidi"/>
            <w:noProof/>
            <w:sz w:val="22"/>
            <w:szCs w:val="22"/>
            <w:lang w:val="en-IE" w:eastAsia="en-IE"/>
          </w:rPr>
          <w:tab/>
        </w:r>
        <w:r>
          <w:rPr>
            <w:rStyle w:val="Hyperlink"/>
            <w:noProof/>
          </w:rPr>
          <w:t>Specific areas of importance</w:t>
        </w:r>
        <w:r>
          <w:rPr>
            <w:noProof/>
            <w:webHidden/>
          </w:rPr>
          <w:tab/>
        </w:r>
        <w:r>
          <w:rPr>
            <w:noProof/>
            <w:webHidden/>
          </w:rPr>
          <w:fldChar w:fldCharType="begin"/>
        </w:r>
        <w:r>
          <w:rPr>
            <w:noProof/>
            <w:webHidden/>
          </w:rPr>
          <w:instrText xml:space="preserve"> PAGEREF _Toc16000729 \h </w:instrText>
        </w:r>
        <w:r>
          <w:rPr>
            <w:noProof/>
            <w:webHidden/>
          </w:rPr>
        </w:r>
        <w:r>
          <w:rPr>
            <w:noProof/>
            <w:webHidden/>
          </w:rPr>
          <w:fldChar w:fldCharType="separate"/>
        </w:r>
        <w:r>
          <w:rPr>
            <w:noProof/>
            <w:webHidden/>
          </w:rPr>
          <w:t>172</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en-IE" w:eastAsia="en-IE"/>
        </w:rPr>
      </w:pPr>
      <w:hyperlink w:anchor="_Toc16000730" w:history="1">
        <w:r>
          <w:rPr>
            <w:rStyle w:val="Hyperlink"/>
            <w:noProof/>
          </w:rPr>
          <w:t>5.</w:t>
        </w:r>
        <w:r>
          <w:rPr>
            <w:rFonts w:asciiTheme="minorHAnsi" w:eastAsiaTheme="minorEastAsia" w:hAnsiTheme="minorHAnsi" w:cstheme="minorBidi"/>
            <w:noProof/>
            <w:sz w:val="22"/>
            <w:szCs w:val="22"/>
            <w:lang w:val="en-IE" w:eastAsia="en-IE"/>
          </w:rPr>
          <w:tab/>
        </w:r>
        <w:r>
          <w:rPr>
            <w:rStyle w:val="Hyperlink"/>
            <w:noProof/>
          </w:rPr>
          <w:t>Progress, main open issues and follow-up actions</w:t>
        </w:r>
        <w:r>
          <w:rPr>
            <w:noProof/>
            <w:webHidden/>
          </w:rPr>
          <w:tab/>
        </w:r>
        <w:r>
          <w:rPr>
            <w:noProof/>
            <w:webHidden/>
          </w:rPr>
          <w:fldChar w:fldCharType="begin"/>
        </w:r>
        <w:r>
          <w:rPr>
            <w:noProof/>
            <w:webHidden/>
          </w:rPr>
          <w:instrText xml:space="preserve"> PAGEREF _Toc16000730 \h </w:instrText>
        </w:r>
        <w:r>
          <w:rPr>
            <w:noProof/>
            <w:webHidden/>
          </w:rPr>
        </w:r>
        <w:r>
          <w:rPr>
            <w:noProof/>
            <w:webHidden/>
          </w:rPr>
          <w:fldChar w:fldCharType="separate"/>
        </w:r>
        <w:r>
          <w:rPr>
            <w:noProof/>
            <w:webHidden/>
          </w:rPr>
          <w:t>173</w:t>
        </w:r>
        <w:r>
          <w:rPr>
            <w:noProof/>
            <w:webHidden/>
          </w:rPr>
          <w:fldChar w:fldCharType="end"/>
        </w:r>
      </w:hyperlink>
    </w:p>
    <w:p>
      <w:pPr>
        <w:pStyle w:val="TOC1"/>
        <w:tabs>
          <w:tab w:val="left" w:pos="480"/>
          <w:tab w:val="right" w:leader="dot" w:pos="9062"/>
        </w:tabs>
        <w:rPr>
          <w:rFonts w:asciiTheme="minorHAnsi" w:eastAsiaTheme="minorEastAsia" w:hAnsiTheme="minorHAnsi" w:cstheme="minorBidi"/>
          <w:noProof/>
          <w:sz w:val="22"/>
          <w:szCs w:val="22"/>
          <w:lang w:val="en-IE" w:eastAsia="en-IE"/>
        </w:rPr>
      </w:pPr>
      <w:hyperlink w:anchor="_Toc16000731" w:history="1">
        <w:r>
          <w:rPr>
            <w:rStyle w:val="Hyperlink"/>
            <w:noProof/>
          </w:rPr>
          <w:t>6.</w:t>
        </w:r>
        <w:r>
          <w:rPr>
            <w:rFonts w:asciiTheme="minorHAnsi" w:eastAsiaTheme="minorEastAsia" w:hAnsiTheme="minorHAnsi" w:cstheme="minorBidi"/>
            <w:noProof/>
            <w:sz w:val="22"/>
            <w:szCs w:val="22"/>
            <w:lang w:val="en-IE" w:eastAsia="en-IE"/>
          </w:rPr>
          <w:tab/>
        </w:r>
        <w:r>
          <w:rPr>
            <w:rStyle w:val="Hyperlink"/>
            <w:noProof/>
          </w:rPr>
          <w:t>Conclusions and outlook</w:t>
        </w:r>
        <w:r>
          <w:rPr>
            <w:noProof/>
            <w:webHidden/>
          </w:rPr>
          <w:tab/>
        </w:r>
        <w:r>
          <w:rPr>
            <w:noProof/>
            <w:webHidden/>
          </w:rPr>
          <w:fldChar w:fldCharType="begin"/>
        </w:r>
        <w:r>
          <w:rPr>
            <w:noProof/>
            <w:webHidden/>
          </w:rPr>
          <w:instrText xml:space="preserve"> PAGEREF _Toc16000731 \h </w:instrText>
        </w:r>
        <w:r>
          <w:rPr>
            <w:noProof/>
            <w:webHidden/>
          </w:rPr>
        </w:r>
        <w:r>
          <w:rPr>
            <w:noProof/>
            <w:webHidden/>
          </w:rPr>
          <w:fldChar w:fldCharType="separate"/>
        </w:r>
        <w:r>
          <w:rPr>
            <w:noProof/>
            <w:webHidden/>
          </w:rPr>
          <w:t>174</w:t>
        </w:r>
        <w:r>
          <w:rPr>
            <w:noProof/>
            <w:webHidden/>
          </w:rPr>
          <w:fldChar w:fldCharType="end"/>
        </w:r>
      </w:hyperlink>
    </w:p>
    <w:p>
      <w:pPr>
        <w:pStyle w:val="TOC2"/>
        <w:tabs>
          <w:tab w:val="left" w:pos="880"/>
          <w:tab w:val="right" w:leader="dot" w:pos="9062"/>
        </w:tabs>
        <w:rPr>
          <w:rFonts w:asciiTheme="minorHAnsi" w:eastAsiaTheme="minorEastAsia" w:hAnsiTheme="minorHAnsi" w:cstheme="minorBidi"/>
          <w:noProof/>
          <w:sz w:val="22"/>
          <w:szCs w:val="22"/>
          <w:lang w:val="en-IE" w:eastAsia="en-IE"/>
        </w:rPr>
      </w:pPr>
      <w:hyperlink w:anchor="_Toc16000732" w:history="1">
        <w:r>
          <w:rPr>
            <w:rStyle w:val="Hyperlink"/>
            <w:noProof/>
          </w:rPr>
          <w:t xml:space="preserve">7. </w:t>
        </w:r>
        <w:r>
          <w:rPr>
            <w:rFonts w:asciiTheme="minorHAnsi" w:eastAsiaTheme="minorEastAsia" w:hAnsiTheme="minorHAnsi" w:cstheme="minorBidi"/>
            <w:noProof/>
            <w:sz w:val="22"/>
            <w:szCs w:val="22"/>
            <w:lang w:val="en-IE" w:eastAsia="en-IE"/>
          </w:rPr>
          <w:tab/>
        </w:r>
        <w:r>
          <w:rPr>
            <w:rStyle w:val="Hyperlink"/>
            <w:noProof/>
          </w:rPr>
          <w:t>Statistics</w:t>
        </w:r>
        <w:r>
          <w:rPr>
            <w:noProof/>
            <w:webHidden/>
          </w:rPr>
          <w:tab/>
        </w:r>
        <w:r>
          <w:rPr>
            <w:noProof/>
            <w:webHidden/>
          </w:rPr>
          <w:fldChar w:fldCharType="begin"/>
        </w:r>
        <w:r>
          <w:rPr>
            <w:noProof/>
            <w:webHidden/>
          </w:rPr>
          <w:instrText xml:space="preserve"> PAGEREF _Toc16000732 \h </w:instrText>
        </w:r>
        <w:r>
          <w:rPr>
            <w:noProof/>
            <w:webHidden/>
          </w:rPr>
        </w:r>
        <w:r>
          <w:rPr>
            <w:noProof/>
            <w:webHidden/>
          </w:rPr>
          <w:fldChar w:fldCharType="separate"/>
        </w:r>
        <w:r>
          <w:rPr>
            <w:noProof/>
            <w:webHidden/>
          </w:rPr>
          <w:t>175</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en-IE" w:eastAsia="en-IE"/>
        </w:rPr>
      </w:pPr>
      <w:hyperlink w:anchor="_Toc16000733" w:history="1">
        <w:r>
          <w:rPr>
            <w:rStyle w:val="Hyperlink"/>
            <w:b/>
            <w:noProof/>
          </w:rPr>
          <w:t>FIRST GENERATION FREE TRADE AGREEMENTS WITH THE WESTERN BALKAN PARTNERS</w:t>
        </w:r>
        <w:r>
          <w:rPr>
            <w:noProof/>
            <w:webHidden/>
          </w:rPr>
          <w:tab/>
        </w:r>
        <w:r>
          <w:rPr>
            <w:noProof/>
            <w:webHidden/>
          </w:rPr>
          <w:fldChar w:fldCharType="begin"/>
        </w:r>
        <w:r>
          <w:rPr>
            <w:noProof/>
            <w:webHidden/>
          </w:rPr>
          <w:instrText xml:space="preserve"> PAGEREF _Toc16000733 \h </w:instrText>
        </w:r>
        <w:r>
          <w:rPr>
            <w:noProof/>
            <w:webHidden/>
          </w:rPr>
        </w:r>
        <w:r>
          <w:rPr>
            <w:noProof/>
            <w:webHidden/>
          </w:rPr>
          <w:fldChar w:fldCharType="separate"/>
        </w:r>
        <w:r>
          <w:rPr>
            <w:noProof/>
            <w:webHidden/>
          </w:rPr>
          <w:t>177</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en-IE" w:eastAsia="en-IE"/>
        </w:rPr>
      </w:pPr>
      <w:hyperlink w:anchor="_Toc16000734" w:history="1">
        <w:r>
          <w:rPr>
            <w:rStyle w:val="Hyperlink"/>
            <w:b/>
            <w:noProof/>
          </w:rPr>
          <w:t>ANNUAL INFO SHEET ON THE IMPLEMENTATION OF THE TRADE PILLAR OF THE EU-ALBANIA STABILISATION AND ASSOCIATION AGREEMENT</w:t>
        </w:r>
        <w:r>
          <w:rPr>
            <w:noProof/>
            <w:webHidden/>
          </w:rPr>
          <w:tab/>
        </w:r>
        <w:r>
          <w:rPr>
            <w:noProof/>
            <w:webHidden/>
          </w:rPr>
          <w:fldChar w:fldCharType="begin"/>
        </w:r>
        <w:r>
          <w:rPr>
            <w:noProof/>
            <w:webHidden/>
          </w:rPr>
          <w:instrText xml:space="preserve"> PAGEREF _Toc16000734 \h </w:instrText>
        </w:r>
        <w:r>
          <w:rPr>
            <w:noProof/>
            <w:webHidden/>
          </w:rPr>
        </w:r>
        <w:r>
          <w:rPr>
            <w:noProof/>
            <w:webHidden/>
          </w:rPr>
          <w:fldChar w:fldCharType="separate"/>
        </w:r>
        <w:r>
          <w:rPr>
            <w:noProof/>
            <w:webHidden/>
          </w:rPr>
          <w:t>178</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735" w:history="1">
        <w:r>
          <w:rPr>
            <w:rStyle w:val="Hyperlink"/>
            <w:noProof/>
          </w:rPr>
          <w:t>1.</w:t>
        </w:r>
        <w:r>
          <w:rPr>
            <w:rFonts w:asciiTheme="minorHAnsi" w:eastAsiaTheme="minorEastAsia" w:hAnsiTheme="minorHAnsi" w:cstheme="minorBidi"/>
            <w:noProof/>
            <w:sz w:val="22"/>
            <w:szCs w:val="22"/>
            <w:lang w:val="en-IE" w:eastAsia="en-IE"/>
          </w:rPr>
          <w:tab/>
        </w:r>
        <w:r>
          <w:rPr>
            <w:rStyle w:val="Hyperlink"/>
            <w:noProof/>
          </w:rPr>
          <w:t>Introduction</w:t>
        </w:r>
        <w:r>
          <w:rPr>
            <w:noProof/>
            <w:webHidden/>
          </w:rPr>
          <w:tab/>
        </w:r>
        <w:r>
          <w:rPr>
            <w:noProof/>
            <w:webHidden/>
          </w:rPr>
          <w:fldChar w:fldCharType="begin"/>
        </w:r>
        <w:r>
          <w:rPr>
            <w:noProof/>
            <w:webHidden/>
          </w:rPr>
          <w:instrText xml:space="preserve"> PAGEREF _Toc16000735 \h </w:instrText>
        </w:r>
        <w:r>
          <w:rPr>
            <w:noProof/>
            <w:webHidden/>
          </w:rPr>
        </w:r>
        <w:r>
          <w:rPr>
            <w:noProof/>
            <w:webHidden/>
          </w:rPr>
          <w:fldChar w:fldCharType="separate"/>
        </w:r>
        <w:r>
          <w:rPr>
            <w:noProof/>
            <w:webHidden/>
          </w:rPr>
          <w:t>178</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736" w:history="1">
        <w:r>
          <w:rPr>
            <w:rStyle w:val="Hyperlink"/>
            <w:noProof/>
          </w:rPr>
          <w:t>2.</w:t>
        </w:r>
        <w:r>
          <w:rPr>
            <w:rFonts w:asciiTheme="minorHAnsi" w:eastAsiaTheme="minorEastAsia" w:hAnsiTheme="minorHAnsi" w:cstheme="minorBidi"/>
            <w:noProof/>
            <w:sz w:val="22"/>
            <w:szCs w:val="22"/>
            <w:lang w:val="en-IE" w:eastAsia="en-IE"/>
          </w:rPr>
          <w:tab/>
        </w:r>
        <w:r>
          <w:rPr>
            <w:rStyle w:val="Hyperlink"/>
            <w:noProof/>
          </w:rPr>
          <w:t>Evolution of trade</w:t>
        </w:r>
        <w:r>
          <w:rPr>
            <w:noProof/>
            <w:webHidden/>
          </w:rPr>
          <w:tab/>
        </w:r>
        <w:r>
          <w:rPr>
            <w:noProof/>
            <w:webHidden/>
          </w:rPr>
          <w:fldChar w:fldCharType="begin"/>
        </w:r>
        <w:r>
          <w:rPr>
            <w:noProof/>
            <w:webHidden/>
          </w:rPr>
          <w:instrText xml:space="preserve"> PAGEREF _Toc16000736 \h </w:instrText>
        </w:r>
        <w:r>
          <w:rPr>
            <w:noProof/>
            <w:webHidden/>
          </w:rPr>
        </w:r>
        <w:r>
          <w:rPr>
            <w:noProof/>
            <w:webHidden/>
          </w:rPr>
          <w:fldChar w:fldCharType="separate"/>
        </w:r>
        <w:r>
          <w:rPr>
            <w:noProof/>
            <w:webHidden/>
          </w:rPr>
          <w:t>178</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737" w:history="1">
        <w:r>
          <w:rPr>
            <w:rStyle w:val="Hyperlink"/>
            <w:noProof/>
          </w:rPr>
          <w:t>2.1 Trade in Goods</w:t>
        </w:r>
        <w:r>
          <w:rPr>
            <w:noProof/>
            <w:webHidden/>
          </w:rPr>
          <w:tab/>
        </w:r>
        <w:r>
          <w:rPr>
            <w:noProof/>
            <w:webHidden/>
          </w:rPr>
          <w:fldChar w:fldCharType="begin"/>
        </w:r>
        <w:r>
          <w:rPr>
            <w:noProof/>
            <w:webHidden/>
          </w:rPr>
          <w:instrText xml:space="preserve"> PAGEREF _Toc16000737 \h </w:instrText>
        </w:r>
        <w:r>
          <w:rPr>
            <w:noProof/>
            <w:webHidden/>
          </w:rPr>
        </w:r>
        <w:r>
          <w:rPr>
            <w:noProof/>
            <w:webHidden/>
          </w:rPr>
          <w:fldChar w:fldCharType="separate"/>
        </w:r>
        <w:r>
          <w:rPr>
            <w:noProof/>
            <w:webHidden/>
          </w:rPr>
          <w:t>178</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738" w:history="1">
        <w:r>
          <w:rPr>
            <w:rStyle w:val="Hyperlink"/>
            <w:noProof/>
          </w:rPr>
          <w:t>2.2 Trade in agricultural goods</w:t>
        </w:r>
        <w:r>
          <w:rPr>
            <w:noProof/>
            <w:webHidden/>
          </w:rPr>
          <w:tab/>
        </w:r>
        <w:r>
          <w:rPr>
            <w:noProof/>
            <w:webHidden/>
          </w:rPr>
          <w:fldChar w:fldCharType="begin"/>
        </w:r>
        <w:r>
          <w:rPr>
            <w:noProof/>
            <w:webHidden/>
          </w:rPr>
          <w:instrText xml:space="preserve"> PAGEREF _Toc16000738 \h </w:instrText>
        </w:r>
        <w:r>
          <w:rPr>
            <w:noProof/>
            <w:webHidden/>
          </w:rPr>
        </w:r>
        <w:r>
          <w:rPr>
            <w:noProof/>
            <w:webHidden/>
          </w:rPr>
          <w:fldChar w:fldCharType="separate"/>
        </w:r>
        <w:r>
          <w:rPr>
            <w:noProof/>
            <w:webHidden/>
          </w:rPr>
          <w:t>179</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739" w:history="1">
        <w:r>
          <w:rPr>
            <w:rStyle w:val="Hyperlink"/>
            <w:noProof/>
          </w:rPr>
          <w:t>2.3 Trade in Services and Foreign Direct investment (FDIs)</w:t>
        </w:r>
        <w:r>
          <w:rPr>
            <w:noProof/>
            <w:webHidden/>
          </w:rPr>
          <w:tab/>
        </w:r>
        <w:r>
          <w:rPr>
            <w:noProof/>
            <w:webHidden/>
          </w:rPr>
          <w:fldChar w:fldCharType="begin"/>
        </w:r>
        <w:r>
          <w:rPr>
            <w:noProof/>
            <w:webHidden/>
          </w:rPr>
          <w:instrText xml:space="preserve"> PAGEREF _Toc16000739 \h </w:instrText>
        </w:r>
        <w:r>
          <w:rPr>
            <w:noProof/>
            <w:webHidden/>
          </w:rPr>
        </w:r>
        <w:r>
          <w:rPr>
            <w:noProof/>
            <w:webHidden/>
          </w:rPr>
          <w:fldChar w:fldCharType="separate"/>
        </w:r>
        <w:r>
          <w:rPr>
            <w:noProof/>
            <w:webHidden/>
          </w:rPr>
          <w:t>179</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740" w:history="1">
        <w:r>
          <w:rPr>
            <w:rStyle w:val="Hyperlink"/>
            <w:noProof/>
          </w:rPr>
          <w:t>3.</w:t>
        </w:r>
        <w:r>
          <w:rPr>
            <w:rFonts w:asciiTheme="minorHAnsi" w:eastAsiaTheme="minorEastAsia" w:hAnsiTheme="minorHAnsi" w:cstheme="minorBidi"/>
            <w:noProof/>
            <w:sz w:val="22"/>
            <w:szCs w:val="22"/>
            <w:lang w:val="en-IE" w:eastAsia="en-IE"/>
          </w:rPr>
          <w:tab/>
        </w:r>
        <w:r>
          <w:rPr>
            <w:rStyle w:val="Hyperlink"/>
            <w:noProof/>
          </w:rPr>
          <w:t>Issues addressed in the Joint Committee meetings</w:t>
        </w:r>
        <w:r>
          <w:rPr>
            <w:noProof/>
            <w:webHidden/>
          </w:rPr>
          <w:tab/>
        </w:r>
        <w:r>
          <w:rPr>
            <w:noProof/>
            <w:webHidden/>
          </w:rPr>
          <w:fldChar w:fldCharType="begin"/>
        </w:r>
        <w:r>
          <w:rPr>
            <w:noProof/>
            <w:webHidden/>
          </w:rPr>
          <w:instrText xml:space="preserve"> PAGEREF _Toc16000740 \h </w:instrText>
        </w:r>
        <w:r>
          <w:rPr>
            <w:noProof/>
            <w:webHidden/>
          </w:rPr>
        </w:r>
        <w:r>
          <w:rPr>
            <w:noProof/>
            <w:webHidden/>
          </w:rPr>
          <w:fldChar w:fldCharType="separate"/>
        </w:r>
        <w:r>
          <w:rPr>
            <w:noProof/>
            <w:webHidden/>
          </w:rPr>
          <w:t>180</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741" w:history="1">
        <w:r>
          <w:rPr>
            <w:rStyle w:val="Hyperlink"/>
            <w:noProof/>
          </w:rPr>
          <w:t>4.</w:t>
        </w:r>
        <w:r>
          <w:rPr>
            <w:rFonts w:asciiTheme="minorHAnsi" w:eastAsiaTheme="minorEastAsia" w:hAnsiTheme="minorHAnsi" w:cstheme="minorBidi"/>
            <w:noProof/>
            <w:sz w:val="22"/>
            <w:szCs w:val="22"/>
            <w:lang w:val="en-IE" w:eastAsia="en-IE"/>
          </w:rPr>
          <w:tab/>
        </w:r>
        <w:r>
          <w:rPr>
            <w:rStyle w:val="Hyperlink"/>
            <w:noProof/>
          </w:rPr>
          <w:t>Specific areas of importance</w:t>
        </w:r>
        <w:r>
          <w:rPr>
            <w:noProof/>
            <w:webHidden/>
          </w:rPr>
          <w:tab/>
        </w:r>
        <w:r>
          <w:rPr>
            <w:noProof/>
            <w:webHidden/>
          </w:rPr>
          <w:fldChar w:fldCharType="begin"/>
        </w:r>
        <w:r>
          <w:rPr>
            <w:noProof/>
            <w:webHidden/>
          </w:rPr>
          <w:instrText xml:space="preserve"> PAGEREF _Toc16000741 \h </w:instrText>
        </w:r>
        <w:r>
          <w:rPr>
            <w:noProof/>
            <w:webHidden/>
          </w:rPr>
        </w:r>
        <w:r>
          <w:rPr>
            <w:noProof/>
            <w:webHidden/>
          </w:rPr>
          <w:fldChar w:fldCharType="separate"/>
        </w:r>
        <w:r>
          <w:rPr>
            <w:noProof/>
            <w:webHidden/>
          </w:rPr>
          <w:t>180</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742" w:history="1">
        <w:r>
          <w:rPr>
            <w:rStyle w:val="Hyperlink"/>
            <w:noProof/>
          </w:rPr>
          <w:t>5.</w:t>
        </w:r>
        <w:r>
          <w:rPr>
            <w:rFonts w:asciiTheme="minorHAnsi" w:eastAsiaTheme="minorEastAsia" w:hAnsiTheme="minorHAnsi" w:cstheme="minorBidi"/>
            <w:noProof/>
            <w:sz w:val="22"/>
            <w:szCs w:val="22"/>
            <w:lang w:val="en-IE" w:eastAsia="en-IE"/>
          </w:rPr>
          <w:tab/>
        </w:r>
        <w:r>
          <w:rPr>
            <w:rStyle w:val="Hyperlink"/>
            <w:noProof/>
          </w:rPr>
          <w:t>Main open issues and follow-up actions</w:t>
        </w:r>
        <w:r>
          <w:rPr>
            <w:noProof/>
            <w:webHidden/>
          </w:rPr>
          <w:tab/>
        </w:r>
        <w:r>
          <w:rPr>
            <w:noProof/>
            <w:webHidden/>
          </w:rPr>
          <w:fldChar w:fldCharType="begin"/>
        </w:r>
        <w:r>
          <w:rPr>
            <w:noProof/>
            <w:webHidden/>
          </w:rPr>
          <w:instrText xml:space="preserve"> PAGEREF _Toc16000742 \h </w:instrText>
        </w:r>
        <w:r>
          <w:rPr>
            <w:noProof/>
            <w:webHidden/>
          </w:rPr>
        </w:r>
        <w:r>
          <w:rPr>
            <w:noProof/>
            <w:webHidden/>
          </w:rPr>
          <w:fldChar w:fldCharType="separate"/>
        </w:r>
        <w:r>
          <w:rPr>
            <w:noProof/>
            <w:webHidden/>
          </w:rPr>
          <w:t>180</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743" w:history="1">
        <w:r>
          <w:rPr>
            <w:rStyle w:val="Hyperlink"/>
            <w:noProof/>
          </w:rPr>
          <w:t>6.</w:t>
        </w:r>
        <w:r>
          <w:rPr>
            <w:rFonts w:asciiTheme="minorHAnsi" w:eastAsiaTheme="minorEastAsia" w:hAnsiTheme="minorHAnsi" w:cstheme="minorBidi"/>
            <w:noProof/>
            <w:sz w:val="22"/>
            <w:szCs w:val="22"/>
            <w:lang w:val="en-IE" w:eastAsia="en-IE"/>
          </w:rPr>
          <w:tab/>
        </w:r>
        <w:r>
          <w:rPr>
            <w:rStyle w:val="Hyperlink"/>
            <w:noProof/>
          </w:rPr>
          <w:t>Conclusions</w:t>
        </w:r>
        <w:r>
          <w:rPr>
            <w:noProof/>
            <w:webHidden/>
          </w:rPr>
          <w:tab/>
        </w:r>
        <w:r>
          <w:rPr>
            <w:noProof/>
            <w:webHidden/>
          </w:rPr>
          <w:fldChar w:fldCharType="begin"/>
        </w:r>
        <w:r>
          <w:rPr>
            <w:noProof/>
            <w:webHidden/>
          </w:rPr>
          <w:instrText xml:space="preserve"> PAGEREF _Toc16000743 \h </w:instrText>
        </w:r>
        <w:r>
          <w:rPr>
            <w:noProof/>
            <w:webHidden/>
          </w:rPr>
        </w:r>
        <w:r>
          <w:rPr>
            <w:noProof/>
            <w:webHidden/>
          </w:rPr>
          <w:fldChar w:fldCharType="separate"/>
        </w:r>
        <w:r>
          <w:rPr>
            <w:noProof/>
            <w:webHidden/>
          </w:rPr>
          <w:t>181</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744" w:history="1">
        <w:r>
          <w:rPr>
            <w:rStyle w:val="Hyperlink"/>
            <w:noProof/>
          </w:rPr>
          <w:t>7.</w:t>
        </w:r>
        <w:r>
          <w:rPr>
            <w:rFonts w:asciiTheme="minorHAnsi" w:eastAsiaTheme="minorEastAsia" w:hAnsiTheme="minorHAnsi" w:cstheme="minorBidi"/>
            <w:noProof/>
            <w:sz w:val="22"/>
            <w:szCs w:val="22"/>
            <w:lang w:val="en-IE" w:eastAsia="en-IE"/>
          </w:rPr>
          <w:tab/>
        </w:r>
        <w:r>
          <w:rPr>
            <w:rStyle w:val="Hyperlink"/>
            <w:noProof/>
          </w:rPr>
          <w:t>Statistics</w:t>
        </w:r>
        <w:r>
          <w:rPr>
            <w:noProof/>
            <w:webHidden/>
          </w:rPr>
          <w:tab/>
        </w:r>
        <w:r>
          <w:rPr>
            <w:noProof/>
            <w:webHidden/>
          </w:rPr>
          <w:fldChar w:fldCharType="begin"/>
        </w:r>
        <w:r>
          <w:rPr>
            <w:noProof/>
            <w:webHidden/>
          </w:rPr>
          <w:instrText xml:space="preserve"> PAGEREF _Toc16000744 \h </w:instrText>
        </w:r>
        <w:r>
          <w:rPr>
            <w:noProof/>
            <w:webHidden/>
          </w:rPr>
        </w:r>
        <w:r>
          <w:rPr>
            <w:noProof/>
            <w:webHidden/>
          </w:rPr>
          <w:fldChar w:fldCharType="separate"/>
        </w:r>
        <w:r>
          <w:rPr>
            <w:noProof/>
            <w:webHidden/>
          </w:rPr>
          <w:t>181</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en-IE" w:eastAsia="en-IE"/>
        </w:rPr>
      </w:pPr>
      <w:hyperlink w:anchor="_Toc16000745" w:history="1">
        <w:r>
          <w:rPr>
            <w:rStyle w:val="Hyperlink"/>
            <w:b/>
            <w:noProof/>
          </w:rPr>
          <w:t>ANNUAL INFO SHEET ON THE IMPLEMENTATION OF THE TRADE PILLAR OF THE EU-BOSNIA AND HERZEGOVINA STABILISATION AND ASSOCIATION AGREEMENT</w:t>
        </w:r>
        <w:r>
          <w:rPr>
            <w:noProof/>
            <w:webHidden/>
          </w:rPr>
          <w:tab/>
        </w:r>
        <w:r>
          <w:rPr>
            <w:noProof/>
            <w:webHidden/>
          </w:rPr>
          <w:fldChar w:fldCharType="begin"/>
        </w:r>
        <w:r>
          <w:rPr>
            <w:noProof/>
            <w:webHidden/>
          </w:rPr>
          <w:instrText xml:space="preserve"> PAGEREF _Toc16000745 \h </w:instrText>
        </w:r>
        <w:r>
          <w:rPr>
            <w:noProof/>
            <w:webHidden/>
          </w:rPr>
        </w:r>
        <w:r>
          <w:rPr>
            <w:noProof/>
            <w:webHidden/>
          </w:rPr>
          <w:fldChar w:fldCharType="separate"/>
        </w:r>
        <w:r>
          <w:rPr>
            <w:noProof/>
            <w:webHidden/>
          </w:rPr>
          <w:t>183</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746" w:history="1">
        <w:r>
          <w:rPr>
            <w:rStyle w:val="Hyperlink"/>
            <w:noProof/>
          </w:rPr>
          <w:t>1.</w:t>
        </w:r>
        <w:r>
          <w:rPr>
            <w:rFonts w:asciiTheme="minorHAnsi" w:eastAsiaTheme="minorEastAsia" w:hAnsiTheme="minorHAnsi" w:cstheme="minorBidi"/>
            <w:noProof/>
            <w:sz w:val="22"/>
            <w:szCs w:val="22"/>
            <w:lang w:val="en-IE" w:eastAsia="en-IE"/>
          </w:rPr>
          <w:tab/>
        </w:r>
        <w:r>
          <w:rPr>
            <w:rStyle w:val="Hyperlink"/>
            <w:noProof/>
          </w:rPr>
          <w:t>Introduction</w:t>
        </w:r>
        <w:r>
          <w:rPr>
            <w:noProof/>
            <w:webHidden/>
          </w:rPr>
          <w:tab/>
        </w:r>
        <w:r>
          <w:rPr>
            <w:noProof/>
            <w:webHidden/>
          </w:rPr>
          <w:fldChar w:fldCharType="begin"/>
        </w:r>
        <w:r>
          <w:rPr>
            <w:noProof/>
            <w:webHidden/>
          </w:rPr>
          <w:instrText xml:space="preserve"> PAGEREF _Toc16000746 \h </w:instrText>
        </w:r>
        <w:r>
          <w:rPr>
            <w:noProof/>
            <w:webHidden/>
          </w:rPr>
        </w:r>
        <w:r>
          <w:rPr>
            <w:noProof/>
            <w:webHidden/>
          </w:rPr>
          <w:fldChar w:fldCharType="separate"/>
        </w:r>
        <w:r>
          <w:rPr>
            <w:noProof/>
            <w:webHidden/>
          </w:rPr>
          <w:t>183</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747" w:history="1">
        <w:r>
          <w:rPr>
            <w:rStyle w:val="Hyperlink"/>
            <w:noProof/>
          </w:rPr>
          <w:t>2.</w:t>
        </w:r>
        <w:r>
          <w:rPr>
            <w:rFonts w:asciiTheme="minorHAnsi" w:eastAsiaTheme="minorEastAsia" w:hAnsiTheme="minorHAnsi" w:cstheme="minorBidi"/>
            <w:noProof/>
            <w:sz w:val="22"/>
            <w:szCs w:val="22"/>
            <w:lang w:val="en-IE" w:eastAsia="en-IE"/>
          </w:rPr>
          <w:tab/>
        </w:r>
        <w:r>
          <w:rPr>
            <w:rStyle w:val="Hyperlink"/>
            <w:noProof/>
          </w:rPr>
          <w:t>Evolution of trade</w:t>
        </w:r>
        <w:r>
          <w:rPr>
            <w:noProof/>
            <w:webHidden/>
          </w:rPr>
          <w:tab/>
        </w:r>
        <w:r>
          <w:rPr>
            <w:noProof/>
            <w:webHidden/>
          </w:rPr>
          <w:fldChar w:fldCharType="begin"/>
        </w:r>
        <w:r>
          <w:rPr>
            <w:noProof/>
            <w:webHidden/>
          </w:rPr>
          <w:instrText xml:space="preserve"> PAGEREF _Toc16000747 \h </w:instrText>
        </w:r>
        <w:r>
          <w:rPr>
            <w:noProof/>
            <w:webHidden/>
          </w:rPr>
        </w:r>
        <w:r>
          <w:rPr>
            <w:noProof/>
            <w:webHidden/>
          </w:rPr>
          <w:fldChar w:fldCharType="separate"/>
        </w:r>
        <w:r>
          <w:rPr>
            <w:noProof/>
            <w:webHidden/>
          </w:rPr>
          <w:t>183</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748" w:history="1">
        <w:r>
          <w:rPr>
            <w:rStyle w:val="Hyperlink"/>
            <w:noProof/>
          </w:rPr>
          <w:t>2.1 Trade in Goods</w:t>
        </w:r>
        <w:r>
          <w:rPr>
            <w:noProof/>
            <w:webHidden/>
          </w:rPr>
          <w:tab/>
        </w:r>
        <w:r>
          <w:rPr>
            <w:noProof/>
            <w:webHidden/>
          </w:rPr>
          <w:fldChar w:fldCharType="begin"/>
        </w:r>
        <w:r>
          <w:rPr>
            <w:noProof/>
            <w:webHidden/>
          </w:rPr>
          <w:instrText xml:space="preserve"> PAGEREF _Toc16000748 \h </w:instrText>
        </w:r>
        <w:r>
          <w:rPr>
            <w:noProof/>
            <w:webHidden/>
          </w:rPr>
        </w:r>
        <w:r>
          <w:rPr>
            <w:noProof/>
            <w:webHidden/>
          </w:rPr>
          <w:fldChar w:fldCharType="separate"/>
        </w:r>
        <w:r>
          <w:rPr>
            <w:noProof/>
            <w:webHidden/>
          </w:rPr>
          <w:t>183</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749" w:history="1">
        <w:r>
          <w:rPr>
            <w:rStyle w:val="Hyperlink"/>
            <w:noProof/>
          </w:rPr>
          <w:t>2.2 Trade in agricultural goods</w:t>
        </w:r>
        <w:r>
          <w:rPr>
            <w:noProof/>
            <w:webHidden/>
          </w:rPr>
          <w:tab/>
        </w:r>
        <w:r>
          <w:rPr>
            <w:noProof/>
            <w:webHidden/>
          </w:rPr>
          <w:fldChar w:fldCharType="begin"/>
        </w:r>
        <w:r>
          <w:rPr>
            <w:noProof/>
            <w:webHidden/>
          </w:rPr>
          <w:instrText xml:space="preserve"> PAGEREF _Toc16000749 \h </w:instrText>
        </w:r>
        <w:r>
          <w:rPr>
            <w:noProof/>
            <w:webHidden/>
          </w:rPr>
        </w:r>
        <w:r>
          <w:rPr>
            <w:noProof/>
            <w:webHidden/>
          </w:rPr>
          <w:fldChar w:fldCharType="separate"/>
        </w:r>
        <w:r>
          <w:rPr>
            <w:noProof/>
            <w:webHidden/>
          </w:rPr>
          <w:t>183</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750" w:history="1">
        <w:r>
          <w:rPr>
            <w:rStyle w:val="Hyperlink"/>
            <w:noProof/>
          </w:rPr>
          <w:t>2.3 Trade in Services and Foreign Direct investment (FDIs)</w:t>
        </w:r>
        <w:r>
          <w:rPr>
            <w:noProof/>
            <w:webHidden/>
          </w:rPr>
          <w:tab/>
        </w:r>
        <w:r>
          <w:rPr>
            <w:noProof/>
            <w:webHidden/>
          </w:rPr>
          <w:fldChar w:fldCharType="begin"/>
        </w:r>
        <w:r>
          <w:rPr>
            <w:noProof/>
            <w:webHidden/>
          </w:rPr>
          <w:instrText xml:space="preserve"> PAGEREF _Toc16000750 \h </w:instrText>
        </w:r>
        <w:r>
          <w:rPr>
            <w:noProof/>
            <w:webHidden/>
          </w:rPr>
        </w:r>
        <w:r>
          <w:rPr>
            <w:noProof/>
            <w:webHidden/>
          </w:rPr>
          <w:fldChar w:fldCharType="separate"/>
        </w:r>
        <w:r>
          <w:rPr>
            <w:noProof/>
            <w:webHidden/>
          </w:rPr>
          <w:t>184</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751" w:history="1">
        <w:r>
          <w:rPr>
            <w:rStyle w:val="Hyperlink"/>
            <w:noProof/>
          </w:rPr>
          <w:t>3.</w:t>
        </w:r>
        <w:r>
          <w:rPr>
            <w:rFonts w:asciiTheme="minorHAnsi" w:eastAsiaTheme="minorEastAsia" w:hAnsiTheme="minorHAnsi" w:cstheme="minorBidi"/>
            <w:noProof/>
            <w:sz w:val="22"/>
            <w:szCs w:val="22"/>
            <w:lang w:val="en-IE" w:eastAsia="en-IE"/>
          </w:rPr>
          <w:tab/>
        </w:r>
        <w:r>
          <w:rPr>
            <w:rStyle w:val="Hyperlink"/>
            <w:noProof/>
          </w:rPr>
          <w:t>Issues addressed in the annual Committee meetings</w:t>
        </w:r>
        <w:r>
          <w:rPr>
            <w:noProof/>
            <w:webHidden/>
          </w:rPr>
          <w:tab/>
        </w:r>
        <w:r>
          <w:rPr>
            <w:noProof/>
            <w:webHidden/>
          </w:rPr>
          <w:fldChar w:fldCharType="begin"/>
        </w:r>
        <w:r>
          <w:rPr>
            <w:noProof/>
            <w:webHidden/>
          </w:rPr>
          <w:instrText xml:space="preserve"> PAGEREF _Toc16000751 \h </w:instrText>
        </w:r>
        <w:r>
          <w:rPr>
            <w:noProof/>
            <w:webHidden/>
          </w:rPr>
        </w:r>
        <w:r>
          <w:rPr>
            <w:noProof/>
            <w:webHidden/>
          </w:rPr>
          <w:fldChar w:fldCharType="separate"/>
        </w:r>
        <w:r>
          <w:rPr>
            <w:noProof/>
            <w:webHidden/>
          </w:rPr>
          <w:t>184</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752" w:history="1">
        <w:r>
          <w:rPr>
            <w:rStyle w:val="Hyperlink"/>
            <w:noProof/>
          </w:rPr>
          <w:t>4.</w:t>
        </w:r>
        <w:r>
          <w:rPr>
            <w:rFonts w:asciiTheme="minorHAnsi" w:eastAsiaTheme="minorEastAsia" w:hAnsiTheme="minorHAnsi" w:cstheme="minorBidi"/>
            <w:noProof/>
            <w:sz w:val="22"/>
            <w:szCs w:val="22"/>
            <w:lang w:val="en-IE" w:eastAsia="en-IE"/>
          </w:rPr>
          <w:tab/>
        </w:r>
        <w:r>
          <w:rPr>
            <w:rStyle w:val="Hyperlink"/>
            <w:noProof/>
          </w:rPr>
          <w:t>Specific areas of importance</w:t>
        </w:r>
        <w:r>
          <w:rPr>
            <w:noProof/>
            <w:webHidden/>
          </w:rPr>
          <w:tab/>
        </w:r>
        <w:r>
          <w:rPr>
            <w:noProof/>
            <w:webHidden/>
          </w:rPr>
          <w:fldChar w:fldCharType="begin"/>
        </w:r>
        <w:r>
          <w:rPr>
            <w:noProof/>
            <w:webHidden/>
          </w:rPr>
          <w:instrText xml:space="preserve"> PAGEREF _Toc16000752 \h </w:instrText>
        </w:r>
        <w:r>
          <w:rPr>
            <w:noProof/>
            <w:webHidden/>
          </w:rPr>
        </w:r>
        <w:r>
          <w:rPr>
            <w:noProof/>
            <w:webHidden/>
          </w:rPr>
          <w:fldChar w:fldCharType="separate"/>
        </w:r>
        <w:r>
          <w:rPr>
            <w:noProof/>
            <w:webHidden/>
          </w:rPr>
          <w:t>185</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753" w:history="1">
        <w:r>
          <w:rPr>
            <w:rStyle w:val="Hyperlink"/>
            <w:noProof/>
          </w:rPr>
          <w:t>5.</w:t>
        </w:r>
        <w:r>
          <w:rPr>
            <w:rFonts w:asciiTheme="minorHAnsi" w:eastAsiaTheme="minorEastAsia" w:hAnsiTheme="minorHAnsi" w:cstheme="minorBidi"/>
            <w:noProof/>
            <w:sz w:val="22"/>
            <w:szCs w:val="22"/>
            <w:lang w:val="en-IE" w:eastAsia="en-IE"/>
          </w:rPr>
          <w:tab/>
        </w:r>
        <w:r>
          <w:rPr>
            <w:rStyle w:val="Hyperlink"/>
            <w:noProof/>
          </w:rPr>
          <w:t>Main open issues and follow-up actions</w:t>
        </w:r>
        <w:r>
          <w:rPr>
            <w:noProof/>
            <w:webHidden/>
          </w:rPr>
          <w:tab/>
        </w:r>
        <w:r>
          <w:rPr>
            <w:noProof/>
            <w:webHidden/>
          </w:rPr>
          <w:fldChar w:fldCharType="begin"/>
        </w:r>
        <w:r>
          <w:rPr>
            <w:noProof/>
            <w:webHidden/>
          </w:rPr>
          <w:instrText xml:space="preserve"> PAGEREF _Toc16000753 \h </w:instrText>
        </w:r>
        <w:r>
          <w:rPr>
            <w:noProof/>
            <w:webHidden/>
          </w:rPr>
        </w:r>
        <w:r>
          <w:rPr>
            <w:noProof/>
            <w:webHidden/>
          </w:rPr>
          <w:fldChar w:fldCharType="separate"/>
        </w:r>
        <w:r>
          <w:rPr>
            <w:noProof/>
            <w:webHidden/>
          </w:rPr>
          <w:t>185</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754" w:history="1">
        <w:r>
          <w:rPr>
            <w:rStyle w:val="Hyperlink"/>
            <w:noProof/>
          </w:rPr>
          <w:t>6.</w:t>
        </w:r>
        <w:r>
          <w:rPr>
            <w:rFonts w:asciiTheme="minorHAnsi" w:eastAsiaTheme="minorEastAsia" w:hAnsiTheme="minorHAnsi" w:cstheme="minorBidi"/>
            <w:noProof/>
            <w:sz w:val="22"/>
            <w:szCs w:val="22"/>
            <w:lang w:val="en-IE" w:eastAsia="en-IE"/>
          </w:rPr>
          <w:tab/>
        </w:r>
        <w:r>
          <w:rPr>
            <w:rStyle w:val="Hyperlink"/>
            <w:noProof/>
          </w:rPr>
          <w:t>Conclusions</w:t>
        </w:r>
        <w:r>
          <w:rPr>
            <w:noProof/>
            <w:webHidden/>
          </w:rPr>
          <w:tab/>
        </w:r>
        <w:r>
          <w:rPr>
            <w:noProof/>
            <w:webHidden/>
          </w:rPr>
          <w:fldChar w:fldCharType="begin"/>
        </w:r>
        <w:r>
          <w:rPr>
            <w:noProof/>
            <w:webHidden/>
          </w:rPr>
          <w:instrText xml:space="preserve"> PAGEREF _Toc16000754 \h </w:instrText>
        </w:r>
        <w:r>
          <w:rPr>
            <w:noProof/>
            <w:webHidden/>
          </w:rPr>
        </w:r>
        <w:r>
          <w:rPr>
            <w:noProof/>
            <w:webHidden/>
          </w:rPr>
          <w:fldChar w:fldCharType="separate"/>
        </w:r>
        <w:r>
          <w:rPr>
            <w:noProof/>
            <w:webHidden/>
          </w:rPr>
          <w:t>185</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755" w:history="1">
        <w:r>
          <w:rPr>
            <w:rStyle w:val="Hyperlink"/>
            <w:noProof/>
          </w:rPr>
          <w:t>7.</w:t>
        </w:r>
        <w:r>
          <w:rPr>
            <w:rFonts w:asciiTheme="minorHAnsi" w:eastAsiaTheme="minorEastAsia" w:hAnsiTheme="minorHAnsi" w:cstheme="minorBidi"/>
            <w:noProof/>
            <w:sz w:val="22"/>
            <w:szCs w:val="22"/>
            <w:lang w:val="en-IE" w:eastAsia="en-IE"/>
          </w:rPr>
          <w:tab/>
        </w:r>
        <w:r>
          <w:rPr>
            <w:rStyle w:val="Hyperlink"/>
            <w:noProof/>
          </w:rPr>
          <w:t>Statistics</w:t>
        </w:r>
        <w:r>
          <w:rPr>
            <w:noProof/>
            <w:webHidden/>
          </w:rPr>
          <w:tab/>
        </w:r>
        <w:r>
          <w:rPr>
            <w:noProof/>
            <w:webHidden/>
          </w:rPr>
          <w:fldChar w:fldCharType="begin"/>
        </w:r>
        <w:r>
          <w:rPr>
            <w:noProof/>
            <w:webHidden/>
          </w:rPr>
          <w:instrText xml:space="preserve"> PAGEREF _Toc16000755 \h </w:instrText>
        </w:r>
        <w:r>
          <w:rPr>
            <w:noProof/>
            <w:webHidden/>
          </w:rPr>
        </w:r>
        <w:r>
          <w:rPr>
            <w:noProof/>
            <w:webHidden/>
          </w:rPr>
          <w:fldChar w:fldCharType="separate"/>
        </w:r>
        <w:r>
          <w:rPr>
            <w:noProof/>
            <w:webHidden/>
          </w:rPr>
          <w:t>186</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en-IE" w:eastAsia="en-IE"/>
        </w:rPr>
      </w:pPr>
      <w:hyperlink w:anchor="_Toc16000756" w:history="1">
        <w:r>
          <w:rPr>
            <w:rStyle w:val="Hyperlink"/>
            <w:b/>
            <w:noProof/>
          </w:rPr>
          <w:t>ANNUAL INFO SHEET ON THE IMPLEMENTATION OF THE TRADE PILLAR OF THE STABILISATION AND ASSOCIATION AGREEMENT BETWEEN THE EU AND NORTH MACEDONIA</w:t>
        </w:r>
        <w:r>
          <w:rPr>
            <w:noProof/>
            <w:webHidden/>
          </w:rPr>
          <w:tab/>
        </w:r>
        <w:r>
          <w:rPr>
            <w:noProof/>
            <w:webHidden/>
          </w:rPr>
          <w:fldChar w:fldCharType="begin"/>
        </w:r>
        <w:r>
          <w:rPr>
            <w:noProof/>
            <w:webHidden/>
          </w:rPr>
          <w:instrText xml:space="preserve"> PAGEREF _Toc16000756 \h </w:instrText>
        </w:r>
        <w:r>
          <w:rPr>
            <w:noProof/>
            <w:webHidden/>
          </w:rPr>
        </w:r>
        <w:r>
          <w:rPr>
            <w:noProof/>
            <w:webHidden/>
          </w:rPr>
          <w:fldChar w:fldCharType="separate"/>
        </w:r>
        <w:r>
          <w:rPr>
            <w:noProof/>
            <w:webHidden/>
          </w:rPr>
          <w:t>190</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757" w:history="1">
        <w:r>
          <w:rPr>
            <w:rStyle w:val="Hyperlink"/>
            <w:noProof/>
          </w:rPr>
          <w:t>1.</w:t>
        </w:r>
        <w:r>
          <w:rPr>
            <w:rFonts w:asciiTheme="minorHAnsi" w:eastAsiaTheme="minorEastAsia" w:hAnsiTheme="minorHAnsi" w:cstheme="minorBidi"/>
            <w:noProof/>
            <w:sz w:val="22"/>
            <w:szCs w:val="22"/>
            <w:lang w:val="en-IE" w:eastAsia="en-IE"/>
          </w:rPr>
          <w:tab/>
        </w:r>
        <w:r>
          <w:rPr>
            <w:rStyle w:val="Hyperlink"/>
            <w:noProof/>
          </w:rPr>
          <w:t>Introduction</w:t>
        </w:r>
        <w:r>
          <w:rPr>
            <w:noProof/>
            <w:webHidden/>
          </w:rPr>
          <w:tab/>
        </w:r>
        <w:r>
          <w:rPr>
            <w:noProof/>
            <w:webHidden/>
          </w:rPr>
          <w:fldChar w:fldCharType="begin"/>
        </w:r>
        <w:r>
          <w:rPr>
            <w:noProof/>
            <w:webHidden/>
          </w:rPr>
          <w:instrText xml:space="preserve"> PAGEREF _Toc16000757 \h </w:instrText>
        </w:r>
        <w:r>
          <w:rPr>
            <w:noProof/>
            <w:webHidden/>
          </w:rPr>
        </w:r>
        <w:r>
          <w:rPr>
            <w:noProof/>
            <w:webHidden/>
          </w:rPr>
          <w:fldChar w:fldCharType="separate"/>
        </w:r>
        <w:r>
          <w:rPr>
            <w:noProof/>
            <w:webHidden/>
          </w:rPr>
          <w:t>190</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758" w:history="1">
        <w:r>
          <w:rPr>
            <w:rStyle w:val="Hyperlink"/>
            <w:noProof/>
          </w:rPr>
          <w:t>2.</w:t>
        </w:r>
        <w:r>
          <w:rPr>
            <w:rFonts w:asciiTheme="minorHAnsi" w:eastAsiaTheme="minorEastAsia" w:hAnsiTheme="minorHAnsi" w:cstheme="minorBidi"/>
            <w:noProof/>
            <w:sz w:val="22"/>
            <w:szCs w:val="22"/>
            <w:lang w:val="en-IE" w:eastAsia="en-IE"/>
          </w:rPr>
          <w:tab/>
        </w:r>
        <w:r>
          <w:rPr>
            <w:rStyle w:val="Hyperlink"/>
            <w:noProof/>
          </w:rPr>
          <w:t>Evolution of trade</w:t>
        </w:r>
        <w:r>
          <w:rPr>
            <w:noProof/>
            <w:webHidden/>
          </w:rPr>
          <w:tab/>
        </w:r>
        <w:r>
          <w:rPr>
            <w:noProof/>
            <w:webHidden/>
          </w:rPr>
          <w:fldChar w:fldCharType="begin"/>
        </w:r>
        <w:r>
          <w:rPr>
            <w:noProof/>
            <w:webHidden/>
          </w:rPr>
          <w:instrText xml:space="preserve"> PAGEREF _Toc16000758 \h </w:instrText>
        </w:r>
        <w:r>
          <w:rPr>
            <w:noProof/>
            <w:webHidden/>
          </w:rPr>
        </w:r>
        <w:r>
          <w:rPr>
            <w:noProof/>
            <w:webHidden/>
          </w:rPr>
          <w:fldChar w:fldCharType="separate"/>
        </w:r>
        <w:r>
          <w:rPr>
            <w:noProof/>
            <w:webHidden/>
          </w:rPr>
          <w:t>190</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759" w:history="1">
        <w:r>
          <w:rPr>
            <w:rStyle w:val="Hyperlink"/>
            <w:noProof/>
          </w:rPr>
          <w:t>2.1 Trade in Goods</w:t>
        </w:r>
        <w:r>
          <w:rPr>
            <w:noProof/>
            <w:webHidden/>
          </w:rPr>
          <w:tab/>
        </w:r>
        <w:r>
          <w:rPr>
            <w:noProof/>
            <w:webHidden/>
          </w:rPr>
          <w:fldChar w:fldCharType="begin"/>
        </w:r>
        <w:r>
          <w:rPr>
            <w:noProof/>
            <w:webHidden/>
          </w:rPr>
          <w:instrText xml:space="preserve"> PAGEREF _Toc16000759 \h </w:instrText>
        </w:r>
        <w:r>
          <w:rPr>
            <w:noProof/>
            <w:webHidden/>
          </w:rPr>
        </w:r>
        <w:r>
          <w:rPr>
            <w:noProof/>
            <w:webHidden/>
          </w:rPr>
          <w:fldChar w:fldCharType="separate"/>
        </w:r>
        <w:r>
          <w:rPr>
            <w:noProof/>
            <w:webHidden/>
          </w:rPr>
          <w:t>190</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760" w:history="1">
        <w:r>
          <w:rPr>
            <w:rStyle w:val="Hyperlink"/>
            <w:noProof/>
          </w:rPr>
          <w:t>2.2 Trade in agricultural goods</w:t>
        </w:r>
        <w:r>
          <w:rPr>
            <w:noProof/>
            <w:webHidden/>
          </w:rPr>
          <w:tab/>
        </w:r>
        <w:r>
          <w:rPr>
            <w:noProof/>
            <w:webHidden/>
          </w:rPr>
          <w:fldChar w:fldCharType="begin"/>
        </w:r>
        <w:r>
          <w:rPr>
            <w:noProof/>
            <w:webHidden/>
          </w:rPr>
          <w:instrText xml:space="preserve"> PAGEREF _Toc16000760 \h </w:instrText>
        </w:r>
        <w:r>
          <w:rPr>
            <w:noProof/>
            <w:webHidden/>
          </w:rPr>
        </w:r>
        <w:r>
          <w:rPr>
            <w:noProof/>
            <w:webHidden/>
          </w:rPr>
          <w:fldChar w:fldCharType="separate"/>
        </w:r>
        <w:r>
          <w:rPr>
            <w:noProof/>
            <w:webHidden/>
          </w:rPr>
          <w:t>191</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761" w:history="1">
        <w:r>
          <w:rPr>
            <w:rStyle w:val="Hyperlink"/>
            <w:noProof/>
          </w:rPr>
          <w:t>2.3 Trade in Services and FDI</w:t>
        </w:r>
        <w:r>
          <w:rPr>
            <w:noProof/>
            <w:webHidden/>
          </w:rPr>
          <w:tab/>
        </w:r>
        <w:r>
          <w:rPr>
            <w:noProof/>
            <w:webHidden/>
          </w:rPr>
          <w:fldChar w:fldCharType="begin"/>
        </w:r>
        <w:r>
          <w:rPr>
            <w:noProof/>
            <w:webHidden/>
          </w:rPr>
          <w:instrText xml:space="preserve"> PAGEREF _Toc16000761 \h </w:instrText>
        </w:r>
        <w:r>
          <w:rPr>
            <w:noProof/>
            <w:webHidden/>
          </w:rPr>
        </w:r>
        <w:r>
          <w:rPr>
            <w:noProof/>
            <w:webHidden/>
          </w:rPr>
          <w:fldChar w:fldCharType="separate"/>
        </w:r>
        <w:r>
          <w:rPr>
            <w:noProof/>
            <w:webHidden/>
          </w:rPr>
          <w:t>191</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762" w:history="1">
        <w:r>
          <w:rPr>
            <w:rStyle w:val="Hyperlink"/>
            <w:noProof/>
          </w:rPr>
          <w:t>3.</w:t>
        </w:r>
        <w:r>
          <w:rPr>
            <w:rFonts w:asciiTheme="minorHAnsi" w:eastAsiaTheme="minorEastAsia" w:hAnsiTheme="minorHAnsi" w:cstheme="minorBidi"/>
            <w:noProof/>
            <w:sz w:val="22"/>
            <w:szCs w:val="22"/>
            <w:lang w:val="en-IE" w:eastAsia="en-IE"/>
          </w:rPr>
          <w:tab/>
        </w:r>
        <w:r>
          <w:rPr>
            <w:rStyle w:val="Hyperlink"/>
            <w:noProof/>
          </w:rPr>
          <w:t>Issues addressed in the annual Committee meetings</w:t>
        </w:r>
        <w:r>
          <w:rPr>
            <w:noProof/>
            <w:webHidden/>
          </w:rPr>
          <w:tab/>
        </w:r>
        <w:r>
          <w:rPr>
            <w:noProof/>
            <w:webHidden/>
          </w:rPr>
          <w:fldChar w:fldCharType="begin"/>
        </w:r>
        <w:r>
          <w:rPr>
            <w:noProof/>
            <w:webHidden/>
          </w:rPr>
          <w:instrText xml:space="preserve"> PAGEREF _Toc16000762 \h </w:instrText>
        </w:r>
        <w:r>
          <w:rPr>
            <w:noProof/>
            <w:webHidden/>
          </w:rPr>
        </w:r>
        <w:r>
          <w:rPr>
            <w:noProof/>
            <w:webHidden/>
          </w:rPr>
          <w:fldChar w:fldCharType="separate"/>
        </w:r>
        <w:r>
          <w:rPr>
            <w:noProof/>
            <w:webHidden/>
          </w:rPr>
          <w:t>191</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763" w:history="1">
        <w:r>
          <w:rPr>
            <w:rStyle w:val="Hyperlink"/>
            <w:noProof/>
          </w:rPr>
          <w:t>4.</w:t>
        </w:r>
        <w:r>
          <w:rPr>
            <w:rFonts w:asciiTheme="minorHAnsi" w:eastAsiaTheme="minorEastAsia" w:hAnsiTheme="minorHAnsi" w:cstheme="minorBidi"/>
            <w:noProof/>
            <w:sz w:val="22"/>
            <w:szCs w:val="22"/>
            <w:lang w:val="en-IE" w:eastAsia="en-IE"/>
          </w:rPr>
          <w:tab/>
        </w:r>
        <w:r>
          <w:rPr>
            <w:rStyle w:val="Hyperlink"/>
            <w:noProof/>
          </w:rPr>
          <w:t>Specific areas of importance</w:t>
        </w:r>
        <w:r>
          <w:rPr>
            <w:noProof/>
            <w:webHidden/>
          </w:rPr>
          <w:tab/>
        </w:r>
        <w:r>
          <w:rPr>
            <w:noProof/>
            <w:webHidden/>
          </w:rPr>
          <w:fldChar w:fldCharType="begin"/>
        </w:r>
        <w:r>
          <w:rPr>
            <w:noProof/>
            <w:webHidden/>
          </w:rPr>
          <w:instrText xml:space="preserve"> PAGEREF _Toc16000763 \h </w:instrText>
        </w:r>
        <w:r>
          <w:rPr>
            <w:noProof/>
            <w:webHidden/>
          </w:rPr>
        </w:r>
        <w:r>
          <w:rPr>
            <w:noProof/>
            <w:webHidden/>
          </w:rPr>
          <w:fldChar w:fldCharType="separate"/>
        </w:r>
        <w:r>
          <w:rPr>
            <w:noProof/>
            <w:webHidden/>
          </w:rPr>
          <w:t>192</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764" w:history="1">
        <w:r>
          <w:rPr>
            <w:rStyle w:val="Hyperlink"/>
            <w:noProof/>
          </w:rPr>
          <w:t>5.</w:t>
        </w:r>
        <w:r>
          <w:rPr>
            <w:rFonts w:asciiTheme="minorHAnsi" w:eastAsiaTheme="minorEastAsia" w:hAnsiTheme="minorHAnsi" w:cstheme="minorBidi"/>
            <w:noProof/>
            <w:sz w:val="22"/>
            <w:szCs w:val="22"/>
            <w:lang w:val="en-IE" w:eastAsia="en-IE"/>
          </w:rPr>
          <w:tab/>
        </w:r>
        <w:r>
          <w:rPr>
            <w:rStyle w:val="Hyperlink"/>
            <w:noProof/>
          </w:rPr>
          <w:t>Main open issues and follow-up actions</w:t>
        </w:r>
        <w:r>
          <w:rPr>
            <w:noProof/>
            <w:webHidden/>
          </w:rPr>
          <w:tab/>
        </w:r>
        <w:r>
          <w:rPr>
            <w:noProof/>
            <w:webHidden/>
          </w:rPr>
          <w:fldChar w:fldCharType="begin"/>
        </w:r>
        <w:r>
          <w:rPr>
            <w:noProof/>
            <w:webHidden/>
          </w:rPr>
          <w:instrText xml:space="preserve"> PAGEREF _Toc16000764 \h </w:instrText>
        </w:r>
        <w:r>
          <w:rPr>
            <w:noProof/>
            <w:webHidden/>
          </w:rPr>
        </w:r>
        <w:r>
          <w:rPr>
            <w:noProof/>
            <w:webHidden/>
          </w:rPr>
          <w:fldChar w:fldCharType="separate"/>
        </w:r>
        <w:r>
          <w:rPr>
            <w:noProof/>
            <w:webHidden/>
          </w:rPr>
          <w:t>192</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765" w:history="1">
        <w:r>
          <w:rPr>
            <w:rStyle w:val="Hyperlink"/>
            <w:noProof/>
          </w:rPr>
          <w:t>6.</w:t>
        </w:r>
        <w:r>
          <w:rPr>
            <w:rFonts w:asciiTheme="minorHAnsi" w:eastAsiaTheme="minorEastAsia" w:hAnsiTheme="minorHAnsi" w:cstheme="minorBidi"/>
            <w:noProof/>
            <w:sz w:val="22"/>
            <w:szCs w:val="22"/>
            <w:lang w:val="en-IE" w:eastAsia="en-IE"/>
          </w:rPr>
          <w:tab/>
        </w:r>
        <w:r>
          <w:rPr>
            <w:rStyle w:val="Hyperlink"/>
            <w:noProof/>
          </w:rPr>
          <w:t>Conclusions</w:t>
        </w:r>
        <w:r>
          <w:rPr>
            <w:noProof/>
            <w:webHidden/>
          </w:rPr>
          <w:tab/>
        </w:r>
        <w:r>
          <w:rPr>
            <w:noProof/>
            <w:webHidden/>
          </w:rPr>
          <w:fldChar w:fldCharType="begin"/>
        </w:r>
        <w:r>
          <w:rPr>
            <w:noProof/>
            <w:webHidden/>
          </w:rPr>
          <w:instrText xml:space="preserve"> PAGEREF _Toc16000765 \h </w:instrText>
        </w:r>
        <w:r>
          <w:rPr>
            <w:noProof/>
            <w:webHidden/>
          </w:rPr>
        </w:r>
        <w:r>
          <w:rPr>
            <w:noProof/>
            <w:webHidden/>
          </w:rPr>
          <w:fldChar w:fldCharType="separate"/>
        </w:r>
        <w:r>
          <w:rPr>
            <w:noProof/>
            <w:webHidden/>
          </w:rPr>
          <w:t>192</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766" w:history="1">
        <w:r>
          <w:rPr>
            <w:rStyle w:val="Hyperlink"/>
            <w:noProof/>
          </w:rPr>
          <w:t>7.</w:t>
        </w:r>
        <w:r>
          <w:rPr>
            <w:rFonts w:asciiTheme="minorHAnsi" w:eastAsiaTheme="minorEastAsia" w:hAnsiTheme="minorHAnsi" w:cstheme="minorBidi"/>
            <w:noProof/>
            <w:sz w:val="22"/>
            <w:szCs w:val="22"/>
            <w:lang w:val="en-IE" w:eastAsia="en-IE"/>
          </w:rPr>
          <w:tab/>
        </w:r>
        <w:r>
          <w:rPr>
            <w:rStyle w:val="Hyperlink"/>
            <w:noProof/>
          </w:rPr>
          <w:t>Statistics</w:t>
        </w:r>
        <w:r>
          <w:rPr>
            <w:noProof/>
            <w:webHidden/>
          </w:rPr>
          <w:tab/>
        </w:r>
        <w:r>
          <w:rPr>
            <w:noProof/>
            <w:webHidden/>
          </w:rPr>
          <w:fldChar w:fldCharType="begin"/>
        </w:r>
        <w:r>
          <w:rPr>
            <w:noProof/>
            <w:webHidden/>
          </w:rPr>
          <w:instrText xml:space="preserve"> PAGEREF _Toc16000766 \h </w:instrText>
        </w:r>
        <w:r>
          <w:rPr>
            <w:noProof/>
            <w:webHidden/>
          </w:rPr>
        </w:r>
        <w:r>
          <w:rPr>
            <w:noProof/>
            <w:webHidden/>
          </w:rPr>
          <w:fldChar w:fldCharType="separate"/>
        </w:r>
        <w:r>
          <w:rPr>
            <w:noProof/>
            <w:webHidden/>
          </w:rPr>
          <w:t>193</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en-IE" w:eastAsia="en-IE"/>
        </w:rPr>
      </w:pPr>
      <w:hyperlink w:anchor="_Toc16000767" w:history="1">
        <w:r>
          <w:rPr>
            <w:rStyle w:val="Hyperlink"/>
            <w:b/>
            <w:noProof/>
          </w:rPr>
          <w:t>ANNUAL INFO SHEET ON THE IMPLEMENTATION OF THE TRADE PILLAR OF THE EU-KOSOVO STABILISATION AND ASSOCIATION AGREEMENT</w:t>
        </w:r>
        <w:r>
          <w:rPr>
            <w:noProof/>
            <w:webHidden/>
          </w:rPr>
          <w:tab/>
        </w:r>
        <w:r>
          <w:rPr>
            <w:noProof/>
            <w:webHidden/>
          </w:rPr>
          <w:fldChar w:fldCharType="begin"/>
        </w:r>
        <w:r>
          <w:rPr>
            <w:noProof/>
            <w:webHidden/>
          </w:rPr>
          <w:instrText xml:space="preserve"> PAGEREF _Toc16000767 \h </w:instrText>
        </w:r>
        <w:r>
          <w:rPr>
            <w:noProof/>
            <w:webHidden/>
          </w:rPr>
        </w:r>
        <w:r>
          <w:rPr>
            <w:noProof/>
            <w:webHidden/>
          </w:rPr>
          <w:fldChar w:fldCharType="separate"/>
        </w:r>
        <w:r>
          <w:rPr>
            <w:noProof/>
            <w:webHidden/>
          </w:rPr>
          <w:t>195</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768" w:history="1">
        <w:r>
          <w:rPr>
            <w:rStyle w:val="Hyperlink"/>
            <w:noProof/>
          </w:rPr>
          <w:t>1.</w:t>
        </w:r>
        <w:r>
          <w:rPr>
            <w:rFonts w:asciiTheme="minorHAnsi" w:eastAsiaTheme="minorEastAsia" w:hAnsiTheme="minorHAnsi" w:cstheme="minorBidi"/>
            <w:noProof/>
            <w:sz w:val="22"/>
            <w:szCs w:val="22"/>
            <w:lang w:val="en-IE" w:eastAsia="en-IE"/>
          </w:rPr>
          <w:tab/>
        </w:r>
        <w:r>
          <w:rPr>
            <w:rStyle w:val="Hyperlink"/>
            <w:noProof/>
          </w:rPr>
          <w:t>Introduction</w:t>
        </w:r>
        <w:r>
          <w:rPr>
            <w:noProof/>
            <w:webHidden/>
          </w:rPr>
          <w:tab/>
        </w:r>
        <w:r>
          <w:rPr>
            <w:noProof/>
            <w:webHidden/>
          </w:rPr>
          <w:fldChar w:fldCharType="begin"/>
        </w:r>
        <w:r>
          <w:rPr>
            <w:noProof/>
            <w:webHidden/>
          </w:rPr>
          <w:instrText xml:space="preserve"> PAGEREF _Toc16000768 \h </w:instrText>
        </w:r>
        <w:r>
          <w:rPr>
            <w:noProof/>
            <w:webHidden/>
          </w:rPr>
        </w:r>
        <w:r>
          <w:rPr>
            <w:noProof/>
            <w:webHidden/>
          </w:rPr>
          <w:fldChar w:fldCharType="separate"/>
        </w:r>
        <w:r>
          <w:rPr>
            <w:noProof/>
            <w:webHidden/>
          </w:rPr>
          <w:t>195</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769" w:history="1">
        <w:r>
          <w:rPr>
            <w:rStyle w:val="Hyperlink"/>
            <w:noProof/>
          </w:rPr>
          <w:t>2.</w:t>
        </w:r>
        <w:r>
          <w:rPr>
            <w:rFonts w:asciiTheme="minorHAnsi" w:eastAsiaTheme="minorEastAsia" w:hAnsiTheme="minorHAnsi" w:cstheme="minorBidi"/>
            <w:noProof/>
            <w:sz w:val="22"/>
            <w:szCs w:val="22"/>
            <w:lang w:val="en-IE" w:eastAsia="en-IE"/>
          </w:rPr>
          <w:tab/>
        </w:r>
        <w:r>
          <w:rPr>
            <w:rStyle w:val="Hyperlink"/>
            <w:noProof/>
          </w:rPr>
          <w:t>Evolution of trade</w:t>
        </w:r>
        <w:r>
          <w:rPr>
            <w:noProof/>
            <w:webHidden/>
          </w:rPr>
          <w:tab/>
        </w:r>
        <w:r>
          <w:rPr>
            <w:noProof/>
            <w:webHidden/>
          </w:rPr>
          <w:fldChar w:fldCharType="begin"/>
        </w:r>
        <w:r>
          <w:rPr>
            <w:noProof/>
            <w:webHidden/>
          </w:rPr>
          <w:instrText xml:space="preserve"> PAGEREF _Toc16000769 \h </w:instrText>
        </w:r>
        <w:r>
          <w:rPr>
            <w:noProof/>
            <w:webHidden/>
          </w:rPr>
        </w:r>
        <w:r>
          <w:rPr>
            <w:noProof/>
            <w:webHidden/>
          </w:rPr>
          <w:fldChar w:fldCharType="separate"/>
        </w:r>
        <w:r>
          <w:rPr>
            <w:noProof/>
            <w:webHidden/>
          </w:rPr>
          <w:t>195</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770" w:history="1">
        <w:r>
          <w:rPr>
            <w:rStyle w:val="Hyperlink"/>
            <w:noProof/>
          </w:rPr>
          <w:t>2.1 Trade in Goods</w:t>
        </w:r>
        <w:r>
          <w:rPr>
            <w:noProof/>
            <w:webHidden/>
          </w:rPr>
          <w:tab/>
        </w:r>
        <w:r>
          <w:rPr>
            <w:noProof/>
            <w:webHidden/>
          </w:rPr>
          <w:fldChar w:fldCharType="begin"/>
        </w:r>
        <w:r>
          <w:rPr>
            <w:noProof/>
            <w:webHidden/>
          </w:rPr>
          <w:instrText xml:space="preserve"> PAGEREF _Toc16000770 \h </w:instrText>
        </w:r>
        <w:r>
          <w:rPr>
            <w:noProof/>
            <w:webHidden/>
          </w:rPr>
        </w:r>
        <w:r>
          <w:rPr>
            <w:noProof/>
            <w:webHidden/>
          </w:rPr>
          <w:fldChar w:fldCharType="separate"/>
        </w:r>
        <w:r>
          <w:rPr>
            <w:noProof/>
            <w:webHidden/>
          </w:rPr>
          <w:t>195</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771" w:history="1">
        <w:r>
          <w:rPr>
            <w:rStyle w:val="Hyperlink"/>
            <w:noProof/>
          </w:rPr>
          <w:t>2.2 Trade in agricultural goods</w:t>
        </w:r>
        <w:r>
          <w:rPr>
            <w:noProof/>
            <w:webHidden/>
          </w:rPr>
          <w:tab/>
        </w:r>
        <w:r>
          <w:rPr>
            <w:noProof/>
            <w:webHidden/>
          </w:rPr>
          <w:fldChar w:fldCharType="begin"/>
        </w:r>
        <w:r>
          <w:rPr>
            <w:noProof/>
            <w:webHidden/>
          </w:rPr>
          <w:instrText xml:space="preserve"> PAGEREF _Toc16000771 \h </w:instrText>
        </w:r>
        <w:r>
          <w:rPr>
            <w:noProof/>
            <w:webHidden/>
          </w:rPr>
        </w:r>
        <w:r>
          <w:rPr>
            <w:noProof/>
            <w:webHidden/>
          </w:rPr>
          <w:fldChar w:fldCharType="separate"/>
        </w:r>
        <w:r>
          <w:rPr>
            <w:noProof/>
            <w:webHidden/>
          </w:rPr>
          <w:t>196</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772" w:history="1">
        <w:r>
          <w:rPr>
            <w:rStyle w:val="Hyperlink"/>
            <w:noProof/>
          </w:rPr>
          <w:t>2.4 Trade in Services and Foreign Direct investment (FDIs)</w:t>
        </w:r>
        <w:r>
          <w:rPr>
            <w:noProof/>
            <w:webHidden/>
          </w:rPr>
          <w:tab/>
        </w:r>
        <w:r>
          <w:rPr>
            <w:noProof/>
            <w:webHidden/>
          </w:rPr>
          <w:fldChar w:fldCharType="begin"/>
        </w:r>
        <w:r>
          <w:rPr>
            <w:noProof/>
            <w:webHidden/>
          </w:rPr>
          <w:instrText xml:space="preserve"> PAGEREF _Toc16000772 \h </w:instrText>
        </w:r>
        <w:r>
          <w:rPr>
            <w:noProof/>
            <w:webHidden/>
          </w:rPr>
        </w:r>
        <w:r>
          <w:rPr>
            <w:noProof/>
            <w:webHidden/>
          </w:rPr>
          <w:fldChar w:fldCharType="separate"/>
        </w:r>
        <w:r>
          <w:rPr>
            <w:noProof/>
            <w:webHidden/>
          </w:rPr>
          <w:t>196</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773" w:history="1">
        <w:r>
          <w:rPr>
            <w:rStyle w:val="Hyperlink"/>
            <w:noProof/>
          </w:rPr>
          <w:t>3.</w:t>
        </w:r>
        <w:r>
          <w:rPr>
            <w:rFonts w:asciiTheme="minorHAnsi" w:eastAsiaTheme="minorEastAsia" w:hAnsiTheme="minorHAnsi" w:cstheme="minorBidi"/>
            <w:noProof/>
            <w:sz w:val="22"/>
            <w:szCs w:val="22"/>
            <w:lang w:val="en-IE" w:eastAsia="en-IE"/>
          </w:rPr>
          <w:tab/>
        </w:r>
        <w:r>
          <w:rPr>
            <w:rStyle w:val="Hyperlink"/>
            <w:noProof/>
          </w:rPr>
          <w:t>Issues addressed in the annual Committee meetings</w:t>
        </w:r>
        <w:r>
          <w:rPr>
            <w:noProof/>
            <w:webHidden/>
          </w:rPr>
          <w:tab/>
        </w:r>
        <w:r>
          <w:rPr>
            <w:noProof/>
            <w:webHidden/>
          </w:rPr>
          <w:fldChar w:fldCharType="begin"/>
        </w:r>
        <w:r>
          <w:rPr>
            <w:noProof/>
            <w:webHidden/>
          </w:rPr>
          <w:instrText xml:space="preserve"> PAGEREF _Toc16000773 \h </w:instrText>
        </w:r>
        <w:r>
          <w:rPr>
            <w:noProof/>
            <w:webHidden/>
          </w:rPr>
        </w:r>
        <w:r>
          <w:rPr>
            <w:noProof/>
            <w:webHidden/>
          </w:rPr>
          <w:fldChar w:fldCharType="separate"/>
        </w:r>
        <w:r>
          <w:rPr>
            <w:noProof/>
            <w:webHidden/>
          </w:rPr>
          <w:t>196</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774" w:history="1">
        <w:r>
          <w:rPr>
            <w:rStyle w:val="Hyperlink"/>
            <w:noProof/>
          </w:rPr>
          <w:t>4.</w:t>
        </w:r>
        <w:r>
          <w:rPr>
            <w:rFonts w:asciiTheme="minorHAnsi" w:eastAsiaTheme="minorEastAsia" w:hAnsiTheme="minorHAnsi" w:cstheme="minorBidi"/>
            <w:noProof/>
            <w:sz w:val="22"/>
            <w:szCs w:val="22"/>
            <w:lang w:val="en-IE" w:eastAsia="en-IE"/>
          </w:rPr>
          <w:tab/>
        </w:r>
        <w:r>
          <w:rPr>
            <w:rStyle w:val="Hyperlink"/>
            <w:noProof/>
          </w:rPr>
          <w:t>Specific areas of importance</w:t>
        </w:r>
        <w:r>
          <w:rPr>
            <w:noProof/>
            <w:webHidden/>
          </w:rPr>
          <w:tab/>
        </w:r>
        <w:r>
          <w:rPr>
            <w:noProof/>
            <w:webHidden/>
          </w:rPr>
          <w:fldChar w:fldCharType="begin"/>
        </w:r>
        <w:r>
          <w:rPr>
            <w:noProof/>
            <w:webHidden/>
          </w:rPr>
          <w:instrText xml:space="preserve"> PAGEREF _Toc16000774 \h </w:instrText>
        </w:r>
        <w:r>
          <w:rPr>
            <w:noProof/>
            <w:webHidden/>
          </w:rPr>
        </w:r>
        <w:r>
          <w:rPr>
            <w:noProof/>
            <w:webHidden/>
          </w:rPr>
          <w:fldChar w:fldCharType="separate"/>
        </w:r>
        <w:r>
          <w:rPr>
            <w:noProof/>
            <w:webHidden/>
          </w:rPr>
          <w:t>196</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775" w:history="1">
        <w:r>
          <w:rPr>
            <w:rStyle w:val="Hyperlink"/>
            <w:noProof/>
          </w:rPr>
          <w:t>5.</w:t>
        </w:r>
        <w:r>
          <w:rPr>
            <w:rFonts w:asciiTheme="minorHAnsi" w:eastAsiaTheme="minorEastAsia" w:hAnsiTheme="minorHAnsi" w:cstheme="minorBidi"/>
            <w:noProof/>
            <w:sz w:val="22"/>
            <w:szCs w:val="22"/>
            <w:lang w:val="en-IE" w:eastAsia="en-IE"/>
          </w:rPr>
          <w:tab/>
        </w:r>
        <w:r>
          <w:rPr>
            <w:rStyle w:val="Hyperlink"/>
            <w:noProof/>
          </w:rPr>
          <w:t>Main open issues and follow-up actions</w:t>
        </w:r>
        <w:r>
          <w:rPr>
            <w:noProof/>
            <w:webHidden/>
          </w:rPr>
          <w:tab/>
        </w:r>
        <w:r>
          <w:rPr>
            <w:noProof/>
            <w:webHidden/>
          </w:rPr>
          <w:fldChar w:fldCharType="begin"/>
        </w:r>
        <w:r>
          <w:rPr>
            <w:noProof/>
            <w:webHidden/>
          </w:rPr>
          <w:instrText xml:space="preserve"> PAGEREF _Toc16000775 \h </w:instrText>
        </w:r>
        <w:r>
          <w:rPr>
            <w:noProof/>
            <w:webHidden/>
          </w:rPr>
        </w:r>
        <w:r>
          <w:rPr>
            <w:noProof/>
            <w:webHidden/>
          </w:rPr>
          <w:fldChar w:fldCharType="separate"/>
        </w:r>
        <w:r>
          <w:rPr>
            <w:noProof/>
            <w:webHidden/>
          </w:rPr>
          <w:t>196</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776" w:history="1">
        <w:r>
          <w:rPr>
            <w:rStyle w:val="Hyperlink"/>
            <w:noProof/>
          </w:rPr>
          <w:t>6.</w:t>
        </w:r>
        <w:r>
          <w:rPr>
            <w:rFonts w:asciiTheme="minorHAnsi" w:eastAsiaTheme="minorEastAsia" w:hAnsiTheme="minorHAnsi" w:cstheme="minorBidi"/>
            <w:noProof/>
            <w:sz w:val="22"/>
            <w:szCs w:val="22"/>
            <w:lang w:val="en-IE" w:eastAsia="en-IE"/>
          </w:rPr>
          <w:tab/>
        </w:r>
        <w:r>
          <w:rPr>
            <w:rStyle w:val="Hyperlink"/>
            <w:noProof/>
          </w:rPr>
          <w:t>Conclusions</w:t>
        </w:r>
        <w:r>
          <w:rPr>
            <w:noProof/>
            <w:webHidden/>
          </w:rPr>
          <w:tab/>
        </w:r>
        <w:r>
          <w:rPr>
            <w:noProof/>
            <w:webHidden/>
          </w:rPr>
          <w:fldChar w:fldCharType="begin"/>
        </w:r>
        <w:r>
          <w:rPr>
            <w:noProof/>
            <w:webHidden/>
          </w:rPr>
          <w:instrText xml:space="preserve"> PAGEREF _Toc16000776 \h </w:instrText>
        </w:r>
        <w:r>
          <w:rPr>
            <w:noProof/>
            <w:webHidden/>
          </w:rPr>
        </w:r>
        <w:r>
          <w:rPr>
            <w:noProof/>
            <w:webHidden/>
          </w:rPr>
          <w:fldChar w:fldCharType="separate"/>
        </w:r>
        <w:r>
          <w:rPr>
            <w:noProof/>
            <w:webHidden/>
          </w:rPr>
          <w:t>197</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777" w:history="1">
        <w:r>
          <w:rPr>
            <w:rStyle w:val="Hyperlink"/>
            <w:noProof/>
          </w:rPr>
          <w:t>7.</w:t>
        </w:r>
        <w:r>
          <w:rPr>
            <w:rFonts w:asciiTheme="minorHAnsi" w:eastAsiaTheme="minorEastAsia" w:hAnsiTheme="minorHAnsi" w:cstheme="minorBidi"/>
            <w:noProof/>
            <w:sz w:val="22"/>
            <w:szCs w:val="22"/>
            <w:lang w:val="en-IE" w:eastAsia="en-IE"/>
          </w:rPr>
          <w:tab/>
        </w:r>
        <w:r>
          <w:rPr>
            <w:rStyle w:val="Hyperlink"/>
            <w:noProof/>
          </w:rPr>
          <w:t>Statistics</w:t>
        </w:r>
        <w:r>
          <w:rPr>
            <w:noProof/>
            <w:webHidden/>
          </w:rPr>
          <w:tab/>
        </w:r>
        <w:r>
          <w:rPr>
            <w:noProof/>
            <w:webHidden/>
          </w:rPr>
          <w:fldChar w:fldCharType="begin"/>
        </w:r>
        <w:r>
          <w:rPr>
            <w:noProof/>
            <w:webHidden/>
          </w:rPr>
          <w:instrText xml:space="preserve"> PAGEREF _Toc16000777 \h </w:instrText>
        </w:r>
        <w:r>
          <w:rPr>
            <w:noProof/>
            <w:webHidden/>
          </w:rPr>
        </w:r>
        <w:r>
          <w:rPr>
            <w:noProof/>
            <w:webHidden/>
          </w:rPr>
          <w:fldChar w:fldCharType="separate"/>
        </w:r>
        <w:r>
          <w:rPr>
            <w:noProof/>
            <w:webHidden/>
          </w:rPr>
          <w:t>197</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en-IE" w:eastAsia="en-IE"/>
        </w:rPr>
      </w:pPr>
      <w:hyperlink w:anchor="_Toc16000778" w:history="1">
        <w:r>
          <w:rPr>
            <w:rStyle w:val="Hyperlink"/>
            <w:b/>
            <w:noProof/>
          </w:rPr>
          <w:t xml:space="preserve">ANNUAL INFO SHEET ON the IMPLEMENTATION OF </w:t>
        </w:r>
        <w:r>
          <w:rPr>
            <w:rStyle w:val="Hyperlink"/>
            <w:b/>
            <w:caps/>
            <w:noProof/>
          </w:rPr>
          <w:t>the trade pillar of the</w:t>
        </w:r>
        <w:r>
          <w:rPr>
            <w:rStyle w:val="Hyperlink"/>
            <w:b/>
            <w:noProof/>
          </w:rPr>
          <w:t xml:space="preserve"> EU-MONTENEGRO STABILISATION AND ASSOCIATION AGREEMENT</w:t>
        </w:r>
        <w:r>
          <w:rPr>
            <w:noProof/>
            <w:webHidden/>
          </w:rPr>
          <w:tab/>
        </w:r>
        <w:r>
          <w:rPr>
            <w:noProof/>
            <w:webHidden/>
          </w:rPr>
          <w:fldChar w:fldCharType="begin"/>
        </w:r>
        <w:r>
          <w:rPr>
            <w:noProof/>
            <w:webHidden/>
          </w:rPr>
          <w:instrText xml:space="preserve"> PAGEREF _Toc16000778 \h </w:instrText>
        </w:r>
        <w:r>
          <w:rPr>
            <w:noProof/>
            <w:webHidden/>
          </w:rPr>
        </w:r>
        <w:r>
          <w:rPr>
            <w:noProof/>
            <w:webHidden/>
          </w:rPr>
          <w:fldChar w:fldCharType="separate"/>
        </w:r>
        <w:r>
          <w:rPr>
            <w:noProof/>
            <w:webHidden/>
          </w:rPr>
          <w:t>199</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779" w:history="1">
        <w:r>
          <w:rPr>
            <w:rStyle w:val="Hyperlink"/>
            <w:noProof/>
          </w:rPr>
          <w:t>1.</w:t>
        </w:r>
        <w:r>
          <w:rPr>
            <w:rFonts w:asciiTheme="minorHAnsi" w:eastAsiaTheme="minorEastAsia" w:hAnsiTheme="minorHAnsi" w:cstheme="minorBidi"/>
            <w:noProof/>
            <w:sz w:val="22"/>
            <w:szCs w:val="22"/>
            <w:lang w:val="en-IE" w:eastAsia="en-IE"/>
          </w:rPr>
          <w:tab/>
        </w:r>
        <w:r>
          <w:rPr>
            <w:rStyle w:val="Hyperlink"/>
            <w:noProof/>
          </w:rPr>
          <w:t>Introduction</w:t>
        </w:r>
        <w:r>
          <w:rPr>
            <w:noProof/>
            <w:webHidden/>
          </w:rPr>
          <w:tab/>
        </w:r>
        <w:r>
          <w:rPr>
            <w:noProof/>
            <w:webHidden/>
          </w:rPr>
          <w:fldChar w:fldCharType="begin"/>
        </w:r>
        <w:r>
          <w:rPr>
            <w:noProof/>
            <w:webHidden/>
          </w:rPr>
          <w:instrText xml:space="preserve"> PAGEREF _Toc16000779 \h </w:instrText>
        </w:r>
        <w:r>
          <w:rPr>
            <w:noProof/>
            <w:webHidden/>
          </w:rPr>
        </w:r>
        <w:r>
          <w:rPr>
            <w:noProof/>
            <w:webHidden/>
          </w:rPr>
          <w:fldChar w:fldCharType="separate"/>
        </w:r>
        <w:r>
          <w:rPr>
            <w:noProof/>
            <w:webHidden/>
          </w:rPr>
          <w:t>199</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780" w:history="1">
        <w:r>
          <w:rPr>
            <w:rStyle w:val="Hyperlink"/>
            <w:noProof/>
          </w:rPr>
          <w:t>2.</w:t>
        </w:r>
        <w:r>
          <w:rPr>
            <w:rFonts w:asciiTheme="minorHAnsi" w:eastAsiaTheme="minorEastAsia" w:hAnsiTheme="minorHAnsi" w:cstheme="minorBidi"/>
            <w:noProof/>
            <w:sz w:val="22"/>
            <w:szCs w:val="22"/>
            <w:lang w:val="en-IE" w:eastAsia="en-IE"/>
          </w:rPr>
          <w:tab/>
        </w:r>
        <w:r>
          <w:rPr>
            <w:rStyle w:val="Hyperlink"/>
            <w:noProof/>
          </w:rPr>
          <w:t>Evolution of trade</w:t>
        </w:r>
        <w:r>
          <w:rPr>
            <w:noProof/>
            <w:webHidden/>
          </w:rPr>
          <w:tab/>
        </w:r>
        <w:r>
          <w:rPr>
            <w:noProof/>
            <w:webHidden/>
          </w:rPr>
          <w:fldChar w:fldCharType="begin"/>
        </w:r>
        <w:r>
          <w:rPr>
            <w:noProof/>
            <w:webHidden/>
          </w:rPr>
          <w:instrText xml:space="preserve"> PAGEREF _Toc16000780 \h </w:instrText>
        </w:r>
        <w:r>
          <w:rPr>
            <w:noProof/>
            <w:webHidden/>
          </w:rPr>
        </w:r>
        <w:r>
          <w:rPr>
            <w:noProof/>
            <w:webHidden/>
          </w:rPr>
          <w:fldChar w:fldCharType="separate"/>
        </w:r>
        <w:r>
          <w:rPr>
            <w:noProof/>
            <w:webHidden/>
          </w:rPr>
          <w:t>199</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781" w:history="1">
        <w:r>
          <w:rPr>
            <w:rStyle w:val="Hyperlink"/>
            <w:noProof/>
          </w:rPr>
          <w:t>2.1 Trade in Goods</w:t>
        </w:r>
        <w:r>
          <w:rPr>
            <w:noProof/>
            <w:webHidden/>
          </w:rPr>
          <w:tab/>
        </w:r>
        <w:r>
          <w:rPr>
            <w:noProof/>
            <w:webHidden/>
          </w:rPr>
          <w:fldChar w:fldCharType="begin"/>
        </w:r>
        <w:r>
          <w:rPr>
            <w:noProof/>
            <w:webHidden/>
          </w:rPr>
          <w:instrText xml:space="preserve"> PAGEREF _Toc16000781 \h </w:instrText>
        </w:r>
        <w:r>
          <w:rPr>
            <w:noProof/>
            <w:webHidden/>
          </w:rPr>
        </w:r>
        <w:r>
          <w:rPr>
            <w:noProof/>
            <w:webHidden/>
          </w:rPr>
          <w:fldChar w:fldCharType="separate"/>
        </w:r>
        <w:r>
          <w:rPr>
            <w:noProof/>
            <w:webHidden/>
          </w:rPr>
          <w:t>199</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782" w:history="1">
        <w:r>
          <w:rPr>
            <w:rStyle w:val="Hyperlink"/>
            <w:noProof/>
          </w:rPr>
          <w:t>2.2 Trade in Agricultural Goods</w:t>
        </w:r>
        <w:r>
          <w:rPr>
            <w:noProof/>
            <w:webHidden/>
          </w:rPr>
          <w:tab/>
        </w:r>
        <w:r>
          <w:rPr>
            <w:noProof/>
            <w:webHidden/>
          </w:rPr>
          <w:fldChar w:fldCharType="begin"/>
        </w:r>
        <w:r>
          <w:rPr>
            <w:noProof/>
            <w:webHidden/>
          </w:rPr>
          <w:instrText xml:space="preserve"> PAGEREF _Toc16000782 \h </w:instrText>
        </w:r>
        <w:r>
          <w:rPr>
            <w:noProof/>
            <w:webHidden/>
          </w:rPr>
        </w:r>
        <w:r>
          <w:rPr>
            <w:noProof/>
            <w:webHidden/>
          </w:rPr>
          <w:fldChar w:fldCharType="separate"/>
        </w:r>
        <w:r>
          <w:rPr>
            <w:noProof/>
            <w:webHidden/>
          </w:rPr>
          <w:t>200</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783" w:history="1">
        <w:r>
          <w:rPr>
            <w:rStyle w:val="Hyperlink"/>
            <w:noProof/>
          </w:rPr>
          <w:t>2.3 Trade in Services and Foreign Direct investment (FDIs)</w:t>
        </w:r>
        <w:r>
          <w:rPr>
            <w:noProof/>
            <w:webHidden/>
          </w:rPr>
          <w:tab/>
        </w:r>
        <w:r>
          <w:rPr>
            <w:noProof/>
            <w:webHidden/>
          </w:rPr>
          <w:fldChar w:fldCharType="begin"/>
        </w:r>
        <w:r>
          <w:rPr>
            <w:noProof/>
            <w:webHidden/>
          </w:rPr>
          <w:instrText xml:space="preserve"> PAGEREF _Toc16000783 \h </w:instrText>
        </w:r>
        <w:r>
          <w:rPr>
            <w:noProof/>
            <w:webHidden/>
          </w:rPr>
        </w:r>
        <w:r>
          <w:rPr>
            <w:noProof/>
            <w:webHidden/>
          </w:rPr>
          <w:fldChar w:fldCharType="separate"/>
        </w:r>
        <w:r>
          <w:rPr>
            <w:noProof/>
            <w:webHidden/>
          </w:rPr>
          <w:t>200</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784" w:history="1">
        <w:r>
          <w:rPr>
            <w:rStyle w:val="Hyperlink"/>
            <w:noProof/>
          </w:rPr>
          <w:t>3.</w:t>
        </w:r>
        <w:r>
          <w:rPr>
            <w:rFonts w:asciiTheme="minorHAnsi" w:eastAsiaTheme="minorEastAsia" w:hAnsiTheme="minorHAnsi" w:cstheme="minorBidi"/>
            <w:noProof/>
            <w:sz w:val="22"/>
            <w:szCs w:val="22"/>
            <w:lang w:val="en-IE" w:eastAsia="en-IE"/>
          </w:rPr>
          <w:tab/>
        </w:r>
        <w:r>
          <w:rPr>
            <w:rStyle w:val="Hyperlink"/>
            <w:noProof/>
          </w:rPr>
          <w:t>Issues addressed in the annual Committee meetings</w:t>
        </w:r>
        <w:r>
          <w:rPr>
            <w:noProof/>
            <w:webHidden/>
          </w:rPr>
          <w:tab/>
        </w:r>
        <w:r>
          <w:rPr>
            <w:noProof/>
            <w:webHidden/>
          </w:rPr>
          <w:fldChar w:fldCharType="begin"/>
        </w:r>
        <w:r>
          <w:rPr>
            <w:noProof/>
            <w:webHidden/>
          </w:rPr>
          <w:instrText xml:space="preserve"> PAGEREF _Toc16000784 \h </w:instrText>
        </w:r>
        <w:r>
          <w:rPr>
            <w:noProof/>
            <w:webHidden/>
          </w:rPr>
        </w:r>
        <w:r>
          <w:rPr>
            <w:noProof/>
            <w:webHidden/>
          </w:rPr>
          <w:fldChar w:fldCharType="separate"/>
        </w:r>
        <w:r>
          <w:rPr>
            <w:noProof/>
            <w:webHidden/>
          </w:rPr>
          <w:t>200</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785" w:history="1">
        <w:r>
          <w:rPr>
            <w:rStyle w:val="Hyperlink"/>
            <w:noProof/>
          </w:rPr>
          <w:t>4.</w:t>
        </w:r>
        <w:r>
          <w:rPr>
            <w:rFonts w:asciiTheme="minorHAnsi" w:eastAsiaTheme="minorEastAsia" w:hAnsiTheme="minorHAnsi" w:cstheme="minorBidi"/>
            <w:noProof/>
            <w:sz w:val="22"/>
            <w:szCs w:val="22"/>
            <w:lang w:val="en-IE" w:eastAsia="en-IE"/>
          </w:rPr>
          <w:tab/>
        </w:r>
        <w:r>
          <w:rPr>
            <w:rStyle w:val="Hyperlink"/>
            <w:noProof/>
          </w:rPr>
          <w:t>Specific areas of importance</w:t>
        </w:r>
        <w:r>
          <w:rPr>
            <w:noProof/>
            <w:webHidden/>
          </w:rPr>
          <w:tab/>
        </w:r>
        <w:r>
          <w:rPr>
            <w:noProof/>
            <w:webHidden/>
          </w:rPr>
          <w:fldChar w:fldCharType="begin"/>
        </w:r>
        <w:r>
          <w:rPr>
            <w:noProof/>
            <w:webHidden/>
          </w:rPr>
          <w:instrText xml:space="preserve"> PAGEREF _Toc16000785 \h </w:instrText>
        </w:r>
        <w:r>
          <w:rPr>
            <w:noProof/>
            <w:webHidden/>
          </w:rPr>
        </w:r>
        <w:r>
          <w:rPr>
            <w:noProof/>
            <w:webHidden/>
          </w:rPr>
          <w:fldChar w:fldCharType="separate"/>
        </w:r>
        <w:r>
          <w:rPr>
            <w:noProof/>
            <w:webHidden/>
          </w:rPr>
          <w:t>200</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786" w:history="1">
        <w:r>
          <w:rPr>
            <w:rStyle w:val="Hyperlink"/>
            <w:noProof/>
          </w:rPr>
          <w:t>5.</w:t>
        </w:r>
        <w:r>
          <w:rPr>
            <w:rFonts w:asciiTheme="minorHAnsi" w:eastAsiaTheme="minorEastAsia" w:hAnsiTheme="minorHAnsi" w:cstheme="minorBidi"/>
            <w:noProof/>
            <w:sz w:val="22"/>
            <w:szCs w:val="22"/>
            <w:lang w:val="en-IE" w:eastAsia="en-IE"/>
          </w:rPr>
          <w:tab/>
        </w:r>
        <w:r>
          <w:rPr>
            <w:rStyle w:val="Hyperlink"/>
            <w:noProof/>
          </w:rPr>
          <w:t>Main open issues and follow-up actions</w:t>
        </w:r>
        <w:r>
          <w:rPr>
            <w:noProof/>
            <w:webHidden/>
          </w:rPr>
          <w:tab/>
        </w:r>
        <w:r>
          <w:rPr>
            <w:noProof/>
            <w:webHidden/>
          </w:rPr>
          <w:fldChar w:fldCharType="begin"/>
        </w:r>
        <w:r>
          <w:rPr>
            <w:noProof/>
            <w:webHidden/>
          </w:rPr>
          <w:instrText xml:space="preserve"> PAGEREF _Toc16000786 \h </w:instrText>
        </w:r>
        <w:r>
          <w:rPr>
            <w:noProof/>
            <w:webHidden/>
          </w:rPr>
        </w:r>
        <w:r>
          <w:rPr>
            <w:noProof/>
            <w:webHidden/>
          </w:rPr>
          <w:fldChar w:fldCharType="separate"/>
        </w:r>
        <w:r>
          <w:rPr>
            <w:noProof/>
            <w:webHidden/>
          </w:rPr>
          <w:t>201</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787" w:history="1">
        <w:r>
          <w:rPr>
            <w:rStyle w:val="Hyperlink"/>
            <w:noProof/>
          </w:rPr>
          <w:t>6.</w:t>
        </w:r>
        <w:r>
          <w:rPr>
            <w:rFonts w:asciiTheme="minorHAnsi" w:eastAsiaTheme="minorEastAsia" w:hAnsiTheme="minorHAnsi" w:cstheme="minorBidi"/>
            <w:noProof/>
            <w:sz w:val="22"/>
            <w:szCs w:val="22"/>
            <w:lang w:val="en-IE" w:eastAsia="en-IE"/>
          </w:rPr>
          <w:tab/>
        </w:r>
        <w:r>
          <w:rPr>
            <w:rStyle w:val="Hyperlink"/>
            <w:noProof/>
          </w:rPr>
          <w:t>Conclusions</w:t>
        </w:r>
        <w:r>
          <w:rPr>
            <w:noProof/>
            <w:webHidden/>
          </w:rPr>
          <w:tab/>
        </w:r>
        <w:r>
          <w:rPr>
            <w:noProof/>
            <w:webHidden/>
          </w:rPr>
          <w:fldChar w:fldCharType="begin"/>
        </w:r>
        <w:r>
          <w:rPr>
            <w:noProof/>
            <w:webHidden/>
          </w:rPr>
          <w:instrText xml:space="preserve"> PAGEREF _Toc16000787 \h </w:instrText>
        </w:r>
        <w:r>
          <w:rPr>
            <w:noProof/>
            <w:webHidden/>
          </w:rPr>
        </w:r>
        <w:r>
          <w:rPr>
            <w:noProof/>
            <w:webHidden/>
          </w:rPr>
          <w:fldChar w:fldCharType="separate"/>
        </w:r>
        <w:r>
          <w:rPr>
            <w:noProof/>
            <w:webHidden/>
          </w:rPr>
          <w:t>201</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788" w:history="1">
        <w:r>
          <w:rPr>
            <w:rStyle w:val="Hyperlink"/>
            <w:noProof/>
          </w:rPr>
          <w:t>7.</w:t>
        </w:r>
        <w:r>
          <w:rPr>
            <w:rFonts w:asciiTheme="minorHAnsi" w:eastAsiaTheme="minorEastAsia" w:hAnsiTheme="minorHAnsi" w:cstheme="minorBidi"/>
            <w:noProof/>
            <w:sz w:val="22"/>
            <w:szCs w:val="22"/>
            <w:lang w:val="en-IE" w:eastAsia="en-IE"/>
          </w:rPr>
          <w:tab/>
        </w:r>
        <w:r>
          <w:rPr>
            <w:rStyle w:val="Hyperlink"/>
            <w:noProof/>
          </w:rPr>
          <w:t>Statistics</w:t>
        </w:r>
        <w:r>
          <w:rPr>
            <w:noProof/>
            <w:webHidden/>
          </w:rPr>
          <w:tab/>
        </w:r>
        <w:r>
          <w:rPr>
            <w:noProof/>
            <w:webHidden/>
          </w:rPr>
          <w:fldChar w:fldCharType="begin"/>
        </w:r>
        <w:r>
          <w:rPr>
            <w:noProof/>
            <w:webHidden/>
          </w:rPr>
          <w:instrText xml:space="preserve"> PAGEREF _Toc16000788 \h </w:instrText>
        </w:r>
        <w:r>
          <w:rPr>
            <w:noProof/>
            <w:webHidden/>
          </w:rPr>
        </w:r>
        <w:r>
          <w:rPr>
            <w:noProof/>
            <w:webHidden/>
          </w:rPr>
          <w:fldChar w:fldCharType="separate"/>
        </w:r>
        <w:r>
          <w:rPr>
            <w:noProof/>
            <w:webHidden/>
          </w:rPr>
          <w:t>201</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en-IE" w:eastAsia="en-IE"/>
        </w:rPr>
      </w:pPr>
      <w:hyperlink w:anchor="_Toc16000789" w:history="1">
        <w:r>
          <w:rPr>
            <w:rStyle w:val="Hyperlink"/>
            <w:b/>
            <w:caps/>
            <w:noProof/>
          </w:rPr>
          <w:t>ANNUAL INFO SHEET ON the IMPLEMENTATION OF the TRADE PILLAR OF THE EU-SERBIA STABILISATION AND ASSOCIATION AGREEMENT</w:t>
        </w:r>
        <w:r>
          <w:rPr>
            <w:noProof/>
            <w:webHidden/>
          </w:rPr>
          <w:tab/>
        </w:r>
        <w:r>
          <w:rPr>
            <w:noProof/>
            <w:webHidden/>
          </w:rPr>
          <w:fldChar w:fldCharType="begin"/>
        </w:r>
        <w:r>
          <w:rPr>
            <w:noProof/>
            <w:webHidden/>
          </w:rPr>
          <w:instrText xml:space="preserve"> PAGEREF _Toc16000789 \h </w:instrText>
        </w:r>
        <w:r>
          <w:rPr>
            <w:noProof/>
            <w:webHidden/>
          </w:rPr>
        </w:r>
        <w:r>
          <w:rPr>
            <w:noProof/>
            <w:webHidden/>
          </w:rPr>
          <w:fldChar w:fldCharType="separate"/>
        </w:r>
        <w:r>
          <w:rPr>
            <w:noProof/>
            <w:webHidden/>
          </w:rPr>
          <w:t>203</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790" w:history="1">
        <w:r>
          <w:rPr>
            <w:rStyle w:val="Hyperlink"/>
            <w:noProof/>
          </w:rPr>
          <w:t>1.</w:t>
        </w:r>
        <w:r>
          <w:rPr>
            <w:rFonts w:asciiTheme="minorHAnsi" w:eastAsiaTheme="minorEastAsia" w:hAnsiTheme="minorHAnsi" w:cstheme="minorBidi"/>
            <w:noProof/>
            <w:sz w:val="22"/>
            <w:szCs w:val="22"/>
            <w:lang w:val="en-IE" w:eastAsia="en-IE"/>
          </w:rPr>
          <w:tab/>
        </w:r>
        <w:r>
          <w:rPr>
            <w:rStyle w:val="Hyperlink"/>
            <w:noProof/>
          </w:rPr>
          <w:t>Introduction</w:t>
        </w:r>
        <w:r>
          <w:rPr>
            <w:noProof/>
            <w:webHidden/>
          </w:rPr>
          <w:tab/>
        </w:r>
        <w:r>
          <w:rPr>
            <w:noProof/>
            <w:webHidden/>
          </w:rPr>
          <w:fldChar w:fldCharType="begin"/>
        </w:r>
        <w:r>
          <w:rPr>
            <w:noProof/>
            <w:webHidden/>
          </w:rPr>
          <w:instrText xml:space="preserve"> PAGEREF _Toc16000790 \h </w:instrText>
        </w:r>
        <w:r>
          <w:rPr>
            <w:noProof/>
            <w:webHidden/>
          </w:rPr>
        </w:r>
        <w:r>
          <w:rPr>
            <w:noProof/>
            <w:webHidden/>
          </w:rPr>
          <w:fldChar w:fldCharType="separate"/>
        </w:r>
        <w:r>
          <w:rPr>
            <w:noProof/>
            <w:webHidden/>
          </w:rPr>
          <w:t>203</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791" w:history="1">
        <w:r>
          <w:rPr>
            <w:rStyle w:val="Hyperlink"/>
            <w:noProof/>
          </w:rPr>
          <w:t>2.</w:t>
        </w:r>
        <w:r>
          <w:rPr>
            <w:rFonts w:asciiTheme="minorHAnsi" w:eastAsiaTheme="minorEastAsia" w:hAnsiTheme="minorHAnsi" w:cstheme="minorBidi"/>
            <w:noProof/>
            <w:sz w:val="22"/>
            <w:szCs w:val="22"/>
            <w:lang w:val="en-IE" w:eastAsia="en-IE"/>
          </w:rPr>
          <w:tab/>
        </w:r>
        <w:r>
          <w:rPr>
            <w:rStyle w:val="Hyperlink"/>
            <w:noProof/>
          </w:rPr>
          <w:t>Evolution of trade</w:t>
        </w:r>
        <w:r>
          <w:rPr>
            <w:noProof/>
            <w:webHidden/>
          </w:rPr>
          <w:tab/>
        </w:r>
        <w:r>
          <w:rPr>
            <w:noProof/>
            <w:webHidden/>
          </w:rPr>
          <w:fldChar w:fldCharType="begin"/>
        </w:r>
        <w:r>
          <w:rPr>
            <w:noProof/>
            <w:webHidden/>
          </w:rPr>
          <w:instrText xml:space="preserve"> PAGEREF _Toc16000791 \h </w:instrText>
        </w:r>
        <w:r>
          <w:rPr>
            <w:noProof/>
            <w:webHidden/>
          </w:rPr>
        </w:r>
        <w:r>
          <w:rPr>
            <w:noProof/>
            <w:webHidden/>
          </w:rPr>
          <w:fldChar w:fldCharType="separate"/>
        </w:r>
        <w:r>
          <w:rPr>
            <w:noProof/>
            <w:webHidden/>
          </w:rPr>
          <w:t>203</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792" w:history="1">
        <w:r>
          <w:rPr>
            <w:rStyle w:val="Hyperlink"/>
            <w:noProof/>
          </w:rPr>
          <w:t>2.1 Trade in Goods</w:t>
        </w:r>
        <w:r>
          <w:rPr>
            <w:noProof/>
            <w:webHidden/>
          </w:rPr>
          <w:tab/>
        </w:r>
        <w:r>
          <w:rPr>
            <w:noProof/>
            <w:webHidden/>
          </w:rPr>
          <w:fldChar w:fldCharType="begin"/>
        </w:r>
        <w:r>
          <w:rPr>
            <w:noProof/>
            <w:webHidden/>
          </w:rPr>
          <w:instrText xml:space="preserve"> PAGEREF _Toc16000792 \h </w:instrText>
        </w:r>
        <w:r>
          <w:rPr>
            <w:noProof/>
            <w:webHidden/>
          </w:rPr>
        </w:r>
        <w:r>
          <w:rPr>
            <w:noProof/>
            <w:webHidden/>
          </w:rPr>
          <w:fldChar w:fldCharType="separate"/>
        </w:r>
        <w:r>
          <w:rPr>
            <w:noProof/>
            <w:webHidden/>
          </w:rPr>
          <w:t>203</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793" w:history="1">
        <w:r>
          <w:rPr>
            <w:rStyle w:val="Hyperlink"/>
            <w:noProof/>
          </w:rPr>
          <w:t>2.2 Trade in agricultural goods</w:t>
        </w:r>
        <w:r>
          <w:rPr>
            <w:noProof/>
            <w:webHidden/>
          </w:rPr>
          <w:tab/>
        </w:r>
        <w:r>
          <w:rPr>
            <w:noProof/>
            <w:webHidden/>
          </w:rPr>
          <w:fldChar w:fldCharType="begin"/>
        </w:r>
        <w:r>
          <w:rPr>
            <w:noProof/>
            <w:webHidden/>
          </w:rPr>
          <w:instrText xml:space="preserve"> PAGEREF _Toc16000793 \h </w:instrText>
        </w:r>
        <w:r>
          <w:rPr>
            <w:noProof/>
            <w:webHidden/>
          </w:rPr>
        </w:r>
        <w:r>
          <w:rPr>
            <w:noProof/>
            <w:webHidden/>
          </w:rPr>
          <w:fldChar w:fldCharType="separate"/>
        </w:r>
        <w:r>
          <w:rPr>
            <w:noProof/>
            <w:webHidden/>
          </w:rPr>
          <w:t>203</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794" w:history="1">
        <w:r>
          <w:rPr>
            <w:rStyle w:val="Hyperlink"/>
            <w:noProof/>
          </w:rPr>
          <w:t>2.3 Trade in Services and Foreign Direct investment (FDIs)</w:t>
        </w:r>
        <w:r>
          <w:rPr>
            <w:noProof/>
            <w:webHidden/>
          </w:rPr>
          <w:tab/>
        </w:r>
        <w:r>
          <w:rPr>
            <w:noProof/>
            <w:webHidden/>
          </w:rPr>
          <w:fldChar w:fldCharType="begin"/>
        </w:r>
        <w:r>
          <w:rPr>
            <w:noProof/>
            <w:webHidden/>
          </w:rPr>
          <w:instrText xml:space="preserve"> PAGEREF _Toc16000794 \h </w:instrText>
        </w:r>
        <w:r>
          <w:rPr>
            <w:noProof/>
            <w:webHidden/>
          </w:rPr>
        </w:r>
        <w:r>
          <w:rPr>
            <w:noProof/>
            <w:webHidden/>
          </w:rPr>
          <w:fldChar w:fldCharType="separate"/>
        </w:r>
        <w:r>
          <w:rPr>
            <w:noProof/>
            <w:webHidden/>
          </w:rPr>
          <w:t>204</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795" w:history="1">
        <w:r>
          <w:rPr>
            <w:rStyle w:val="Hyperlink"/>
            <w:noProof/>
          </w:rPr>
          <w:t>3.</w:t>
        </w:r>
        <w:r>
          <w:rPr>
            <w:rFonts w:asciiTheme="minorHAnsi" w:eastAsiaTheme="minorEastAsia" w:hAnsiTheme="minorHAnsi" w:cstheme="minorBidi"/>
            <w:noProof/>
            <w:sz w:val="22"/>
            <w:szCs w:val="22"/>
            <w:lang w:val="en-IE" w:eastAsia="en-IE"/>
          </w:rPr>
          <w:tab/>
        </w:r>
        <w:r>
          <w:rPr>
            <w:rStyle w:val="Hyperlink"/>
            <w:noProof/>
          </w:rPr>
          <w:t>Issues addressed in the annual trade committee meeting</w:t>
        </w:r>
        <w:r>
          <w:rPr>
            <w:noProof/>
            <w:webHidden/>
          </w:rPr>
          <w:tab/>
        </w:r>
        <w:r>
          <w:rPr>
            <w:noProof/>
            <w:webHidden/>
          </w:rPr>
          <w:fldChar w:fldCharType="begin"/>
        </w:r>
        <w:r>
          <w:rPr>
            <w:noProof/>
            <w:webHidden/>
          </w:rPr>
          <w:instrText xml:space="preserve"> PAGEREF _Toc16000795 \h </w:instrText>
        </w:r>
        <w:r>
          <w:rPr>
            <w:noProof/>
            <w:webHidden/>
          </w:rPr>
        </w:r>
        <w:r>
          <w:rPr>
            <w:noProof/>
            <w:webHidden/>
          </w:rPr>
          <w:fldChar w:fldCharType="separate"/>
        </w:r>
        <w:r>
          <w:rPr>
            <w:noProof/>
            <w:webHidden/>
          </w:rPr>
          <w:t>204</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796" w:history="1">
        <w:r>
          <w:rPr>
            <w:rStyle w:val="Hyperlink"/>
            <w:noProof/>
          </w:rPr>
          <w:t>4.</w:t>
        </w:r>
        <w:r>
          <w:rPr>
            <w:rFonts w:asciiTheme="minorHAnsi" w:eastAsiaTheme="minorEastAsia" w:hAnsiTheme="minorHAnsi" w:cstheme="minorBidi"/>
            <w:noProof/>
            <w:sz w:val="22"/>
            <w:szCs w:val="22"/>
            <w:lang w:val="en-IE" w:eastAsia="en-IE"/>
          </w:rPr>
          <w:tab/>
        </w:r>
        <w:r>
          <w:rPr>
            <w:rStyle w:val="Hyperlink"/>
            <w:noProof/>
          </w:rPr>
          <w:t>Specific areas of importance</w:t>
        </w:r>
        <w:r>
          <w:rPr>
            <w:noProof/>
            <w:webHidden/>
          </w:rPr>
          <w:tab/>
        </w:r>
        <w:r>
          <w:rPr>
            <w:noProof/>
            <w:webHidden/>
          </w:rPr>
          <w:fldChar w:fldCharType="begin"/>
        </w:r>
        <w:r>
          <w:rPr>
            <w:noProof/>
            <w:webHidden/>
          </w:rPr>
          <w:instrText xml:space="preserve"> PAGEREF _Toc16000796 \h </w:instrText>
        </w:r>
        <w:r>
          <w:rPr>
            <w:noProof/>
            <w:webHidden/>
          </w:rPr>
        </w:r>
        <w:r>
          <w:rPr>
            <w:noProof/>
            <w:webHidden/>
          </w:rPr>
          <w:fldChar w:fldCharType="separate"/>
        </w:r>
        <w:r>
          <w:rPr>
            <w:noProof/>
            <w:webHidden/>
          </w:rPr>
          <w:t>205</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797" w:history="1">
        <w:r>
          <w:rPr>
            <w:rStyle w:val="Hyperlink"/>
            <w:noProof/>
          </w:rPr>
          <w:t>5.</w:t>
        </w:r>
        <w:r>
          <w:rPr>
            <w:rFonts w:asciiTheme="minorHAnsi" w:eastAsiaTheme="minorEastAsia" w:hAnsiTheme="minorHAnsi" w:cstheme="minorBidi"/>
            <w:noProof/>
            <w:sz w:val="22"/>
            <w:szCs w:val="22"/>
            <w:lang w:val="en-IE" w:eastAsia="en-IE"/>
          </w:rPr>
          <w:tab/>
        </w:r>
        <w:r>
          <w:rPr>
            <w:rStyle w:val="Hyperlink"/>
            <w:noProof/>
          </w:rPr>
          <w:t>Main open issues and follow-up actions</w:t>
        </w:r>
        <w:r>
          <w:rPr>
            <w:noProof/>
            <w:webHidden/>
          </w:rPr>
          <w:tab/>
        </w:r>
        <w:r>
          <w:rPr>
            <w:noProof/>
            <w:webHidden/>
          </w:rPr>
          <w:fldChar w:fldCharType="begin"/>
        </w:r>
        <w:r>
          <w:rPr>
            <w:noProof/>
            <w:webHidden/>
          </w:rPr>
          <w:instrText xml:space="preserve"> PAGEREF _Toc16000797 \h </w:instrText>
        </w:r>
        <w:r>
          <w:rPr>
            <w:noProof/>
            <w:webHidden/>
          </w:rPr>
        </w:r>
        <w:r>
          <w:rPr>
            <w:noProof/>
            <w:webHidden/>
          </w:rPr>
          <w:fldChar w:fldCharType="separate"/>
        </w:r>
        <w:r>
          <w:rPr>
            <w:noProof/>
            <w:webHidden/>
          </w:rPr>
          <w:t>205</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798" w:history="1">
        <w:r>
          <w:rPr>
            <w:rStyle w:val="Hyperlink"/>
            <w:noProof/>
          </w:rPr>
          <w:t>6.</w:t>
        </w:r>
        <w:r>
          <w:rPr>
            <w:rFonts w:asciiTheme="minorHAnsi" w:eastAsiaTheme="minorEastAsia" w:hAnsiTheme="minorHAnsi" w:cstheme="minorBidi"/>
            <w:noProof/>
            <w:sz w:val="22"/>
            <w:szCs w:val="22"/>
            <w:lang w:val="en-IE" w:eastAsia="en-IE"/>
          </w:rPr>
          <w:tab/>
        </w:r>
        <w:r>
          <w:rPr>
            <w:rStyle w:val="Hyperlink"/>
            <w:noProof/>
          </w:rPr>
          <w:t>Conclusions</w:t>
        </w:r>
        <w:r>
          <w:rPr>
            <w:noProof/>
            <w:webHidden/>
          </w:rPr>
          <w:tab/>
        </w:r>
        <w:r>
          <w:rPr>
            <w:noProof/>
            <w:webHidden/>
          </w:rPr>
          <w:fldChar w:fldCharType="begin"/>
        </w:r>
        <w:r>
          <w:rPr>
            <w:noProof/>
            <w:webHidden/>
          </w:rPr>
          <w:instrText xml:space="preserve"> PAGEREF _Toc16000798 \h </w:instrText>
        </w:r>
        <w:r>
          <w:rPr>
            <w:noProof/>
            <w:webHidden/>
          </w:rPr>
        </w:r>
        <w:r>
          <w:rPr>
            <w:noProof/>
            <w:webHidden/>
          </w:rPr>
          <w:fldChar w:fldCharType="separate"/>
        </w:r>
        <w:r>
          <w:rPr>
            <w:noProof/>
            <w:webHidden/>
          </w:rPr>
          <w:t>205</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799" w:history="1">
        <w:r>
          <w:rPr>
            <w:rStyle w:val="Hyperlink"/>
            <w:noProof/>
          </w:rPr>
          <w:t>7.</w:t>
        </w:r>
        <w:r>
          <w:rPr>
            <w:rFonts w:asciiTheme="minorHAnsi" w:eastAsiaTheme="minorEastAsia" w:hAnsiTheme="minorHAnsi" w:cstheme="minorBidi"/>
            <w:noProof/>
            <w:sz w:val="22"/>
            <w:szCs w:val="22"/>
            <w:lang w:val="en-IE" w:eastAsia="en-IE"/>
          </w:rPr>
          <w:tab/>
        </w:r>
        <w:r>
          <w:rPr>
            <w:rStyle w:val="Hyperlink"/>
            <w:noProof/>
          </w:rPr>
          <w:t>Statistics</w:t>
        </w:r>
        <w:r>
          <w:rPr>
            <w:noProof/>
            <w:webHidden/>
          </w:rPr>
          <w:tab/>
        </w:r>
        <w:r>
          <w:rPr>
            <w:noProof/>
            <w:webHidden/>
          </w:rPr>
          <w:fldChar w:fldCharType="begin"/>
        </w:r>
        <w:r>
          <w:rPr>
            <w:noProof/>
            <w:webHidden/>
          </w:rPr>
          <w:instrText xml:space="preserve"> PAGEREF _Toc16000799 \h </w:instrText>
        </w:r>
        <w:r>
          <w:rPr>
            <w:noProof/>
            <w:webHidden/>
          </w:rPr>
        </w:r>
        <w:r>
          <w:rPr>
            <w:noProof/>
            <w:webHidden/>
          </w:rPr>
          <w:fldChar w:fldCharType="separate"/>
        </w:r>
        <w:r>
          <w:rPr>
            <w:noProof/>
            <w:webHidden/>
          </w:rPr>
          <w:t>206</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en-IE" w:eastAsia="en-IE"/>
        </w:rPr>
      </w:pPr>
      <w:hyperlink w:anchor="_Toc16000800" w:history="1">
        <w:r>
          <w:rPr>
            <w:rStyle w:val="Hyperlink"/>
            <w:b/>
            <w:noProof/>
          </w:rPr>
          <w:t>FIRST GENERATION FREE TRADE AGREEMENTS WITH LATIN AMERICAN COUNTRIES</w:t>
        </w:r>
        <w:r>
          <w:rPr>
            <w:noProof/>
            <w:webHidden/>
          </w:rPr>
          <w:tab/>
        </w:r>
        <w:r>
          <w:rPr>
            <w:noProof/>
            <w:webHidden/>
          </w:rPr>
          <w:fldChar w:fldCharType="begin"/>
        </w:r>
        <w:r>
          <w:rPr>
            <w:noProof/>
            <w:webHidden/>
          </w:rPr>
          <w:instrText xml:space="preserve"> PAGEREF _Toc16000800 \h </w:instrText>
        </w:r>
        <w:r>
          <w:rPr>
            <w:noProof/>
            <w:webHidden/>
          </w:rPr>
        </w:r>
        <w:r>
          <w:rPr>
            <w:noProof/>
            <w:webHidden/>
          </w:rPr>
          <w:fldChar w:fldCharType="separate"/>
        </w:r>
        <w:r>
          <w:rPr>
            <w:noProof/>
            <w:webHidden/>
          </w:rPr>
          <w:t>208</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en-IE" w:eastAsia="en-IE"/>
        </w:rPr>
      </w:pPr>
      <w:hyperlink w:anchor="_Toc16000801" w:history="1">
        <w:r>
          <w:rPr>
            <w:rStyle w:val="Hyperlink"/>
            <w:b/>
            <w:caps/>
            <w:noProof/>
          </w:rPr>
          <w:t>ANNUAL INFO SHEET ON IMPLEMENTATION OF THE TRADE PILLAR OF THE EU-CHILE ASSOCIATION AGREEMENT</w:t>
        </w:r>
        <w:r>
          <w:rPr>
            <w:noProof/>
            <w:webHidden/>
          </w:rPr>
          <w:tab/>
        </w:r>
        <w:r>
          <w:rPr>
            <w:noProof/>
            <w:webHidden/>
          </w:rPr>
          <w:fldChar w:fldCharType="begin"/>
        </w:r>
        <w:r>
          <w:rPr>
            <w:noProof/>
            <w:webHidden/>
          </w:rPr>
          <w:instrText xml:space="preserve"> PAGEREF _Toc16000801 \h </w:instrText>
        </w:r>
        <w:r>
          <w:rPr>
            <w:noProof/>
            <w:webHidden/>
          </w:rPr>
        </w:r>
        <w:r>
          <w:rPr>
            <w:noProof/>
            <w:webHidden/>
          </w:rPr>
          <w:fldChar w:fldCharType="separate"/>
        </w:r>
        <w:r>
          <w:rPr>
            <w:noProof/>
            <w:webHidden/>
          </w:rPr>
          <w:t>209</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802" w:history="1">
        <w:r>
          <w:rPr>
            <w:rStyle w:val="Hyperlink"/>
            <w:noProof/>
          </w:rPr>
          <w:t>1.</w:t>
        </w:r>
        <w:r>
          <w:rPr>
            <w:rFonts w:asciiTheme="minorHAnsi" w:eastAsiaTheme="minorEastAsia" w:hAnsiTheme="minorHAnsi" w:cstheme="minorBidi"/>
            <w:noProof/>
            <w:sz w:val="22"/>
            <w:szCs w:val="22"/>
            <w:lang w:val="en-IE" w:eastAsia="en-IE"/>
          </w:rPr>
          <w:tab/>
        </w:r>
        <w:r>
          <w:rPr>
            <w:rStyle w:val="Hyperlink"/>
            <w:noProof/>
          </w:rPr>
          <w:t>Introduction</w:t>
        </w:r>
        <w:r>
          <w:rPr>
            <w:noProof/>
            <w:webHidden/>
          </w:rPr>
          <w:tab/>
        </w:r>
        <w:r>
          <w:rPr>
            <w:noProof/>
            <w:webHidden/>
          </w:rPr>
          <w:fldChar w:fldCharType="begin"/>
        </w:r>
        <w:r>
          <w:rPr>
            <w:noProof/>
            <w:webHidden/>
          </w:rPr>
          <w:instrText xml:space="preserve"> PAGEREF _Toc16000802 \h </w:instrText>
        </w:r>
        <w:r>
          <w:rPr>
            <w:noProof/>
            <w:webHidden/>
          </w:rPr>
        </w:r>
        <w:r>
          <w:rPr>
            <w:noProof/>
            <w:webHidden/>
          </w:rPr>
          <w:fldChar w:fldCharType="separate"/>
        </w:r>
        <w:r>
          <w:rPr>
            <w:noProof/>
            <w:webHidden/>
          </w:rPr>
          <w:t>209</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803" w:history="1">
        <w:r>
          <w:rPr>
            <w:rStyle w:val="Hyperlink"/>
            <w:noProof/>
          </w:rPr>
          <w:t>2.</w:t>
        </w:r>
        <w:r>
          <w:rPr>
            <w:rFonts w:asciiTheme="minorHAnsi" w:eastAsiaTheme="minorEastAsia" w:hAnsiTheme="minorHAnsi" w:cstheme="minorBidi"/>
            <w:noProof/>
            <w:sz w:val="22"/>
            <w:szCs w:val="22"/>
            <w:lang w:val="en-IE" w:eastAsia="en-IE"/>
          </w:rPr>
          <w:tab/>
        </w:r>
        <w:r>
          <w:rPr>
            <w:rStyle w:val="Hyperlink"/>
            <w:noProof/>
          </w:rPr>
          <w:t>Evolution of trade</w:t>
        </w:r>
        <w:r>
          <w:rPr>
            <w:noProof/>
            <w:webHidden/>
          </w:rPr>
          <w:tab/>
        </w:r>
        <w:r>
          <w:rPr>
            <w:noProof/>
            <w:webHidden/>
          </w:rPr>
          <w:fldChar w:fldCharType="begin"/>
        </w:r>
        <w:r>
          <w:rPr>
            <w:noProof/>
            <w:webHidden/>
          </w:rPr>
          <w:instrText xml:space="preserve"> PAGEREF _Toc16000803 \h </w:instrText>
        </w:r>
        <w:r>
          <w:rPr>
            <w:noProof/>
            <w:webHidden/>
          </w:rPr>
        </w:r>
        <w:r>
          <w:rPr>
            <w:noProof/>
            <w:webHidden/>
          </w:rPr>
          <w:fldChar w:fldCharType="separate"/>
        </w:r>
        <w:r>
          <w:rPr>
            <w:noProof/>
            <w:webHidden/>
          </w:rPr>
          <w:t>209</w:t>
        </w:r>
        <w:r>
          <w:rPr>
            <w:noProof/>
            <w:webHidden/>
          </w:rPr>
          <w:fldChar w:fldCharType="end"/>
        </w:r>
      </w:hyperlink>
    </w:p>
    <w:p>
      <w:pPr>
        <w:pStyle w:val="TOC3"/>
        <w:tabs>
          <w:tab w:val="left" w:pos="1100"/>
          <w:tab w:val="right" w:leader="dot" w:pos="9062"/>
        </w:tabs>
        <w:rPr>
          <w:rFonts w:asciiTheme="minorHAnsi" w:eastAsiaTheme="minorEastAsia" w:hAnsiTheme="minorHAnsi" w:cstheme="minorBidi"/>
          <w:noProof/>
          <w:sz w:val="22"/>
          <w:szCs w:val="22"/>
          <w:lang w:val="en-IE" w:eastAsia="en-IE"/>
        </w:rPr>
      </w:pPr>
      <w:hyperlink w:anchor="_Toc16000804" w:history="1">
        <w:r>
          <w:rPr>
            <w:rStyle w:val="Hyperlink"/>
            <w:noProof/>
          </w:rPr>
          <w:t>2.1</w:t>
        </w:r>
        <w:r>
          <w:rPr>
            <w:rFonts w:asciiTheme="minorHAnsi" w:eastAsiaTheme="minorEastAsia" w:hAnsiTheme="minorHAnsi" w:cstheme="minorBidi"/>
            <w:noProof/>
            <w:sz w:val="22"/>
            <w:szCs w:val="22"/>
            <w:lang w:val="en-IE" w:eastAsia="en-IE"/>
          </w:rPr>
          <w:tab/>
        </w:r>
        <w:r>
          <w:rPr>
            <w:rStyle w:val="Hyperlink"/>
            <w:noProof/>
          </w:rPr>
          <w:t>Trade in Goods</w:t>
        </w:r>
        <w:r>
          <w:rPr>
            <w:noProof/>
            <w:webHidden/>
          </w:rPr>
          <w:tab/>
        </w:r>
        <w:r>
          <w:rPr>
            <w:noProof/>
            <w:webHidden/>
          </w:rPr>
          <w:fldChar w:fldCharType="begin"/>
        </w:r>
        <w:r>
          <w:rPr>
            <w:noProof/>
            <w:webHidden/>
          </w:rPr>
          <w:instrText xml:space="preserve"> PAGEREF _Toc16000804 \h </w:instrText>
        </w:r>
        <w:r>
          <w:rPr>
            <w:noProof/>
            <w:webHidden/>
          </w:rPr>
        </w:r>
        <w:r>
          <w:rPr>
            <w:noProof/>
            <w:webHidden/>
          </w:rPr>
          <w:fldChar w:fldCharType="separate"/>
        </w:r>
        <w:r>
          <w:rPr>
            <w:noProof/>
            <w:webHidden/>
          </w:rPr>
          <w:t>210</w:t>
        </w:r>
        <w:r>
          <w:rPr>
            <w:noProof/>
            <w:webHidden/>
          </w:rPr>
          <w:fldChar w:fldCharType="end"/>
        </w:r>
      </w:hyperlink>
    </w:p>
    <w:p>
      <w:pPr>
        <w:pStyle w:val="TOC3"/>
        <w:tabs>
          <w:tab w:val="left" w:pos="1100"/>
          <w:tab w:val="right" w:leader="dot" w:pos="9062"/>
        </w:tabs>
        <w:rPr>
          <w:rFonts w:asciiTheme="minorHAnsi" w:eastAsiaTheme="minorEastAsia" w:hAnsiTheme="minorHAnsi" w:cstheme="minorBidi"/>
          <w:noProof/>
          <w:sz w:val="22"/>
          <w:szCs w:val="22"/>
          <w:lang w:val="en-IE" w:eastAsia="en-IE"/>
        </w:rPr>
      </w:pPr>
      <w:hyperlink w:anchor="_Toc16000805" w:history="1">
        <w:r>
          <w:rPr>
            <w:rStyle w:val="Hyperlink"/>
            <w:noProof/>
          </w:rPr>
          <w:t>2.2</w:t>
        </w:r>
        <w:r>
          <w:rPr>
            <w:rFonts w:asciiTheme="minorHAnsi" w:eastAsiaTheme="minorEastAsia" w:hAnsiTheme="minorHAnsi" w:cstheme="minorBidi"/>
            <w:noProof/>
            <w:sz w:val="22"/>
            <w:szCs w:val="22"/>
            <w:lang w:val="en-IE" w:eastAsia="en-IE"/>
          </w:rPr>
          <w:tab/>
        </w:r>
        <w:r>
          <w:rPr>
            <w:rStyle w:val="Hyperlink"/>
            <w:noProof/>
          </w:rPr>
          <w:t>Trade in agricultural products</w:t>
        </w:r>
        <w:r>
          <w:rPr>
            <w:noProof/>
            <w:webHidden/>
          </w:rPr>
          <w:tab/>
        </w:r>
        <w:r>
          <w:rPr>
            <w:noProof/>
            <w:webHidden/>
          </w:rPr>
          <w:fldChar w:fldCharType="begin"/>
        </w:r>
        <w:r>
          <w:rPr>
            <w:noProof/>
            <w:webHidden/>
          </w:rPr>
          <w:instrText xml:space="preserve"> PAGEREF _Toc16000805 \h </w:instrText>
        </w:r>
        <w:r>
          <w:rPr>
            <w:noProof/>
            <w:webHidden/>
          </w:rPr>
        </w:r>
        <w:r>
          <w:rPr>
            <w:noProof/>
            <w:webHidden/>
          </w:rPr>
          <w:fldChar w:fldCharType="separate"/>
        </w:r>
        <w:r>
          <w:rPr>
            <w:noProof/>
            <w:webHidden/>
          </w:rPr>
          <w:t>210</w:t>
        </w:r>
        <w:r>
          <w:rPr>
            <w:noProof/>
            <w:webHidden/>
          </w:rPr>
          <w:fldChar w:fldCharType="end"/>
        </w:r>
      </w:hyperlink>
    </w:p>
    <w:p>
      <w:pPr>
        <w:pStyle w:val="TOC3"/>
        <w:tabs>
          <w:tab w:val="left" w:pos="1100"/>
          <w:tab w:val="right" w:leader="dot" w:pos="9062"/>
        </w:tabs>
        <w:rPr>
          <w:rFonts w:asciiTheme="minorHAnsi" w:eastAsiaTheme="minorEastAsia" w:hAnsiTheme="minorHAnsi" w:cstheme="minorBidi"/>
          <w:noProof/>
          <w:sz w:val="22"/>
          <w:szCs w:val="22"/>
          <w:lang w:val="en-IE" w:eastAsia="en-IE"/>
        </w:rPr>
      </w:pPr>
      <w:hyperlink w:anchor="_Toc16000806" w:history="1">
        <w:r>
          <w:rPr>
            <w:rStyle w:val="Hyperlink"/>
            <w:noProof/>
          </w:rPr>
          <w:t>2.3</w:t>
        </w:r>
        <w:r>
          <w:rPr>
            <w:rFonts w:asciiTheme="minorHAnsi" w:eastAsiaTheme="minorEastAsia" w:hAnsiTheme="minorHAnsi" w:cstheme="minorBidi"/>
            <w:noProof/>
            <w:sz w:val="22"/>
            <w:szCs w:val="22"/>
            <w:lang w:val="en-IE" w:eastAsia="en-IE"/>
          </w:rPr>
          <w:tab/>
        </w:r>
        <w:r>
          <w:rPr>
            <w:rStyle w:val="Hyperlink"/>
            <w:noProof/>
          </w:rPr>
          <w:t>Trade in Services and Foreign Direct investment (FDIs)</w:t>
        </w:r>
        <w:r>
          <w:rPr>
            <w:noProof/>
            <w:webHidden/>
          </w:rPr>
          <w:tab/>
        </w:r>
        <w:r>
          <w:rPr>
            <w:noProof/>
            <w:webHidden/>
          </w:rPr>
          <w:fldChar w:fldCharType="begin"/>
        </w:r>
        <w:r>
          <w:rPr>
            <w:noProof/>
            <w:webHidden/>
          </w:rPr>
          <w:instrText xml:space="preserve"> PAGEREF _Toc16000806 \h </w:instrText>
        </w:r>
        <w:r>
          <w:rPr>
            <w:noProof/>
            <w:webHidden/>
          </w:rPr>
        </w:r>
        <w:r>
          <w:rPr>
            <w:noProof/>
            <w:webHidden/>
          </w:rPr>
          <w:fldChar w:fldCharType="separate"/>
        </w:r>
        <w:r>
          <w:rPr>
            <w:noProof/>
            <w:webHidden/>
          </w:rPr>
          <w:t>210</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807" w:history="1">
        <w:r>
          <w:rPr>
            <w:rStyle w:val="Hyperlink"/>
            <w:noProof/>
          </w:rPr>
          <w:t>3.</w:t>
        </w:r>
        <w:r>
          <w:rPr>
            <w:rFonts w:asciiTheme="minorHAnsi" w:eastAsiaTheme="minorEastAsia" w:hAnsiTheme="minorHAnsi" w:cstheme="minorBidi"/>
            <w:noProof/>
            <w:sz w:val="22"/>
            <w:szCs w:val="22"/>
            <w:lang w:val="en-IE" w:eastAsia="en-IE"/>
          </w:rPr>
          <w:tab/>
        </w:r>
        <w:r>
          <w:rPr>
            <w:rStyle w:val="Hyperlink"/>
            <w:noProof/>
          </w:rPr>
          <w:t>Annual Trade Coordinators Meeting and Trade-related Sub-committees</w:t>
        </w:r>
        <w:r>
          <w:rPr>
            <w:noProof/>
            <w:webHidden/>
          </w:rPr>
          <w:tab/>
        </w:r>
        <w:r>
          <w:rPr>
            <w:noProof/>
            <w:webHidden/>
          </w:rPr>
          <w:fldChar w:fldCharType="begin"/>
        </w:r>
        <w:r>
          <w:rPr>
            <w:noProof/>
            <w:webHidden/>
          </w:rPr>
          <w:instrText xml:space="preserve"> PAGEREF _Toc16000807 \h </w:instrText>
        </w:r>
        <w:r>
          <w:rPr>
            <w:noProof/>
            <w:webHidden/>
          </w:rPr>
        </w:r>
        <w:r>
          <w:rPr>
            <w:noProof/>
            <w:webHidden/>
          </w:rPr>
          <w:fldChar w:fldCharType="separate"/>
        </w:r>
        <w:r>
          <w:rPr>
            <w:noProof/>
            <w:webHidden/>
          </w:rPr>
          <w:t>211</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808" w:history="1">
        <w:r>
          <w:rPr>
            <w:rStyle w:val="Hyperlink"/>
            <w:noProof/>
          </w:rPr>
          <w:t>4.</w:t>
        </w:r>
        <w:r>
          <w:rPr>
            <w:rFonts w:asciiTheme="minorHAnsi" w:eastAsiaTheme="minorEastAsia" w:hAnsiTheme="minorHAnsi" w:cstheme="minorBidi"/>
            <w:noProof/>
            <w:sz w:val="22"/>
            <w:szCs w:val="22"/>
            <w:lang w:val="en-IE" w:eastAsia="en-IE"/>
          </w:rPr>
          <w:tab/>
        </w:r>
        <w:r>
          <w:rPr>
            <w:rStyle w:val="Hyperlink"/>
            <w:noProof/>
          </w:rPr>
          <w:t>Progress made, Main open issues and follow-up actions</w:t>
        </w:r>
        <w:r>
          <w:rPr>
            <w:noProof/>
            <w:webHidden/>
          </w:rPr>
          <w:tab/>
        </w:r>
        <w:r>
          <w:rPr>
            <w:noProof/>
            <w:webHidden/>
          </w:rPr>
          <w:fldChar w:fldCharType="begin"/>
        </w:r>
        <w:r>
          <w:rPr>
            <w:noProof/>
            <w:webHidden/>
          </w:rPr>
          <w:instrText xml:space="preserve"> PAGEREF _Toc16000808 \h </w:instrText>
        </w:r>
        <w:r>
          <w:rPr>
            <w:noProof/>
            <w:webHidden/>
          </w:rPr>
        </w:r>
        <w:r>
          <w:rPr>
            <w:noProof/>
            <w:webHidden/>
          </w:rPr>
          <w:fldChar w:fldCharType="separate"/>
        </w:r>
        <w:r>
          <w:rPr>
            <w:noProof/>
            <w:webHidden/>
          </w:rPr>
          <w:t>211</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809" w:history="1">
        <w:r>
          <w:rPr>
            <w:rStyle w:val="Hyperlink"/>
            <w:noProof/>
          </w:rPr>
          <w:t>5.</w:t>
        </w:r>
        <w:r>
          <w:rPr>
            <w:rFonts w:asciiTheme="minorHAnsi" w:eastAsiaTheme="minorEastAsia" w:hAnsiTheme="minorHAnsi" w:cstheme="minorBidi"/>
            <w:noProof/>
            <w:sz w:val="22"/>
            <w:szCs w:val="22"/>
            <w:lang w:val="en-IE" w:eastAsia="en-IE"/>
          </w:rPr>
          <w:tab/>
        </w:r>
        <w:r>
          <w:rPr>
            <w:rStyle w:val="Hyperlink"/>
            <w:noProof/>
          </w:rPr>
          <w:t>Conclusions and outlook</w:t>
        </w:r>
        <w:r>
          <w:rPr>
            <w:noProof/>
            <w:webHidden/>
          </w:rPr>
          <w:tab/>
        </w:r>
        <w:r>
          <w:rPr>
            <w:noProof/>
            <w:webHidden/>
          </w:rPr>
          <w:fldChar w:fldCharType="begin"/>
        </w:r>
        <w:r>
          <w:rPr>
            <w:noProof/>
            <w:webHidden/>
          </w:rPr>
          <w:instrText xml:space="preserve"> PAGEREF _Toc16000809 \h </w:instrText>
        </w:r>
        <w:r>
          <w:rPr>
            <w:noProof/>
            <w:webHidden/>
          </w:rPr>
        </w:r>
        <w:r>
          <w:rPr>
            <w:noProof/>
            <w:webHidden/>
          </w:rPr>
          <w:fldChar w:fldCharType="separate"/>
        </w:r>
        <w:r>
          <w:rPr>
            <w:noProof/>
            <w:webHidden/>
          </w:rPr>
          <w:t>212</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810" w:history="1">
        <w:r>
          <w:rPr>
            <w:rStyle w:val="Hyperlink"/>
            <w:noProof/>
          </w:rPr>
          <w:t>6.</w:t>
        </w:r>
        <w:r>
          <w:rPr>
            <w:rFonts w:asciiTheme="minorHAnsi" w:eastAsiaTheme="minorEastAsia" w:hAnsiTheme="minorHAnsi" w:cstheme="minorBidi"/>
            <w:noProof/>
            <w:sz w:val="22"/>
            <w:szCs w:val="22"/>
            <w:lang w:val="en-IE" w:eastAsia="en-IE"/>
          </w:rPr>
          <w:tab/>
        </w:r>
        <w:r>
          <w:rPr>
            <w:rStyle w:val="Hyperlink"/>
            <w:noProof/>
          </w:rPr>
          <w:t>Statistics</w:t>
        </w:r>
        <w:r>
          <w:rPr>
            <w:noProof/>
            <w:webHidden/>
          </w:rPr>
          <w:tab/>
        </w:r>
        <w:r>
          <w:rPr>
            <w:noProof/>
            <w:webHidden/>
          </w:rPr>
          <w:fldChar w:fldCharType="begin"/>
        </w:r>
        <w:r>
          <w:rPr>
            <w:noProof/>
            <w:webHidden/>
          </w:rPr>
          <w:instrText xml:space="preserve"> PAGEREF _Toc16000810 \h </w:instrText>
        </w:r>
        <w:r>
          <w:rPr>
            <w:noProof/>
            <w:webHidden/>
          </w:rPr>
        </w:r>
        <w:r>
          <w:rPr>
            <w:noProof/>
            <w:webHidden/>
          </w:rPr>
          <w:fldChar w:fldCharType="separate"/>
        </w:r>
        <w:r>
          <w:rPr>
            <w:noProof/>
            <w:webHidden/>
          </w:rPr>
          <w:t>212</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en-IE" w:eastAsia="en-IE"/>
        </w:rPr>
      </w:pPr>
      <w:hyperlink w:anchor="_Toc16000811" w:history="1">
        <w:r>
          <w:rPr>
            <w:rStyle w:val="Hyperlink"/>
            <w:b/>
            <w:noProof/>
          </w:rPr>
          <w:t>ANNUAL INFO SHEET ON IMPLEMENTATION OF THE TRADE PILLAR OF THE EU-MEXICO ASSOCIATION AGREEMENT</w:t>
        </w:r>
        <w:r>
          <w:rPr>
            <w:noProof/>
            <w:webHidden/>
          </w:rPr>
          <w:tab/>
        </w:r>
        <w:r>
          <w:rPr>
            <w:noProof/>
            <w:webHidden/>
          </w:rPr>
          <w:fldChar w:fldCharType="begin"/>
        </w:r>
        <w:r>
          <w:rPr>
            <w:noProof/>
            <w:webHidden/>
          </w:rPr>
          <w:instrText xml:space="preserve"> PAGEREF _Toc16000811 \h </w:instrText>
        </w:r>
        <w:r>
          <w:rPr>
            <w:noProof/>
            <w:webHidden/>
          </w:rPr>
        </w:r>
        <w:r>
          <w:rPr>
            <w:noProof/>
            <w:webHidden/>
          </w:rPr>
          <w:fldChar w:fldCharType="separate"/>
        </w:r>
        <w:r>
          <w:rPr>
            <w:noProof/>
            <w:webHidden/>
          </w:rPr>
          <w:t>215</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812" w:history="1">
        <w:r>
          <w:rPr>
            <w:rStyle w:val="Hyperlink"/>
            <w:noProof/>
          </w:rPr>
          <w:t>1.</w:t>
        </w:r>
        <w:r>
          <w:rPr>
            <w:rFonts w:asciiTheme="minorHAnsi" w:eastAsiaTheme="minorEastAsia" w:hAnsiTheme="minorHAnsi" w:cstheme="minorBidi"/>
            <w:noProof/>
            <w:sz w:val="22"/>
            <w:szCs w:val="22"/>
            <w:lang w:val="en-IE" w:eastAsia="en-IE"/>
          </w:rPr>
          <w:tab/>
        </w:r>
        <w:r>
          <w:rPr>
            <w:rStyle w:val="Hyperlink"/>
            <w:noProof/>
          </w:rPr>
          <w:t>Introduction</w:t>
        </w:r>
        <w:r>
          <w:rPr>
            <w:noProof/>
            <w:webHidden/>
          </w:rPr>
          <w:tab/>
        </w:r>
        <w:r>
          <w:rPr>
            <w:noProof/>
            <w:webHidden/>
          </w:rPr>
          <w:fldChar w:fldCharType="begin"/>
        </w:r>
        <w:r>
          <w:rPr>
            <w:noProof/>
            <w:webHidden/>
          </w:rPr>
          <w:instrText xml:space="preserve"> PAGEREF _Toc16000812 \h </w:instrText>
        </w:r>
        <w:r>
          <w:rPr>
            <w:noProof/>
            <w:webHidden/>
          </w:rPr>
        </w:r>
        <w:r>
          <w:rPr>
            <w:noProof/>
            <w:webHidden/>
          </w:rPr>
          <w:fldChar w:fldCharType="separate"/>
        </w:r>
        <w:r>
          <w:rPr>
            <w:noProof/>
            <w:webHidden/>
          </w:rPr>
          <w:t>215</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813" w:history="1">
        <w:r>
          <w:rPr>
            <w:rStyle w:val="Hyperlink"/>
            <w:noProof/>
          </w:rPr>
          <w:t>2.</w:t>
        </w:r>
        <w:r>
          <w:rPr>
            <w:rFonts w:asciiTheme="minorHAnsi" w:eastAsiaTheme="minorEastAsia" w:hAnsiTheme="minorHAnsi" w:cstheme="minorBidi"/>
            <w:noProof/>
            <w:sz w:val="22"/>
            <w:szCs w:val="22"/>
            <w:lang w:val="en-IE" w:eastAsia="en-IE"/>
          </w:rPr>
          <w:tab/>
        </w:r>
        <w:r>
          <w:rPr>
            <w:rStyle w:val="Hyperlink"/>
            <w:noProof/>
          </w:rPr>
          <w:t>Evolution of trade</w:t>
        </w:r>
        <w:r>
          <w:rPr>
            <w:noProof/>
            <w:webHidden/>
          </w:rPr>
          <w:tab/>
        </w:r>
        <w:r>
          <w:rPr>
            <w:noProof/>
            <w:webHidden/>
          </w:rPr>
          <w:fldChar w:fldCharType="begin"/>
        </w:r>
        <w:r>
          <w:rPr>
            <w:noProof/>
            <w:webHidden/>
          </w:rPr>
          <w:instrText xml:space="preserve"> PAGEREF _Toc16000813 \h </w:instrText>
        </w:r>
        <w:r>
          <w:rPr>
            <w:noProof/>
            <w:webHidden/>
          </w:rPr>
        </w:r>
        <w:r>
          <w:rPr>
            <w:noProof/>
            <w:webHidden/>
          </w:rPr>
          <w:fldChar w:fldCharType="separate"/>
        </w:r>
        <w:r>
          <w:rPr>
            <w:noProof/>
            <w:webHidden/>
          </w:rPr>
          <w:t>215</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814" w:history="1">
        <w:r>
          <w:rPr>
            <w:rStyle w:val="Hyperlink"/>
            <w:noProof/>
          </w:rPr>
          <w:t>2.2 Trade in goods</w:t>
        </w:r>
        <w:r>
          <w:rPr>
            <w:noProof/>
            <w:webHidden/>
          </w:rPr>
          <w:tab/>
        </w:r>
        <w:r>
          <w:rPr>
            <w:noProof/>
            <w:webHidden/>
          </w:rPr>
          <w:fldChar w:fldCharType="begin"/>
        </w:r>
        <w:r>
          <w:rPr>
            <w:noProof/>
            <w:webHidden/>
          </w:rPr>
          <w:instrText xml:space="preserve"> PAGEREF _Toc16000814 \h </w:instrText>
        </w:r>
        <w:r>
          <w:rPr>
            <w:noProof/>
            <w:webHidden/>
          </w:rPr>
        </w:r>
        <w:r>
          <w:rPr>
            <w:noProof/>
            <w:webHidden/>
          </w:rPr>
          <w:fldChar w:fldCharType="separate"/>
        </w:r>
        <w:r>
          <w:rPr>
            <w:noProof/>
            <w:webHidden/>
          </w:rPr>
          <w:t>215</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815" w:history="1">
        <w:r>
          <w:rPr>
            <w:rStyle w:val="Hyperlink"/>
            <w:noProof/>
          </w:rPr>
          <w:t>2.2 Trade in agricultural goods</w:t>
        </w:r>
        <w:r>
          <w:rPr>
            <w:noProof/>
            <w:webHidden/>
          </w:rPr>
          <w:tab/>
        </w:r>
        <w:r>
          <w:rPr>
            <w:noProof/>
            <w:webHidden/>
          </w:rPr>
          <w:fldChar w:fldCharType="begin"/>
        </w:r>
        <w:r>
          <w:rPr>
            <w:noProof/>
            <w:webHidden/>
          </w:rPr>
          <w:instrText xml:space="preserve"> PAGEREF _Toc16000815 \h </w:instrText>
        </w:r>
        <w:r>
          <w:rPr>
            <w:noProof/>
            <w:webHidden/>
          </w:rPr>
        </w:r>
        <w:r>
          <w:rPr>
            <w:noProof/>
            <w:webHidden/>
          </w:rPr>
          <w:fldChar w:fldCharType="separate"/>
        </w:r>
        <w:r>
          <w:rPr>
            <w:noProof/>
            <w:webHidden/>
          </w:rPr>
          <w:t>216</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816" w:history="1">
        <w:r>
          <w:rPr>
            <w:rStyle w:val="Hyperlink"/>
            <w:noProof/>
          </w:rPr>
          <w:t>2.3 Trade in services and Foreign Direct investment (FDIs)</w:t>
        </w:r>
        <w:r>
          <w:rPr>
            <w:noProof/>
            <w:webHidden/>
          </w:rPr>
          <w:tab/>
        </w:r>
        <w:r>
          <w:rPr>
            <w:noProof/>
            <w:webHidden/>
          </w:rPr>
          <w:fldChar w:fldCharType="begin"/>
        </w:r>
        <w:r>
          <w:rPr>
            <w:noProof/>
            <w:webHidden/>
          </w:rPr>
          <w:instrText xml:space="preserve"> PAGEREF _Toc16000816 \h </w:instrText>
        </w:r>
        <w:r>
          <w:rPr>
            <w:noProof/>
            <w:webHidden/>
          </w:rPr>
        </w:r>
        <w:r>
          <w:rPr>
            <w:noProof/>
            <w:webHidden/>
          </w:rPr>
          <w:fldChar w:fldCharType="separate"/>
        </w:r>
        <w:r>
          <w:rPr>
            <w:noProof/>
            <w:webHidden/>
          </w:rPr>
          <w:t>217</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817" w:history="1">
        <w:r>
          <w:rPr>
            <w:rStyle w:val="Hyperlink"/>
            <w:noProof/>
          </w:rPr>
          <w:t>3.</w:t>
        </w:r>
        <w:r>
          <w:rPr>
            <w:rFonts w:asciiTheme="minorHAnsi" w:eastAsiaTheme="minorEastAsia" w:hAnsiTheme="minorHAnsi" w:cstheme="minorBidi"/>
            <w:noProof/>
            <w:sz w:val="22"/>
            <w:szCs w:val="22"/>
            <w:lang w:val="en-IE" w:eastAsia="en-IE"/>
          </w:rPr>
          <w:tab/>
        </w:r>
        <w:r>
          <w:rPr>
            <w:rStyle w:val="Hyperlink"/>
            <w:noProof/>
          </w:rPr>
          <w:t>Issues addressed in the joint committee meetings</w:t>
        </w:r>
        <w:r>
          <w:rPr>
            <w:noProof/>
            <w:webHidden/>
          </w:rPr>
          <w:tab/>
        </w:r>
        <w:r>
          <w:rPr>
            <w:noProof/>
            <w:webHidden/>
          </w:rPr>
          <w:fldChar w:fldCharType="begin"/>
        </w:r>
        <w:r>
          <w:rPr>
            <w:noProof/>
            <w:webHidden/>
          </w:rPr>
          <w:instrText xml:space="preserve"> PAGEREF _Toc16000817 \h </w:instrText>
        </w:r>
        <w:r>
          <w:rPr>
            <w:noProof/>
            <w:webHidden/>
          </w:rPr>
        </w:r>
        <w:r>
          <w:rPr>
            <w:noProof/>
            <w:webHidden/>
          </w:rPr>
          <w:fldChar w:fldCharType="separate"/>
        </w:r>
        <w:r>
          <w:rPr>
            <w:noProof/>
            <w:webHidden/>
          </w:rPr>
          <w:t>217</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818" w:history="1">
        <w:r>
          <w:rPr>
            <w:rStyle w:val="Hyperlink"/>
            <w:noProof/>
          </w:rPr>
          <w:t>4.</w:t>
        </w:r>
        <w:r>
          <w:rPr>
            <w:rFonts w:asciiTheme="minorHAnsi" w:eastAsiaTheme="minorEastAsia" w:hAnsiTheme="minorHAnsi" w:cstheme="minorBidi"/>
            <w:noProof/>
            <w:sz w:val="22"/>
            <w:szCs w:val="22"/>
            <w:lang w:val="en-IE" w:eastAsia="en-IE"/>
          </w:rPr>
          <w:tab/>
        </w:r>
        <w:r>
          <w:rPr>
            <w:rStyle w:val="Hyperlink"/>
            <w:noProof/>
          </w:rPr>
          <w:t>Progress made, main open issues and follow-up actions</w:t>
        </w:r>
        <w:r>
          <w:rPr>
            <w:noProof/>
            <w:webHidden/>
          </w:rPr>
          <w:tab/>
        </w:r>
        <w:r>
          <w:rPr>
            <w:noProof/>
            <w:webHidden/>
          </w:rPr>
          <w:fldChar w:fldCharType="begin"/>
        </w:r>
        <w:r>
          <w:rPr>
            <w:noProof/>
            <w:webHidden/>
          </w:rPr>
          <w:instrText xml:space="preserve"> PAGEREF _Toc16000818 \h </w:instrText>
        </w:r>
        <w:r>
          <w:rPr>
            <w:noProof/>
            <w:webHidden/>
          </w:rPr>
        </w:r>
        <w:r>
          <w:rPr>
            <w:noProof/>
            <w:webHidden/>
          </w:rPr>
          <w:fldChar w:fldCharType="separate"/>
        </w:r>
        <w:r>
          <w:rPr>
            <w:noProof/>
            <w:webHidden/>
          </w:rPr>
          <w:t>217</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819" w:history="1">
        <w:r>
          <w:rPr>
            <w:rStyle w:val="Hyperlink"/>
            <w:noProof/>
          </w:rPr>
          <w:t>5.</w:t>
        </w:r>
        <w:r>
          <w:rPr>
            <w:rFonts w:asciiTheme="minorHAnsi" w:eastAsiaTheme="minorEastAsia" w:hAnsiTheme="minorHAnsi" w:cstheme="minorBidi"/>
            <w:noProof/>
            <w:sz w:val="22"/>
            <w:szCs w:val="22"/>
            <w:lang w:val="en-IE" w:eastAsia="en-IE"/>
          </w:rPr>
          <w:tab/>
        </w:r>
        <w:r>
          <w:rPr>
            <w:rStyle w:val="Hyperlink"/>
            <w:noProof/>
          </w:rPr>
          <w:t>Conclusions and outlook</w:t>
        </w:r>
        <w:r>
          <w:rPr>
            <w:noProof/>
            <w:webHidden/>
          </w:rPr>
          <w:tab/>
        </w:r>
        <w:r>
          <w:rPr>
            <w:noProof/>
            <w:webHidden/>
          </w:rPr>
          <w:fldChar w:fldCharType="begin"/>
        </w:r>
        <w:r>
          <w:rPr>
            <w:noProof/>
            <w:webHidden/>
          </w:rPr>
          <w:instrText xml:space="preserve"> PAGEREF _Toc16000819 \h </w:instrText>
        </w:r>
        <w:r>
          <w:rPr>
            <w:noProof/>
            <w:webHidden/>
          </w:rPr>
        </w:r>
        <w:r>
          <w:rPr>
            <w:noProof/>
            <w:webHidden/>
          </w:rPr>
          <w:fldChar w:fldCharType="separate"/>
        </w:r>
        <w:r>
          <w:rPr>
            <w:noProof/>
            <w:webHidden/>
          </w:rPr>
          <w:t>218</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820" w:history="1">
        <w:r>
          <w:rPr>
            <w:rStyle w:val="Hyperlink"/>
            <w:noProof/>
          </w:rPr>
          <w:t>6.</w:t>
        </w:r>
        <w:r>
          <w:rPr>
            <w:rFonts w:asciiTheme="minorHAnsi" w:eastAsiaTheme="minorEastAsia" w:hAnsiTheme="minorHAnsi" w:cstheme="minorBidi"/>
            <w:noProof/>
            <w:sz w:val="22"/>
            <w:szCs w:val="22"/>
            <w:lang w:val="en-IE" w:eastAsia="en-IE"/>
          </w:rPr>
          <w:tab/>
        </w:r>
        <w:r>
          <w:rPr>
            <w:rStyle w:val="Hyperlink"/>
            <w:noProof/>
          </w:rPr>
          <w:t>Statistics</w:t>
        </w:r>
        <w:r>
          <w:rPr>
            <w:noProof/>
            <w:webHidden/>
          </w:rPr>
          <w:tab/>
        </w:r>
        <w:r>
          <w:rPr>
            <w:noProof/>
            <w:webHidden/>
          </w:rPr>
          <w:fldChar w:fldCharType="begin"/>
        </w:r>
        <w:r>
          <w:rPr>
            <w:noProof/>
            <w:webHidden/>
          </w:rPr>
          <w:instrText xml:space="preserve"> PAGEREF _Toc16000820 \h </w:instrText>
        </w:r>
        <w:r>
          <w:rPr>
            <w:noProof/>
            <w:webHidden/>
          </w:rPr>
        </w:r>
        <w:r>
          <w:rPr>
            <w:noProof/>
            <w:webHidden/>
          </w:rPr>
          <w:fldChar w:fldCharType="separate"/>
        </w:r>
        <w:r>
          <w:rPr>
            <w:noProof/>
            <w:webHidden/>
          </w:rPr>
          <w:t>219</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en-IE" w:eastAsia="en-IE"/>
        </w:rPr>
      </w:pPr>
      <w:hyperlink w:anchor="_Toc16000821" w:history="1">
        <w:r>
          <w:rPr>
            <w:rStyle w:val="Hyperlink"/>
            <w:b/>
            <w:noProof/>
          </w:rPr>
          <w:t>FIRST GENERATION FREE TRADE AGREEMENTS WITH THE EFTA COUNTRIES NORWAY AND SWITZERLAND</w:t>
        </w:r>
        <w:r>
          <w:rPr>
            <w:noProof/>
            <w:webHidden/>
          </w:rPr>
          <w:tab/>
        </w:r>
        <w:r>
          <w:rPr>
            <w:noProof/>
            <w:webHidden/>
          </w:rPr>
          <w:fldChar w:fldCharType="begin"/>
        </w:r>
        <w:r>
          <w:rPr>
            <w:noProof/>
            <w:webHidden/>
          </w:rPr>
          <w:instrText xml:space="preserve"> PAGEREF _Toc16000821 \h </w:instrText>
        </w:r>
        <w:r>
          <w:rPr>
            <w:noProof/>
            <w:webHidden/>
          </w:rPr>
        </w:r>
        <w:r>
          <w:rPr>
            <w:noProof/>
            <w:webHidden/>
          </w:rPr>
          <w:fldChar w:fldCharType="separate"/>
        </w:r>
        <w:r>
          <w:rPr>
            <w:noProof/>
            <w:webHidden/>
          </w:rPr>
          <w:t>221</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en-IE" w:eastAsia="en-IE"/>
        </w:rPr>
      </w:pPr>
      <w:hyperlink w:anchor="_Toc16000822" w:history="1">
        <w:r>
          <w:rPr>
            <w:rStyle w:val="Hyperlink"/>
            <w:b/>
            <w:noProof/>
          </w:rPr>
          <w:t>ANNUAL INFO SHEET ON IMPLEMENTATION OF THE EU-NORWAY FREE TRADE AGREEMENT</w:t>
        </w:r>
        <w:r>
          <w:rPr>
            <w:noProof/>
            <w:webHidden/>
          </w:rPr>
          <w:tab/>
        </w:r>
        <w:r>
          <w:rPr>
            <w:noProof/>
            <w:webHidden/>
          </w:rPr>
          <w:fldChar w:fldCharType="begin"/>
        </w:r>
        <w:r>
          <w:rPr>
            <w:noProof/>
            <w:webHidden/>
          </w:rPr>
          <w:instrText xml:space="preserve"> PAGEREF _Toc16000822 \h </w:instrText>
        </w:r>
        <w:r>
          <w:rPr>
            <w:noProof/>
            <w:webHidden/>
          </w:rPr>
        </w:r>
        <w:r>
          <w:rPr>
            <w:noProof/>
            <w:webHidden/>
          </w:rPr>
          <w:fldChar w:fldCharType="separate"/>
        </w:r>
        <w:r>
          <w:rPr>
            <w:noProof/>
            <w:webHidden/>
          </w:rPr>
          <w:t>222</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823" w:history="1">
        <w:r>
          <w:rPr>
            <w:rStyle w:val="Hyperlink"/>
            <w:noProof/>
          </w:rPr>
          <w:t>1.</w:t>
        </w:r>
        <w:r>
          <w:rPr>
            <w:rFonts w:asciiTheme="minorHAnsi" w:eastAsiaTheme="minorEastAsia" w:hAnsiTheme="minorHAnsi" w:cstheme="minorBidi"/>
            <w:noProof/>
            <w:sz w:val="22"/>
            <w:szCs w:val="22"/>
            <w:lang w:val="en-IE" w:eastAsia="en-IE"/>
          </w:rPr>
          <w:tab/>
        </w:r>
        <w:r>
          <w:rPr>
            <w:rStyle w:val="Hyperlink"/>
            <w:noProof/>
          </w:rPr>
          <w:t>Introduction</w:t>
        </w:r>
        <w:r>
          <w:rPr>
            <w:noProof/>
            <w:webHidden/>
          </w:rPr>
          <w:tab/>
        </w:r>
        <w:r>
          <w:rPr>
            <w:noProof/>
            <w:webHidden/>
          </w:rPr>
          <w:fldChar w:fldCharType="begin"/>
        </w:r>
        <w:r>
          <w:rPr>
            <w:noProof/>
            <w:webHidden/>
          </w:rPr>
          <w:instrText xml:space="preserve"> PAGEREF _Toc16000823 \h </w:instrText>
        </w:r>
        <w:r>
          <w:rPr>
            <w:noProof/>
            <w:webHidden/>
          </w:rPr>
        </w:r>
        <w:r>
          <w:rPr>
            <w:noProof/>
            <w:webHidden/>
          </w:rPr>
          <w:fldChar w:fldCharType="separate"/>
        </w:r>
        <w:r>
          <w:rPr>
            <w:noProof/>
            <w:webHidden/>
          </w:rPr>
          <w:t>222</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824" w:history="1">
        <w:r>
          <w:rPr>
            <w:rStyle w:val="Hyperlink"/>
            <w:noProof/>
          </w:rPr>
          <w:t>2.</w:t>
        </w:r>
        <w:r>
          <w:rPr>
            <w:rFonts w:asciiTheme="minorHAnsi" w:eastAsiaTheme="minorEastAsia" w:hAnsiTheme="minorHAnsi" w:cstheme="minorBidi"/>
            <w:noProof/>
            <w:sz w:val="22"/>
            <w:szCs w:val="22"/>
            <w:lang w:val="en-IE" w:eastAsia="en-IE"/>
          </w:rPr>
          <w:tab/>
        </w:r>
        <w:r>
          <w:rPr>
            <w:rStyle w:val="Hyperlink"/>
            <w:noProof/>
          </w:rPr>
          <w:t>Evolution of trade</w:t>
        </w:r>
        <w:r>
          <w:rPr>
            <w:noProof/>
            <w:webHidden/>
          </w:rPr>
          <w:tab/>
        </w:r>
        <w:r>
          <w:rPr>
            <w:noProof/>
            <w:webHidden/>
          </w:rPr>
          <w:fldChar w:fldCharType="begin"/>
        </w:r>
        <w:r>
          <w:rPr>
            <w:noProof/>
            <w:webHidden/>
          </w:rPr>
          <w:instrText xml:space="preserve"> PAGEREF _Toc16000824 \h </w:instrText>
        </w:r>
        <w:r>
          <w:rPr>
            <w:noProof/>
            <w:webHidden/>
          </w:rPr>
        </w:r>
        <w:r>
          <w:rPr>
            <w:noProof/>
            <w:webHidden/>
          </w:rPr>
          <w:fldChar w:fldCharType="separate"/>
        </w:r>
        <w:r>
          <w:rPr>
            <w:noProof/>
            <w:webHidden/>
          </w:rPr>
          <w:t>222</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825" w:history="1">
        <w:r>
          <w:rPr>
            <w:rStyle w:val="Hyperlink"/>
            <w:noProof/>
          </w:rPr>
          <w:t>2.1 Trade in Goods</w:t>
        </w:r>
        <w:r>
          <w:rPr>
            <w:noProof/>
            <w:webHidden/>
          </w:rPr>
          <w:tab/>
        </w:r>
        <w:r>
          <w:rPr>
            <w:noProof/>
            <w:webHidden/>
          </w:rPr>
          <w:fldChar w:fldCharType="begin"/>
        </w:r>
        <w:r>
          <w:rPr>
            <w:noProof/>
            <w:webHidden/>
          </w:rPr>
          <w:instrText xml:space="preserve"> PAGEREF _Toc16000825 \h </w:instrText>
        </w:r>
        <w:r>
          <w:rPr>
            <w:noProof/>
            <w:webHidden/>
          </w:rPr>
        </w:r>
        <w:r>
          <w:rPr>
            <w:noProof/>
            <w:webHidden/>
          </w:rPr>
          <w:fldChar w:fldCharType="separate"/>
        </w:r>
        <w:r>
          <w:rPr>
            <w:noProof/>
            <w:webHidden/>
          </w:rPr>
          <w:t>222</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826" w:history="1">
        <w:r>
          <w:rPr>
            <w:rStyle w:val="Hyperlink"/>
            <w:noProof/>
          </w:rPr>
          <w:t>2.2 Trade in agricultural goods</w:t>
        </w:r>
        <w:r>
          <w:rPr>
            <w:noProof/>
            <w:webHidden/>
          </w:rPr>
          <w:tab/>
        </w:r>
        <w:r>
          <w:rPr>
            <w:noProof/>
            <w:webHidden/>
          </w:rPr>
          <w:fldChar w:fldCharType="begin"/>
        </w:r>
        <w:r>
          <w:rPr>
            <w:noProof/>
            <w:webHidden/>
          </w:rPr>
          <w:instrText xml:space="preserve"> PAGEREF _Toc16000826 \h </w:instrText>
        </w:r>
        <w:r>
          <w:rPr>
            <w:noProof/>
            <w:webHidden/>
          </w:rPr>
        </w:r>
        <w:r>
          <w:rPr>
            <w:noProof/>
            <w:webHidden/>
          </w:rPr>
          <w:fldChar w:fldCharType="separate"/>
        </w:r>
        <w:r>
          <w:rPr>
            <w:noProof/>
            <w:webHidden/>
          </w:rPr>
          <w:t>222</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827" w:history="1">
        <w:r>
          <w:rPr>
            <w:rStyle w:val="Hyperlink"/>
            <w:noProof/>
          </w:rPr>
          <w:t>2.3 Trade in Services and Foreign Direct investment (FDIs)</w:t>
        </w:r>
        <w:r>
          <w:rPr>
            <w:noProof/>
            <w:webHidden/>
          </w:rPr>
          <w:tab/>
        </w:r>
        <w:r>
          <w:rPr>
            <w:noProof/>
            <w:webHidden/>
          </w:rPr>
          <w:fldChar w:fldCharType="begin"/>
        </w:r>
        <w:r>
          <w:rPr>
            <w:noProof/>
            <w:webHidden/>
          </w:rPr>
          <w:instrText xml:space="preserve"> PAGEREF _Toc16000827 \h </w:instrText>
        </w:r>
        <w:r>
          <w:rPr>
            <w:noProof/>
            <w:webHidden/>
          </w:rPr>
        </w:r>
        <w:r>
          <w:rPr>
            <w:noProof/>
            <w:webHidden/>
          </w:rPr>
          <w:fldChar w:fldCharType="separate"/>
        </w:r>
        <w:r>
          <w:rPr>
            <w:noProof/>
            <w:webHidden/>
          </w:rPr>
          <w:t>223</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828" w:history="1">
        <w:r>
          <w:rPr>
            <w:rStyle w:val="Hyperlink"/>
            <w:noProof/>
          </w:rPr>
          <w:t>3.</w:t>
        </w:r>
        <w:r>
          <w:rPr>
            <w:rFonts w:asciiTheme="minorHAnsi" w:eastAsiaTheme="minorEastAsia" w:hAnsiTheme="minorHAnsi" w:cstheme="minorBidi"/>
            <w:noProof/>
            <w:sz w:val="22"/>
            <w:szCs w:val="22"/>
            <w:lang w:val="en-IE" w:eastAsia="en-IE"/>
          </w:rPr>
          <w:tab/>
        </w:r>
        <w:r>
          <w:rPr>
            <w:rStyle w:val="Hyperlink"/>
            <w:noProof/>
          </w:rPr>
          <w:t>Issues addressed in the EEA and FTA Joint committees</w:t>
        </w:r>
        <w:r>
          <w:rPr>
            <w:noProof/>
            <w:webHidden/>
          </w:rPr>
          <w:tab/>
        </w:r>
        <w:r>
          <w:rPr>
            <w:noProof/>
            <w:webHidden/>
          </w:rPr>
          <w:fldChar w:fldCharType="begin"/>
        </w:r>
        <w:r>
          <w:rPr>
            <w:noProof/>
            <w:webHidden/>
          </w:rPr>
          <w:instrText xml:space="preserve"> PAGEREF _Toc16000828 \h </w:instrText>
        </w:r>
        <w:r>
          <w:rPr>
            <w:noProof/>
            <w:webHidden/>
          </w:rPr>
        </w:r>
        <w:r>
          <w:rPr>
            <w:noProof/>
            <w:webHidden/>
          </w:rPr>
          <w:fldChar w:fldCharType="separate"/>
        </w:r>
        <w:r>
          <w:rPr>
            <w:noProof/>
            <w:webHidden/>
          </w:rPr>
          <w:t>223</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829" w:history="1">
        <w:r>
          <w:rPr>
            <w:rStyle w:val="Hyperlink"/>
            <w:noProof/>
          </w:rPr>
          <w:t>4.</w:t>
        </w:r>
        <w:r>
          <w:rPr>
            <w:rFonts w:asciiTheme="minorHAnsi" w:eastAsiaTheme="minorEastAsia" w:hAnsiTheme="minorHAnsi" w:cstheme="minorBidi"/>
            <w:noProof/>
            <w:sz w:val="22"/>
            <w:szCs w:val="22"/>
            <w:lang w:val="en-IE" w:eastAsia="en-IE"/>
          </w:rPr>
          <w:tab/>
        </w:r>
        <w:r>
          <w:rPr>
            <w:rStyle w:val="Hyperlink"/>
            <w:noProof/>
          </w:rPr>
          <w:t>Specific areas of importance</w:t>
        </w:r>
        <w:r>
          <w:rPr>
            <w:noProof/>
            <w:webHidden/>
          </w:rPr>
          <w:tab/>
        </w:r>
        <w:r>
          <w:rPr>
            <w:noProof/>
            <w:webHidden/>
          </w:rPr>
          <w:fldChar w:fldCharType="begin"/>
        </w:r>
        <w:r>
          <w:rPr>
            <w:noProof/>
            <w:webHidden/>
          </w:rPr>
          <w:instrText xml:space="preserve"> PAGEREF _Toc16000829 \h </w:instrText>
        </w:r>
        <w:r>
          <w:rPr>
            <w:noProof/>
            <w:webHidden/>
          </w:rPr>
        </w:r>
        <w:r>
          <w:rPr>
            <w:noProof/>
            <w:webHidden/>
          </w:rPr>
          <w:fldChar w:fldCharType="separate"/>
        </w:r>
        <w:r>
          <w:rPr>
            <w:noProof/>
            <w:webHidden/>
          </w:rPr>
          <w:t>224</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830" w:history="1">
        <w:r>
          <w:rPr>
            <w:rStyle w:val="Hyperlink"/>
            <w:noProof/>
          </w:rPr>
          <w:t>5.</w:t>
        </w:r>
        <w:r>
          <w:rPr>
            <w:rFonts w:asciiTheme="minorHAnsi" w:eastAsiaTheme="minorEastAsia" w:hAnsiTheme="minorHAnsi" w:cstheme="minorBidi"/>
            <w:noProof/>
            <w:sz w:val="22"/>
            <w:szCs w:val="22"/>
            <w:lang w:val="en-IE" w:eastAsia="en-IE"/>
          </w:rPr>
          <w:tab/>
        </w:r>
        <w:r>
          <w:rPr>
            <w:rStyle w:val="Hyperlink"/>
            <w:noProof/>
          </w:rPr>
          <w:t>Progress made, main open issues and follow-up actions</w:t>
        </w:r>
        <w:r>
          <w:rPr>
            <w:noProof/>
            <w:webHidden/>
          </w:rPr>
          <w:tab/>
        </w:r>
        <w:r>
          <w:rPr>
            <w:noProof/>
            <w:webHidden/>
          </w:rPr>
          <w:fldChar w:fldCharType="begin"/>
        </w:r>
        <w:r>
          <w:rPr>
            <w:noProof/>
            <w:webHidden/>
          </w:rPr>
          <w:instrText xml:space="preserve"> PAGEREF _Toc16000830 \h </w:instrText>
        </w:r>
        <w:r>
          <w:rPr>
            <w:noProof/>
            <w:webHidden/>
          </w:rPr>
        </w:r>
        <w:r>
          <w:rPr>
            <w:noProof/>
            <w:webHidden/>
          </w:rPr>
          <w:fldChar w:fldCharType="separate"/>
        </w:r>
        <w:r>
          <w:rPr>
            <w:noProof/>
            <w:webHidden/>
          </w:rPr>
          <w:t>224</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831" w:history="1">
        <w:r>
          <w:rPr>
            <w:rStyle w:val="Hyperlink"/>
            <w:noProof/>
          </w:rPr>
          <w:t>6.</w:t>
        </w:r>
        <w:r>
          <w:rPr>
            <w:rFonts w:asciiTheme="minorHAnsi" w:eastAsiaTheme="minorEastAsia" w:hAnsiTheme="minorHAnsi" w:cstheme="minorBidi"/>
            <w:noProof/>
            <w:sz w:val="22"/>
            <w:szCs w:val="22"/>
            <w:lang w:val="en-IE" w:eastAsia="en-IE"/>
          </w:rPr>
          <w:tab/>
        </w:r>
        <w:r>
          <w:rPr>
            <w:rStyle w:val="Hyperlink"/>
            <w:noProof/>
          </w:rPr>
          <w:t>Conclusions and outlook</w:t>
        </w:r>
        <w:r>
          <w:rPr>
            <w:noProof/>
            <w:webHidden/>
          </w:rPr>
          <w:tab/>
        </w:r>
        <w:r>
          <w:rPr>
            <w:noProof/>
            <w:webHidden/>
          </w:rPr>
          <w:fldChar w:fldCharType="begin"/>
        </w:r>
        <w:r>
          <w:rPr>
            <w:noProof/>
            <w:webHidden/>
          </w:rPr>
          <w:instrText xml:space="preserve"> PAGEREF _Toc16000831 \h </w:instrText>
        </w:r>
        <w:r>
          <w:rPr>
            <w:noProof/>
            <w:webHidden/>
          </w:rPr>
        </w:r>
        <w:r>
          <w:rPr>
            <w:noProof/>
            <w:webHidden/>
          </w:rPr>
          <w:fldChar w:fldCharType="separate"/>
        </w:r>
        <w:r>
          <w:rPr>
            <w:noProof/>
            <w:webHidden/>
          </w:rPr>
          <w:t>225</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832" w:history="1">
        <w:r>
          <w:rPr>
            <w:rStyle w:val="Hyperlink"/>
            <w:noProof/>
          </w:rPr>
          <w:t>7.</w:t>
        </w:r>
        <w:r>
          <w:rPr>
            <w:rFonts w:asciiTheme="minorHAnsi" w:eastAsiaTheme="minorEastAsia" w:hAnsiTheme="minorHAnsi" w:cstheme="minorBidi"/>
            <w:noProof/>
            <w:sz w:val="22"/>
            <w:szCs w:val="22"/>
            <w:lang w:val="en-IE" w:eastAsia="en-IE"/>
          </w:rPr>
          <w:tab/>
        </w:r>
        <w:r>
          <w:rPr>
            <w:rStyle w:val="Hyperlink"/>
            <w:noProof/>
          </w:rPr>
          <w:t>Statistics</w:t>
        </w:r>
        <w:r>
          <w:rPr>
            <w:noProof/>
            <w:webHidden/>
          </w:rPr>
          <w:tab/>
        </w:r>
        <w:r>
          <w:rPr>
            <w:noProof/>
            <w:webHidden/>
          </w:rPr>
          <w:fldChar w:fldCharType="begin"/>
        </w:r>
        <w:r>
          <w:rPr>
            <w:noProof/>
            <w:webHidden/>
          </w:rPr>
          <w:instrText xml:space="preserve"> PAGEREF _Toc16000832 \h </w:instrText>
        </w:r>
        <w:r>
          <w:rPr>
            <w:noProof/>
            <w:webHidden/>
          </w:rPr>
        </w:r>
        <w:r>
          <w:rPr>
            <w:noProof/>
            <w:webHidden/>
          </w:rPr>
          <w:fldChar w:fldCharType="separate"/>
        </w:r>
        <w:r>
          <w:rPr>
            <w:noProof/>
            <w:webHidden/>
          </w:rPr>
          <w:t>225</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en-IE" w:eastAsia="en-IE"/>
        </w:rPr>
      </w:pPr>
      <w:hyperlink w:anchor="_Toc16000833" w:history="1">
        <w:r>
          <w:rPr>
            <w:rStyle w:val="Hyperlink"/>
            <w:b/>
            <w:noProof/>
          </w:rPr>
          <w:t>ANNUAL INFO SHEET ON IMPLEMENTATION OF THE EU-SWITZERLAND FREE TRADE AGREEMENT</w:t>
        </w:r>
        <w:r>
          <w:rPr>
            <w:noProof/>
            <w:webHidden/>
          </w:rPr>
          <w:tab/>
        </w:r>
        <w:r>
          <w:rPr>
            <w:noProof/>
            <w:webHidden/>
          </w:rPr>
          <w:fldChar w:fldCharType="begin"/>
        </w:r>
        <w:r>
          <w:rPr>
            <w:noProof/>
            <w:webHidden/>
          </w:rPr>
          <w:instrText xml:space="preserve"> PAGEREF _Toc16000833 \h </w:instrText>
        </w:r>
        <w:r>
          <w:rPr>
            <w:noProof/>
            <w:webHidden/>
          </w:rPr>
        </w:r>
        <w:r>
          <w:rPr>
            <w:noProof/>
            <w:webHidden/>
          </w:rPr>
          <w:fldChar w:fldCharType="separate"/>
        </w:r>
        <w:r>
          <w:rPr>
            <w:noProof/>
            <w:webHidden/>
          </w:rPr>
          <w:t>232</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834" w:history="1">
        <w:r>
          <w:rPr>
            <w:rStyle w:val="Hyperlink"/>
            <w:noProof/>
          </w:rPr>
          <w:t>1.</w:t>
        </w:r>
        <w:r>
          <w:rPr>
            <w:rFonts w:asciiTheme="minorHAnsi" w:eastAsiaTheme="minorEastAsia" w:hAnsiTheme="minorHAnsi" w:cstheme="minorBidi"/>
            <w:noProof/>
            <w:sz w:val="22"/>
            <w:szCs w:val="22"/>
            <w:lang w:val="en-IE" w:eastAsia="en-IE"/>
          </w:rPr>
          <w:tab/>
        </w:r>
        <w:r>
          <w:rPr>
            <w:rStyle w:val="Hyperlink"/>
            <w:noProof/>
          </w:rPr>
          <w:t>Introduction</w:t>
        </w:r>
        <w:r>
          <w:rPr>
            <w:noProof/>
            <w:webHidden/>
          </w:rPr>
          <w:tab/>
        </w:r>
        <w:r>
          <w:rPr>
            <w:noProof/>
            <w:webHidden/>
          </w:rPr>
          <w:fldChar w:fldCharType="begin"/>
        </w:r>
        <w:r>
          <w:rPr>
            <w:noProof/>
            <w:webHidden/>
          </w:rPr>
          <w:instrText xml:space="preserve"> PAGEREF _Toc16000834 \h </w:instrText>
        </w:r>
        <w:r>
          <w:rPr>
            <w:noProof/>
            <w:webHidden/>
          </w:rPr>
        </w:r>
        <w:r>
          <w:rPr>
            <w:noProof/>
            <w:webHidden/>
          </w:rPr>
          <w:fldChar w:fldCharType="separate"/>
        </w:r>
        <w:r>
          <w:rPr>
            <w:noProof/>
            <w:webHidden/>
          </w:rPr>
          <w:t>232</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835" w:history="1">
        <w:r>
          <w:rPr>
            <w:rStyle w:val="Hyperlink"/>
            <w:noProof/>
          </w:rPr>
          <w:t>2.</w:t>
        </w:r>
        <w:r>
          <w:rPr>
            <w:rFonts w:asciiTheme="minorHAnsi" w:eastAsiaTheme="minorEastAsia" w:hAnsiTheme="minorHAnsi" w:cstheme="minorBidi"/>
            <w:noProof/>
            <w:sz w:val="22"/>
            <w:szCs w:val="22"/>
            <w:lang w:val="en-IE" w:eastAsia="en-IE"/>
          </w:rPr>
          <w:tab/>
        </w:r>
        <w:r>
          <w:rPr>
            <w:rStyle w:val="Hyperlink"/>
            <w:noProof/>
          </w:rPr>
          <w:t>Evolution of trade</w:t>
        </w:r>
        <w:r>
          <w:rPr>
            <w:noProof/>
            <w:webHidden/>
          </w:rPr>
          <w:tab/>
        </w:r>
        <w:r>
          <w:rPr>
            <w:noProof/>
            <w:webHidden/>
          </w:rPr>
          <w:fldChar w:fldCharType="begin"/>
        </w:r>
        <w:r>
          <w:rPr>
            <w:noProof/>
            <w:webHidden/>
          </w:rPr>
          <w:instrText xml:space="preserve"> PAGEREF _Toc16000835 \h </w:instrText>
        </w:r>
        <w:r>
          <w:rPr>
            <w:noProof/>
            <w:webHidden/>
          </w:rPr>
        </w:r>
        <w:r>
          <w:rPr>
            <w:noProof/>
            <w:webHidden/>
          </w:rPr>
          <w:fldChar w:fldCharType="separate"/>
        </w:r>
        <w:r>
          <w:rPr>
            <w:noProof/>
            <w:webHidden/>
          </w:rPr>
          <w:t>233</w:t>
        </w:r>
        <w:r>
          <w:rPr>
            <w:noProof/>
            <w:webHidden/>
          </w:rPr>
          <w:fldChar w:fldCharType="end"/>
        </w:r>
      </w:hyperlink>
    </w:p>
    <w:p>
      <w:pPr>
        <w:pStyle w:val="TOC3"/>
        <w:tabs>
          <w:tab w:val="left" w:pos="1100"/>
          <w:tab w:val="right" w:leader="dot" w:pos="9062"/>
        </w:tabs>
        <w:rPr>
          <w:rFonts w:asciiTheme="minorHAnsi" w:eastAsiaTheme="minorEastAsia" w:hAnsiTheme="minorHAnsi" w:cstheme="minorBidi"/>
          <w:noProof/>
          <w:sz w:val="22"/>
          <w:szCs w:val="22"/>
          <w:lang w:val="en-IE" w:eastAsia="en-IE"/>
        </w:rPr>
      </w:pPr>
      <w:hyperlink w:anchor="_Toc16000836" w:history="1">
        <w:r>
          <w:rPr>
            <w:rStyle w:val="Hyperlink"/>
            <w:noProof/>
            <w14:scene3d>
              <w14:camera w14:prst="orthographicFront"/>
              <w14:lightRig w14:rig="threePt" w14:dir="t">
                <w14:rot w14:lat="0" w14:lon="0" w14:rev="0"/>
              </w14:lightRig>
            </w14:scene3d>
          </w:rPr>
          <w:t>2.1.</w:t>
        </w:r>
        <w:r>
          <w:rPr>
            <w:rFonts w:asciiTheme="minorHAnsi" w:eastAsiaTheme="minorEastAsia" w:hAnsiTheme="minorHAnsi" w:cstheme="minorBidi"/>
            <w:noProof/>
            <w:sz w:val="22"/>
            <w:szCs w:val="22"/>
            <w:lang w:val="en-IE" w:eastAsia="en-IE"/>
          </w:rPr>
          <w:tab/>
        </w:r>
        <w:r>
          <w:rPr>
            <w:rStyle w:val="Hyperlink"/>
            <w:noProof/>
          </w:rPr>
          <w:t>Trade in Goods</w:t>
        </w:r>
        <w:r>
          <w:rPr>
            <w:noProof/>
            <w:webHidden/>
          </w:rPr>
          <w:tab/>
        </w:r>
        <w:r>
          <w:rPr>
            <w:noProof/>
            <w:webHidden/>
          </w:rPr>
          <w:fldChar w:fldCharType="begin"/>
        </w:r>
        <w:r>
          <w:rPr>
            <w:noProof/>
            <w:webHidden/>
          </w:rPr>
          <w:instrText xml:space="preserve"> PAGEREF _Toc16000836 \h </w:instrText>
        </w:r>
        <w:r>
          <w:rPr>
            <w:noProof/>
            <w:webHidden/>
          </w:rPr>
        </w:r>
        <w:r>
          <w:rPr>
            <w:noProof/>
            <w:webHidden/>
          </w:rPr>
          <w:fldChar w:fldCharType="separate"/>
        </w:r>
        <w:r>
          <w:rPr>
            <w:noProof/>
            <w:webHidden/>
          </w:rPr>
          <w:t>233</w:t>
        </w:r>
        <w:r>
          <w:rPr>
            <w:noProof/>
            <w:webHidden/>
          </w:rPr>
          <w:fldChar w:fldCharType="end"/>
        </w:r>
      </w:hyperlink>
    </w:p>
    <w:p>
      <w:pPr>
        <w:pStyle w:val="TOC3"/>
        <w:tabs>
          <w:tab w:val="left" w:pos="1100"/>
          <w:tab w:val="right" w:leader="dot" w:pos="9062"/>
        </w:tabs>
        <w:rPr>
          <w:rFonts w:asciiTheme="minorHAnsi" w:eastAsiaTheme="minorEastAsia" w:hAnsiTheme="minorHAnsi" w:cstheme="minorBidi"/>
          <w:noProof/>
          <w:sz w:val="22"/>
          <w:szCs w:val="22"/>
          <w:lang w:val="en-IE" w:eastAsia="en-IE"/>
        </w:rPr>
      </w:pPr>
      <w:hyperlink w:anchor="_Toc16000837" w:history="1">
        <w:r>
          <w:rPr>
            <w:rStyle w:val="Hyperlink"/>
            <w:noProof/>
            <w14:scene3d>
              <w14:camera w14:prst="orthographicFront"/>
              <w14:lightRig w14:rig="threePt" w14:dir="t">
                <w14:rot w14:lat="0" w14:lon="0" w14:rev="0"/>
              </w14:lightRig>
            </w14:scene3d>
          </w:rPr>
          <w:t>2.2.</w:t>
        </w:r>
        <w:r>
          <w:rPr>
            <w:rFonts w:asciiTheme="minorHAnsi" w:eastAsiaTheme="minorEastAsia" w:hAnsiTheme="minorHAnsi" w:cstheme="minorBidi"/>
            <w:noProof/>
            <w:sz w:val="22"/>
            <w:szCs w:val="22"/>
            <w:lang w:val="en-IE" w:eastAsia="en-IE"/>
          </w:rPr>
          <w:tab/>
        </w:r>
        <w:r>
          <w:rPr>
            <w:rStyle w:val="Hyperlink"/>
            <w:noProof/>
          </w:rPr>
          <w:t>Trade in agricultural goods</w:t>
        </w:r>
        <w:r>
          <w:rPr>
            <w:noProof/>
            <w:webHidden/>
          </w:rPr>
          <w:tab/>
        </w:r>
        <w:r>
          <w:rPr>
            <w:noProof/>
            <w:webHidden/>
          </w:rPr>
          <w:fldChar w:fldCharType="begin"/>
        </w:r>
        <w:r>
          <w:rPr>
            <w:noProof/>
            <w:webHidden/>
          </w:rPr>
          <w:instrText xml:space="preserve"> PAGEREF _Toc16000837 \h </w:instrText>
        </w:r>
        <w:r>
          <w:rPr>
            <w:noProof/>
            <w:webHidden/>
          </w:rPr>
        </w:r>
        <w:r>
          <w:rPr>
            <w:noProof/>
            <w:webHidden/>
          </w:rPr>
          <w:fldChar w:fldCharType="separate"/>
        </w:r>
        <w:r>
          <w:rPr>
            <w:noProof/>
            <w:webHidden/>
          </w:rPr>
          <w:t>233</w:t>
        </w:r>
        <w:r>
          <w:rPr>
            <w:noProof/>
            <w:webHidden/>
          </w:rPr>
          <w:fldChar w:fldCharType="end"/>
        </w:r>
      </w:hyperlink>
    </w:p>
    <w:p>
      <w:pPr>
        <w:pStyle w:val="TOC3"/>
        <w:tabs>
          <w:tab w:val="left" w:pos="1100"/>
          <w:tab w:val="right" w:leader="dot" w:pos="9062"/>
        </w:tabs>
        <w:rPr>
          <w:rFonts w:asciiTheme="minorHAnsi" w:eastAsiaTheme="minorEastAsia" w:hAnsiTheme="minorHAnsi" w:cstheme="minorBidi"/>
          <w:noProof/>
          <w:sz w:val="22"/>
          <w:szCs w:val="22"/>
          <w:lang w:val="en-IE" w:eastAsia="en-IE"/>
        </w:rPr>
      </w:pPr>
      <w:hyperlink w:anchor="_Toc16000838" w:history="1">
        <w:r>
          <w:rPr>
            <w:rStyle w:val="Hyperlink"/>
            <w:noProof/>
            <w14:scene3d>
              <w14:camera w14:prst="orthographicFront"/>
              <w14:lightRig w14:rig="threePt" w14:dir="t">
                <w14:rot w14:lat="0" w14:lon="0" w14:rev="0"/>
              </w14:lightRig>
            </w14:scene3d>
          </w:rPr>
          <w:t>2.3.</w:t>
        </w:r>
        <w:r>
          <w:rPr>
            <w:rFonts w:asciiTheme="minorHAnsi" w:eastAsiaTheme="minorEastAsia" w:hAnsiTheme="minorHAnsi" w:cstheme="minorBidi"/>
            <w:noProof/>
            <w:sz w:val="22"/>
            <w:szCs w:val="22"/>
            <w:lang w:val="en-IE" w:eastAsia="en-IE"/>
          </w:rPr>
          <w:tab/>
        </w:r>
        <w:r>
          <w:rPr>
            <w:rStyle w:val="Hyperlink"/>
            <w:noProof/>
          </w:rPr>
          <w:t>Trade in Services and Foreign Direct investment (FDIs)</w:t>
        </w:r>
        <w:r>
          <w:rPr>
            <w:noProof/>
            <w:webHidden/>
          </w:rPr>
          <w:tab/>
        </w:r>
        <w:r>
          <w:rPr>
            <w:noProof/>
            <w:webHidden/>
          </w:rPr>
          <w:fldChar w:fldCharType="begin"/>
        </w:r>
        <w:r>
          <w:rPr>
            <w:noProof/>
            <w:webHidden/>
          </w:rPr>
          <w:instrText xml:space="preserve"> PAGEREF _Toc16000838 \h </w:instrText>
        </w:r>
        <w:r>
          <w:rPr>
            <w:noProof/>
            <w:webHidden/>
          </w:rPr>
        </w:r>
        <w:r>
          <w:rPr>
            <w:noProof/>
            <w:webHidden/>
          </w:rPr>
          <w:fldChar w:fldCharType="separate"/>
        </w:r>
        <w:r>
          <w:rPr>
            <w:noProof/>
            <w:webHidden/>
          </w:rPr>
          <w:t>234</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839" w:history="1">
        <w:r>
          <w:rPr>
            <w:rStyle w:val="Hyperlink"/>
            <w:noProof/>
          </w:rPr>
          <w:t>3.</w:t>
        </w:r>
        <w:r>
          <w:rPr>
            <w:rFonts w:asciiTheme="minorHAnsi" w:eastAsiaTheme="minorEastAsia" w:hAnsiTheme="minorHAnsi" w:cstheme="minorBidi"/>
            <w:noProof/>
            <w:sz w:val="22"/>
            <w:szCs w:val="22"/>
            <w:lang w:val="en-IE" w:eastAsia="en-IE"/>
          </w:rPr>
          <w:tab/>
        </w:r>
        <w:r>
          <w:rPr>
            <w:rStyle w:val="Hyperlink"/>
            <w:noProof/>
          </w:rPr>
          <w:t>Issues addressed in the annual joint committee meeting</w:t>
        </w:r>
        <w:r>
          <w:rPr>
            <w:noProof/>
            <w:webHidden/>
          </w:rPr>
          <w:tab/>
        </w:r>
        <w:r>
          <w:rPr>
            <w:noProof/>
            <w:webHidden/>
          </w:rPr>
          <w:fldChar w:fldCharType="begin"/>
        </w:r>
        <w:r>
          <w:rPr>
            <w:noProof/>
            <w:webHidden/>
          </w:rPr>
          <w:instrText xml:space="preserve"> PAGEREF _Toc16000839 \h </w:instrText>
        </w:r>
        <w:r>
          <w:rPr>
            <w:noProof/>
            <w:webHidden/>
          </w:rPr>
        </w:r>
        <w:r>
          <w:rPr>
            <w:noProof/>
            <w:webHidden/>
          </w:rPr>
          <w:fldChar w:fldCharType="separate"/>
        </w:r>
        <w:r>
          <w:rPr>
            <w:noProof/>
            <w:webHidden/>
          </w:rPr>
          <w:t>234</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840" w:history="1">
        <w:r>
          <w:rPr>
            <w:rStyle w:val="Hyperlink"/>
            <w:noProof/>
          </w:rPr>
          <w:t>4.</w:t>
        </w:r>
        <w:r>
          <w:rPr>
            <w:rFonts w:asciiTheme="minorHAnsi" w:eastAsiaTheme="minorEastAsia" w:hAnsiTheme="minorHAnsi" w:cstheme="minorBidi"/>
            <w:noProof/>
            <w:sz w:val="22"/>
            <w:szCs w:val="22"/>
            <w:lang w:val="en-IE" w:eastAsia="en-IE"/>
          </w:rPr>
          <w:tab/>
        </w:r>
        <w:r>
          <w:rPr>
            <w:rStyle w:val="Hyperlink"/>
            <w:noProof/>
          </w:rPr>
          <w:t>Specific areas of importance</w:t>
        </w:r>
        <w:r>
          <w:rPr>
            <w:noProof/>
            <w:webHidden/>
          </w:rPr>
          <w:tab/>
        </w:r>
        <w:r>
          <w:rPr>
            <w:noProof/>
            <w:webHidden/>
          </w:rPr>
          <w:fldChar w:fldCharType="begin"/>
        </w:r>
        <w:r>
          <w:rPr>
            <w:noProof/>
            <w:webHidden/>
          </w:rPr>
          <w:instrText xml:space="preserve"> PAGEREF _Toc16000840 \h </w:instrText>
        </w:r>
        <w:r>
          <w:rPr>
            <w:noProof/>
            <w:webHidden/>
          </w:rPr>
        </w:r>
        <w:r>
          <w:rPr>
            <w:noProof/>
            <w:webHidden/>
          </w:rPr>
          <w:fldChar w:fldCharType="separate"/>
        </w:r>
        <w:r>
          <w:rPr>
            <w:noProof/>
            <w:webHidden/>
          </w:rPr>
          <w:t>234</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841" w:history="1">
        <w:r>
          <w:rPr>
            <w:rStyle w:val="Hyperlink"/>
            <w:noProof/>
          </w:rPr>
          <w:t>5.</w:t>
        </w:r>
        <w:r>
          <w:rPr>
            <w:rFonts w:asciiTheme="minorHAnsi" w:eastAsiaTheme="minorEastAsia" w:hAnsiTheme="minorHAnsi" w:cstheme="minorBidi"/>
            <w:noProof/>
            <w:sz w:val="22"/>
            <w:szCs w:val="22"/>
            <w:lang w:val="en-IE" w:eastAsia="en-IE"/>
          </w:rPr>
          <w:tab/>
        </w:r>
        <w:r>
          <w:rPr>
            <w:rStyle w:val="Hyperlink"/>
            <w:noProof/>
          </w:rPr>
          <w:t>Progress made, main open issues and follow-up actions</w:t>
        </w:r>
        <w:r>
          <w:rPr>
            <w:noProof/>
            <w:webHidden/>
          </w:rPr>
          <w:tab/>
        </w:r>
        <w:r>
          <w:rPr>
            <w:noProof/>
            <w:webHidden/>
          </w:rPr>
          <w:fldChar w:fldCharType="begin"/>
        </w:r>
        <w:r>
          <w:rPr>
            <w:noProof/>
            <w:webHidden/>
          </w:rPr>
          <w:instrText xml:space="preserve"> PAGEREF _Toc16000841 \h </w:instrText>
        </w:r>
        <w:r>
          <w:rPr>
            <w:noProof/>
            <w:webHidden/>
          </w:rPr>
        </w:r>
        <w:r>
          <w:rPr>
            <w:noProof/>
            <w:webHidden/>
          </w:rPr>
          <w:fldChar w:fldCharType="separate"/>
        </w:r>
        <w:r>
          <w:rPr>
            <w:noProof/>
            <w:webHidden/>
          </w:rPr>
          <w:t>235</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842" w:history="1">
        <w:r>
          <w:rPr>
            <w:rStyle w:val="Hyperlink"/>
            <w:noProof/>
          </w:rPr>
          <w:t>6.</w:t>
        </w:r>
        <w:r>
          <w:rPr>
            <w:rFonts w:asciiTheme="minorHAnsi" w:eastAsiaTheme="minorEastAsia" w:hAnsiTheme="minorHAnsi" w:cstheme="minorBidi"/>
            <w:noProof/>
            <w:sz w:val="22"/>
            <w:szCs w:val="22"/>
            <w:lang w:val="en-IE" w:eastAsia="en-IE"/>
          </w:rPr>
          <w:tab/>
        </w:r>
        <w:r>
          <w:rPr>
            <w:rStyle w:val="Hyperlink"/>
            <w:noProof/>
          </w:rPr>
          <w:t>Conclusions and outlook</w:t>
        </w:r>
        <w:r>
          <w:rPr>
            <w:noProof/>
            <w:webHidden/>
          </w:rPr>
          <w:tab/>
        </w:r>
        <w:r>
          <w:rPr>
            <w:noProof/>
            <w:webHidden/>
          </w:rPr>
          <w:fldChar w:fldCharType="begin"/>
        </w:r>
        <w:r>
          <w:rPr>
            <w:noProof/>
            <w:webHidden/>
          </w:rPr>
          <w:instrText xml:space="preserve"> PAGEREF _Toc16000842 \h </w:instrText>
        </w:r>
        <w:r>
          <w:rPr>
            <w:noProof/>
            <w:webHidden/>
          </w:rPr>
        </w:r>
        <w:r>
          <w:rPr>
            <w:noProof/>
            <w:webHidden/>
          </w:rPr>
          <w:fldChar w:fldCharType="separate"/>
        </w:r>
        <w:r>
          <w:rPr>
            <w:noProof/>
            <w:webHidden/>
          </w:rPr>
          <w:t>236</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843" w:history="1">
        <w:r>
          <w:rPr>
            <w:rStyle w:val="Hyperlink"/>
            <w:noProof/>
          </w:rPr>
          <w:t>7.</w:t>
        </w:r>
        <w:r>
          <w:rPr>
            <w:rFonts w:asciiTheme="minorHAnsi" w:eastAsiaTheme="minorEastAsia" w:hAnsiTheme="minorHAnsi" w:cstheme="minorBidi"/>
            <w:noProof/>
            <w:sz w:val="22"/>
            <w:szCs w:val="22"/>
            <w:lang w:val="en-IE" w:eastAsia="en-IE"/>
          </w:rPr>
          <w:tab/>
        </w:r>
        <w:r>
          <w:rPr>
            <w:rStyle w:val="Hyperlink"/>
            <w:noProof/>
          </w:rPr>
          <w:t>Statistics</w:t>
        </w:r>
        <w:r>
          <w:rPr>
            <w:noProof/>
            <w:webHidden/>
          </w:rPr>
          <w:tab/>
        </w:r>
        <w:r>
          <w:rPr>
            <w:noProof/>
            <w:webHidden/>
          </w:rPr>
          <w:fldChar w:fldCharType="begin"/>
        </w:r>
        <w:r>
          <w:rPr>
            <w:noProof/>
            <w:webHidden/>
          </w:rPr>
          <w:instrText xml:space="preserve"> PAGEREF _Toc16000843 \h </w:instrText>
        </w:r>
        <w:r>
          <w:rPr>
            <w:noProof/>
            <w:webHidden/>
          </w:rPr>
        </w:r>
        <w:r>
          <w:rPr>
            <w:noProof/>
            <w:webHidden/>
          </w:rPr>
          <w:fldChar w:fldCharType="separate"/>
        </w:r>
        <w:r>
          <w:rPr>
            <w:noProof/>
            <w:webHidden/>
          </w:rPr>
          <w:t>236</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en-IE" w:eastAsia="en-IE"/>
        </w:rPr>
      </w:pPr>
      <w:hyperlink w:anchor="_Toc16000844" w:history="1">
        <w:r>
          <w:rPr>
            <w:rStyle w:val="Hyperlink"/>
            <w:b/>
            <w:noProof/>
          </w:rPr>
          <w:t>THE CUSTOMS UNION WITH TURKEY</w:t>
        </w:r>
        <w:r>
          <w:rPr>
            <w:noProof/>
            <w:webHidden/>
          </w:rPr>
          <w:tab/>
        </w:r>
        <w:r>
          <w:rPr>
            <w:noProof/>
            <w:webHidden/>
          </w:rPr>
          <w:fldChar w:fldCharType="begin"/>
        </w:r>
        <w:r>
          <w:rPr>
            <w:noProof/>
            <w:webHidden/>
          </w:rPr>
          <w:instrText xml:space="preserve"> PAGEREF _Toc16000844 \h </w:instrText>
        </w:r>
        <w:r>
          <w:rPr>
            <w:noProof/>
            <w:webHidden/>
          </w:rPr>
        </w:r>
        <w:r>
          <w:rPr>
            <w:noProof/>
            <w:webHidden/>
          </w:rPr>
          <w:fldChar w:fldCharType="separate"/>
        </w:r>
        <w:r>
          <w:rPr>
            <w:noProof/>
            <w:webHidden/>
          </w:rPr>
          <w:t>238</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en-IE" w:eastAsia="en-IE"/>
        </w:rPr>
      </w:pPr>
      <w:hyperlink w:anchor="_Toc16000845" w:history="1">
        <w:r>
          <w:rPr>
            <w:rStyle w:val="Hyperlink"/>
            <w:b/>
            <w:noProof/>
          </w:rPr>
          <w:t>ANNUAL INFO SHEET ON IMPLEMENTATION OF THE EU-TURKEY CUSTOMS UNION AND TRADE AGREEMENTS</w:t>
        </w:r>
        <w:r>
          <w:rPr>
            <w:noProof/>
            <w:webHidden/>
          </w:rPr>
          <w:tab/>
        </w:r>
        <w:r>
          <w:rPr>
            <w:noProof/>
            <w:webHidden/>
          </w:rPr>
          <w:fldChar w:fldCharType="begin"/>
        </w:r>
        <w:r>
          <w:rPr>
            <w:noProof/>
            <w:webHidden/>
          </w:rPr>
          <w:instrText xml:space="preserve"> PAGEREF _Toc16000845 \h </w:instrText>
        </w:r>
        <w:r>
          <w:rPr>
            <w:noProof/>
            <w:webHidden/>
          </w:rPr>
        </w:r>
        <w:r>
          <w:rPr>
            <w:noProof/>
            <w:webHidden/>
          </w:rPr>
          <w:fldChar w:fldCharType="separate"/>
        </w:r>
        <w:r>
          <w:rPr>
            <w:noProof/>
            <w:webHidden/>
          </w:rPr>
          <w:t>239</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846" w:history="1">
        <w:r>
          <w:rPr>
            <w:rStyle w:val="Hyperlink"/>
            <w:noProof/>
          </w:rPr>
          <w:t>1.</w:t>
        </w:r>
        <w:r>
          <w:rPr>
            <w:rFonts w:asciiTheme="minorHAnsi" w:eastAsiaTheme="minorEastAsia" w:hAnsiTheme="minorHAnsi" w:cstheme="minorBidi"/>
            <w:noProof/>
            <w:sz w:val="22"/>
            <w:szCs w:val="22"/>
            <w:lang w:val="en-IE" w:eastAsia="en-IE"/>
          </w:rPr>
          <w:tab/>
        </w:r>
        <w:r>
          <w:rPr>
            <w:rStyle w:val="Hyperlink"/>
            <w:noProof/>
          </w:rPr>
          <w:t>Evolution of trade</w:t>
        </w:r>
        <w:r>
          <w:rPr>
            <w:noProof/>
            <w:webHidden/>
          </w:rPr>
          <w:tab/>
        </w:r>
        <w:r>
          <w:rPr>
            <w:noProof/>
            <w:webHidden/>
          </w:rPr>
          <w:fldChar w:fldCharType="begin"/>
        </w:r>
        <w:r>
          <w:rPr>
            <w:noProof/>
            <w:webHidden/>
          </w:rPr>
          <w:instrText xml:space="preserve"> PAGEREF _Toc16000846 \h </w:instrText>
        </w:r>
        <w:r>
          <w:rPr>
            <w:noProof/>
            <w:webHidden/>
          </w:rPr>
        </w:r>
        <w:r>
          <w:rPr>
            <w:noProof/>
            <w:webHidden/>
          </w:rPr>
          <w:fldChar w:fldCharType="separate"/>
        </w:r>
        <w:r>
          <w:rPr>
            <w:noProof/>
            <w:webHidden/>
          </w:rPr>
          <w:t>239</w:t>
        </w:r>
        <w:r>
          <w:rPr>
            <w:noProof/>
            <w:webHidden/>
          </w:rPr>
          <w:fldChar w:fldCharType="end"/>
        </w:r>
      </w:hyperlink>
    </w:p>
    <w:p>
      <w:pPr>
        <w:pStyle w:val="TOC3"/>
        <w:tabs>
          <w:tab w:val="left" w:pos="1100"/>
          <w:tab w:val="right" w:leader="dot" w:pos="9062"/>
        </w:tabs>
        <w:rPr>
          <w:rFonts w:asciiTheme="minorHAnsi" w:eastAsiaTheme="minorEastAsia" w:hAnsiTheme="minorHAnsi" w:cstheme="minorBidi"/>
          <w:noProof/>
          <w:sz w:val="22"/>
          <w:szCs w:val="22"/>
          <w:lang w:val="en-IE" w:eastAsia="en-IE"/>
        </w:rPr>
      </w:pPr>
      <w:hyperlink w:anchor="_Toc16000847" w:history="1">
        <w:r>
          <w:rPr>
            <w:rStyle w:val="Hyperlink"/>
            <w:noProof/>
          </w:rPr>
          <w:t>1.1</w:t>
        </w:r>
        <w:r>
          <w:rPr>
            <w:rFonts w:asciiTheme="minorHAnsi" w:eastAsiaTheme="minorEastAsia" w:hAnsiTheme="minorHAnsi" w:cstheme="minorBidi"/>
            <w:noProof/>
            <w:sz w:val="22"/>
            <w:szCs w:val="22"/>
            <w:lang w:val="en-IE" w:eastAsia="en-IE"/>
          </w:rPr>
          <w:tab/>
        </w:r>
        <w:r>
          <w:rPr>
            <w:rStyle w:val="Hyperlink"/>
            <w:noProof/>
          </w:rPr>
          <w:t>Trade in Goods</w:t>
        </w:r>
        <w:r>
          <w:rPr>
            <w:noProof/>
            <w:webHidden/>
          </w:rPr>
          <w:tab/>
        </w:r>
        <w:r>
          <w:rPr>
            <w:noProof/>
            <w:webHidden/>
          </w:rPr>
          <w:fldChar w:fldCharType="begin"/>
        </w:r>
        <w:r>
          <w:rPr>
            <w:noProof/>
            <w:webHidden/>
          </w:rPr>
          <w:instrText xml:space="preserve"> PAGEREF _Toc16000847 \h </w:instrText>
        </w:r>
        <w:r>
          <w:rPr>
            <w:noProof/>
            <w:webHidden/>
          </w:rPr>
        </w:r>
        <w:r>
          <w:rPr>
            <w:noProof/>
            <w:webHidden/>
          </w:rPr>
          <w:fldChar w:fldCharType="separate"/>
        </w:r>
        <w:r>
          <w:rPr>
            <w:noProof/>
            <w:webHidden/>
          </w:rPr>
          <w:t>240</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848" w:history="1">
        <w:r>
          <w:rPr>
            <w:rStyle w:val="Hyperlink"/>
            <w:noProof/>
          </w:rPr>
          <w:t>1.2 Trade in agricultural goods</w:t>
        </w:r>
        <w:r>
          <w:rPr>
            <w:noProof/>
            <w:webHidden/>
          </w:rPr>
          <w:tab/>
        </w:r>
        <w:r>
          <w:rPr>
            <w:noProof/>
            <w:webHidden/>
          </w:rPr>
          <w:fldChar w:fldCharType="begin"/>
        </w:r>
        <w:r>
          <w:rPr>
            <w:noProof/>
            <w:webHidden/>
          </w:rPr>
          <w:instrText xml:space="preserve"> PAGEREF _Toc16000848 \h </w:instrText>
        </w:r>
        <w:r>
          <w:rPr>
            <w:noProof/>
            <w:webHidden/>
          </w:rPr>
        </w:r>
        <w:r>
          <w:rPr>
            <w:noProof/>
            <w:webHidden/>
          </w:rPr>
          <w:fldChar w:fldCharType="separate"/>
        </w:r>
        <w:r>
          <w:rPr>
            <w:noProof/>
            <w:webHidden/>
          </w:rPr>
          <w:t>240</w:t>
        </w:r>
        <w:r>
          <w:rPr>
            <w:noProof/>
            <w:webHidden/>
          </w:rPr>
          <w:fldChar w:fldCharType="end"/>
        </w:r>
      </w:hyperlink>
    </w:p>
    <w:p>
      <w:pPr>
        <w:pStyle w:val="TOC3"/>
        <w:tabs>
          <w:tab w:val="left" w:pos="1100"/>
          <w:tab w:val="right" w:leader="dot" w:pos="9062"/>
        </w:tabs>
        <w:rPr>
          <w:rFonts w:asciiTheme="minorHAnsi" w:eastAsiaTheme="minorEastAsia" w:hAnsiTheme="minorHAnsi" w:cstheme="minorBidi"/>
          <w:noProof/>
          <w:sz w:val="22"/>
          <w:szCs w:val="22"/>
          <w:lang w:val="en-IE" w:eastAsia="en-IE"/>
        </w:rPr>
      </w:pPr>
      <w:hyperlink w:anchor="_Toc16000849" w:history="1">
        <w:r>
          <w:rPr>
            <w:rStyle w:val="Hyperlink"/>
            <w:noProof/>
          </w:rPr>
          <w:t>1.3</w:t>
        </w:r>
        <w:r>
          <w:rPr>
            <w:rFonts w:asciiTheme="minorHAnsi" w:eastAsiaTheme="minorEastAsia" w:hAnsiTheme="minorHAnsi" w:cstheme="minorBidi"/>
            <w:noProof/>
            <w:sz w:val="22"/>
            <w:szCs w:val="22"/>
            <w:lang w:val="en-IE" w:eastAsia="en-IE"/>
          </w:rPr>
          <w:tab/>
        </w:r>
        <w:r>
          <w:rPr>
            <w:rStyle w:val="Hyperlink"/>
            <w:noProof/>
          </w:rPr>
          <w:t>Trade in Services and Foreign Direct investment (FDIs)</w:t>
        </w:r>
        <w:r>
          <w:rPr>
            <w:noProof/>
            <w:webHidden/>
          </w:rPr>
          <w:tab/>
        </w:r>
        <w:r>
          <w:rPr>
            <w:noProof/>
            <w:webHidden/>
          </w:rPr>
          <w:fldChar w:fldCharType="begin"/>
        </w:r>
        <w:r>
          <w:rPr>
            <w:noProof/>
            <w:webHidden/>
          </w:rPr>
          <w:instrText xml:space="preserve"> PAGEREF _Toc16000849 \h </w:instrText>
        </w:r>
        <w:r>
          <w:rPr>
            <w:noProof/>
            <w:webHidden/>
          </w:rPr>
        </w:r>
        <w:r>
          <w:rPr>
            <w:noProof/>
            <w:webHidden/>
          </w:rPr>
          <w:fldChar w:fldCharType="separate"/>
        </w:r>
        <w:r>
          <w:rPr>
            <w:noProof/>
            <w:webHidden/>
          </w:rPr>
          <w:t>240</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850" w:history="1">
        <w:r>
          <w:rPr>
            <w:rStyle w:val="Hyperlink"/>
            <w:noProof/>
          </w:rPr>
          <w:t>2</w:t>
        </w:r>
        <w:r>
          <w:rPr>
            <w:rFonts w:asciiTheme="minorHAnsi" w:eastAsiaTheme="minorEastAsia" w:hAnsiTheme="minorHAnsi" w:cstheme="minorBidi"/>
            <w:noProof/>
            <w:sz w:val="22"/>
            <w:szCs w:val="22"/>
            <w:lang w:val="en-IE" w:eastAsia="en-IE"/>
          </w:rPr>
          <w:tab/>
        </w:r>
        <w:r>
          <w:rPr>
            <w:rStyle w:val="Hyperlink"/>
            <w:noProof/>
          </w:rPr>
          <w:t>Issues addressed in the Committee Meetings</w:t>
        </w:r>
        <w:r>
          <w:rPr>
            <w:noProof/>
            <w:webHidden/>
          </w:rPr>
          <w:tab/>
        </w:r>
        <w:r>
          <w:rPr>
            <w:noProof/>
            <w:webHidden/>
          </w:rPr>
          <w:fldChar w:fldCharType="begin"/>
        </w:r>
        <w:r>
          <w:rPr>
            <w:noProof/>
            <w:webHidden/>
          </w:rPr>
          <w:instrText xml:space="preserve"> PAGEREF _Toc16000850 \h </w:instrText>
        </w:r>
        <w:r>
          <w:rPr>
            <w:noProof/>
            <w:webHidden/>
          </w:rPr>
        </w:r>
        <w:r>
          <w:rPr>
            <w:noProof/>
            <w:webHidden/>
          </w:rPr>
          <w:fldChar w:fldCharType="separate"/>
        </w:r>
        <w:r>
          <w:rPr>
            <w:noProof/>
            <w:webHidden/>
          </w:rPr>
          <w:t>241</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851" w:history="1">
        <w:r>
          <w:rPr>
            <w:rStyle w:val="Hyperlink"/>
            <w:noProof/>
          </w:rPr>
          <w:t>3</w:t>
        </w:r>
        <w:r>
          <w:rPr>
            <w:rFonts w:asciiTheme="minorHAnsi" w:eastAsiaTheme="minorEastAsia" w:hAnsiTheme="minorHAnsi" w:cstheme="minorBidi"/>
            <w:noProof/>
            <w:sz w:val="22"/>
            <w:szCs w:val="22"/>
            <w:lang w:val="en-IE" w:eastAsia="en-IE"/>
          </w:rPr>
          <w:tab/>
        </w:r>
        <w:r>
          <w:rPr>
            <w:rStyle w:val="Hyperlink"/>
            <w:noProof/>
          </w:rPr>
          <w:t>Specific areas of importance</w:t>
        </w:r>
        <w:r>
          <w:rPr>
            <w:noProof/>
            <w:webHidden/>
          </w:rPr>
          <w:tab/>
        </w:r>
        <w:r>
          <w:rPr>
            <w:noProof/>
            <w:webHidden/>
          </w:rPr>
          <w:fldChar w:fldCharType="begin"/>
        </w:r>
        <w:r>
          <w:rPr>
            <w:noProof/>
            <w:webHidden/>
          </w:rPr>
          <w:instrText xml:space="preserve"> PAGEREF _Toc16000851 \h </w:instrText>
        </w:r>
        <w:r>
          <w:rPr>
            <w:noProof/>
            <w:webHidden/>
          </w:rPr>
        </w:r>
        <w:r>
          <w:rPr>
            <w:noProof/>
            <w:webHidden/>
          </w:rPr>
          <w:fldChar w:fldCharType="separate"/>
        </w:r>
        <w:r>
          <w:rPr>
            <w:noProof/>
            <w:webHidden/>
          </w:rPr>
          <w:t>242</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852" w:history="1">
        <w:r>
          <w:rPr>
            <w:rStyle w:val="Hyperlink"/>
            <w:noProof/>
          </w:rPr>
          <w:t>4</w:t>
        </w:r>
        <w:r>
          <w:rPr>
            <w:rFonts w:asciiTheme="minorHAnsi" w:eastAsiaTheme="minorEastAsia" w:hAnsiTheme="minorHAnsi" w:cstheme="minorBidi"/>
            <w:noProof/>
            <w:sz w:val="22"/>
            <w:szCs w:val="22"/>
            <w:lang w:val="en-IE" w:eastAsia="en-IE"/>
          </w:rPr>
          <w:tab/>
        </w:r>
        <w:r>
          <w:rPr>
            <w:rStyle w:val="Hyperlink"/>
            <w:noProof/>
          </w:rPr>
          <w:t>Progress made, main open issues and follow-up actions</w:t>
        </w:r>
        <w:r>
          <w:rPr>
            <w:noProof/>
            <w:webHidden/>
          </w:rPr>
          <w:tab/>
        </w:r>
        <w:r>
          <w:rPr>
            <w:noProof/>
            <w:webHidden/>
          </w:rPr>
          <w:fldChar w:fldCharType="begin"/>
        </w:r>
        <w:r>
          <w:rPr>
            <w:noProof/>
            <w:webHidden/>
          </w:rPr>
          <w:instrText xml:space="preserve"> PAGEREF _Toc16000852 \h </w:instrText>
        </w:r>
        <w:r>
          <w:rPr>
            <w:noProof/>
            <w:webHidden/>
          </w:rPr>
        </w:r>
        <w:r>
          <w:rPr>
            <w:noProof/>
            <w:webHidden/>
          </w:rPr>
          <w:fldChar w:fldCharType="separate"/>
        </w:r>
        <w:r>
          <w:rPr>
            <w:noProof/>
            <w:webHidden/>
          </w:rPr>
          <w:t>242</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853" w:history="1">
        <w:r>
          <w:rPr>
            <w:rStyle w:val="Hyperlink"/>
            <w:noProof/>
          </w:rPr>
          <w:t>5</w:t>
        </w:r>
        <w:r>
          <w:rPr>
            <w:rFonts w:asciiTheme="minorHAnsi" w:eastAsiaTheme="minorEastAsia" w:hAnsiTheme="minorHAnsi" w:cstheme="minorBidi"/>
            <w:noProof/>
            <w:sz w:val="22"/>
            <w:szCs w:val="22"/>
            <w:lang w:val="en-IE" w:eastAsia="en-IE"/>
          </w:rPr>
          <w:tab/>
        </w:r>
        <w:r>
          <w:rPr>
            <w:rStyle w:val="Hyperlink"/>
            <w:noProof/>
          </w:rPr>
          <w:t>Conclusions and outlook</w:t>
        </w:r>
        <w:r>
          <w:rPr>
            <w:noProof/>
            <w:webHidden/>
          </w:rPr>
          <w:tab/>
        </w:r>
        <w:r>
          <w:rPr>
            <w:noProof/>
            <w:webHidden/>
          </w:rPr>
          <w:fldChar w:fldCharType="begin"/>
        </w:r>
        <w:r>
          <w:rPr>
            <w:noProof/>
            <w:webHidden/>
          </w:rPr>
          <w:instrText xml:space="preserve"> PAGEREF _Toc16000853 \h </w:instrText>
        </w:r>
        <w:r>
          <w:rPr>
            <w:noProof/>
            <w:webHidden/>
          </w:rPr>
        </w:r>
        <w:r>
          <w:rPr>
            <w:noProof/>
            <w:webHidden/>
          </w:rPr>
          <w:fldChar w:fldCharType="separate"/>
        </w:r>
        <w:r>
          <w:rPr>
            <w:noProof/>
            <w:webHidden/>
          </w:rPr>
          <w:t>243</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854" w:history="1">
        <w:r>
          <w:rPr>
            <w:rStyle w:val="Hyperlink"/>
            <w:noProof/>
          </w:rPr>
          <w:t>6.</w:t>
        </w:r>
        <w:r>
          <w:rPr>
            <w:rFonts w:asciiTheme="minorHAnsi" w:eastAsiaTheme="minorEastAsia" w:hAnsiTheme="minorHAnsi" w:cstheme="minorBidi"/>
            <w:noProof/>
            <w:sz w:val="22"/>
            <w:szCs w:val="22"/>
            <w:lang w:val="en-IE" w:eastAsia="en-IE"/>
          </w:rPr>
          <w:tab/>
        </w:r>
        <w:r>
          <w:rPr>
            <w:rStyle w:val="Hyperlink"/>
            <w:noProof/>
          </w:rPr>
          <w:t>Statistics</w:t>
        </w:r>
        <w:r>
          <w:rPr>
            <w:noProof/>
            <w:webHidden/>
          </w:rPr>
          <w:tab/>
        </w:r>
        <w:r>
          <w:rPr>
            <w:noProof/>
            <w:webHidden/>
          </w:rPr>
          <w:fldChar w:fldCharType="begin"/>
        </w:r>
        <w:r>
          <w:rPr>
            <w:noProof/>
            <w:webHidden/>
          </w:rPr>
          <w:instrText xml:space="preserve"> PAGEREF _Toc16000854 \h </w:instrText>
        </w:r>
        <w:r>
          <w:rPr>
            <w:noProof/>
            <w:webHidden/>
          </w:rPr>
        </w:r>
        <w:r>
          <w:rPr>
            <w:noProof/>
            <w:webHidden/>
          </w:rPr>
          <w:fldChar w:fldCharType="separate"/>
        </w:r>
        <w:r>
          <w:rPr>
            <w:noProof/>
            <w:webHidden/>
          </w:rPr>
          <w:t>243</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en-IE" w:eastAsia="en-IE"/>
        </w:rPr>
      </w:pPr>
      <w:hyperlink w:anchor="_Toc16000855" w:history="1">
        <w:r>
          <w:rPr>
            <w:rStyle w:val="Hyperlink"/>
            <w:b/>
            <w:noProof/>
          </w:rPr>
          <w:t>PART IV: ANNUAL INFO SHEET ON THE IMPLEMENTATION OF THE ECONOMIC PARTNERSHIP AGREEMENTS (EPAs) WITH AFRICAN, CARRIBEAN AND PACIFIC COUNTRIES</w:t>
        </w:r>
        <w:r>
          <w:rPr>
            <w:noProof/>
            <w:webHidden/>
          </w:rPr>
          <w:tab/>
        </w:r>
        <w:r>
          <w:rPr>
            <w:noProof/>
            <w:webHidden/>
          </w:rPr>
          <w:fldChar w:fldCharType="begin"/>
        </w:r>
        <w:r>
          <w:rPr>
            <w:noProof/>
            <w:webHidden/>
          </w:rPr>
          <w:instrText xml:space="preserve"> PAGEREF _Toc16000855 \h </w:instrText>
        </w:r>
        <w:r>
          <w:rPr>
            <w:noProof/>
            <w:webHidden/>
          </w:rPr>
        </w:r>
        <w:r>
          <w:rPr>
            <w:noProof/>
            <w:webHidden/>
          </w:rPr>
          <w:fldChar w:fldCharType="separate"/>
        </w:r>
        <w:r>
          <w:rPr>
            <w:noProof/>
            <w:webHidden/>
          </w:rPr>
          <w:t>245</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en-IE" w:eastAsia="en-IE"/>
        </w:rPr>
      </w:pPr>
      <w:hyperlink w:anchor="_Toc16000856" w:history="1">
        <w:r>
          <w:rPr>
            <w:rStyle w:val="Hyperlink"/>
            <w:b/>
            <w:noProof/>
          </w:rPr>
          <w:t>ANNUAL INFO SHEET ON THE IMPLEMENTATION OF THE ECONOMIC PARTNERSHIP AGREEMENT (EPA) BETWEEN THE EU AND THE SOUTHERN AFRICAN DEVELOPMENT COMMUNITY (SADC)</w:t>
        </w:r>
        <w:r>
          <w:rPr>
            <w:noProof/>
            <w:webHidden/>
          </w:rPr>
          <w:tab/>
        </w:r>
        <w:r>
          <w:rPr>
            <w:noProof/>
            <w:webHidden/>
          </w:rPr>
          <w:fldChar w:fldCharType="begin"/>
        </w:r>
        <w:r>
          <w:rPr>
            <w:noProof/>
            <w:webHidden/>
          </w:rPr>
          <w:instrText xml:space="preserve"> PAGEREF _Toc16000856 \h </w:instrText>
        </w:r>
        <w:r>
          <w:rPr>
            <w:noProof/>
            <w:webHidden/>
          </w:rPr>
        </w:r>
        <w:r>
          <w:rPr>
            <w:noProof/>
            <w:webHidden/>
          </w:rPr>
          <w:fldChar w:fldCharType="separate"/>
        </w:r>
        <w:r>
          <w:rPr>
            <w:noProof/>
            <w:webHidden/>
          </w:rPr>
          <w:t>246</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857" w:history="1">
        <w:r>
          <w:rPr>
            <w:rStyle w:val="Hyperlink"/>
            <w:noProof/>
          </w:rPr>
          <w:t>1.</w:t>
        </w:r>
        <w:r>
          <w:rPr>
            <w:rFonts w:asciiTheme="minorHAnsi" w:eastAsiaTheme="minorEastAsia" w:hAnsiTheme="minorHAnsi" w:cstheme="minorBidi"/>
            <w:noProof/>
            <w:sz w:val="22"/>
            <w:szCs w:val="22"/>
            <w:lang w:val="en-IE" w:eastAsia="en-IE"/>
          </w:rPr>
          <w:tab/>
        </w:r>
        <w:r>
          <w:rPr>
            <w:rStyle w:val="Hyperlink"/>
            <w:noProof/>
          </w:rPr>
          <w:t>Introduction</w:t>
        </w:r>
        <w:r>
          <w:rPr>
            <w:noProof/>
            <w:webHidden/>
          </w:rPr>
          <w:tab/>
        </w:r>
        <w:r>
          <w:rPr>
            <w:noProof/>
            <w:webHidden/>
          </w:rPr>
          <w:fldChar w:fldCharType="begin"/>
        </w:r>
        <w:r>
          <w:rPr>
            <w:noProof/>
            <w:webHidden/>
          </w:rPr>
          <w:instrText xml:space="preserve"> PAGEREF _Toc16000857 \h </w:instrText>
        </w:r>
        <w:r>
          <w:rPr>
            <w:noProof/>
            <w:webHidden/>
          </w:rPr>
        </w:r>
        <w:r>
          <w:rPr>
            <w:noProof/>
            <w:webHidden/>
          </w:rPr>
          <w:fldChar w:fldCharType="separate"/>
        </w:r>
        <w:r>
          <w:rPr>
            <w:noProof/>
            <w:webHidden/>
          </w:rPr>
          <w:t>246</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858" w:history="1">
        <w:r>
          <w:rPr>
            <w:rStyle w:val="Hyperlink"/>
            <w:noProof/>
          </w:rPr>
          <w:t>2.</w:t>
        </w:r>
        <w:r>
          <w:rPr>
            <w:rFonts w:asciiTheme="minorHAnsi" w:eastAsiaTheme="minorEastAsia" w:hAnsiTheme="minorHAnsi" w:cstheme="minorBidi"/>
            <w:noProof/>
            <w:sz w:val="22"/>
            <w:szCs w:val="22"/>
            <w:lang w:val="en-IE" w:eastAsia="en-IE"/>
          </w:rPr>
          <w:tab/>
        </w:r>
        <w:r>
          <w:rPr>
            <w:rStyle w:val="Hyperlink"/>
            <w:noProof/>
          </w:rPr>
          <w:t>Evolution of trade</w:t>
        </w:r>
        <w:r>
          <w:rPr>
            <w:noProof/>
            <w:webHidden/>
          </w:rPr>
          <w:tab/>
        </w:r>
        <w:r>
          <w:rPr>
            <w:noProof/>
            <w:webHidden/>
          </w:rPr>
          <w:fldChar w:fldCharType="begin"/>
        </w:r>
        <w:r>
          <w:rPr>
            <w:noProof/>
            <w:webHidden/>
          </w:rPr>
          <w:instrText xml:space="preserve"> PAGEREF _Toc16000858 \h </w:instrText>
        </w:r>
        <w:r>
          <w:rPr>
            <w:noProof/>
            <w:webHidden/>
          </w:rPr>
        </w:r>
        <w:r>
          <w:rPr>
            <w:noProof/>
            <w:webHidden/>
          </w:rPr>
          <w:fldChar w:fldCharType="separate"/>
        </w:r>
        <w:r>
          <w:rPr>
            <w:noProof/>
            <w:webHidden/>
          </w:rPr>
          <w:t>246</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859" w:history="1">
        <w:r>
          <w:rPr>
            <w:rStyle w:val="Hyperlink"/>
            <w:noProof/>
          </w:rPr>
          <w:t>2.1 Trade in goods</w:t>
        </w:r>
        <w:r>
          <w:rPr>
            <w:noProof/>
            <w:webHidden/>
          </w:rPr>
          <w:tab/>
        </w:r>
        <w:r>
          <w:rPr>
            <w:noProof/>
            <w:webHidden/>
          </w:rPr>
          <w:fldChar w:fldCharType="begin"/>
        </w:r>
        <w:r>
          <w:rPr>
            <w:noProof/>
            <w:webHidden/>
          </w:rPr>
          <w:instrText xml:space="preserve"> PAGEREF _Toc16000859 \h </w:instrText>
        </w:r>
        <w:r>
          <w:rPr>
            <w:noProof/>
            <w:webHidden/>
          </w:rPr>
        </w:r>
        <w:r>
          <w:rPr>
            <w:noProof/>
            <w:webHidden/>
          </w:rPr>
          <w:fldChar w:fldCharType="separate"/>
        </w:r>
        <w:r>
          <w:rPr>
            <w:noProof/>
            <w:webHidden/>
          </w:rPr>
          <w:t>246</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860" w:history="1">
        <w:r>
          <w:rPr>
            <w:rStyle w:val="Hyperlink"/>
            <w:noProof/>
          </w:rPr>
          <w:t>2.2 Trade in services</w:t>
        </w:r>
        <w:r>
          <w:rPr>
            <w:noProof/>
            <w:webHidden/>
          </w:rPr>
          <w:tab/>
        </w:r>
        <w:r>
          <w:rPr>
            <w:noProof/>
            <w:webHidden/>
          </w:rPr>
          <w:fldChar w:fldCharType="begin"/>
        </w:r>
        <w:r>
          <w:rPr>
            <w:noProof/>
            <w:webHidden/>
          </w:rPr>
          <w:instrText xml:space="preserve"> PAGEREF _Toc16000860 \h </w:instrText>
        </w:r>
        <w:r>
          <w:rPr>
            <w:noProof/>
            <w:webHidden/>
          </w:rPr>
        </w:r>
        <w:r>
          <w:rPr>
            <w:noProof/>
            <w:webHidden/>
          </w:rPr>
          <w:fldChar w:fldCharType="separate"/>
        </w:r>
        <w:r>
          <w:rPr>
            <w:noProof/>
            <w:webHidden/>
          </w:rPr>
          <w:t>250</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861" w:history="1">
        <w:r>
          <w:rPr>
            <w:rStyle w:val="Hyperlink"/>
            <w:noProof/>
          </w:rPr>
          <w:t>2.3 Foreign Direct Investment (FDI)</w:t>
        </w:r>
        <w:r>
          <w:rPr>
            <w:noProof/>
            <w:webHidden/>
          </w:rPr>
          <w:tab/>
        </w:r>
        <w:r>
          <w:rPr>
            <w:noProof/>
            <w:webHidden/>
          </w:rPr>
          <w:fldChar w:fldCharType="begin"/>
        </w:r>
        <w:r>
          <w:rPr>
            <w:noProof/>
            <w:webHidden/>
          </w:rPr>
          <w:instrText xml:space="preserve"> PAGEREF _Toc16000861 \h </w:instrText>
        </w:r>
        <w:r>
          <w:rPr>
            <w:noProof/>
            <w:webHidden/>
          </w:rPr>
        </w:r>
        <w:r>
          <w:rPr>
            <w:noProof/>
            <w:webHidden/>
          </w:rPr>
          <w:fldChar w:fldCharType="separate"/>
        </w:r>
        <w:r>
          <w:rPr>
            <w:noProof/>
            <w:webHidden/>
          </w:rPr>
          <w:t>251</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862" w:history="1">
        <w:r>
          <w:rPr>
            <w:rStyle w:val="Hyperlink"/>
            <w:noProof/>
          </w:rPr>
          <w:t>3.</w:t>
        </w:r>
        <w:r>
          <w:rPr>
            <w:rFonts w:asciiTheme="minorHAnsi" w:eastAsiaTheme="minorEastAsia" w:hAnsiTheme="minorHAnsi" w:cstheme="minorBidi"/>
            <w:noProof/>
            <w:sz w:val="22"/>
            <w:szCs w:val="22"/>
            <w:lang w:val="en-IE" w:eastAsia="en-IE"/>
          </w:rPr>
          <w:tab/>
        </w:r>
        <w:r>
          <w:rPr>
            <w:rStyle w:val="Hyperlink"/>
            <w:noProof/>
          </w:rPr>
          <w:t>Issues addressed in the annual EPA Committee meeting</w:t>
        </w:r>
        <w:r>
          <w:rPr>
            <w:noProof/>
            <w:webHidden/>
          </w:rPr>
          <w:tab/>
        </w:r>
        <w:r>
          <w:rPr>
            <w:noProof/>
            <w:webHidden/>
          </w:rPr>
          <w:fldChar w:fldCharType="begin"/>
        </w:r>
        <w:r>
          <w:rPr>
            <w:noProof/>
            <w:webHidden/>
          </w:rPr>
          <w:instrText xml:space="preserve"> PAGEREF _Toc16000862 \h </w:instrText>
        </w:r>
        <w:r>
          <w:rPr>
            <w:noProof/>
            <w:webHidden/>
          </w:rPr>
        </w:r>
        <w:r>
          <w:rPr>
            <w:noProof/>
            <w:webHidden/>
          </w:rPr>
          <w:fldChar w:fldCharType="separate"/>
        </w:r>
        <w:r>
          <w:rPr>
            <w:noProof/>
            <w:webHidden/>
          </w:rPr>
          <w:t>253</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863" w:history="1">
        <w:r>
          <w:rPr>
            <w:rStyle w:val="Hyperlink"/>
            <w:noProof/>
          </w:rPr>
          <w:t>4.</w:t>
        </w:r>
        <w:r>
          <w:rPr>
            <w:rFonts w:asciiTheme="minorHAnsi" w:eastAsiaTheme="minorEastAsia" w:hAnsiTheme="minorHAnsi" w:cstheme="minorBidi"/>
            <w:noProof/>
            <w:sz w:val="22"/>
            <w:szCs w:val="22"/>
            <w:lang w:val="en-IE" w:eastAsia="en-IE"/>
          </w:rPr>
          <w:tab/>
        </w:r>
        <w:r>
          <w:rPr>
            <w:rStyle w:val="Hyperlink"/>
            <w:noProof/>
          </w:rPr>
          <w:t>Specific areas of importance</w:t>
        </w:r>
        <w:r>
          <w:rPr>
            <w:noProof/>
            <w:webHidden/>
          </w:rPr>
          <w:tab/>
        </w:r>
        <w:r>
          <w:rPr>
            <w:noProof/>
            <w:webHidden/>
          </w:rPr>
          <w:fldChar w:fldCharType="begin"/>
        </w:r>
        <w:r>
          <w:rPr>
            <w:noProof/>
            <w:webHidden/>
          </w:rPr>
          <w:instrText xml:space="preserve"> PAGEREF _Toc16000863 \h </w:instrText>
        </w:r>
        <w:r>
          <w:rPr>
            <w:noProof/>
            <w:webHidden/>
          </w:rPr>
        </w:r>
        <w:r>
          <w:rPr>
            <w:noProof/>
            <w:webHidden/>
          </w:rPr>
          <w:fldChar w:fldCharType="separate"/>
        </w:r>
        <w:r>
          <w:rPr>
            <w:noProof/>
            <w:webHidden/>
          </w:rPr>
          <w:t>253</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864" w:history="1">
        <w:r>
          <w:rPr>
            <w:rStyle w:val="Hyperlink"/>
            <w:noProof/>
          </w:rPr>
          <w:t>5.</w:t>
        </w:r>
        <w:r>
          <w:rPr>
            <w:rFonts w:asciiTheme="minorHAnsi" w:eastAsiaTheme="minorEastAsia" w:hAnsiTheme="minorHAnsi" w:cstheme="minorBidi"/>
            <w:noProof/>
            <w:sz w:val="22"/>
            <w:szCs w:val="22"/>
            <w:lang w:val="en-IE" w:eastAsia="en-IE"/>
          </w:rPr>
          <w:tab/>
        </w:r>
        <w:r>
          <w:rPr>
            <w:rStyle w:val="Hyperlink"/>
            <w:noProof/>
          </w:rPr>
          <w:t>Progress made, main open issues and follow-up actions</w:t>
        </w:r>
        <w:r>
          <w:rPr>
            <w:noProof/>
            <w:webHidden/>
          </w:rPr>
          <w:tab/>
        </w:r>
        <w:r>
          <w:rPr>
            <w:noProof/>
            <w:webHidden/>
          </w:rPr>
          <w:fldChar w:fldCharType="begin"/>
        </w:r>
        <w:r>
          <w:rPr>
            <w:noProof/>
            <w:webHidden/>
          </w:rPr>
          <w:instrText xml:space="preserve"> PAGEREF _Toc16000864 \h </w:instrText>
        </w:r>
        <w:r>
          <w:rPr>
            <w:noProof/>
            <w:webHidden/>
          </w:rPr>
        </w:r>
        <w:r>
          <w:rPr>
            <w:noProof/>
            <w:webHidden/>
          </w:rPr>
          <w:fldChar w:fldCharType="separate"/>
        </w:r>
        <w:r>
          <w:rPr>
            <w:noProof/>
            <w:webHidden/>
          </w:rPr>
          <w:t>255</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865" w:history="1">
        <w:r>
          <w:rPr>
            <w:rStyle w:val="Hyperlink"/>
            <w:noProof/>
          </w:rPr>
          <w:t>6.</w:t>
        </w:r>
        <w:r>
          <w:rPr>
            <w:rFonts w:asciiTheme="minorHAnsi" w:eastAsiaTheme="minorEastAsia" w:hAnsiTheme="minorHAnsi" w:cstheme="minorBidi"/>
            <w:noProof/>
            <w:sz w:val="22"/>
            <w:szCs w:val="22"/>
            <w:lang w:val="en-IE" w:eastAsia="en-IE"/>
          </w:rPr>
          <w:tab/>
        </w:r>
        <w:r>
          <w:rPr>
            <w:rStyle w:val="Hyperlink"/>
            <w:noProof/>
          </w:rPr>
          <w:t>Conclusions and outlook</w:t>
        </w:r>
        <w:r>
          <w:rPr>
            <w:noProof/>
            <w:webHidden/>
          </w:rPr>
          <w:tab/>
        </w:r>
        <w:r>
          <w:rPr>
            <w:noProof/>
            <w:webHidden/>
          </w:rPr>
          <w:fldChar w:fldCharType="begin"/>
        </w:r>
        <w:r>
          <w:rPr>
            <w:noProof/>
            <w:webHidden/>
          </w:rPr>
          <w:instrText xml:space="preserve"> PAGEREF _Toc16000865 \h </w:instrText>
        </w:r>
        <w:r>
          <w:rPr>
            <w:noProof/>
            <w:webHidden/>
          </w:rPr>
        </w:r>
        <w:r>
          <w:rPr>
            <w:noProof/>
            <w:webHidden/>
          </w:rPr>
          <w:fldChar w:fldCharType="separate"/>
        </w:r>
        <w:r>
          <w:rPr>
            <w:noProof/>
            <w:webHidden/>
          </w:rPr>
          <w:t>255</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866" w:history="1">
        <w:r>
          <w:rPr>
            <w:rStyle w:val="Hyperlink"/>
            <w:noProof/>
          </w:rPr>
          <w:t>7.</w:t>
        </w:r>
        <w:r>
          <w:rPr>
            <w:rFonts w:asciiTheme="minorHAnsi" w:eastAsiaTheme="minorEastAsia" w:hAnsiTheme="minorHAnsi" w:cstheme="minorBidi"/>
            <w:noProof/>
            <w:sz w:val="22"/>
            <w:szCs w:val="22"/>
            <w:lang w:val="en-IE" w:eastAsia="en-IE"/>
          </w:rPr>
          <w:tab/>
        </w:r>
        <w:r>
          <w:rPr>
            <w:rStyle w:val="Hyperlink"/>
            <w:noProof/>
          </w:rPr>
          <w:t>Statistics</w:t>
        </w:r>
        <w:r>
          <w:rPr>
            <w:noProof/>
            <w:webHidden/>
          </w:rPr>
          <w:tab/>
        </w:r>
        <w:r>
          <w:rPr>
            <w:noProof/>
            <w:webHidden/>
          </w:rPr>
          <w:fldChar w:fldCharType="begin"/>
        </w:r>
        <w:r>
          <w:rPr>
            <w:noProof/>
            <w:webHidden/>
          </w:rPr>
          <w:instrText xml:space="preserve"> PAGEREF _Toc16000866 \h </w:instrText>
        </w:r>
        <w:r>
          <w:rPr>
            <w:noProof/>
            <w:webHidden/>
          </w:rPr>
        </w:r>
        <w:r>
          <w:rPr>
            <w:noProof/>
            <w:webHidden/>
          </w:rPr>
          <w:fldChar w:fldCharType="separate"/>
        </w:r>
        <w:r>
          <w:rPr>
            <w:noProof/>
            <w:webHidden/>
          </w:rPr>
          <w:t>256</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en-IE" w:eastAsia="en-IE"/>
        </w:rPr>
      </w:pPr>
      <w:hyperlink w:anchor="_Toc16000867" w:history="1">
        <w:r>
          <w:rPr>
            <w:rStyle w:val="Hyperlink"/>
            <w:b/>
            <w:noProof/>
          </w:rPr>
          <w:t>ANNUAL INFO SHEET ON THE IMPLEMENTATION OF THE INTERIM ECONOMIC PARTNERSHIP AGREEMENT BETWEEN THE EU AND EASTERN AND SOUTHERN AFRICAN STATES</w:t>
        </w:r>
        <w:r>
          <w:rPr>
            <w:noProof/>
            <w:webHidden/>
          </w:rPr>
          <w:tab/>
        </w:r>
        <w:r>
          <w:rPr>
            <w:noProof/>
            <w:webHidden/>
          </w:rPr>
          <w:fldChar w:fldCharType="begin"/>
        </w:r>
        <w:r>
          <w:rPr>
            <w:noProof/>
            <w:webHidden/>
          </w:rPr>
          <w:instrText xml:space="preserve"> PAGEREF _Toc16000867 \h </w:instrText>
        </w:r>
        <w:r>
          <w:rPr>
            <w:noProof/>
            <w:webHidden/>
          </w:rPr>
        </w:r>
        <w:r>
          <w:rPr>
            <w:noProof/>
            <w:webHidden/>
          </w:rPr>
          <w:fldChar w:fldCharType="separate"/>
        </w:r>
        <w:r>
          <w:rPr>
            <w:noProof/>
            <w:webHidden/>
          </w:rPr>
          <w:t>263</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868" w:history="1">
        <w:r>
          <w:rPr>
            <w:rStyle w:val="Hyperlink"/>
            <w:noProof/>
          </w:rPr>
          <w:t>1.</w:t>
        </w:r>
        <w:r>
          <w:rPr>
            <w:rFonts w:asciiTheme="minorHAnsi" w:eastAsiaTheme="minorEastAsia" w:hAnsiTheme="minorHAnsi" w:cstheme="minorBidi"/>
            <w:noProof/>
            <w:sz w:val="22"/>
            <w:szCs w:val="22"/>
            <w:lang w:val="en-IE" w:eastAsia="en-IE"/>
          </w:rPr>
          <w:tab/>
        </w:r>
        <w:r>
          <w:rPr>
            <w:rStyle w:val="Hyperlink"/>
            <w:noProof/>
          </w:rPr>
          <w:t>Introduction</w:t>
        </w:r>
        <w:r>
          <w:rPr>
            <w:noProof/>
            <w:webHidden/>
          </w:rPr>
          <w:tab/>
        </w:r>
        <w:r>
          <w:rPr>
            <w:noProof/>
            <w:webHidden/>
          </w:rPr>
          <w:fldChar w:fldCharType="begin"/>
        </w:r>
        <w:r>
          <w:rPr>
            <w:noProof/>
            <w:webHidden/>
          </w:rPr>
          <w:instrText xml:space="preserve"> PAGEREF _Toc16000868 \h </w:instrText>
        </w:r>
        <w:r>
          <w:rPr>
            <w:noProof/>
            <w:webHidden/>
          </w:rPr>
        </w:r>
        <w:r>
          <w:rPr>
            <w:noProof/>
            <w:webHidden/>
          </w:rPr>
          <w:fldChar w:fldCharType="separate"/>
        </w:r>
        <w:r>
          <w:rPr>
            <w:noProof/>
            <w:webHidden/>
          </w:rPr>
          <w:t>263</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869" w:history="1">
        <w:r>
          <w:rPr>
            <w:rStyle w:val="Hyperlink"/>
            <w:noProof/>
          </w:rPr>
          <w:t>2.</w:t>
        </w:r>
        <w:r>
          <w:rPr>
            <w:rFonts w:asciiTheme="minorHAnsi" w:eastAsiaTheme="minorEastAsia" w:hAnsiTheme="minorHAnsi" w:cstheme="minorBidi"/>
            <w:noProof/>
            <w:sz w:val="22"/>
            <w:szCs w:val="22"/>
            <w:lang w:val="en-IE" w:eastAsia="en-IE"/>
          </w:rPr>
          <w:tab/>
        </w:r>
        <w:r>
          <w:rPr>
            <w:rStyle w:val="Hyperlink"/>
            <w:noProof/>
          </w:rPr>
          <w:t>Evolution of trade</w:t>
        </w:r>
        <w:r>
          <w:rPr>
            <w:noProof/>
            <w:webHidden/>
          </w:rPr>
          <w:tab/>
        </w:r>
        <w:r>
          <w:rPr>
            <w:noProof/>
            <w:webHidden/>
          </w:rPr>
          <w:fldChar w:fldCharType="begin"/>
        </w:r>
        <w:r>
          <w:rPr>
            <w:noProof/>
            <w:webHidden/>
          </w:rPr>
          <w:instrText xml:space="preserve"> PAGEREF _Toc16000869 \h </w:instrText>
        </w:r>
        <w:r>
          <w:rPr>
            <w:noProof/>
            <w:webHidden/>
          </w:rPr>
        </w:r>
        <w:r>
          <w:rPr>
            <w:noProof/>
            <w:webHidden/>
          </w:rPr>
          <w:fldChar w:fldCharType="separate"/>
        </w:r>
        <w:r>
          <w:rPr>
            <w:noProof/>
            <w:webHidden/>
          </w:rPr>
          <w:t>263</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870" w:history="1">
        <w:r>
          <w:rPr>
            <w:rStyle w:val="Hyperlink"/>
            <w:noProof/>
          </w:rPr>
          <w:t>2.1 Trade in Goods</w:t>
        </w:r>
        <w:r>
          <w:rPr>
            <w:noProof/>
            <w:webHidden/>
          </w:rPr>
          <w:tab/>
        </w:r>
        <w:r>
          <w:rPr>
            <w:noProof/>
            <w:webHidden/>
          </w:rPr>
          <w:fldChar w:fldCharType="begin"/>
        </w:r>
        <w:r>
          <w:rPr>
            <w:noProof/>
            <w:webHidden/>
          </w:rPr>
          <w:instrText xml:space="preserve"> PAGEREF _Toc16000870 \h </w:instrText>
        </w:r>
        <w:r>
          <w:rPr>
            <w:noProof/>
            <w:webHidden/>
          </w:rPr>
        </w:r>
        <w:r>
          <w:rPr>
            <w:noProof/>
            <w:webHidden/>
          </w:rPr>
          <w:fldChar w:fldCharType="separate"/>
        </w:r>
        <w:r>
          <w:rPr>
            <w:noProof/>
            <w:webHidden/>
          </w:rPr>
          <w:t>263</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871" w:history="1">
        <w:r>
          <w:rPr>
            <w:rStyle w:val="Hyperlink"/>
            <w:noProof/>
          </w:rPr>
          <w:t>2.2 Trade in Services</w:t>
        </w:r>
        <w:r>
          <w:rPr>
            <w:noProof/>
            <w:webHidden/>
          </w:rPr>
          <w:tab/>
        </w:r>
        <w:r>
          <w:rPr>
            <w:noProof/>
            <w:webHidden/>
          </w:rPr>
          <w:fldChar w:fldCharType="begin"/>
        </w:r>
        <w:r>
          <w:rPr>
            <w:noProof/>
            <w:webHidden/>
          </w:rPr>
          <w:instrText xml:space="preserve"> PAGEREF _Toc16000871 \h </w:instrText>
        </w:r>
        <w:r>
          <w:rPr>
            <w:noProof/>
            <w:webHidden/>
          </w:rPr>
        </w:r>
        <w:r>
          <w:rPr>
            <w:noProof/>
            <w:webHidden/>
          </w:rPr>
          <w:fldChar w:fldCharType="separate"/>
        </w:r>
        <w:r>
          <w:rPr>
            <w:noProof/>
            <w:webHidden/>
          </w:rPr>
          <w:t>266</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872" w:history="1">
        <w:r>
          <w:rPr>
            <w:rStyle w:val="Hyperlink"/>
            <w:noProof/>
          </w:rPr>
          <w:t>2.3 Foreign Direct investment (FDI)</w:t>
        </w:r>
        <w:r>
          <w:rPr>
            <w:noProof/>
            <w:webHidden/>
          </w:rPr>
          <w:tab/>
        </w:r>
        <w:r>
          <w:rPr>
            <w:noProof/>
            <w:webHidden/>
          </w:rPr>
          <w:fldChar w:fldCharType="begin"/>
        </w:r>
        <w:r>
          <w:rPr>
            <w:noProof/>
            <w:webHidden/>
          </w:rPr>
          <w:instrText xml:space="preserve"> PAGEREF _Toc16000872 \h </w:instrText>
        </w:r>
        <w:r>
          <w:rPr>
            <w:noProof/>
            <w:webHidden/>
          </w:rPr>
        </w:r>
        <w:r>
          <w:rPr>
            <w:noProof/>
            <w:webHidden/>
          </w:rPr>
          <w:fldChar w:fldCharType="separate"/>
        </w:r>
        <w:r>
          <w:rPr>
            <w:noProof/>
            <w:webHidden/>
          </w:rPr>
          <w:t>267</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873" w:history="1">
        <w:r>
          <w:rPr>
            <w:rStyle w:val="Hyperlink"/>
            <w:noProof/>
          </w:rPr>
          <w:t>3.</w:t>
        </w:r>
        <w:r>
          <w:rPr>
            <w:rFonts w:asciiTheme="minorHAnsi" w:eastAsiaTheme="minorEastAsia" w:hAnsiTheme="minorHAnsi" w:cstheme="minorBidi"/>
            <w:noProof/>
            <w:sz w:val="22"/>
            <w:szCs w:val="22"/>
            <w:lang w:val="en-IE" w:eastAsia="en-IE"/>
          </w:rPr>
          <w:tab/>
        </w:r>
        <w:r>
          <w:rPr>
            <w:rStyle w:val="Hyperlink"/>
            <w:noProof/>
          </w:rPr>
          <w:t>Issues addressed in the annual EPA Committee Meeting</w:t>
        </w:r>
        <w:r>
          <w:rPr>
            <w:noProof/>
            <w:webHidden/>
          </w:rPr>
          <w:tab/>
        </w:r>
        <w:r>
          <w:rPr>
            <w:noProof/>
            <w:webHidden/>
          </w:rPr>
          <w:fldChar w:fldCharType="begin"/>
        </w:r>
        <w:r>
          <w:rPr>
            <w:noProof/>
            <w:webHidden/>
          </w:rPr>
          <w:instrText xml:space="preserve"> PAGEREF _Toc16000873 \h </w:instrText>
        </w:r>
        <w:r>
          <w:rPr>
            <w:noProof/>
            <w:webHidden/>
          </w:rPr>
        </w:r>
        <w:r>
          <w:rPr>
            <w:noProof/>
            <w:webHidden/>
          </w:rPr>
          <w:fldChar w:fldCharType="separate"/>
        </w:r>
        <w:r>
          <w:rPr>
            <w:noProof/>
            <w:webHidden/>
          </w:rPr>
          <w:t>267</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874" w:history="1">
        <w:r>
          <w:rPr>
            <w:rStyle w:val="Hyperlink"/>
            <w:noProof/>
          </w:rPr>
          <w:t>4.</w:t>
        </w:r>
        <w:r>
          <w:rPr>
            <w:rFonts w:asciiTheme="minorHAnsi" w:eastAsiaTheme="minorEastAsia" w:hAnsiTheme="minorHAnsi" w:cstheme="minorBidi"/>
            <w:noProof/>
            <w:sz w:val="22"/>
            <w:szCs w:val="22"/>
            <w:lang w:val="en-IE" w:eastAsia="en-IE"/>
          </w:rPr>
          <w:tab/>
        </w:r>
        <w:r>
          <w:rPr>
            <w:rStyle w:val="Hyperlink"/>
            <w:noProof/>
          </w:rPr>
          <w:t>Development Cooperation</w:t>
        </w:r>
        <w:r>
          <w:rPr>
            <w:noProof/>
            <w:webHidden/>
          </w:rPr>
          <w:tab/>
        </w:r>
        <w:r>
          <w:rPr>
            <w:noProof/>
            <w:webHidden/>
          </w:rPr>
          <w:fldChar w:fldCharType="begin"/>
        </w:r>
        <w:r>
          <w:rPr>
            <w:noProof/>
            <w:webHidden/>
          </w:rPr>
          <w:instrText xml:space="preserve"> PAGEREF _Toc16000874 \h </w:instrText>
        </w:r>
        <w:r>
          <w:rPr>
            <w:noProof/>
            <w:webHidden/>
          </w:rPr>
        </w:r>
        <w:r>
          <w:rPr>
            <w:noProof/>
            <w:webHidden/>
          </w:rPr>
          <w:fldChar w:fldCharType="separate"/>
        </w:r>
        <w:r>
          <w:rPr>
            <w:noProof/>
            <w:webHidden/>
          </w:rPr>
          <w:t>268</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875" w:history="1">
        <w:r>
          <w:rPr>
            <w:rStyle w:val="Hyperlink"/>
            <w:noProof/>
          </w:rPr>
          <w:t>5.</w:t>
        </w:r>
        <w:r>
          <w:rPr>
            <w:rFonts w:asciiTheme="minorHAnsi" w:eastAsiaTheme="minorEastAsia" w:hAnsiTheme="minorHAnsi" w:cstheme="minorBidi"/>
            <w:noProof/>
            <w:sz w:val="22"/>
            <w:szCs w:val="22"/>
            <w:lang w:val="en-IE" w:eastAsia="en-IE"/>
          </w:rPr>
          <w:tab/>
        </w:r>
        <w:r>
          <w:rPr>
            <w:rStyle w:val="Hyperlink"/>
            <w:noProof/>
          </w:rPr>
          <w:t>Progress made, main open issues and follow-up actions</w:t>
        </w:r>
        <w:r>
          <w:rPr>
            <w:noProof/>
            <w:webHidden/>
          </w:rPr>
          <w:tab/>
        </w:r>
        <w:r>
          <w:rPr>
            <w:noProof/>
            <w:webHidden/>
          </w:rPr>
          <w:fldChar w:fldCharType="begin"/>
        </w:r>
        <w:r>
          <w:rPr>
            <w:noProof/>
            <w:webHidden/>
          </w:rPr>
          <w:instrText xml:space="preserve"> PAGEREF _Toc16000875 \h </w:instrText>
        </w:r>
        <w:r>
          <w:rPr>
            <w:noProof/>
            <w:webHidden/>
          </w:rPr>
        </w:r>
        <w:r>
          <w:rPr>
            <w:noProof/>
            <w:webHidden/>
          </w:rPr>
          <w:fldChar w:fldCharType="separate"/>
        </w:r>
        <w:r>
          <w:rPr>
            <w:noProof/>
            <w:webHidden/>
          </w:rPr>
          <w:t>269</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876" w:history="1">
        <w:r>
          <w:rPr>
            <w:rStyle w:val="Hyperlink"/>
            <w:noProof/>
          </w:rPr>
          <w:t>6.</w:t>
        </w:r>
        <w:r>
          <w:rPr>
            <w:rFonts w:asciiTheme="minorHAnsi" w:eastAsiaTheme="minorEastAsia" w:hAnsiTheme="minorHAnsi" w:cstheme="minorBidi"/>
            <w:noProof/>
            <w:sz w:val="22"/>
            <w:szCs w:val="22"/>
            <w:lang w:val="en-IE" w:eastAsia="en-IE"/>
          </w:rPr>
          <w:tab/>
        </w:r>
        <w:r>
          <w:rPr>
            <w:rStyle w:val="Hyperlink"/>
            <w:noProof/>
          </w:rPr>
          <w:t>Conclusions and outlook</w:t>
        </w:r>
        <w:r>
          <w:rPr>
            <w:noProof/>
            <w:webHidden/>
          </w:rPr>
          <w:tab/>
        </w:r>
        <w:r>
          <w:rPr>
            <w:noProof/>
            <w:webHidden/>
          </w:rPr>
          <w:fldChar w:fldCharType="begin"/>
        </w:r>
        <w:r>
          <w:rPr>
            <w:noProof/>
            <w:webHidden/>
          </w:rPr>
          <w:instrText xml:space="preserve"> PAGEREF _Toc16000876 \h </w:instrText>
        </w:r>
        <w:r>
          <w:rPr>
            <w:noProof/>
            <w:webHidden/>
          </w:rPr>
        </w:r>
        <w:r>
          <w:rPr>
            <w:noProof/>
            <w:webHidden/>
          </w:rPr>
          <w:fldChar w:fldCharType="separate"/>
        </w:r>
        <w:r>
          <w:rPr>
            <w:noProof/>
            <w:webHidden/>
          </w:rPr>
          <w:t>270</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877" w:history="1">
        <w:r>
          <w:rPr>
            <w:rStyle w:val="Hyperlink"/>
            <w:noProof/>
          </w:rPr>
          <w:t>7.</w:t>
        </w:r>
        <w:r>
          <w:rPr>
            <w:rFonts w:asciiTheme="minorHAnsi" w:eastAsiaTheme="minorEastAsia" w:hAnsiTheme="minorHAnsi" w:cstheme="minorBidi"/>
            <w:noProof/>
            <w:sz w:val="22"/>
            <w:szCs w:val="22"/>
            <w:lang w:val="en-IE" w:eastAsia="en-IE"/>
          </w:rPr>
          <w:tab/>
        </w:r>
        <w:r>
          <w:rPr>
            <w:rStyle w:val="Hyperlink"/>
            <w:noProof/>
          </w:rPr>
          <w:t>Statistics</w:t>
        </w:r>
        <w:r>
          <w:rPr>
            <w:noProof/>
            <w:webHidden/>
          </w:rPr>
          <w:tab/>
        </w:r>
        <w:r>
          <w:rPr>
            <w:noProof/>
            <w:webHidden/>
          </w:rPr>
          <w:fldChar w:fldCharType="begin"/>
        </w:r>
        <w:r>
          <w:rPr>
            <w:noProof/>
            <w:webHidden/>
          </w:rPr>
          <w:instrText xml:space="preserve"> PAGEREF _Toc16000877 \h </w:instrText>
        </w:r>
        <w:r>
          <w:rPr>
            <w:noProof/>
            <w:webHidden/>
          </w:rPr>
        </w:r>
        <w:r>
          <w:rPr>
            <w:noProof/>
            <w:webHidden/>
          </w:rPr>
          <w:fldChar w:fldCharType="separate"/>
        </w:r>
        <w:r>
          <w:rPr>
            <w:noProof/>
            <w:webHidden/>
          </w:rPr>
          <w:t>270</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en-IE" w:eastAsia="en-IE"/>
        </w:rPr>
      </w:pPr>
      <w:hyperlink w:anchor="_Toc16000878" w:history="1">
        <w:r>
          <w:rPr>
            <w:rStyle w:val="Hyperlink"/>
            <w:b/>
            <w:noProof/>
          </w:rPr>
          <w:t>Madagascar</w:t>
        </w:r>
        <w:r>
          <w:rPr>
            <w:noProof/>
            <w:webHidden/>
          </w:rPr>
          <w:tab/>
        </w:r>
        <w:r>
          <w:rPr>
            <w:noProof/>
            <w:webHidden/>
          </w:rPr>
          <w:fldChar w:fldCharType="begin"/>
        </w:r>
        <w:r>
          <w:rPr>
            <w:noProof/>
            <w:webHidden/>
          </w:rPr>
          <w:instrText xml:space="preserve"> PAGEREF _Toc16000878 \h </w:instrText>
        </w:r>
        <w:r>
          <w:rPr>
            <w:noProof/>
            <w:webHidden/>
          </w:rPr>
        </w:r>
        <w:r>
          <w:rPr>
            <w:noProof/>
            <w:webHidden/>
          </w:rPr>
          <w:fldChar w:fldCharType="separate"/>
        </w:r>
        <w:r>
          <w:rPr>
            <w:noProof/>
            <w:webHidden/>
          </w:rPr>
          <w:t>271</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en-IE" w:eastAsia="en-IE"/>
        </w:rPr>
      </w:pPr>
      <w:hyperlink w:anchor="_Toc16000879" w:history="1">
        <w:r>
          <w:rPr>
            <w:rStyle w:val="Hyperlink"/>
            <w:b/>
            <w:noProof/>
          </w:rPr>
          <w:t>Mauritius</w:t>
        </w:r>
        <w:r>
          <w:rPr>
            <w:noProof/>
            <w:webHidden/>
          </w:rPr>
          <w:tab/>
        </w:r>
        <w:r>
          <w:rPr>
            <w:noProof/>
            <w:webHidden/>
          </w:rPr>
          <w:fldChar w:fldCharType="begin"/>
        </w:r>
        <w:r>
          <w:rPr>
            <w:noProof/>
            <w:webHidden/>
          </w:rPr>
          <w:instrText xml:space="preserve"> PAGEREF _Toc16000879 \h </w:instrText>
        </w:r>
        <w:r>
          <w:rPr>
            <w:noProof/>
            <w:webHidden/>
          </w:rPr>
        </w:r>
        <w:r>
          <w:rPr>
            <w:noProof/>
            <w:webHidden/>
          </w:rPr>
          <w:fldChar w:fldCharType="separate"/>
        </w:r>
        <w:r>
          <w:rPr>
            <w:noProof/>
            <w:webHidden/>
          </w:rPr>
          <w:t>272</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en-IE" w:eastAsia="en-IE"/>
        </w:rPr>
      </w:pPr>
      <w:hyperlink w:anchor="_Toc16000880" w:history="1">
        <w:r>
          <w:rPr>
            <w:rStyle w:val="Hyperlink"/>
            <w:b/>
            <w:noProof/>
          </w:rPr>
          <w:t>Seychelles</w:t>
        </w:r>
        <w:r>
          <w:rPr>
            <w:noProof/>
            <w:webHidden/>
          </w:rPr>
          <w:tab/>
        </w:r>
        <w:r>
          <w:rPr>
            <w:noProof/>
            <w:webHidden/>
          </w:rPr>
          <w:fldChar w:fldCharType="begin"/>
        </w:r>
        <w:r>
          <w:rPr>
            <w:noProof/>
            <w:webHidden/>
          </w:rPr>
          <w:instrText xml:space="preserve"> PAGEREF _Toc16000880 \h </w:instrText>
        </w:r>
        <w:r>
          <w:rPr>
            <w:noProof/>
            <w:webHidden/>
          </w:rPr>
        </w:r>
        <w:r>
          <w:rPr>
            <w:noProof/>
            <w:webHidden/>
          </w:rPr>
          <w:fldChar w:fldCharType="separate"/>
        </w:r>
        <w:r>
          <w:rPr>
            <w:noProof/>
            <w:webHidden/>
          </w:rPr>
          <w:t>274</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en-IE" w:eastAsia="en-IE"/>
        </w:rPr>
      </w:pPr>
      <w:hyperlink w:anchor="_Toc16000881" w:history="1">
        <w:r>
          <w:rPr>
            <w:rStyle w:val="Hyperlink"/>
            <w:b/>
            <w:noProof/>
          </w:rPr>
          <w:t>Zimbabwe</w:t>
        </w:r>
        <w:r>
          <w:rPr>
            <w:noProof/>
            <w:webHidden/>
          </w:rPr>
          <w:tab/>
        </w:r>
        <w:r>
          <w:rPr>
            <w:noProof/>
            <w:webHidden/>
          </w:rPr>
          <w:fldChar w:fldCharType="begin"/>
        </w:r>
        <w:r>
          <w:rPr>
            <w:noProof/>
            <w:webHidden/>
          </w:rPr>
          <w:instrText xml:space="preserve"> PAGEREF _Toc16000881 \h </w:instrText>
        </w:r>
        <w:r>
          <w:rPr>
            <w:noProof/>
            <w:webHidden/>
          </w:rPr>
        </w:r>
        <w:r>
          <w:rPr>
            <w:noProof/>
            <w:webHidden/>
          </w:rPr>
          <w:fldChar w:fldCharType="separate"/>
        </w:r>
        <w:r>
          <w:rPr>
            <w:noProof/>
            <w:webHidden/>
          </w:rPr>
          <w:t>275</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en-IE" w:eastAsia="en-IE"/>
        </w:rPr>
      </w:pPr>
      <w:hyperlink w:anchor="_Toc16000882" w:history="1">
        <w:r>
          <w:rPr>
            <w:rStyle w:val="Hyperlink"/>
            <w:b/>
            <w:noProof/>
          </w:rPr>
          <w:t>ANNUAL INFO SHEET ON THE IMPLEMENTATION OF THE ECONOMIC PARTNERSHIP AGREEMENT (EPA) BETWEEN THE EU AND COTE D’IVOIRE</w:t>
        </w:r>
        <w:r>
          <w:rPr>
            <w:noProof/>
            <w:webHidden/>
          </w:rPr>
          <w:tab/>
        </w:r>
        <w:r>
          <w:rPr>
            <w:noProof/>
            <w:webHidden/>
          </w:rPr>
          <w:fldChar w:fldCharType="begin"/>
        </w:r>
        <w:r>
          <w:rPr>
            <w:noProof/>
            <w:webHidden/>
          </w:rPr>
          <w:instrText xml:space="preserve"> PAGEREF _Toc16000882 \h </w:instrText>
        </w:r>
        <w:r>
          <w:rPr>
            <w:noProof/>
            <w:webHidden/>
          </w:rPr>
        </w:r>
        <w:r>
          <w:rPr>
            <w:noProof/>
            <w:webHidden/>
          </w:rPr>
          <w:fldChar w:fldCharType="separate"/>
        </w:r>
        <w:r>
          <w:rPr>
            <w:noProof/>
            <w:webHidden/>
          </w:rPr>
          <w:t>277</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883" w:history="1">
        <w:r>
          <w:rPr>
            <w:rStyle w:val="Hyperlink"/>
            <w:noProof/>
          </w:rPr>
          <w:t>1.</w:t>
        </w:r>
        <w:r>
          <w:rPr>
            <w:rFonts w:asciiTheme="minorHAnsi" w:eastAsiaTheme="minorEastAsia" w:hAnsiTheme="minorHAnsi" w:cstheme="minorBidi"/>
            <w:noProof/>
            <w:sz w:val="22"/>
            <w:szCs w:val="22"/>
            <w:lang w:val="en-IE" w:eastAsia="en-IE"/>
          </w:rPr>
          <w:tab/>
        </w:r>
        <w:r>
          <w:rPr>
            <w:rStyle w:val="Hyperlink"/>
            <w:noProof/>
          </w:rPr>
          <w:t>Introduction</w:t>
        </w:r>
        <w:r>
          <w:rPr>
            <w:noProof/>
            <w:webHidden/>
          </w:rPr>
          <w:tab/>
        </w:r>
        <w:r>
          <w:rPr>
            <w:noProof/>
            <w:webHidden/>
          </w:rPr>
          <w:fldChar w:fldCharType="begin"/>
        </w:r>
        <w:r>
          <w:rPr>
            <w:noProof/>
            <w:webHidden/>
          </w:rPr>
          <w:instrText xml:space="preserve"> PAGEREF _Toc16000883 \h </w:instrText>
        </w:r>
        <w:r>
          <w:rPr>
            <w:noProof/>
            <w:webHidden/>
          </w:rPr>
        </w:r>
        <w:r>
          <w:rPr>
            <w:noProof/>
            <w:webHidden/>
          </w:rPr>
          <w:fldChar w:fldCharType="separate"/>
        </w:r>
        <w:r>
          <w:rPr>
            <w:noProof/>
            <w:webHidden/>
          </w:rPr>
          <w:t>277</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884" w:history="1">
        <w:r>
          <w:rPr>
            <w:rStyle w:val="Hyperlink"/>
            <w:noProof/>
          </w:rPr>
          <w:t>2.</w:t>
        </w:r>
        <w:r>
          <w:rPr>
            <w:rFonts w:asciiTheme="minorHAnsi" w:eastAsiaTheme="minorEastAsia" w:hAnsiTheme="minorHAnsi" w:cstheme="minorBidi"/>
            <w:noProof/>
            <w:sz w:val="22"/>
            <w:szCs w:val="22"/>
            <w:lang w:val="en-IE" w:eastAsia="en-IE"/>
          </w:rPr>
          <w:tab/>
        </w:r>
        <w:r>
          <w:rPr>
            <w:rStyle w:val="Hyperlink"/>
            <w:noProof/>
          </w:rPr>
          <w:t>Evolution of trade</w:t>
        </w:r>
        <w:r>
          <w:rPr>
            <w:noProof/>
            <w:webHidden/>
          </w:rPr>
          <w:tab/>
        </w:r>
        <w:r>
          <w:rPr>
            <w:noProof/>
            <w:webHidden/>
          </w:rPr>
          <w:fldChar w:fldCharType="begin"/>
        </w:r>
        <w:r>
          <w:rPr>
            <w:noProof/>
            <w:webHidden/>
          </w:rPr>
          <w:instrText xml:space="preserve"> PAGEREF _Toc16000884 \h </w:instrText>
        </w:r>
        <w:r>
          <w:rPr>
            <w:noProof/>
            <w:webHidden/>
          </w:rPr>
        </w:r>
        <w:r>
          <w:rPr>
            <w:noProof/>
            <w:webHidden/>
          </w:rPr>
          <w:fldChar w:fldCharType="separate"/>
        </w:r>
        <w:r>
          <w:rPr>
            <w:noProof/>
            <w:webHidden/>
          </w:rPr>
          <w:t>277</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885" w:history="1">
        <w:r>
          <w:rPr>
            <w:rStyle w:val="Hyperlink"/>
            <w:noProof/>
          </w:rPr>
          <w:t>2.1 Trade in goods</w:t>
        </w:r>
        <w:r>
          <w:rPr>
            <w:noProof/>
            <w:webHidden/>
          </w:rPr>
          <w:tab/>
        </w:r>
        <w:r>
          <w:rPr>
            <w:noProof/>
            <w:webHidden/>
          </w:rPr>
          <w:fldChar w:fldCharType="begin"/>
        </w:r>
        <w:r>
          <w:rPr>
            <w:noProof/>
            <w:webHidden/>
          </w:rPr>
          <w:instrText xml:space="preserve"> PAGEREF _Toc16000885 \h </w:instrText>
        </w:r>
        <w:r>
          <w:rPr>
            <w:noProof/>
            <w:webHidden/>
          </w:rPr>
        </w:r>
        <w:r>
          <w:rPr>
            <w:noProof/>
            <w:webHidden/>
          </w:rPr>
          <w:fldChar w:fldCharType="separate"/>
        </w:r>
        <w:r>
          <w:rPr>
            <w:noProof/>
            <w:webHidden/>
          </w:rPr>
          <w:t>277</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886" w:history="1">
        <w:r>
          <w:rPr>
            <w:rStyle w:val="Hyperlink"/>
            <w:noProof/>
          </w:rPr>
          <w:t>2.2 Trade in services</w:t>
        </w:r>
        <w:r>
          <w:rPr>
            <w:noProof/>
            <w:webHidden/>
          </w:rPr>
          <w:tab/>
        </w:r>
        <w:r>
          <w:rPr>
            <w:noProof/>
            <w:webHidden/>
          </w:rPr>
          <w:fldChar w:fldCharType="begin"/>
        </w:r>
        <w:r>
          <w:rPr>
            <w:noProof/>
            <w:webHidden/>
          </w:rPr>
          <w:instrText xml:space="preserve"> PAGEREF _Toc16000886 \h </w:instrText>
        </w:r>
        <w:r>
          <w:rPr>
            <w:noProof/>
            <w:webHidden/>
          </w:rPr>
        </w:r>
        <w:r>
          <w:rPr>
            <w:noProof/>
            <w:webHidden/>
          </w:rPr>
          <w:fldChar w:fldCharType="separate"/>
        </w:r>
        <w:r>
          <w:rPr>
            <w:noProof/>
            <w:webHidden/>
          </w:rPr>
          <w:t>279</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887" w:history="1">
        <w:r>
          <w:rPr>
            <w:rStyle w:val="Hyperlink"/>
            <w:noProof/>
          </w:rPr>
          <w:t>2.3 Foreign Direct investment (FDI)</w:t>
        </w:r>
        <w:r>
          <w:rPr>
            <w:noProof/>
            <w:webHidden/>
          </w:rPr>
          <w:tab/>
        </w:r>
        <w:r>
          <w:rPr>
            <w:noProof/>
            <w:webHidden/>
          </w:rPr>
          <w:fldChar w:fldCharType="begin"/>
        </w:r>
        <w:r>
          <w:rPr>
            <w:noProof/>
            <w:webHidden/>
          </w:rPr>
          <w:instrText xml:space="preserve"> PAGEREF _Toc16000887 \h </w:instrText>
        </w:r>
        <w:r>
          <w:rPr>
            <w:noProof/>
            <w:webHidden/>
          </w:rPr>
        </w:r>
        <w:r>
          <w:rPr>
            <w:noProof/>
            <w:webHidden/>
          </w:rPr>
          <w:fldChar w:fldCharType="separate"/>
        </w:r>
        <w:r>
          <w:rPr>
            <w:noProof/>
            <w:webHidden/>
          </w:rPr>
          <w:t>279</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888" w:history="1">
        <w:r>
          <w:rPr>
            <w:rStyle w:val="Hyperlink"/>
            <w:noProof/>
          </w:rPr>
          <w:t>3.</w:t>
        </w:r>
        <w:r>
          <w:rPr>
            <w:rFonts w:asciiTheme="minorHAnsi" w:eastAsiaTheme="minorEastAsia" w:hAnsiTheme="minorHAnsi" w:cstheme="minorBidi"/>
            <w:noProof/>
            <w:sz w:val="22"/>
            <w:szCs w:val="22"/>
            <w:lang w:val="en-IE" w:eastAsia="en-IE"/>
          </w:rPr>
          <w:tab/>
        </w:r>
        <w:r>
          <w:rPr>
            <w:rStyle w:val="Hyperlink"/>
            <w:noProof/>
          </w:rPr>
          <w:t>Issues addressed in the annual EPA Committee meeting</w:t>
        </w:r>
        <w:r>
          <w:rPr>
            <w:noProof/>
            <w:webHidden/>
          </w:rPr>
          <w:tab/>
        </w:r>
        <w:r>
          <w:rPr>
            <w:noProof/>
            <w:webHidden/>
          </w:rPr>
          <w:fldChar w:fldCharType="begin"/>
        </w:r>
        <w:r>
          <w:rPr>
            <w:noProof/>
            <w:webHidden/>
          </w:rPr>
          <w:instrText xml:space="preserve"> PAGEREF _Toc16000888 \h </w:instrText>
        </w:r>
        <w:r>
          <w:rPr>
            <w:noProof/>
            <w:webHidden/>
          </w:rPr>
        </w:r>
        <w:r>
          <w:rPr>
            <w:noProof/>
            <w:webHidden/>
          </w:rPr>
          <w:fldChar w:fldCharType="separate"/>
        </w:r>
        <w:r>
          <w:rPr>
            <w:noProof/>
            <w:webHidden/>
          </w:rPr>
          <w:t>280</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889" w:history="1">
        <w:r>
          <w:rPr>
            <w:rStyle w:val="Hyperlink"/>
            <w:noProof/>
          </w:rPr>
          <w:t>4.</w:t>
        </w:r>
        <w:r>
          <w:rPr>
            <w:rFonts w:asciiTheme="minorHAnsi" w:eastAsiaTheme="minorEastAsia" w:hAnsiTheme="minorHAnsi" w:cstheme="minorBidi"/>
            <w:noProof/>
            <w:sz w:val="22"/>
            <w:szCs w:val="22"/>
            <w:lang w:val="en-IE" w:eastAsia="en-IE"/>
          </w:rPr>
          <w:tab/>
        </w:r>
        <w:r>
          <w:rPr>
            <w:rStyle w:val="Hyperlink"/>
            <w:noProof/>
          </w:rPr>
          <w:t>Development Cooperation</w:t>
        </w:r>
        <w:r>
          <w:rPr>
            <w:noProof/>
            <w:webHidden/>
          </w:rPr>
          <w:tab/>
        </w:r>
        <w:r>
          <w:rPr>
            <w:noProof/>
            <w:webHidden/>
          </w:rPr>
          <w:fldChar w:fldCharType="begin"/>
        </w:r>
        <w:r>
          <w:rPr>
            <w:noProof/>
            <w:webHidden/>
          </w:rPr>
          <w:instrText xml:space="preserve"> PAGEREF _Toc16000889 \h </w:instrText>
        </w:r>
        <w:r>
          <w:rPr>
            <w:noProof/>
            <w:webHidden/>
          </w:rPr>
        </w:r>
        <w:r>
          <w:rPr>
            <w:noProof/>
            <w:webHidden/>
          </w:rPr>
          <w:fldChar w:fldCharType="separate"/>
        </w:r>
        <w:r>
          <w:rPr>
            <w:noProof/>
            <w:webHidden/>
          </w:rPr>
          <w:t>280</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890" w:history="1">
        <w:r>
          <w:rPr>
            <w:rStyle w:val="Hyperlink"/>
            <w:noProof/>
          </w:rPr>
          <w:t>5.</w:t>
        </w:r>
        <w:r>
          <w:rPr>
            <w:rFonts w:asciiTheme="minorHAnsi" w:eastAsiaTheme="minorEastAsia" w:hAnsiTheme="minorHAnsi" w:cstheme="minorBidi"/>
            <w:noProof/>
            <w:sz w:val="22"/>
            <w:szCs w:val="22"/>
            <w:lang w:val="en-IE" w:eastAsia="en-IE"/>
          </w:rPr>
          <w:tab/>
        </w:r>
        <w:r>
          <w:rPr>
            <w:rStyle w:val="Hyperlink"/>
            <w:noProof/>
          </w:rPr>
          <w:t>Progress made, main open issues and follow-up actions</w:t>
        </w:r>
        <w:r>
          <w:rPr>
            <w:noProof/>
            <w:webHidden/>
          </w:rPr>
          <w:tab/>
        </w:r>
        <w:r>
          <w:rPr>
            <w:noProof/>
            <w:webHidden/>
          </w:rPr>
          <w:fldChar w:fldCharType="begin"/>
        </w:r>
        <w:r>
          <w:rPr>
            <w:noProof/>
            <w:webHidden/>
          </w:rPr>
          <w:instrText xml:space="preserve"> PAGEREF _Toc16000890 \h </w:instrText>
        </w:r>
        <w:r>
          <w:rPr>
            <w:noProof/>
            <w:webHidden/>
          </w:rPr>
        </w:r>
        <w:r>
          <w:rPr>
            <w:noProof/>
            <w:webHidden/>
          </w:rPr>
          <w:fldChar w:fldCharType="separate"/>
        </w:r>
        <w:r>
          <w:rPr>
            <w:noProof/>
            <w:webHidden/>
          </w:rPr>
          <w:t>281</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891" w:history="1">
        <w:r>
          <w:rPr>
            <w:rStyle w:val="Hyperlink"/>
            <w:noProof/>
          </w:rPr>
          <w:t>6.</w:t>
        </w:r>
        <w:r>
          <w:rPr>
            <w:rFonts w:asciiTheme="minorHAnsi" w:eastAsiaTheme="minorEastAsia" w:hAnsiTheme="minorHAnsi" w:cstheme="minorBidi"/>
            <w:noProof/>
            <w:sz w:val="22"/>
            <w:szCs w:val="22"/>
            <w:lang w:val="en-IE" w:eastAsia="en-IE"/>
          </w:rPr>
          <w:tab/>
        </w:r>
        <w:r>
          <w:rPr>
            <w:rStyle w:val="Hyperlink"/>
            <w:noProof/>
          </w:rPr>
          <w:t>Conclusions and outlook</w:t>
        </w:r>
        <w:r>
          <w:rPr>
            <w:noProof/>
            <w:webHidden/>
          </w:rPr>
          <w:tab/>
        </w:r>
        <w:r>
          <w:rPr>
            <w:noProof/>
            <w:webHidden/>
          </w:rPr>
          <w:fldChar w:fldCharType="begin"/>
        </w:r>
        <w:r>
          <w:rPr>
            <w:noProof/>
            <w:webHidden/>
          </w:rPr>
          <w:instrText xml:space="preserve"> PAGEREF _Toc16000891 \h </w:instrText>
        </w:r>
        <w:r>
          <w:rPr>
            <w:noProof/>
            <w:webHidden/>
          </w:rPr>
        </w:r>
        <w:r>
          <w:rPr>
            <w:noProof/>
            <w:webHidden/>
          </w:rPr>
          <w:fldChar w:fldCharType="separate"/>
        </w:r>
        <w:r>
          <w:rPr>
            <w:noProof/>
            <w:webHidden/>
          </w:rPr>
          <w:t>282</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892" w:history="1">
        <w:r>
          <w:rPr>
            <w:rStyle w:val="Hyperlink"/>
            <w:noProof/>
          </w:rPr>
          <w:t>7.</w:t>
        </w:r>
        <w:r>
          <w:rPr>
            <w:rFonts w:asciiTheme="minorHAnsi" w:eastAsiaTheme="minorEastAsia" w:hAnsiTheme="minorHAnsi" w:cstheme="minorBidi"/>
            <w:noProof/>
            <w:sz w:val="22"/>
            <w:szCs w:val="22"/>
            <w:lang w:val="en-IE" w:eastAsia="en-IE"/>
          </w:rPr>
          <w:tab/>
        </w:r>
        <w:r>
          <w:rPr>
            <w:rStyle w:val="Hyperlink"/>
            <w:noProof/>
          </w:rPr>
          <w:t>Statistics</w:t>
        </w:r>
        <w:r>
          <w:rPr>
            <w:noProof/>
            <w:webHidden/>
          </w:rPr>
          <w:tab/>
        </w:r>
        <w:r>
          <w:rPr>
            <w:noProof/>
            <w:webHidden/>
          </w:rPr>
          <w:fldChar w:fldCharType="begin"/>
        </w:r>
        <w:r>
          <w:rPr>
            <w:noProof/>
            <w:webHidden/>
          </w:rPr>
          <w:instrText xml:space="preserve"> PAGEREF _Toc16000892 \h </w:instrText>
        </w:r>
        <w:r>
          <w:rPr>
            <w:noProof/>
            <w:webHidden/>
          </w:rPr>
        </w:r>
        <w:r>
          <w:rPr>
            <w:noProof/>
            <w:webHidden/>
          </w:rPr>
          <w:fldChar w:fldCharType="separate"/>
        </w:r>
        <w:r>
          <w:rPr>
            <w:noProof/>
            <w:webHidden/>
          </w:rPr>
          <w:t>282</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en-IE" w:eastAsia="en-IE"/>
        </w:rPr>
      </w:pPr>
      <w:hyperlink w:anchor="_Toc16000893" w:history="1">
        <w:r>
          <w:rPr>
            <w:rStyle w:val="Hyperlink"/>
            <w:b/>
            <w:noProof/>
          </w:rPr>
          <w:t>ANNUAL INFO SHEET ON THE IMPLEMENTATION OF THE ECONOMIC PARTNERSHIP AGREEMENT (EPA) BETWEEN THE EU AND GHANA</w:t>
        </w:r>
        <w:r>
          <w:rPr>
            <w:noProof/>
            <w:webHidden/>
          </w:rPr>
          <w:tab/>
        </w:r>
        <w:r>
          <w:rPr>
            <w:noProof/>
            <w:webHidden/>
          </w:rPr>
          <w:fldChar w:fldCharType="begin"/>
        </w:r>
        <w:r>
          <w:rPr>
            <w:noProof/>
            <w:webHidden/>
          </w:rPr>
          <w:instrText xml:space="preserve"> PAGEREF _Toc16000893 \h </w:instrText>
        </w:r>
        <w:r>
          <w:rPr>
            <w:noProof/>
            <w:webHidden/>
          </w:rPr>
        </w:r>
        <w:r>
          <w:rPr>
            <w:noProof/>
            <w:webHidden/>
          </w:rPr>
          <w:fldChar w:fldCharType="separate"/>
        </w:r>
        <w:r>
          <w:rPr>
            <w:noProof/>
            <w:webHidden/>
          </w:rPr>
          <w:t>284</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894" w:history="1">
        <w:r>
          <w:rPr>
            <w:rStyle w:val="Hyperlink"/>
            <w:noProof/>
          </w:rPr>
          <w:t>1.</w:t>
        </w:r>
        <w:r>
          <w:rPr>
            <w:rFonts w:asciiTheme="minorHAnsi" w:eastAsiaTheme="minorEastAsia" w:hAnsiTheme="minorHAnsi" w:cstheme="minorBidi"/>
            <w:noProof/>
            <w:sz w:val="22"/>
            <w:szCs w:val="22"/>
            <w:lang w:val="en-IE" w:eastAsia="en-IE"/>
          </w:rPr>
          <w:tab/>
        </w:r>
        <w:r>
          <w:rPr>
            <w:rStyle w:val="Hyperlink"/>
            <w:noProof/>
          </w:rPr>
          <w:t>Introduction</w:t>
        </w:r>
        <w:r>
          <w:rPr>
            <w:noProof/>
            <w:webHidden/>
          </w:rPr>
          <w:tab/>
        </w:r>
        <w:r>
          <w:rPr>
            <w:noProof/>
            <w:webHidden/>
          </w:rPr>
          <w:fldChar w:fldCharType="begin"/>
        </w:r>
        <w:r>
          <w:rPr>
            <w:noProof/>
            <w:webHidden/>
          </w:rPr>
          <w:instrText xml:space="preserve"> PAGEREF _Toc16000894 \h </w:instrText>
        </w:r>
        <w:r>
          <w:rPr>
            <w:noProof/>
            <w:webHidden/>
          </w:rPr>
        </w:r>
        <w:r>
          <w:rPr>
            <w:noProof/>
            <w:webHidden/>
          </w:rPr>
          <w:fldChar w:fldCharType="separate"/>
        </w:r>
        <w:r>
          <w:rPr>
            <w:noProof/>
            <w:webHidden/>
          </w:rPr>
          <w:t>284</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895" w:history="1">
        <w:r>
          <w:rPr>
            <w:rStyle w:val="Hyperlink"/>
            <w:noProof/>
          </w:rPr>
          <w:t>2.</w:t>
        </w:r>
        <w:r>
          <w:rPr>
            <w:rFonts w:asciiTheme="minorHAnsi" w:eastAsiaTheme="minorEastAsia" w:hAnsiTheme="minorHAnsi" w:cstheme="minorBidi"/>
            <w:noProof/>
            <w:sz w:val="22"/>
            <w:szCs w:val="22"/>
            <w:lang w:val="en-IE" w:eastAsia="en-IE"/>
          </w:rPr>
          <w:tab/>
        </w:r>
        <w:r>
          <w:rPr>
            <w:rStyle w:val="Hyperlink"/>
            <w:noProof/>
          </w:rPr>
          <w:t>Evolution of trade</w:t>
        </w:r>
        <w:r>
          <w:rPr>
            <w:noProof/>
            <w:webHidden/>
          </w:rPr>
          <w:tab/>
        </w:r>
        <w:r>
          <w:rPr>
            <w:noProof/>
            <w:webHidden/>
          </w:rPr>
          <w:fldChar w:fldCharType="begin"/>
        </w:r>
        <w:r>
          <w:rPr>
            <w:noProof/>
            <w:webHidden/>
          </w:rPr>
          <w:instrText xml:space="preserve"> PAGEREF _Toc16000895 \h </w:instrText>
        </w:r>
        <w:r>
          <w:rPr>
            <w:noProof/>
            <w:webHidden/>
          </w:rPr>
        </w:r>
        <w:r>
          <w:rPr>
            <w:noProof/>
            <w:webHidden/>
          </w:rPr>
          <w:fldChar w:fldCharType="separate"/>
        </w:r>
        <w:r>
          <w:rPr>
            <w:noProof/>
            <w:webHidden/>
          </w:rPr>
          <w:t>284</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896" w:history="1">
        <w:r>
          <w:rPr>
            <w:rStyle w:val="Hyperlink"/>
            <w:noProof/>
          </w:rPr>
          <w:t>2.1 Trade in goods</w:t>
        </w:r>
        <w:r>
          <w:rPr>
            <w:noProof/>
            <w:webHidden/>
          </w:rPr>
          <w:tab/>
        </w:r>
        <w:r>
          <w:rPr>
            <w:noProof/>
            <w:webHidden/>
          </w:rPr>
          <w:fldChar w:fldCharType="begin"/>
        </w:r>
        <w:r>
          <w:rPr>
            <w:noProof/>
            <w:webHidden/>
          </w:rPr>
          <w:instrText xml:space="preserve"> PAGEREF _Toc16000896 \h </w:instrText>
        </w:r>
        <w:r>
          <w:rPr>
            <w:noProof/>
            <w:webHidden/>
          </w:rPr>
        </w:r>
        <w:r>
          <w:rPr>
            <w:noProof/>
            <w:webHidden/>
          </w:rPr>
          <w:fldChar w:fldCharType="separate"/>
        </w:r>
        <w:r>
          <w:rPr>
            <w:noProof/>
            <w:webHidden/>
          </w:rPr>
          <w:t>284</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897" w:history="1">
        <w:r>
          <w:rPr>
            <w:rStyle w:val="Hyperlink"/>
            <w:noProof/>
          </w:rPr>
          <w:t>2.2 Trade in services</w:t>
        </w:r>
        <w:r>
          <w:rPr>
            <w:noProof/>
            <w:webHidden/>
          </w:rPr>
          <w:tab/>
        </w:r>
        <w:r>
          <w:rPr>
            <w:noProof/>
            <w:webHidden/>
          </w:rPr>
          <w:fldChar w:fldCharType="begin"/>
        </w:r>
        <w:r>
          <w:rPr>
            <w:noProof/>
            <w:webHidden/>
          </w:rPr>
          <w:instrText xml:space="preserve"> PAGEREF _Toc16000897 \h </w:instrText>
        </w:r>
        <w:r>
          <w:rPr>
            <w:noProof/>
            <w:webHidden/>
          </w:rPr>
        </w:r>
        <w:r>
          <w:rPr>
            <w:noProof/>
            <w:webHidden/>
          </w:rPr>
          <w:fldChar w:fldCharType="separate"/>
        </w:r>
        <w:r>
          <w:rPr>
            <w:noProof/>
            <w:webHidden/>
          </w:rPr>
          <w:t>286</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898" w:history="1">
        <w:r>
          <w:rPr>
            <w:rStyle w:val="Hyperlink"/>
            <w:noProof/>
          </w:rPr>
          <w:t>2.3 Foreign Direct investment (FDIs)</w:t>
        </w:r>
        <w:r>
          <w:rPr>
            <w:noProof/>
            <w:webHidden/>
          </w:rPr>
          <w:tab/>
        </w:r>
        <w:r>
          <w:rPr>
            <w:noProof/>
            <w:webHidden/>
          </w:rPr>
          <w:fldChar w:fldCharType="begin"/>
        </w:r>
        <w:r>
          <w:rPr>
            <w:noProof/>
            <w:webHidden/>
          </w:rPr>
          <w:instrText xml:space="preserve"> PAGEREF _Toc16000898 \h </w:instrText>
        </w:r>
        <w:r>
          <w:rPr>
            <w:noProof/>
            <w:webHidden/>
          </w:rPr>
        </w:r>
        <w:r>
          <w:rPr>
            <w:noProof/>
            <w:webHidden/>
          </w:rPr>
          <w:fldChar w:fldCharType="separate"/>
        </w:r>
        <w:r>
          <w:rPr>
            <w:noProof/>
            <w:webHidden/>
          </w:rPr>
          <w:t>286</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899" w:history="1">
        <w:r>
          <w:rPr>
            <w:rStyle w:val="Hyperlink"/>
            <w:noProof/>
          </w:rPr>
          <w:t>3.</w:t>
        </w:r>
        <w:r>
          <w:rPr>
            <w:rFonts w:asciiTheme="minorHAnsi" w:eastAsiaTheme="minorEastAsia" w:hAnsiTheme="minorHAnsi" w:cstheme="minorBidi"/>
            <w:noProof/>
            <w:sz w:val="22"/>
            <w:szCs w:val="22"/>
            <w:lang w:val="en-IE" w:eastAsia="en-IE"/>
          </w:rPr>
          <w:tab/>
        </w:r>
        <w:r>
          <w:rPr>
            <w:rStyle w:val="Hyperlink"/>
            <w:noProof/>
          </w:rPr>
          <w:t>Issues addressed in the first meeting of the joint EPA Committee</w:t>
        </w:r>
        <w:r>
          <w:rPr>
            <w:noProof/>
            <w:webHidden/>
          </w:rPr>
          <w:tab/>
        </w:r>
        <w:r>
          <w:rPr>
            <w:noProof/>
            <w:webHidden/>
          </w:rPr>
          <w:fldChar w:fldCharType="begin"/>
        </w:r>
        <w:r>
          <w:rPr>
            <w:noProof/>
            <w:webHidden/>
          </w:rPr>
          <w:instrText xml:space="preserve"> PAGEREF _Toc16000899 \h </w:instrText>
        </w:r>
        <w:r>
          <w:rPr>
            <w:noProof/>
            <w:webHidden/>
          </w:rPr>
        </w:r>
        <w:r>
          <w:rPr>
            <w:noProof/>
            <w:webHidden/>
          </w:rPr>
          <w:fldChar w:fldCharType="separate"/>
        </w:r>
        <w:r>
          <w:rPr>
            <w:noProof/>
            <w:webHidden/>
          </w:rPr>
          <w:t>287</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900" w:history="1">
        <w:r>
          <w:rPr>
            <w:rStyle w:val="Hyperlink"/>
            <w:noProof/>
          </w:rPr>
          <w:t>4.</w:t>
        </w:r>
        <w:r>
          <w:rPr>
            <w:rFonts w:asciiTheme="minorHAnsi" w:eastAsiaTheme="minorEastAsia" w:hAnsiTheme="minorHAnsi" w:cstheme="minorBidi"/>
            <w:noProof/>
            <w:sz w:val="22"/>
            <w:szCs w:val="22"/>
            <w:lang w:val="en-IE" w:eastAsia="en-IE"/>
          </w:rPr>
          <w:tab/>
        </w:r>
        <w:r>
          <w:rPr>
            <w:rStyle w:val="Hyperlink"/>
            <w:noProof/>
          </w:rPr>
          <w:t>Development Cooperation</w:t>
        </w:r>
        <w:r>
          <w:rPr>
            <w:noProof/>
            <w:webHidden/>
          </w:rPr>
          <w:tab/>
        </w:r>
        <w:r>
          <w:rPr>
            <w:noProof/>
            <w:webHidden/>
          </w:rPr>
          <w:fldChar w:fldCharType="begin"/>
        </w:r>
        <w:r>
          <w:rPr>
            <w:noProof/>
            <w:webHidden/>
          </w:rPr>
          <w:instrText xml:space="preserve"> PAGEREF _Toc16000900 \h </w:instrText>
        </w:r>
        <w:r>
          <w:rPr>
            <w:noProof/>
            <w:webHidden/>
          </w:rPr>
        </w:r>
        <w:r>
          <w:rPr>
            <w:noProof/>
            <w:webHidden/>
          </w:rPr>
          <w:fldChar w:fldCharType="separate"/>
        </w:r>
        <w:r>
          <w:rPr>
            <w:noProof/>
            <w:webHidden/>
          </w:rPr>
          <w:t>287</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901" w:history="1">
        <w:r>
          <w:rPr>
            <w:rStyle w:val="Hyperlink"/>
            <w:noProof/>
          </w:rPr>
          <w:t>5.</w:t>
        </w:r>
        <w:r>
          <w:rPr>
            <w:rFonts w:asciiTheme="minorHAnsi" w:eastAsiaTheme="minorEastAsia" w:hAnsiTheme="minorHAnsi" w:cstheme="minorBidi"/>
            <w:noProof/>
            <w:sz w:val="22"/>
            <w:szCs w:val="22"/>
            <w:lang w:val="en-IE" w:eastAsia="en-IE"/>
          </w:rPr>
          <w:tab/>
        </w:r>
        <w:r>
          <w:rPr>
            <w:rStyle w:val="Hyperlink"/>
            <w:noProof/>
          </w:rPr>
          <w:t>Follow-up actions</w:t>
        </w:r>
        <w:r>
          <w:rPr>
            <w:noProof/>
            <w:webHidden/>
          </w:rPr>
          <w:tab/>
        </w:r>
        <w:r>
          <w:rPr>
            <w:noProof/>
            <w:webHidden/>
          </w:rPr>
          <w:fldChar w:fldCharType="begin"/>
        </w:r>
        <w:r>
          <w:rPr>
            <w:noProof/>
            <w:webHidden/>
          </w:rPr>
          <w:instrText xml:space="preserve"> PAGEREF _Toc16000901 \h </w:instrText>
        </w:r>
        <w:r>
          <w:rPr>
            <w:noProof/>
            <w:webHidden/>
          </w:rPr>
        </w:r>
        <w:r>
          <w:rPr>
            <w:noProof/>
            <w:webHidden/>
          </w:rPr>
          <w:fldChar w:fldCharType="separate"/>
        </w:r>
        <w:r>
          <w:rPr>
            <w:noProof/>
            <w:webHidden/>
          </w:rPr>
          <w:t>288</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902" w:history="1">
        <w:r>
          <w:rPr>
            <w:rStyle w:val="Hyperlink"/>
            <w:noProof/>
          </w:rPr>
          <w:t>6.</w:t>
        </w:r>
        <w:r>
          <w:rPr>
            <w:rFonts w:asciiTheme="minorHAnsi" w:eastAsiaTheme="minorEastAsia" w:hAnsiTheme="minorHAnsi" w:cstheme="minorBidi"/>
            <w:noProof/>
            <w:sz w:val="22"/>
            <w:szCs w:val="22"/>
            <w:lang w:val="en-IE" w:eastAsia="en-IE"/>
          </w:rPr>
          <w:tab/>
        </w:r>
        <w:r>
          <w:rPr>
            <w:rStyle w:val="Hyperlink"/>
            <w:noProof/>
          </w:rPr>
          <w:t>Conclusions and outlook</w:t>
        </w:r>
        <w:r>
          <w:rPr>
            <w:noProof/>
            <w:webHidden/>
          </w:rPr>
          <w:tab/>
        </w:r>
        <w:r>
          <w:rPr>
            <w:noProof/>
            <w:webHidden/>
          </w:rPr>
          <w:fldChar w:fldCharType="begin"/>
        </w:r>
        <w:r>
          <w:rPr>
            <w:noProof/>
            <w:webHidden/>
          </w:rPr>
          <w:instrText xml:space="preserve"> PAGEREF _Toc16000902 \h </w:instrText>
        </w:r>
        <w:r>
          <w:rPr>
            <w:noProof/>
            <w:webHidden/>
          </w:rPr>
        </w:r>
        <w:r>
          <w:rPr>
            <w:noProof/>
            <w:webHidden/>
          </w:rPr>
          <w:fldChar w:fldCharType="separate"/>
        </w:r>
        <w:r>
          <w:rPr>
            <w:noProof/>
            <w:webHidden/>
          </w:rPr>
          <w:t>288</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903" w:history="1">
        <w:r>
          <w:rPr>
            <w:rStyle w:val="Hyperlink"/>
            <w:noProof/>
          </w:rPr>
          <w:t>7.</w:t>
        </w:r>
        <w:r>
          <w:rPr>
            <w:rFonts w:asciiTheme="minorHAnsi" w:eastAsiaTheme="minorEastAsia" w:hAnsiTheme="minorHAnsi" w:cstheme="minorBidi"/>
            <w:noProof/>
            <w:sz w:val="22"/>
            <w:szCs w:val="22"/>
            <w:lang w:val="en-IE" w:eastAsia="en-IE"/>
          </w:rPr>
          <w:tab/>
        </w:r>
        <w:r>
          <w:rPr>
            <w:rStyle w:val="Hyperlink"/>
            <w:noProof/>
          </w:rPr>
          <w:t>Statistics</w:t>
        </w:r>
        <w:r>
          <w:rPr>
            <w:noProof/>
            <w:webHidden/>
          </w:rPr>
          <w:tab/>
        </w:r>
        <w:r>
          <w:rPr>
            <w:noProof/>
            <w:webHidden/>
          </w:rPr>
          <w:fldChar w:fldCharType="begin"/>
        </w:r>
        <w:r>
          <w:rPr>
            <w:noProof/>
            <w:webHidden/>
          </w:rPr>
          <w:instrText xml:space="preserve"> PAGEREF _Toc16000903 \h </w:instrText>
        </w:r>
        <w:r>
          <w:rPr>
            <w:noProof/>
            <w:webHidden/>
          </w:rPr>
        </w:r>
        <w:r>
          <w:rPr>
            <w:noProof/>
            <w:webHidden/>
          </w:rPr>
          <w:fldChar w:fldCharType="separate"/>
        </w:r>
        <w:r>
          <w:rPr>
            <w:noProof/>
            <w:webHidden/>
          </w:rPr>
          <w:t>289</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en-IE" w:eastAsia="en-IE"/>
        </w:rPr>
      </w:pPr>
      <w:hyperlink w:anchor="_Toc16000904" w:history="1">
        <w:r>
          <w:rPr>
            <w:rStyle w:val="Hyperlink"/>
            <w:b/>
            <w:noProof/>
          </w:rPr>
          <w:t>ANNUAL INFO SHEET ON THE IMPLEMENTATION OF THE ECONOMIC PARTNERSHIP AGREEMENT (EPA) BETWEEN THE EU AND CAMEROON</w:t>
        </w:r>
        <w:r>
          <w:rPr>
            <w:noProof/>
            <w:webHidden/>
          </w:rPr>
          <w:tab/>
        </w:r>
        <w:r>
          <w:rPr>
            <w:noProof/>
            <w:webHidden/>
          </w:rPr>
          <w:fldChar w:fldCharType="begin"/>
        </w:r>
        <w:r>
          <w:rPr>
            <w:noProof/>
            <w:webHidden/>
          </w:rPr>
          <w:instrText xml:space="preserve"> PAGEREF _Toc16000904 \h </w:instrText>
        </w:r>
        <w:r>
          <w:rPr>
            <w:noProof/>
            <w:webHidden/>
          </w:rPr>
        </w:r>
        <w:r>
          <w:rPr>
            <w:noProof/>
            <w:webHidden/>
          </w:rPr>
          <w:fldChar w:fldCharType="separate"/>
        </w:r>
        <w:r>
          <w:rPr>
            <w:noProof/>
            <w:webHidden/>
          </w:rPr>
          <w:t>291</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905" w:history="1">
        <w:r>
          <w:rPr>
            <w:rStyle w:val="Hyperlink"/>
            <w:noProof/>
          </w:rPr>
          <w:t>1.</w:t>
        </w:r>
        <w:r>
          <w:rPr>
            <w:rFonts w:asciiTheme="minorHAnsi" w:eastAsiaTheme="minorEastAsia" w:hAnsiTheme="minorHAnsi" w:cstheme="minorBidi"/>
            <w:noProof/>
            <w:sz w:val="22"/>
            <w:szCs w:val="22"/>
            <w:lang w:val="en-IE" w:eastAsia="en-IE"/>
          </w:rPr>
          <w:tab/>
        </w:r>
        <w:r>
          <w:rPr>
            <w:rStyle w:val="Hyperlink"/>
            <w:noProof/>
          </w:rPr>
          <w:t>Introduction</w:t>
        </w:r>
        <w:r>
          <w:rPr>
            <w:noProof/>
            <w:webHidden/>
          </w:rPr>
          <w:tab/>
        </w:r>
        <w:r>
          <w:rPr>
            <w:noProof/>
            <w:webHidden/>
          </w:rPr>
          <w:fldChar w:fldCharType="begin"/>
        </w:r>
        <w:r>
          <w:rPr>
            <w:noProof/>
            <w:webHidden/>
          </w:rPr>
          <w:instrText xml:space="preserve"> PAGEREF _Toc16000905 \h </w:instrText>
        </w:r>
        <w:r>
          <w:rPr>
            <w:noProof/>
            <w:webHidden/>
          </w:rPr>
        </w:r>
        <w:r>
          <w:rPr>
            <w:noProof/>
            <w:webHidden/>
          </w:rPr>
          <w:fldChar w:fldCharType="separate"/>
        </w:r>
        <w:r>
          <w:rPr>
            <w:noProof/>
            <w:webHidden/>
          </w:rPr>
          <w:t>291</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906" w:history="1">
        <w:r>
          <w:rPr>
            <w:rStyle w:val="Hyperlink"/>
            <w:noProof/>
          </w:rPr>
          <w:t>2.</w:t>
        </w:r>
        <w:r>
          <w:rPr>
            <w:rFonts w:asciiTheme="minorHAnsi" w:eastAsiaTheme="minorEastAsia" w:hAnsiTheme="minorHAnsi" w:cstheme="minorBidi"/>
            <w:noProof/>
            <w:sz w:val="22"/>
            <w:szCs w:val="22"/>
            <w:lang w:val="en-IE" w:eastAsia="en-IE"/>
          </w:rPr>
          <w:tab/>
        </w:r>
        <w:r>
          <w:rPr>
            <w:rStyle w:val="Hyperlink"/>
            <w:noProof/>
          </w:rPr>
          <w:t>Evolution of trade</w:t>
        </w:r>
        <w:r>
          <w:rPr>
            <w:noProof/>
            <w:webHidden/>
          </w:rPr>
          <w:tab/>
        </w:r>
        <w:r>
          <w:rPr>
            <w:noProof/>
            <w:webHidden/>
          </w:rPr>
          <w:fldChar w:fldCharType="begin"/>
        </w:r>
        <w:r>
          <w:rPr>
            <w:noProof/>
            <w:webHidden/>
          </w:rPr>
          <w:instrText xml:space="preserve"> PAGEREF _Toc16000906 \h </w:instrText>
        </w:r>
        <w:r>
          <w:rPr>
            <w:noProof/>
            <w:webHidden/>
          </w:rPr>
        </w:r>
        <w:r>
          <w:rPr>
            <w:noProof/>
            <w:webHidden/>
          </w:rPr>
          <w:fldChar w:fldCharType="separate"/>
        </w:r>
        <w:r>
          <w:rPr>
            <w:noProof/>
            <w:webHidden/>
          </w:rPr>
          <w:t>291</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907" w:history="1">
        <w:r>
          <w:rPr>
            <w:rStyle w:val="Hyperlink"/>
            <w:noProof/>
          </w:rPr>
          <w:t>2.1 Trade in goods</w:t>
        </w:r>
        <w:r>
          <w:rPr>
            <w:noProof/>
            <w:webHidden/>
          </w:rPr>
          <w:tab/>
        </w:r>
        <w:r>
          <w:rPr>
            <w:noProof/>
            <w:webHidden/>
          </w:rPr>
          <w:fldChar w:fldCharType="begin"/>
        </w:r>
        <w:r>
          <w:rPr>
            <w:noProof/>
            <w:webHidden/>
          </w:rPr>
          <w:instrText xml:space="preserve"> PAGEREF _Toc16000907 \h </w:instrText>
        </w:r>
        <w:r>
          <w:rPr>
            <w:noProof/>
            <w:webHidden/>
          </w:rPr>
        </w:r>
        <w:r>
          <w:rPr>
            <w:noProof/>
            <w:webHidden/>
          </w:rPr>
          <w:fldChar w:fldCharType="separate"/>
        </w:r>
        <w:r>
          <w:rPr>
            <w:noProof/>
            <w:webHidden/>
          </w:rPr>
          <w:t>291</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908" w:history="1">
        <w:r>
          <w:rPr>
            <w:rStyle w:val="Hyperlink"/>
            <w:noProof/>
          </w:rPr>
          <w:t>2.2 Trade in services</w:t>
        </w:r>
        <w:r>
          <w:rPr>
            <w:noProof/>
            <w:webHidden/>
          </w:rPr>
          <w:tab/>
        </w:r>
        <w:r>
          <w:rPr>
            <w:noProof/>
            <w:webHidden/>
          </w:rPr>
          <w:fldChar w:fldCharType="begin"/>
        </w:r>
        <w:r>
          <w:rPr>
            <w:noProof/>
            <w:webHidden/>
          </w:rPr>
          <w:instrText xml:space="preserve"> PAGEREF _Toc16000908 \h </w:instrText>
        </w:r>
        <w:r>
          <w:rPr>
            <w:noProof/>
            <w:webHidden/>
          </w:rPr>
        </w:r>
        <w:r>
          <w:rPr>
            <w:noProof/>
            <w:webHidden/>
          </w:rPr>
          <w:fldChar w:fldCharType="separate"/>
        </w:r>
        <w:r>
          <w:rPr>
            <w:noProof/>
            <w:webHidden/>
          </w:rPr>
          <w:t>294</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909" w:history="1">
        <w:r>
          <w:rPr>
            <w:rStyle w:val="Hyperlink"/>
            <w:noProof/>
          </w:rPr>
          <w:t>2.3 Foreign Direct investment (FDI)</w:t>
        </w:r>
        <w:r>
          <w:rPr>
            <w:noProof/>
            <w:webHidden/>
          </w:rPr>
          <w:tab/>
        </w:r>
        <w:r>
          <w:rPr>
            <w:noProof/>
            <w:webHidden/>
          </w:rPr>
          <w:fldChar w:fldCharType="begin"/>
        </w:r>
        <w:r>
          <w:rPr>
            <w:noProof/>
            <w:webHidden/>
          </w:rPr>
          <w:instrText xml:space="preserve"> PAGEREF _Toc16000909 \h </w:instrText>
        </w:r>
        <w:r>
          <w:rPr>
            <w:noProof/>
            <w:webHidden/>
          </w:rPr>
        </w:r>
        <w:r>
          <w:rPr>
            <w:noProof/>
            <w:webHidden/>
          </w:rPr>
          <w:fldChar w:fldCharType="separate"/>
        </w:r>
        <w:r>
          <w:rPr>
            <w:noProof/>
            <w:webHidden/>
          </w:rPr>
          <w:t>294</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910" w:history="1">
        <w:r>
          <w:rPr>
            <w:rStyle w:val="Hyperlink"/>
            <w:noProof/>
          </w:rPr>
          <w:t>3.</w:t>
        </w:r>
        <w:r>
          <w:rPr>
            <w:rFonts w:asciiTheme="minorHAnsi" w:eastAsiaTheme="minorEastAsia" w:hAnsiTheme="minorHAnsi" w:cstheme="minorBidi"/>
            <w:noProof/>
            <w:sz w:val="22"/>
            <w:szCs w:val="22"/>
            <w:lang w:val="en-IE" w:eastAsia="en-IE"/>
          </w:rPr>
          <w:tab/>
        </w:r>
        <w:r>
          <w:rPr>
            <w:rStyle w:val="Hyperlink"/>
            <w:noProof/>
          </w:rPr>
          <w:t>Issues addressed in the annual EPA Committee meeting</w:t>
        </w:r>
        <w:r>
          <w:rPr>
            <w:noProof/>
            <w:webHidden/>
          </w:rPr>
          <w:tab/>
        </w:r>
        <w:r>
          <w:rPr>
            <w:noProof/>
            <w:webHidden/>
          </w:rPr>
          <w:fldChar w:fldCharType="begin"/>
        </w:r>
        <w:r>
          <w:rPr>
            <w:noProof/>
            <w:webHidden/>
          </w:rPr>
          <w:instrText xml:space="preserve"> PAGEREF _Toc16000910 \h </w:instrText>
        </w:r>
        <w:r>
          <w:rPr>
            <w:noProof/>
            <w:webHidden/>
          </w:rPr>
        </w:r>
        <w:r>
          <w:rPr>
            <w:noProof/>
            <w:webHidden/>
          </w:rPr>
          <w:fldChar w:fldCharType="separate"/>
        </w:r>
        <w:r>
          <w:rPr>
            <w:noProof/>
            <w:webHidden/>
          </w:rPr>
          <w:t>295</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911" w:history="1">
        <w:r>
          <w:rPr>
            <w:rStyle w:val="Hyperlink"/>
            <w:noProof/>
          </w:rPr>
          <w:t>4.</w:t>
        </w:r>
        <w:r>
          <w:rPr>
            <w:rFonts w:asciiTheme="minorHAnsi" w:eastAsiaTheme="minorEastAsia" w:hAnsiTheme="minorHAnsi" w:cstheme="minorBidi"/>
            <w:noProof/>
            <w:sz w:val="22"/>
            <w:szCs w:val="22"/>
            <w:lang w:val="en-IE" w:eastAsia="en-IE"/>
          </w:rPr>
          <w:tab/>
        </w:r>
        <w:r>
          <w:rPr>
            <w:rStyle w:val="Hyperlink"/>
            <w:noProof/>
          </w:rPr>
          <w:t>Development Cooperation</w:t>
        </w:r>
        <w:r>
          <w:rPr>
            <w:noProof/>
            <w:webHidden/>
          </w:rPr>
          <w:tab/>
        </w:r>
        <w:r>
          <w:rPr>
            <w:noProof/>
            <w:webHidden/>
          </w:rPr>
          <w:fldChar w:fldCharType="begin"/>
        </w:r>
        <w:r>
          <w:rPr>
            <w:noProof/>
            <w:webHidden/>
          </w:rPr>
          <w:instrText xml:space="preserve"> PAGEREF _Toc16000911 \h </w:instrText>
        </w:r>
        <w:r>
          <w:rPr>
            <w:noProof/>
            <w:webHidden/>
          </w:rPr>
        </w:r>
        <w:r>
          <w:rPr>
            <w:noProof/>
            <w:webHidden/>
          </w:rPr>
          <w:fldChar w:fldCharType="separate"/>
        </w:r>
        <w:r>
          <w:rPr>
            <w:noProof/>
            <w:webHidden/>
          </w:rPr>
          <w:t>296</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912" w:history="1">
        <w:r>
          <w:rPr>
            <w:rStyle w:val="Hyperlink"/>
            <w:noProof/>
          </w:rPr>
          <w:t>5.</w:t>
        </w:r>
        <w:r>
          <w:rPr>
            <w:rFonts w:asciiTheme="minorHAnsi" w:eastAsiaTheme="minorEastAsia" w:hAnsiTheme="minorHAnsi" w:cstheme="minorBidi"/>
            <w:noProof/>
            <w:sz w:val="22"/>
            <w:szCs w:val="22"/>
            <w:lang w:val="en-IE" w:eastAsia="en-IE"/>
          </w:rPr>
          <w:tab/>
        </w:r>
        <w:r>
          <w:rPr>
            <w:rStyle w:val="Hyperlink"/>
            <w:noProof/>
          </w:rPr>
          <w:t>Main open issues and follow-up actions</w:t>
        </w:r>
        <w:r>
          <w:rPr>
            <w:noProof/>
            <w:webHidden/>
          </w:rPr>
          <w:tab/>
        </w:r>
        <w:r>
          <w:rPr>
            <w:noProof/>
            <w:webHidden/>
          </w:rPr>
          <w:fldChar w:fldCharType="begin"/>
        </w:r>
        <w:r>
          <w:rPr>
            <w:noProof/>
            <w:webHidden/>
          </w:rPr>
          <w:instrText xml:space="preserve"> PAGEREF _Toc16000912 \h </w:instrText>
        </w:r>
        <w:r>
          <w:rPr>
            <w:noProof/>
            <w:webHidden/>
          </w:rPr>
        </w:r>
        <w:r>
          <w:rPr>
            <w:noProof/>
            <w:webHidden/>
          </w:rPr>
          <w:fldChar w:fldCharType="separate"/>
        </w:r>
        <w:r>
          <w:rPr>
            <w:noProof/>
            <w:webHidden/>
          </w:rPr>
          <w:t>297</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913" w:history="1">
        <w:r>
          <w:rPr>
            <w:rStyle w:val="Hyperlink"/>
            <w:noProof/>
          </w:rPr>
          <w:t>6.</w:t>
        </w:r>
        <w:r>
          <w:rPr>
            <w:rFonts w:asciiTheme="minorHAnsi" w:eastAsiaTheme="minorEastAsia" w:hAnsiTheme="minorHAnsi" w:cstheme="minorBidi"/>
            <w:noProof/>
            <w:sz w:val="22"/>
            <w:szCs w:val="22"/>
            <w:lang w:val="en-IE" w:eastAsia="en-IE"/>
          </w:rPr>
          <w:tab/>
        </w:r>
        <w:r>
          <w:rPr>
            <w:rStyle w:val="Hyperlink"/>
            <w:noProof/>
          </w:rPr>
          <w:t>Conclusions and outlook</w:t>
        </w:r>
        <w:r>
          <w:rPr>
            <w:noProof/>
            <w:webHidden/>
          </w:rPr>
          <w:tab/>
        </w:r>
        <w:r>
          <w:rPr>
            <w:noProof/>
            <w:webHidden/>
          </w:rPr>
          <w:fldChar w:fldCharType="begin"/>
        </w:r>
        <w:r>
          <w:rPr>
            <w:noProof/>
            <w:webHidden/>
          </w:rPr>
          <w:instrText xml:space="preserve"> PAGEREF _Toc16000913 \h </w:instrText>
        </w:r>
        <w:r>
          <w:rPr>
            <w:noProof/>
            <w:webHidden/>
          </w:rPr>
        </w:r>
        <w:r>
          <w:rPr>
            <w:noProof/>
            <w:webHidden/>
          </w:rPr>
          <w:fldChar w:fldCharType="separate"/>
        </w:r>
        <w:r>
          <w:rPr>
            <w:noProof/>
            <w:webHidden/>
          </w:rPr>
          <w:t>297</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914" w:history="1">
        <w:r>
          <w:rPr>
            <w:rStyle w:val="Hyperlink"/>
            <w:noProof/>
          </w:rPr>
          <w:t>7.</w:t>
        </w:r>
        <w:r>
          <w:rPr>
            <w:rFonts w:asciiTheme="minorHAnsi" w:eastAsiaTheme="minorEastAsia" w:hAnsiTheme="minorHAnsi" w:cstheme="minorBidi"/>
            <w:noProof/>
            <w:sz w:val="22"/>
            <w:szCs w:val="22"/>
            <w:lang w:val="en-IE" w:eastAsia="en-IE"/>
          </w:rPr>
          <w:tab/>
        </w:r>
        <w:r>
          <w:rPr>
            <w:rStyle w:val="Hyperlink"/>
            <w:noProof/>
          </w:rPr>
          <w:t>Statistics</w:t>
        </w:r>
        <w:r>
          <w:rPr>
            <w:noProof/>
            <w:webHidden/>
          </w:rPr>
          <w:tab/>
        </w:r>
        <w:r>
          <w:rPr>
            <w:noProof/>
            <w:webHidden/>
          </w:rPr>
          <w:fldChar w:fldCharType="begin"/>
        </w:r>
        <w:r>
          <w:rPr>
            <w:noProof/>
            <w:webHidden/>
          </w:rPr>
          <w:instrText xml:space="preserve"> PAGEREF _Toc16000914 \h </w:instrText>
        </w:r>
        <w:r>
          <w:rPr>
            <w:noProof/>
            <w:webHidden/>
          </w:rPr>
        </w:r>
        <w:r>
          <w:rPr>
            <w:noProof/>
            <w:webHidden/>
          </w:rPr>
          <w:fldChar w:fldCharType="separate"/>
        </w:r>
        <w:r>
          <w:rPr>
            <w:noProof/>
            <w:webHidden/>
          </w:rPr>
          <w:t>297</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en-IE" w:eastAsia="en-IE"/>
        </w:rPr>
      </w:pPr>
      <w:hyperlink w:anchor="_Toc16000915" w:history="1">
        <w:r>
          <w:rPr>
            <w:rStyle w:val="Hyperlink"/>
            <w:b/>
            <w:noProof/>
          </w:rPr>
          <w:t>ANNUAL INFO SHEET ON THE IMPLEMENTATION OF THE ECONOMIC PARTNERSHIP AGREEMENT (EPA) BETWEEN THE EU AND CARIFORUM</w:t>
        </w:r>
        <w:r>
          <w:rPr>
            <w:noProof/>
            <w:webHidden/>
          </w:rPr>
          <w:tab/>
        </w:r>
        <w:r>
          <w:rPr>
            <w:noProof/>
            <w:webHidden/>
          </w:rPr>
          <w:fldChar w:fldCharType="begin"/>
        </w:r>
        <w:r>
          <w:rPr>
            <w:noProof/>
            <w:webHidden/>
          </w:rPr>
          <w:instrText xml:space="preserve"> PAGEREF _Toc16000915 \h </w:instrText>
        </w:r>
        <w:r>
          <w:rPr>
            <w:noProof/>
            <w:webHidden/>
          </w:rPr>
        </w:r>
        <w:r>
          <w:rPr>
            <w:noProof/>
            <w:webHidden/>
          </w:rPr>
          <w:fldChar w:fldCharType="separate"/>
        </w:r>
        <w:r>
          <w:rPr>
            <w:noProof/>
            <w:webHidden/>
          </w:rPr>
          <w:t>300</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916" w:history="1">
        <w:r>
          <w:rPr>
            <w:rStyle w:val="Hyperlink"/>
            <w:noProof/>
          </w:rPr>
          <w:t>1.</w:t>
        </w:r>
        <w:r>
          <w:rPr>
            <w:rFonts w:asciiTheme="minorHAnsi" w:eastAsiaTheme="minorEastAsia" w:hAnsiTheme="minorHAnsi" w:cstheme="minorBidi"/>
            <w:noProof/>
            <w:sz w:val="22"/>
            <w:szCs w:val="22"/>
            <w:lang w:val="en-IE" w:eastAsia="en-IE"/>
          </w:rPr>
          <w:tab/>
        </w:r>
        <w:r>
          <w:rPr>
            <w:rStyle w:val="Hyperlink"/>
            <w:noProof/>
          </w:rPr>
          <w:t>Introduction</w:t>
        </w:r>
        <w:r>
          <w:rPr>
            <w:noProof/>
            <w:webHidden/>
          </w:rPr>
          <w:tab/>
        </w:r>
        <w:r>
          <w:rPr>
            <w:noProof/>
            <w:webHidden/>
          </w:rPr>
          <w:fldChar w:fldCharType="begin"/>
        </w:r>
        <w:r>
          <w:rPr>
            <w:noProof/>
            <w:webHidden/>
          </w:rPr>
          <w:instrText xml:space="preserve"> PAGEREF _Toc16000916 \h </w:instrText>
        </w:r>
        <w:r>
          <w:rPr>
            <w:noProof/>
            <w:webHidden/>
          </w:rPr>
        </w:r>
        <w:r>
          <w:rPr>
            <w:noProof/>
            <w:webHidden/>
          </w:rPr>
          <w:fldChar w:fldCharType="separate"/>
        </w:r>
        <w:r>
          <w:rPr>
            <w:noProof/>
            <w:webHidden/>
          </w:rPr>
          <w:t>300</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917" w:history="1">
        <w:r>
          <w:rPr>
            <w:rStyle w:val="Hyperlink"/>
            <w:noProof/>
          </w:rPr>
          <w:t>2.</w:t>
        </w:r>
        <w:r>
          <w:rPr>
            <w:rFonts w:asciiTheme="minorHAnsi" w:eastAsiaTheme="minorEastAsia" w:hAnsiTheme="minorHAnsi" w:cstheme="minorBidi"/>
            <w:noProof/>
            <w:sz w:val="22"/>
            <w:szCs w:val="22"/>
            <w:lang w:val="en-IE" w:eastAsia="en-IE"/>
          </w:rPr>
          <w:tab/>
        </w:r>
        <w:r>
          <w:rPr>
            <w:rStyle w:val="Hyperlink"/>
            <w:noProof/>
          </w:rPr>
          <w:t>Evolution of trade</w:t>
        </w:r>
        <w:r>
          <w:rPr>
            <w:noProof/>
            <w:webHidden/>
          </w:rPr>
          <w:tab/>
        </w:r>
        <w:r>
          <w:rPr>
            <w:noProof/>
            <w:webHidden/>
          </w:rPr>
          <w:fldChar w:fldCharType="begin"/>
        </w:r>
        <w:r>
          <w:rPr>
            <w:noProof/>
            <w:webHidden/>
          </w:rPr>
          <w:instrText xml:space="preserve"> PAGEREF _Toc16000917 \h </w:instrText>
        </w:r>
        <w:r>
          <w:rPr>
            <w:noProof/>
            <w:webHidden/>
          </w:rPr>
        </w:r>
        <w:r>
          <w:rPr>
            <w:noProof/>
            <w:webHidden/>
          </w:rPr>
          <w:fldChar w:fldCharType="separate"/>
        </w:r>
        <w:r>
          <w:rPr>
            <w:noProof/>
            <w:webHidden/>
          </w:rPr>
          <w:t>300</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918" w:history="1">
        <w:r>
          <w:rPr>
            <w:rStyle w:val="Hyperlink"/>
            <w:noProof/>
          </w:rPr>
          <w:t>2.1 Trade in goods</w:t>
        </w:r>
        <w:r>
          <w:rPr>
            <w:noProof/>
            <w:webHidden/>
          </w:rPr>
          <w:tab/>
        </w:r>
        <w:r>
          <w:rPr>
            <w:noProof/>
            <w:webHidden/>
          </w:rPr>
          <w:fldChar w:fldCharType="begin"/>
        </w:r>
        <w:r>
          <w:rPr>
            <w:noProof/>
            <w:webHidden/>
          </w:rPr>
          <w:instrText xml:space="preserve"> PAGEREF _Toc16000918 \h </w:instrText>
        </w:r>
        <w:r>
          <w:rPr>
            <w:noProof/>
            <w:webHidden/>
          </w:rPr>
        </w:r>
        <w:r>
          <w:rPr>
            <w:noProof/>
            <w:webHidden/>
          </w:rPr>
          <w:fldChar w:fldCharType="separate"/>
        </w:r>
        <w:r>
          <w:rPr>
            <w:noProof/>
            <w:webHidden/>
          </w:rPr>
          <w:t>300</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919" w:history="1">
        <w:r>
          <w:rPr>
            <w:rStyle w:val="Hyperlink"/>
            <w:noProof/>
          </w:rPr>
          <w:t>2.2 Trade in services</w:t>
        </w:r>
        <w:r>
          <w:rPr>
            <w:noProof/>
            <w:webHidden/>
          </w:rPr>
          <w:tab/>
        </w:r>
        <w:r>
          <w:rPr>
            <w:noProof/>
            <w:webHidden/>
          </w:rPr>
          <w:fldChar w:fldCharType="begin"/>
        </w:r>
        <w:r>
          <w:rPr>
            <w:noProof/>
            <w:webHidden/>
          </w:rPr>
          <w:instrText xml:space="preserve"> PAGEREF _Toc16000919 \h </w:instrText>
        </w:r>
        <w:r>
          <w:rPr>
            <w:noProof/>
            <w:webHidden/>
          </w:rPr>
        </w:r>
        <w:r>
          <w:rPr>
            <w:noProof/>
            <w:webHidden/>
          </w:rPr>
          <w:fldChar w:fldCharType="separate"/>
        </w:r>
        <w:r>
          <w:rPr>
            <w:noProof/>
            <w:webHidden/>
          </w:rPr>
          <w:t>302</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920" w:history="1">
        <w:r>
          <w:rPr>
            <w:rStyle w:val="Hyperlink"/>
            <w:noProof/>
          </w:rPr>
          <w:t>2.3 Foreign Direct investment (FDI)</w:t>
        </w:r>
        <w:r>
          <w:rPr>
            <w:noProof/>
            <w:webHidden/>
          </w:rPr>
          <w:tab/>
        </w:r>
        <w:r>
          <w:rPr>
            <w:noProof/>
            <w:webHidden/>
          </w:rPr>
          <w:fldChar w:fldCharType="begin"/>
        </w:r>
        <w:r>
          <w:rPr>
            <w:noProof/>
            <w:webHidden/>
          </w:rPr>
          <w:instrText xml:space="preserve"> PAGEREF _Toc16000920 \h </w:instrText>
        </w:r>
        <w:r>
          <w:rPr>
            <w:noProof/>
            <w:webHidden/>
          </w:rPr>
        </w:r>
        <w:r>
          <w:rPr>
            <w:noProof/>
            <w:webHidden/>
          </w:rPr>
          <w:fldChar w:fldCharType="separate"/>
        </w:r>
        <w:r>
          <w:rPr>
            <w:noProof/>
            <w:webHidden/>
          </w:rPr>
          <w:t>302</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921" w:history="1">
        <w:r>
          <w:rPr>
            <w:rStyle w:val="Hyperlink"/>
            <w:noProof/>
          </w:rPr>
          <w:t>3.</w:t>
        </w:r>
        <w:r>
          <w:rPr>
            <w:rFonts w:asciiTheme="minorHAnsi" w:eastAsiaTheme="minorEastAsia" w:hAnsiTheme="minorHAnsi" w:cstheme="minorBidi"/>
            <w:noProof/>
            <w:sz w:val="22"/>
            <w:szCs w:val="22"/>
            <w:lang w:val="en-IE" w:eastAsia="en-IE"/>
          </w:rPr>
          <w:tab/>
        </w:r>
        <w:r>
          <w:rPr>
            <w:rStyle w:val="Hyperlink"/>
            <w:noProof/>
          </w:rPr>
          <w:t>Issues addressed in the EPA Committee meetings</w:t>
        </w:r>
        <w:r>
          <w:rPr>
            <w:noProof/>
            <w:webHidden/>
          </w:rPr>
          <w:tab/>
        </w:r>
        <w:r>
          <w:rPr>
            <w:noProof/>
            <w:webHidden/>
          </w:rPr>
          <w:fldChar w:fldCharType="begin"/>
        </w:r>
        <w:r>
          <w:rPr>
            <w:noProof/>
            <w:webHidden/>
          </w:rPr>
          <w:instrText xml:space="preserve"> PAGEREF _Toc16000921 \h </w:instrText>
        </w:r>
        <w:r>
          <w:rPr>
            <w:noProof/>
            <w:webHidden/>
          </w:rPr>
        </w:r>
        <w:r>
          <w:rPr>
            <w:noProof/>
            <w:webHidden/>
          </w:rPr>
          <w:fldChar w:fldCharType="separate"/>
        </w:r>
        <w:r>
          <w:rPr>
            <w:noProof/>
            <w:webHidden/>
          </w:rPr>
          <w:t>303</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922" w:history="1">
        <w:r>
          <w:rPr>
            <w:rStyle w:val="Hyperlink"/>
            <w:noProof/>
          </w:rPr>
          <w:t>4.</w:t>
        </w:r>
        <w:r>
          <w:rPr>
            <w:rFonts w:asciiTheme="minorHAnsi" w:eastAsiaTheme="minorEastAsia" w:hAnsiTheme="minorHAnsi" w:cstheme="minorBidi"/>
            <w:noProof/>
            <w:sz w:val="22"/>
            <w:szCs w:val="22"/>
            <w:lang w:val="en-IE" w:eastAsia="en-IE"/>
          </w:rPr>
          <w:tab/>
        </w:r>
        <w:r>
          <w:rPr>
            <w:rStyle w:val="Hyperlink"/>
            <w:noProof/>
          </w:rPr>
          <w:t>Specific areas of importance</w:t>
        </w:r>
        <w:r>
          <w:rPr>
            <w:noProof/>
            <w:webHidden/>
          </w:rPr>
          <w:tab/>
        </w:r>
        <w:r>
          <w:rPr>
            <w:noProof/>
            <w:webHidden/>
          </w:rPr>
          <w:fldChar w:fldCharType="begin"/>
        </w:r>
        <w:r>
          <w:rPr>
            <w:noProof/>
            <w:webHidden/>
          </w:rPr>
          <w:instrText xml:space="preserve"> PAGEREF _Toc16000922 \h </w:instrText>
        </w:r>
        <w:r>
          <w:rPr>
            <w:noProof/>
            <w:webHidden/>
          </w:rPr>
        </w:r>
        <w:r>
          <w:rPr>
            <w:noProof/>
            <w:webHidden/>
          </w:rPr>
          <w:fldChar w:fldCharType="separate"/>
        </w:r>
        <w:r>
          <w:rPr>
            <w:noProof/>
            <w:webHidden/>
          </w:rPr>
          <w:t>304</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923" w:history="1">
        <w:r>
          <w:rPr>
            <w:rStyle w:val="Hyperlink"/>
            <w:noProof/>
          </w:rPr>
          <w:t>5.</w:t>
        </w:r>
        <w:r>
          <w:rPr>
            <w:rFonts w:asciiTheme="minorHAnsi" w:eastAsiaTheme="minorEastAsia" w:hAnsiTheme="minorHAnsi" w:cstheme="minorBidi"/>
            <w:noProof/>
            <w:sz w:val="22"/>
            <w:szCs w:val="22"/>
            <w:lang w:val="en-IE" w:eastAsia="en-IE"/>
          </w:rPr>
          <w:tab/>
        </w:r>
        <w:r>
          <w:rPr>
            <w:rStyle w:val="Hyperlink"/>
            <w:noProof/>
          </w:rPr>
          <w:t>Progress made, main open issues and follow-up actions</w:t>
        </w:r>
        <w:r>
          <w:rPr>
            <w:noProof/>
            <w:webHidden/>
          </w:rPr>
          <w:tab/>
        </w:r>
        <w:r>
          <w:rPr>
            <w:noProof/>
            <w:webHidden/>
          </w:rPr>
          <w:fldChar w:fldCharType="begin"/>
        </w:r>
        <w:r>
          <w:rPr>
            <w:noProof/>
            <w:webHidden/>
          </w:rPr>
          <w:instrText xml:space="preserve"> PAGEREF _Toc16000923 \h </w:instrText>
        </w:r>
        <w:r>
          <w:rPr>
            <w:noProof/>
            <w:webHidden/>
          </w:rPr>
        </w:r>
        <w:r>
          <w:rPr>
            <w:noProof/>
            <w:webHidden/>
          </w:rPr>
          <w:fldChar w:fldCharType="separate"/>
        </w:r>
        <w:r>
          <w:rPr>
            <w:noProof/>
            <w:webHidden/>
          </w:rPr>
          <w:t>307</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924" w:history="1">
        <w:r>
          <w:rPr>
            <w:rStyle w:val="Hyperlink"/>
            <w:noProof/>
          </w:rPr>
          <w:t>6.</w:t>
        </w:r>
        <w:r>
          <w:rPr>
            <w:rFonts w:asciiTheme="minorHAnsi" w:eastAsiaTheme="minorEastAsia" w:hAnsiTheme="minorHAnsi" w:cstheme="minorBidi"/>
            <w:noProof/>
            <w:sz w:val="22"/>
            <w:szCs w:val="22"/>
            <w:lang w:val="en-IE" w:eastAsia="en-IE"/>
          </w:rPr>
          <w:tab/>
        </w:r>
        <w:r>
          <w:rPr>
            <w:rStyle w:val="Hyperlink"/>
            <w:noProof/>
          </w:rPr>
          <w:t>Conclusions and outlook</w:t>
        </w:r>
        <w:r>
          <w:rPr>
            <w:noProof/>
            <w:webHidden/>
          </w:rPr>
          <w:tab/>
        </w:r>
        <w:r>
          <w:rPr>
            <w:noProof/>
            <w:webHidden/>
          </w:rPr>
          <w:fldChar w:fldCharType="begin"/>
        </w:r>
        <w:r>
          <w:rPr>
            <w:noProof/>
            <w:webHidden/>
          </w:rPr>
          <w:instrText xml:space="preserve"> PAGEREF _Toc16000924 \h </w:instrText>
        </w:r>
        <w:r>
          <w:rPr>
            <w:noProof/>
            <w:webHidden/>
          </w:rPr>
        </w:r>
        <w:r>
          <w:rPr>
            <w:noProof/>
            <w:webHidden/>
          </w:rPr>
          <w:fldChar w:fldCharType="separate"/>
        </w:r>
        <w:r>
          <w:rPr>
            <w:noProof/>
            <w:webHidden/>
          </w:rPr>
          <w:t>307</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925" w:history="1">
        <w:r>
          <w:rPr>
            <w:rStyle w:val="Hyperlink"/>
            <w:noProof/>
          </w:rPr>
          <w:t>7.</w:t>
        </w:r>
        <w:r>
          <w:rPr>
            <w:rFonts w:asciiTheme="minorHAnsi" w:eastAsiaTheme="minorEastAsia" w:hAnsiTheme="minorHAnsi" w:cstheme="minorBidi"/>
            <w:noProof/>
            <w:sz w:val="22"/>
            <w:szCs w:val="22"/>
            <w:lang w:val="en-IE" w:eastAsia="en-IE"/>
          </w:rPr>
          <w:tab/>
        </w:r>
        <w:r>
          <w:rPr>
            <w:rStyle w:val="Hyperlink"/>
            <w:noProof/>
          </w:rPr>
          <w:t>Statistics</w:t>
        </w:r>
        <w:r>
          <w:rPr>
            <w:noProof/>
            <w:webHidden/>
          </w:rPr>
          <w:tab/>
        </w:r>
        <w:r>
          <w:rPr>
            <w:noProof/>
            <w:webHidden/>
          </w:rPr>
          <w:fldChar w:fldCharType="begin"/>
        </w:r>
        <w:r>
          <w:rPr>
            <w:noProof/>
            <w:webHidden/>
          </w:rPr>
          <w:instrText xml:space="preserve"> PAGEREF _Toc16000925 \h </w:instrText>
        </w:r>
        <w:r>
          <w:rPr>
            <w:noProof/>
            <w:webHidden/>
          </w:rPr>
        </w:r>
        <w:r>
          <w:rPr>
            <w:noProof/>
            <w:webHidden/>
          </w:rPr>
          <w:fldChar w:fldCharType="separate"/>
        </w:r>
        <w:r>
          <w:rPr>
            <w:noProof/>
            <w:webHidden/>
          </w:rPr>
          <w:t>307</w:t>
        </w:r>
        <w:r>
          <w:rPr>
            <w:noProof/>
            <w:webHidden/>
          </w:rPr>
          <w:fldChar w:fldCharType="end"/>
        </w:r>
      </w:hyperlink>
    </w:p>
    <w:p>
      <w:pPr>
        <w:pStyle w:val="TOC1"/>
        <w:tabs>
          <w:tab w:val="right" w:leader="dot" w:pos="9062"/>
        </w:tabs>
        <w:rPr>
          <w:rFonts w:asciiTheme="minorHAnsi" w:eastAsiaTheme="minorEastAsia" w:hAnsiTheme="minorHAnsi" w:cstheme="minorBidi"/>
          <w:noProof/>
          <w:sz w:val="22"/>
          <w:szCs w:val="22"/>
          <w:lang w:val="en-IE" w:eastAsia="en-IE"/>
        </w:rPr>
      </w:pPr>
      <w:hyperlink w:anchor="_Toc16000926" w:history="1">
        <w:r>
          <w:rPr>
            <w:rStyle w:val="Hyperlink"/>
            <w:b/>
            <w:noProof/>
          </w:rPr>
          <w:t>ANNUAL INFO SHEET ON THE IMPLEMENTATION OF THE ECONOMIC PARTNERSHIP AGREEMENT (EPA) BETWEEN THE EU AND PACIFIC STATES</w:t>
        </w:r>
        <w:r>
          <w:rPr>
            <w:noProof/>
            <w:webHidden/>
          </w:rPr>
          <w:tab/>
        </w:r>
        <w:r>
          <w:rPr>
            <w:noProof/>
            <w:webHidden/>
          </w:rPr>
          <w:fldChar w:fldCharType="begin"/>
        </w:r>
        <w:r>
          <w:rPr>
            <w:noProof/>
            <w:webHidden/>
          </w:rPr>
          <w:instrText xml:space="preserve"> PAGEREF _Toc16000926 \h </w:instrText>
        </w:r>
        <w:r>
          <w:rPr>
            <w:noProof/>
            <w:webHidden/>
          </w:rPr>
        </w:r>
        <w:r>
          <w:rPr>
            <w:noProof/>
            <w:webHidden/>
          </w:rPr>
          <w:fldChar w:fldCharType="separate"/>
        </w:r>
        <w:r>
          <w:rPr>
            <w:noProof/>
            <w:webHidden/>
          </w:rPr>
          <w:t>309</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927" w:history="1">
        <w:r>
          <w:rPr>
            <w:rStyle w:val="Hyperlink"/>
            <w:noProof/>
          </w:rPr>
          <w:t>1.</w:t>
        </w:r>
        <w:r>
          <w:rPr>
            <w:rFonts w:asciiTheme="minorHAnsi" w:eastAsiaTheme="minorEastAsia" w:hAnsiTheme="minorHAnsi" w:cstheme="minorBidi"/>
            <w:noProof/>
            <w:sz w:val="22"/>
            <w:szCs w:val="22"/>
            <w:lang w:val="en-IE" w:eastAsia="en-IE"/>
          </w:rPr>
          <w:tab/>
        </w:r>
        <w:r>
          <w:rPr>
            <w:rStyle w:val="Hyperlink"/>
            <w:noProof/>
          </w:rPr>
          <w:t>Introduction</w:t>
        </w:r>
        <w:r>
          <w:rPr>
            <w:noProof/>
            <w:webHidden/>
          </w:rPr>
          <w:tab/>
        </w:r>
        <w:r>
          <w:rPr>
            <w:noProof/>
            <w:webHidden/>
          </w:rPr>
          <w:fldChar w:fldCharType="begin"/>
        </w:r>
        <w:r>
          <w:rPr>
            <w:noProof/>
            <w:webHidden/>
          </w:rPr>
          <w:instrText xml:space="preserve"> PAGEREF _Toc16000927 \h </w:instrText>
        </w:r>
        <w:r>
          <w:rPr>
            <w:noProof/>
            <w:webHidden/>
          </w:rPr>
        </w:r>
        <w:r>
          <w:rPr>
            <w:noProof/>
            <w:webHidden/>
          </w:rPr>
          <w:fldChar w:fldCharType="separate"/>
        </w:r>
        <w:r>
          <w:rPr>
            <w:noProof/>
            <w:webHidden/>
          </w:rPr>
          <w:t>309</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928" w:history="1">
        <w:r>
          <w:rPr>
            <w:rStyle w:val="Hyperlink"/>
            <w:noProof/>
          </w:rPr>
          <w:t>2.</w:t>
        </w:r>
        <w:r>
          <w:rPr>
            <w:rFonts w:asciiTheme="minorHAnsi" w:eastAsiaTheme="minorEastAsia" w:hAnsiTheme="minorHAnsi" w:cstheme="minorBidi"/>
            <w:noProof/>
            <w:sz w:val="22"/>
            <w:szCs w:val="22"/>
            <w:lang w:val="en-IE" w:eastAsia="en-IE"/>
          </w:rPr>
          <w:tab/>
        </w:r>
        <w:r>
          <w:rPr>
            <w:rStyle w:val="Hyperlink"/>
            <w:noProof/>
          </w:rPr>
          <w:t>Evolution of trade</w:t>
        </w:r>
        <w:r>
          <w:rPr>
            <w:noProof/>
            <w:webHidden/>
          </w:rPr>
          <w:tab/>
        </w:r>
        <w:r>
          <w:rPr>
            <w:noProof/>
            <w:webHidden/>
          </w:rPr>
          <w:fldChar w:fldCharType="begin"/>
        </w:r>
        <w:r>
          <w:rPr>
            <w:noProof/>
            <w:webHidden/>
          </w:rPr>
          <w:instrText xml:space="preserve"> PAGEREF _Toc16000928 \h </w:instrText>
        </w:r>
        <w:r>
          <w:rPr>
            <w:noProof/>
            <w:webHidden/>
          </w:rPr>
        </w:r>
        <w:r>
          <w:rPr>
            <w:noProof/>
            <w:webHidden/>
          </w:rPr>
          <w:fldChar w:fldCharType="separate"/>
        </w:r>
        <w:r>
          <w:rPr>
            <w:noProof/>
            <w:webHidden/>
          </w:rPr>
          <w:t>309</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929" w:history="1">
        <w:r>
          <w:rPr>
            <w:rStyle w:val="Hyperlink"/>
            <w:noProof/>
          </w:rPr>
          <w:t>2.1 Trade in goods</w:t>
        </w:r>
        <w:r>
          <w:rPr>
            <w:noProof/>
            <w:webHidden/>
          </w:rPr>
          <w:tab/>
        </w:r>
        <w:r>
          <w:rPr>
            <w:noProof/>
            <w:webHidden/>
          </w:rPr>
          <w:fldChar w:fldCharType="begin"/>
        </w:r>
        <w:r>
          <w:rPr>
            <w:noProof/>
            <w:webHidden/>
          </w:rPr>
          <w:instrText xml:space="preserve"> PAGEREF _Toc16000929 \h </w:instrText>
        </w:r>
        <w:r>
          <w:rPr>
            <w:noProof/>
            <w:webHidden/>
          </w:rPr>
        </w:r>
        <w:r>
          <w:rPr>
            <w:noProof/>
            <w:webHidden/>
          </w:rPr>
          <w:fldChar w:fldCharType="separate"/>
        </w:r>
        <w:r>
          <w:rPr>
            <w:noProof/>
            <w:webHidden/>
          </w:rPr>
          <w:t>309</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930" w:history="1">
        <w:r>
          <w:rPr>
            <w:rStyle w:val="Hyperlink"/>
            <w:noProof/>
          </w:rPr>
          <w:t>2.2 Trade in services</w:t>
        </w:r>
        <w:r>
          <w:rPr>
            <w:noProof/>
            <w:webHidden/>
          </w:rPr>
          <w:tab/>
        </w:r>
        <w:r>
          <w:rPr>
            <w:noProof/>
            <w:webHidden/>
          </w:rPr>
          <w:fldChar w:fldCharType="begin"/>
        </w:r>
        <w:r>
          <w:rPr>
            <w:noProof/>
            <w:webHidden/>
          </w:rPr>
          <w:instrText xml:space="preserve"> PAGEREF _Toc16000930 \h </w:instrText>
        </w:r>
        <w:r>
          <w:rPr>
            <w:noProof/>
            <w:webHidden/>
          </w:rPr>
        </w:r>
        <w:r>
          <w:rPr>
            <w:noProof/>
            <w:webHidden/>
          </w:rPr>
          <w:fldChar w:fldCharType="separate"/>
        </w:r>
        <w:r>
          <w:rPr>
            <w:noProof/>
            <w:webHidden/>
          </w:rPr>
          <w:t>311</w:t>
        </w:r>
        <w:r>
          <w:rPr>
            <w:noProof/>
            <w:webHidden/>
          </w:rPr>
          <w:fldChar w:fldCharType="end"/>
        </w:r>
      </w:hyperlink>
    </w:p>
    <w:p>
      <w:pPr>
        <w:pStyle w:val="TOC3"/>
        <w:tabs>
          <w:tab w:val="right" w:leader="dot" w:pos="9062"/>
        </w:tabs>
        <w:rPr>
          <w:rFonts w:asciiTheme="minorHAnsi" w:eastAsiaTheme="minorEastAsia" w:hAnsiTheme="minorHAnsi" w:cstheme="minorBidi"/>
          <w:noProof/>
          <w:sz w:val="22"/>
          <w:szCs w:val="22"/>
          <w:lang w:val="en-IE" w:eastAsia="en-IE"/>
        </w:rPr>
      </w:pPr>
      <w:hyperlink w:anchor="_Toc16000931" w:history="1">
        <w:r>
          <w:rPr>
            <w:rStyle w:val="Hyperlink"/>
            <w:noProof/>
          </w:rPr>
          <w:t>2.3 Foreign Direct investment (FDI)</w:t>
        </w:r>
        <w:r>
          <w:rPr>
            <w:noProof/>
            <w:webHidden/>
          </w:rPr>
          <w:tab/>
        </w:r>
        <w:r>
          <w:rPr>
            <w:noProof/>
            <w:webHidden/>
          </w:rPr>
          <w:fldChar w:fldCharType="begin"/>
        </w:r>
        <w:r>
          <w:rPr>
            <w:noProof/>
            <w:webHidden/>
          </w:rPr>
          <w:instrText xml:space="preserve"> PAGEREF _Toc16000931 \h </w:instrText>
        </w:r>
        <w:r>
          <w:rPr>
            <w:noProof/>
            <w:webHidden/>
          </w:rPr>
        </w:r>
        <w:r>
          <w:rPr>
            <w:noProof/>
            <w:webHidden/>
          </w:rPr>
          <w:fldChar w:fldCharType="separate"/>
        </w:r>
        <w:r>
          <w:rPr>
            <w:noProof/>
            <w:webHidden/>
          </w:rPr>
          <w:t>312</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932" w:history="1">
        <w:r>
          <w:rPr>
            <w:rStyle w:val="Hyperlink"/>
            <w:noProof/>
          </w:rPr>
          <w:t>3.</w:t>
        </w:r>
        <w:r>
          <w:rPr>
            <w:rFonts w:asciiTheme="minorHAnsi" w:eastAsiaTheme="minorEastAsia" w:hAnsiTheme="minorHAnsi" w:cstheme="minorBidi"/>
            <w:noProof/>
            <w:sz w:val="22"/>
            <w:szCs w:val="22"/>
            <w:lang w:val="en-IE" w:eastAsia="en-IE"/>
          </w:rPr>
          <w:tab/>
        </w:r>
        <w:r>
          <w:rPr>
            <w:rStyle w:val="Hyperlink"/>
            <w:noProof/>
          </w:rPr>
          <w:t>Issues addressed in the EPA Committee meetings</w:t>
        </w:r>
        <w:r>
          <w:rPr>
            <w:noProof/>
            <w:webHidden/>
          </w:rPr>
          <w:tab/>
        </w:r>
        <w:r>
          <w:rPr>
            <w:noProof/>
            <w:webHidden/>
          </w:rPr>
          <w:fldChar w:fldCharType="begin"/>
        </w:r>
        <w:r>
          <w:rPr>
            <w:noProof/>
            <w:webHidden/>
          </w:rPr>
          <w:instrText xml:space="preserve"> PAGEREF _Toc16000932 \h </w:instrText>
        </w:r>
        <w:r>
          <w:rPr>
            <w:noProof/>
            <w:webHidden/>
          </w:rPr>
        </w:r>
        <w:r>
          <w:rPr>
            <w:noProof/>
            <w:webHidden/>
          </w:rPr>
          <w:fldChar w:fldCharType="separate"/>
        </w:r>
        <w:r>
          <w:rPr>
            <w:noProof/>
            <w:webHidden/>
          </w:rPr>
          <w:t>312</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933" w:history="1">
        <w:r>
          <w:rPr>
            <w:rStyle w:val="Hyperlink"/>
            <w:noProof/>
          </w:rPr>
          <w:t>4.</w:t>
        </w:r>
        <w:r>
          <w:rPr>
            <w:rFonts w:asciiTheme="minorHAnsi" w:eastAsiaTheme="minorEastAsia" w:hAnsiTheme="minorHAnsi" w:cstheme="minorBidi"/>
            <w:noProof/>
            <w:sz w:val="22"/>
            <w:szCs w:val="22"/>
            <w:lang w:val="en-IE" w:eastAsia="en-IE"/>
          </w:rPr>
          <w:tab/>
        </w:r>
        <w:r>
          <w:rPr>
            <w:rStyle w:val="Hyperlink"/>
            <w:noProof/>
          </w:rPr>
          <w:t>Development Cooperation</w:t>
        </w:r>
        <w:r>
          <w:rPr>
            <w:noProof/>
            <w:webHidden/>
          </w:rPr>
          <w:tab/>
        </w:r>
        <w:r>
          <w:rPr>
            <w:noProof/>
            <w:webHidden/>
          </w:rPr>
          <w:fldChar w:fldCharType="begin"/>
        </w:r>
        <w:r>
          <w:rPr>
            <w:noProof/>
            <w:webHidden/>
          </w:rPr>
          <w:instrText xml:space="preserve"> PAGEREF _Toc16000933 \h </w:instrText>
        </w:r>
        <w:r>
          <w:rPr>
            <w:noProof/>
            <w:webHidden/>
          </w:rPr>
        </w:r>
        <w:r>
          <w:rPr>
            <w:noProof/>
            <w:webHidden/>
          </w:rPr>
          <w:fldChar w:fldCharType="separate"/>
        </w:r>
        <w:r>
          <w:rPr>
            <w:noProof/>
            <w:webHidden/>
          </w:rPr>
          <w:t>313</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934" w:history="1">
        <w:r>
          <w:rPr>
            <w:rStyle w:val="Hyperlink"/>
            <w:noProof/>
          </w:rPr>
          <w:t>5.</w:t>
        </w:r>
        <w:r>
          <w:rPr>
            <w:rFonts w:asciiTheme="minorHAnsi" w:eastAsiaTheme="minorEastAsia" w:hAnsiTheme="minorHAnsi" w:cstheme="minorBidi"/>
            <w:noProof/>
            <w:sz w:val="22"/>
            <w:szCs w:val="22"/>
            <w:lang w:val="en-IE" w:eastAsia="en-IE"/>
          </w:rPr>
          <w:tab/>
        </w:r>
        <w:r>
          <w:rPr>
            <w:rStyle w:val="Hyperlink"/>
            <w:noProof/>
          </w:rPr>
          <w:t>Progress made, main open issues and follow-up actions</w:t>
        </w:r>
        <w:r>
          <w:rPr>
            <w:noProof/>
            <w:webHidden/>
          </w:rPr>
          <w:tab/>
        </w:r>
        <w:r>
          <w:rPr>
            <w:noProof/>
            <w:webHidden/>
          </w:rPr>
          <w:fldChar w:fldCharType="begin"/>
        </w:r>
        <w:r>
          <w:rPr>
            <w:noProof/>
            <w:webHidden/>
          </w:rPr>
          <w:instrText xml:space="preserve"> PAGEREF _Toc16000934 \h </w:instrText>
        </w:r>
        <w:r>
          <w:rPr>
            <w:noProof/>
            <w:webHidden/>
          </w:rPr>
        </w:r>
        <w:r>
          <w:rPr>
            <w:noProof/>
            <w:webHidden/>
          </w:rPr>
          <w:fldChar w:fldCharType="separate"/>
        </w:r>
        <w:r>
          <w:rPr>
            <w:noProof/>
            <w:webHidden/>
          </w:rPr>
          <w:t>313</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935" w:history="1">
        <w:r>
          <w:rPr>
            <w:rStyle w:val="Hyperlink"/>
            <w:noProof/>
          </w:rPr>
          <w:t>6.</w:t>
        </w:r>
        <w:r>
          <w:rPr>
            <w:rFonts w:asciiTheme="minorHAnsi" w:eastAsiaTheme="minorEastAsia" w:hAnsiTheme="minorHAnsi" w:cstheme="minorBidi"/>
            <w:noProof/>
            <w:sz w:val="22"/>
            <w:szCs w:val="22"/>
            <w:lang w:val="en-IE" w:eastAsia="en-IE"/>
          </w:rPr>
          <w:tab/>
        </w:r>
        <w:r>
          <w:rPr>
            <w:rStyle w:val="Hyperlink"/>
            <w:noProof/>
          </w:rPr>
          <w:t>Conclusions and outlook</w:t>
        </w:r>
        <w:r>
          <w:rPr>
            <w:noProof/>
            <w:webHidden/>
          </w:rPr>
          <w:tab/>
        </w:r>
        <w:r>
          <w:rPr>
            <w:noProof/>
            <w:webHidden/>
          </w:rPr>
          <w:fldChar w:fldCharType="begin"/>
        </w:r>
        <w:r>
          <w:rPr>
            <w:noProof/>
            <w:webHidden/>
          </w:rPr>
          <w:instrText xml:space="preserve"> PAGEREF _Toc16000935 \h </w:instrText>
        </w:r>
        <w:r>
          <w:rPr>
            <w:noProof/>
            <w:webHidden/>
          </w:rPr>
        </w:r>
        <w:r>
          <w:rPr>
            <w:noProof/>
            <w:webHidden/>
          </w:rPr>
          <w:fldChar w:fldCharType="separate"/>
        </w:r>
        <w:r>
          <w:rPr>
            <w:noProof/>
            <w:webHidden/>
          </w:rPr>
          <w:t>314</w:t>
        </w:r>
        <w:r>
          <w:rPr>
            <w:noProof/>
            <w:webHidden/>
          </w:rPr>
          <w:fldChar w:fldCharType="end"/>
        </w:r>
      </w:hyperlink>
    </w:p>
    <w:p>
      <w:pPr>
        <w:pStyle w:val="TOC2"/>
        <w:tabs>
          <w:tab w:val="left" w:pos="660"/>
          <w:tab w:val="right" w:leader="dot" w:pos="9062"/>
        </w:tabs>
        <w:rPr>
          <w:rFonts w:asciiTheme="minorHAnsi" w:eastAsiaTheme="minorEastAsia" w:hAnsiTheme="minorHAnsi" w:cstheme="minorBidi"/>
          <w:noProof/>
          <w:sz w:val="22"/>
          <w:szCs w:val="22"/>
          <w:lang w:val="en-IE" w:eastAsia="en-IE"/>
        </w:rPr>
      </w:pPr>
      <w:hyperlink w:anchor="_Toc16000936" w:history="1">
        <w:r>
          <w:rPr>
            <w:rStyle w:val="Hyperlink"/>
            <w:noProof/>
          </w:rPr>
          <w:t>7.</w:t>
        </w:r>
        <w:r>
          <w:rPr>
            <w:rFonts w:asciiTheme="minorHAnsi" w:eastAsiaTheme="minorEastAsia" w:hAnsiTheme="minorHAnsi" w:cstheme="minorBidi"/>
            <w:noProof/>
            <w:sz w:val="22"/>
            <w:szCs w:val="22"/>
            <w:lang w:val="en-IE" w:eastAsia="en-IE"/>
          </w:rPr>
          <w:tab/>
        </w:r>
        <w:r>
          <w:rPr>
            <w:rStyle w:val="Hyperlink"/>
            <w:noProof/>
          </w:rPr>
          <w:t>Statistics</w:t>
        </w:r>
        <w:r>
          <w:rPr>
            <w:noProof/>
            <w:webHidden/>
          </w:rPr>
          <w:tab/>
        </w:r>
        <w:r>
          <w:rPr>
            <w:noProof/>
            <w:webHidden/>
          </w:rPr>
          <w:fldChar w:fldCharType="begin"/>
        </w:r>
        <w:r>
          <w:rPr>
            <w:noProof/>
            <w:webHidden/>
          </w:rPr>
          <w:instrText xml:space="preserve"> PAGEREF _Toc16000936 \h </w:instrText>
        </w:r>
        <w:r>
          <w:rPr>
            <w:noProof/>
            <w:webHidden/>
          </w:rPr>
        </w:r>
        <w:r>
          <w:rPr>
            <w:noProof/>
            <w:webHidden/>
          </w:rPr>
          <w:fldChar w:fldCharType="separate"/>
        </w:r>
        <w:r>
          <w:rPr>
            <w:noProof/>
            <w:webHidden/>
          </w:rPr>
          <w:t>314</w:t>
        </w:r>
        <w:r>
          <w:rPr>
            <w:noProof/>
            <w:webHidden/>
          </w:rPr>
          <w:fldChar w:fldCharType="end"/>
        </w:r>
      </w:hyperlink>
    </w:p>
    <w:p>
      <w:pPr>
        <w:spacing w:after="200" w:line="276" w:lineRule="auto"/>
        <w:rPr>
          <w:noProof/>
        </w:rPr>
      </w:pPr>
      <w:r>
        <w:rPr>
          <w:b/>
          <w:bCs/>
          <w:noProof/>
          <w:lang w:val="en-US"/>
        </w:rPr>
        <w:fldChar w:fldCharType="end"/>
      </w:r>
      <w:r>
        <w:rPr>
          <w:noProof/>
        </w:rPr>
        <w:br w:type="page"/>
      </w:r>
    </w:p>
    <w:p>
      <w:pPr>
        <w:pStyle w:val="ChapterHead"/>
        <w:jc w:val="both"/>
        <w:rPr>
          <w:b/>
          <w:noProof/>
        </w:rPr>
      </w:pPr>
      <w:bookmarkStart w:id="2" w:name="_Toc8833435"/>
      <w:bookmarkStart w:id="3" w:name="_Toc8834348"/>
      <w:bookmarkStart w:id="4" w:name="_Toc8835262"/>
      <w:bookmarkStart w:id="5" w:name="_Toc8833892"/>
      <w:bookmarkStart w:id="6" w:name="_Toc8909355"/>
      <w:bookmarkStart w:id="7" w:name="_Toc8910567"/>
      <w:bookmarkStart w:id="8" w:name="_Toc8911604"/>
      <w:bookmarkStart w:id="9" w:name="_Toc8974410"/>
      <w:bookmarkStart w:id="10" w:name="_Toc9008076"/>
      <w:bookmarkStart w:id="11" w:name="_Toc9008029"/>
      <w:bookmarkStart w:id="12" w:name="_Toc9348477"/>
      <w:bookmarkStart w:id="13" w:name="_Toc9607929"/>
      <w:bookmarkStart w:id="14" w:name="_Toc16000506"/>
      <w:r>
        <w:rPr>
          <w:b/>
          <w:noProof/>
        </w:rPr>
        <w:lastRenderedPageBreak/>
        <w:t>DATA USED FOR THE COMPILATION OF INDIVIDUAL REPORTS AND INFORMATION SHEETS</w:t>
      </w:r>
      <w:bookmarkEnd w:id="2"/>
      <w:bookmarkEnd w:id="3"/>
      <w:bookmarkEnd w:id="4"/>
      <w:bookmarkEnd w:id="5"/>
      <w:bookmarkEnd w:id="6"/>
      <w:bookmarkEnd w:id="7"/>
      <w:bookmarkEnd w:id="8"/>
      <w:bookmarkEnd w:id="9"/>
      <w:bookmarkEnd w:id="10"/>
      <w:bookmarkEnd w:id="11"/>
      <w:bookmarkEnd w:id="12"/>
      <w:bookmarkEnd w:id="13"/>
      <w:bookmarkEnd w:id="14"/>
    </w:p>
    <w:p>
      <w:pPr>
        <w:rPr>
          <w:noProof/>
        </w:rPr>
      </w:pPr>
    </w:p>
    <w:p>
      <w:pPr>
        <w:keepNext/>
        <w:spacing w:after="120"/>
        <w:jc w:val="both"/>
        <w:rPr>
          <w:noProof/>
        </w:rPr>
      </w:pPr>
      <w:r>
        <w:rPr>
          <w:noProof/>
        </w:rPr>
        <w:t xml:space="preserve">The trade statistics used in this report and the attached staff working document on the evolution of trade and investment flows are based on EUROSTAT data as available on </w:t>
      </w:r>
      <w:r>
        <w:rPr>
          <w:bCs/>
          <w:noProof/>
        </w:rPr>
        <w:t xml:space="preserve">30 March 2019, </w:t>
      </w:r>
      <w:r>
        <w:rPr>
          <w:noProof/>
        </w:rPr>
        <w:t xml:space="preserve">except where indicated otherwise. The most recent annual data available for trade in goods are for 2018, and for services and investment for 2017, except where indicated otherwise. </w:t>
      </w:r>
    </w:p>
    <w:p>
      <w:pPr>
        <w:rPr>
          <w:noProof/>
        </w:rPr>
      </w:pPr>
    </w:p>
    <w:p>
      <w:pPr>
        <w:spacing w:after="200" w:line="276" w:lineRule="auto"/>
        <w:rPr>
          <w:noProof/>
        </w:rPr>
      </w:pPr>
      <w:r>
        <w:rPr>
          <w:noProof/>
        </w:rPr>
        <w:br w:type="page"/>
      </w:r>
    </w:p>
    <w:p>
      <w:pPr>
        <w:pStyle w:val="ChapterHead"/>
        <w:rPr>
          <w:b/>
          <w:noProof/>
        </w:rPr>
      </w:pPr>
      <w:bookmarkStart w:id="15" w:name="_Toc8833436"/>
      <w:bookmarkStart w:id="16" w:name="_Toc8834349"/>
      <w:bookmarkStart w:id="17" w:name="_Toc8835263"/>
      <w:bookmarkStart w:id="18" w:name="_Toc8833893"/>
      <w:bookmarkStart w:id="19" w:name="_Toc8909356"/>
      <w:bookmarkStart w:id="20" w:name="_Toc8910568"/>
      <w:bookmarkStart w:id="21" w:name="_Toc8911605"/>
      <w:bookmarkStart w:id="22" w:name="_Toc8974411"/>
      <w:bookmarkStart w:id="23" w:name="_Toc9008077"/>
      <w:bookmarkStart w:id="24" w:name="_Toc9008030"/>
      <w:bookmarkStart w:id="25" w:name="_Toc9348478"/>
      <w:bookmarkStart w:id="26" w:name="_Toc9607930"/>
      <w:bookmarkStart w:id="27" w:name="_Toc16000507"/>
      <w:r>
        <w:rPr>
          <w:b/>
          <w:noProof/>
        </w:rPr>
        <w:lastRenderedPageBreak/>
        <w:t xml:space="preserve">PART I: </w:t>
      </w:r>
      <w:r>
        <w:rPr>
          <w:b/>
          <w:noProof/>
        </w:rPr>
        <w:tab/>
        <w:t>NEW GENERATION FREE TRADE AGREEMENTS</w:t>
      </w:r>
      <w:bookmarkEnd w:id="15"/>
      <w:bookmarkEnd w:id="16"/>
      <w:bookmarkEnd w:id="17"/>
      <w:bookmarkEnd w:id="18"/>
      <w:bookmarkEnd w:id="19"/>
      <w:bookmarkEnd w:id="20"/>
      <w:bookmarkEnd w:id="21"/>
      <w:bookmarkEnd w:id="22"/>
      <w:bookmarkEnd w:id="23"/>
      <w:bookmarkEnd w:id="24"/>
      <w:bookmarkEnd w:id="25"/>
      <w:bookmarkEnd w:id="26"/>
      <w:bookmarkEnd w:id="27"/>
    </w:p>
    <w:p>
      <w:pPr>
        <w:spacing w:after="200" w:line="276" w:lineRule="auto"/>
        <w:rPr>
          <w:noProof/>
        </w:rPr>
      </w:pPr>
    </w:p>
    <w:p>
      <w:pPr>
        <w:spacing w:after="200" w:line="276" w:lineRule="auto"/>
        <w:rPr>
          <w:noProof/>
        </w:rPr>
      </w:pPr>
    </w:p>
    <w:p>
      <w:pPr>
        <w:spacing w:after="200" w:line="276" w:lineRule="auto"/>
        <w:rPr>
          <w:noProof/>
        </w:rPr>
      </w:pPr>
      <w:r>
        <w:rPr>
          <w:noProof/>
        </w:rPr>
        <w:br w:type="page"/>
      </w:r>
    </w:p>
    <w:p>
      <w:pPr>
        <w:pStyle w:val="ChapterHead"/>
        <w:jc w:val="both"/>
        <w:rPr>
          <w:b/>
          <w:bCs/>
          <w:noProof/>
        </w:rPr>
      </w:pPr>
      <w:bookmarkStart w:id="28" w:name="_Toc8833437"/>
      <w:bookmarkStart w:id="29" w:name="_Toc8835264"/>
      <w:bookmarkStart w:id="30" w:name="_Toc8833894"/>
      <w:bookmarkStart w:id="31" w:name="_Toc8909357"/>
      <w:bookmarkStart w:id="32" w:name="_Toc8910569"/>
      <w:bookmarkStart w:id="33" w:name="_Toc8911606"/>
      <w:bookmarkStart w:id="34" w:name="_Toc8974412"/>
      <w:bookmarkStart w:id="35" w:name="_Toc9008078"/>
      <w:bookmarkStart w:id="36" w:name="_Toc9008031"/>
      <w:bookmarkStart w:id="37" w:name="_Toc9348479"/>
      <w:bookmarkStart w:id="38" w:name="_Toc9607931"/>
      <w:bookmarkStart w:id="39" w:name="_Toc16000508"/>
      <w:r>
        <w:rPr>
          <w:b/>
          <w:bCs/>
          <w:noProof/>
        </w:rPr>
        <w:lastRenderedPageBreak/>
        <w:t>ANNUAL REPORT ON THE IMPLEMENTATION OF THE COMPREHENSIVE ECONOMIC AND TRADE AGREEMENT (CETA) BETWEEN THE EU AND ITS MEMBER STATES AND CANADA</w:t>
      </w:r>
      <w:bookmarkEnd w:id="28"/>
      <w:bookmarkEnd w:id="29"/>
      <w:bookmarkEnd w:id="30"/>
      <w:bookmarkEnd w:id="31"/>
      <w:bookmarkEnd w:id="32"/>
      <w:bookmarkEnd w:id="33"/>
      <w:bookmarkEnd w:id="34"/>
      <w:bookmarkEnd w:id="35"/>
      <w:bookmarkEnd w:id="36"/>
      <w:bookmarkEnd w:id="37"/>
      <w:bookmarkEnd w:id="38"/>
      <w:bookmarkEnd w:id="39"/>
    </w:p>
    <w:p>
      <w:pPr>
        <w:pStyle w:val="ManualHeading1"/>
      </w:pPr>
      <w:bookmarkStart w:id="40" w:name="_Toc2261351"/>
      <w:bookmarkStart w:id="41" w:name="_Toc8833438"/>
      <w:bookmarkStart w:id="42" w:name="_Toc8835265"/>
      <w:bookmarkStart w:id="43" w:name="_Toc8833895"/>
      <w:bookmarkStart w:id="44" w:name="_Toc8909358"/>
      <w:bookmarkStart w:id="45" w:name="_Toc8910570"/>
      <w:bookmarkStart w:id="46" w:name="_Toc8911607"/>
      <w:bookmarkStart w:id="47" w:name="_Toc8974413"/>
      <w:bookmarkStart w:id="48" w:name="_Toc9008079"/>
      <w:bookmarkStart w:id="49" w:name="_Toc9008032"/>
      <w:bookmarkStart w:id="50" w:name="_Toc9348480"/>
      <w:bookmarkStart w:id="51" w:name="_Toc9607932"/>
      <w:bookmarkStart w:id="52" w:name="_Toc16000509"/>
      <w:r>
        <w:t>1.</w:t>
      </w:r>
      <w:r>
        <w:tab/>
        <w:t>Introduction</w:t>
      </w:r>
      <w:bookmarkEnd w:id="40"/>
      <w:bookmarkEnd w:id="41"/>
      <w:bookmarkEnd w:id="42"/>
      <w:bookmarkEnd w:id="43"/>
      <w:bookmarkEnd w:id="44"/>
      <w:bookmarkEnd w:id="45"/>
      <w:bookmarkEnd w:id="46"/>
      <w:bookmarkEnd w:id="47"/>
      <w:bookmarkEnd w:id="48"/>
      <w:bookmarkEnd w:id="49"/>
      <w:bookmarkEnd w:id="50"/>
      <w:bookmarkEnd w:id="51"/>
      <w:bookmarkEnd w:id="52"/>
      <w:r>
        <w:tab/>
      </w:r>
    </w:p>
    <w:p>
      <w:pPr>
        <w:spacing w:after="120" w:line="264" w:lineRule="auto"/>
        <w:jc w:val="both"/>
        <w:rPr>
          <w:rFonts w:eastAsia="Times New Roman"/>
          <w:noProof/>
          <w:lang w:eastAsia="en-GB"/>
        </w:rPr>
      </w:pPr>
      <w:r>
        <w:rPr>
          <w:rFonts w:eastAsia="Times New Roman"/>
          <w:noProof/>
          <w:lang w:eastAsia="en-GB"/>
        </w:rPr>
        <w:t>The EU-Canada Comprehensive Economic and Trade Agreement (“CETA”) has been provisionally applied since 21 September 2017. 2018 was the first full year of provisional application. While it is too early to take a definitive view on the economic impact of the Agreement, trade flows suggest a positive trajectory with EU goods exports rising by 15% compared to the average of the previous three years. Good progress has also been achieved in implementing the institutional structure foreseen by the Agreement, with t</w:t>
      </w:r>
      <w:r>
        <w:rPr>
          <w:rFonts w:eastAsia="Times New Roman"/>
          <w:noProof/>
          <w:lang w:val="en-US" w:eastAsia="en-GB"/>
        </w:rPr>
        <w:t xml:space="preserve">he parties identifying the co-chairs and contact points for the twenty committees and dialogues established under CETA and almost all committees and dialogues held their first meetings in the course of 2018 </w:t>
      </w:r>
      <w:r>
        <w:rPr>
          <w:rFonts w:eastAsia="Times New Roman"/>
          <w:i/>
          <w:iCs/>
          <w:noProof/>
          <w:lang w:val="en-US" w:eastAsia="en-GB"/>
        </w:rPr>
        <w:t>(more details below)</w:t>
      </w:r>
      <w:r>
        <w:rPr>
          <w:rFonts w:eastAsia="Times New Roman"/>
          <w:noProof/>
          <w:lang w:val="en-US" w:eastAsia="en-GB"/>
        </w:rPr>
        <w:t>. Important efforts were made to ensure that the conduct of these meetings is transparent and inclusive. Meeting schedules, provisional agendas and reports of all CETA committees and dialogue meetings were made public on DG TRADE's website (</w:t>
      </w:r>
      <w:hyperlink r:id="rId16" w:history="1">
        <w:r>
          <w:rPr>
            <w:rFonts w:eastAsia="Times New Roman"/>
            <w:noProof/>
            <w:color w:val="0000FF" w:themeColor="hyperlink"/>
            <w:u w:val="single"/>
            <w:lang w:val="en-US" w:eastAsia="en-GB"/>
          </w:rPr>
          <w:t>http://trade.ec.europa.eu/doclib/press/index.cfm?id=1811</w:t>
        </w:r>
      </w:hyperlink>
      <w:r>
        <w:rPr>
          <w:rFonts w:eastAsia="Times New Roman"/>
          <w:noProof/>
          <w:lang w:val="en-US" w:eastAsia="en-GB"/>
        </w:rPr>
        <w:t xml:space="preserve">). Civil society mechanisms as foreseen by agreement were set up and further initiatives of civil society engagement were implemented for committees like the Regulatory Co-operation Forum, in light of the interest of stakeholders regarding the Forum. </w:t>
      </w:r>
    </w:p>
    <w:p>
      <w:pPr>
        <w:autoSpaceDE w:val="0"/>
        <w:autoSpaceDN w:val="0"/>
        <w:adjustRightInd w:val="0"/>
        <w:spacing w:after="120" w:line="264" w:lineRule="auto"/>
        <w:jc w:val="both"/>
        <w:rPr>
          <w:rFonts w:eastAsia="Times New Roman"/>
          <w:noProof/>
          <w:lang w:val="en-US" w:eastAsia="en-GB"/>
        </w:rPr>
      </w:pPr>
      <w:r>
        <w:rPr>
          <w:rFonts w:eastAsia="Times New Roman"/>
          <w:noProof/>
          <w:lang w:val="en-US" w:eastAsia="en-GB"/>
        </w:rPr>
        <w:t>On 26 of September 2018, the EU and Canada held the first CETA Joint Committee, which is the highest body under the agreement. They reviewed progress made by the various CETA committees and dialogues and discussed the effective implementation of the agreement. Several Member States and Canadian provinces participated in the meeting.</w:t>
      </w:r>
    </w:p>
    <w:p>
      <w:pPr>
        <w:autoSpaceDE w:val="0"/>
        <w:autoSpaceDN w:val="0"/>
        <w:adjustRightInd w:val="0"/>
        <w:spacing w:after="120" w:line="264" w:lineRule="auto"/>
        <w:jc w:val="both"/>
        <w:rPr>
          <w:rFonts w:eastAsia="Times New Roman"/>
          <w:noProof/>
          <w:lang w:val="en-US" w:eastAsia="en-GB"/>
        </w:rPr>
      </w:pPr>
      <w:r>
        <w:rPr>
          <w:rFonts w:eastAsia="Times New Roman"/>
          <w:noProof/>
          <w:lang w:val="en-US" w:eastAsia="en-GB"/>
        </w:rPr>
        <w:t xml:space="preserve">Issues of concern that the EU raised related notably to the cheese TRQ management by Canada, access to the Canadian Wines &amp; Spirits and Geographical Indications (GI) protection in Canada. From the Canadian side, main concerns relate to EU legislation in the Sanitary and phytosanitary (SPS) field (Country of Origin Labelling, Maximum Residue Levels), the implementation of the conformity assessment protocol and the beef and pork TRQ management. </w:t>
      </w:r>
    </w:p>
    <w:p>
      <w:pPr>
        <w:autoSpaceDE w:val="0"/>
        <w:autoSpaceDN w:val="0"/>
        <w:adjustRightInd w:val="0"/>
        <w:spacing w:after="120" w:line="264" w:lineRule="auto"/>
        <w:jc w:val="both"/>
        <w:rPr>
          <w:rFonts w:eastAsia="Times New Roman"/>
          <w:noProof/>
          <w:lang w:eastAsia="en-GB"/>
        </w:rPr>
      </w:pPr>
      <w:r>
        <w:rPr>
          <w:rFonts w:eastAsia="Times New Roman"/>
          <w:noProof/>
          <w:lang w:val="en-US" w:eastAsia="en-GB"/>
        </w:rPr>
        <w:t>The Joint Committee formally adopted three recommendations,</w:t>
      </w:r>
      <w:r>
        <w:rPr>
          <w:rFonts w:eastAsia="Times New Roman"/>
          <w:noProof/>
          <w:lang w:eastAsia="en-GB"/>
        </w:rPr>
        <w:t xml:space="preserve"> which set the stage for further work, namely to encourage small and medium-sized enterprises (SMEs) to use opportunities offered by CETA, to work jointly on climate action measures and the implementation of the Paris Agreement within the CETA context, and to work jointly to better understand how trade agreements can contribute to gender equality. The Parties also set up dedicated contact points for trade and gender and trade and SMEs. Work is underway to implement the concerned recommendations. For instance, a CETA Workshop on Trade and Gender, co-organised by the Commission and by the Mission of Canada to the EU, took place in Brussels on 1 April 2019. Participants from business, civil society, EU Member States and international organisations engaged with the objective to learn from women-led businesses about their experiences under CETA and challenges faced when participating in international trade more generally. Participants also discussed potential actions to implement CETA’s trade and gender recommendation.  To help SMEs, the EU and Canada put online a dedicated webpage with </w:t>
      </w:r>
      <w:r>
        <w:rPr>
          <w:rFonts w:eastAsia="Times New Roman"/>
          <w:noProof/>
          <w:lang w:eastAsia="en-GB"/>
        </w:rPr>
        <w:lastRenderedPageBreak/>
        <w:t>information useful to smaller businesses on accessing Canadian and EU markets such as import requirements and other information considered to be useful for SMEs.</w:t>
      </w:r>
    </w:p>
    <w:p>
      <w:pPr>
        <w:autoSpaceDE w:val="0"/>
        <w:autoSpaceDN w:val="0"/>
        <w:adjustRightInd w:val="0"/>
        <w:spacing w:after="120" w:line="264" w:lineRule="auto"/>
        <w:jc w:val="both"/>
        <w:rPr>
          <w:rFonts w:eastAsia="Times New Roman"/>
          <w:noProof/>
          <w:lang w:eastAsia="en-GB"/>
        </w:rPr>
      </w:pPr>
      <w:r>
        <w:rPr>
          <w:rFonts w:eastAsia="Times New Roman"/>
          <w:noProof/>
          <w:lang w:eastAsia="en-GB"/>
        </w:rPr>
        <w:t xml:space="preserve">In line with its commitments in the recommendation on climate action, a joint EU-Canada conference on Trade and Climate was organised in Brussels on 24 January 2019. The event provided a platform for policy makers, businesses, non-governmental organisations to engage </w:t>
      </w:r>
      <w:r>
        <w:rPr>
          <w:rFonts w:eastAsia="Times New Roman"/>
          <w:i/>
          <w:iCs/>
          <w:noProof/>
          <w:lang w:eastAsia="en-GB"/>
        </w:rPr>
        <w:t>(more details below)</w:t>
      </w:r>
      <w:r>
        <w:rPr>
          <w:rFonts w:eastAsia="Times New Roman"/>
          <w:noProof/>
          <w:lang w:eastAsia="en-GB"/>
        </w:rPr>
        <w:t xml:space="preserve">. </w:t>
      </w:r>
    </w:p>
    <w:p>
      <w:pPr>
        <w:autoSpaceDE w:val="0"/>
        <w:autoSpaceDN w:val="0"/>
        <w:adjustRightInd w:val="0"/>
        <w:spacing w:after="120" w:line="264" w:lineRule="auto"/>
        <w:jc w:val="both"/>
        <w:rPr>
          <w:rFonts w:eastAsia="Times New Roman"/>
          <w:noProof/>
        </w:rPr>
      </w:pPr>
      <w:r>
        <w:rPr>
          <w:rFonts w:eastAsia="Times New Roman"/>
          <w:noProof/>
          <w:lang w:val="en-US" w:eastAsia="en-GB"/>
        </w:rPr>
        <w:t>Work has also been ongoing on the foundations of the Investment Court System (ICS) already established in CETA.</w:t>
      </w:r>
      <w:r>
        <w:rPr>
          <w:rFonts w:eastAsia="Times New Roman"/>
          <w:noProof/>
        </w:rPr>
        <w:t xml:space="preserve"> Although the ICS provisions are not provisionally applied, the contours of the further work on the ICS has been agreed between EU and Canada in the Joint Interpretative Instrument on CETA</w:t>
      </w:r>
      <w:r>
        <w:rPr>
          <w:rFonts w:eastAsia="Times New Roman"/>
          <w:noProof/>
          <w:vertAlign w:val="superscript"/>
        </w:rPr>
        <w:footnoteReference w:id="1"/>
      </w:r>
      <w:r>
        <w:rPr>
          <w:rFonts w:eastAsia="Times New Roman"/>
          <w:noProof/>
        </w:rPr>
        <w:t xml:space="preserve"> and is also reflected in the Commission and Council Statement No 36</w:t>
      </w:r>
      <w:r>
        <w:rPr>
          <w:rFonts w:eastAsia="Times New Roman"/>
          <w:noProof/>
          <w:vertAlign w:val="superscript"/>
        </w:rPr>
        <w:footnoteReference w:id="2"/>
      </w:r>
      <w:r>
        <w:rPr>
          <w:rFonts w:eastAsia="Times New Roman"/>
          <w:noProof/>
        </w:rPr>
        <w:t>. In the course of 2018, the Commission has consulted with Member States and discussed with Canada on how to bring forward the work that has been committed to during the CETA ratification process.</w:t>
      </w:r>
    </w:p>
    <w:p>
      <w:pPr>
        <w:spacing w:after="120" w:line="264" w:lineRule="auto"/>
        <w:jc w:val="both"/>
        <w:rPr>
          <w:rFonts w:eastAsia="Times New Roman"/>
          <w:noProof/>
        </w:rPr>
      </w:pPr>
      <w:r>
        <w:rPr>
          <w:rFonts w:eastAsia="Times New Roman"/>
          <w:noProof/>
        </w:rPr>
        <w:t xml:space="preserve">In particular, the Commission has been working with the Member States at the Trade Policy Committee (Services and Investment) on four strands of action for the implementation of the Investment Court System: (1) the rules regarding the functioning of the Appellate Tribunal, (2) the code of conduct for the Members of the Tribunals, (3) the rules for mediation and (4) the procedure to adopt binding interpretations. The European Parliament has been kept informed of the discussions. At the first inaugural meeting of the CETA Committee on Services and Investment on 18 September 2018, the EU and Canada had first positive exchanges on the draft decisions. The Commission continued technical discussions on the texts with the EU Member States and with Canada. The aim is to reach a technical agreement on those texts in due course. </w:t>
      </w:r>
    </w:p>
    <w:p>
      <w:pPr>
        <w:spacing w:after="120" w:line="264" w:lineRule="auto"/>
        <w:jc w:val="both"/>
        <w:rPr>
          <w:rFonts w:eastAsia="Times New Roman"/>
          <w:noProof/>
        </w:rPr>
      </w:pPr>
      <w:r>
        <w:rPr>
          <w:rFonts w:eastAsia="Times New Roman"/>
          <w:noProof/>
        </w:rPr>
        <w:t>The Commission started work on other areas related to the implementation of the Investment Court System, in particular on the selection mechanism for the Members of the Court. Discussions on this issue with the Member States at the Trade Policy Committee (Services and Investment) started in December 2018 and are ongoing. In its Opinion 1/17 delivered on 30 April 2019, the Court of Justice of the EU confirmed the compatibility of the CETA’s provisions on the Investment Court System with EU law</w:t>
      </w:r>
      <w:r>
        <w:rPr>
          <w:rStyle w:val="FootnoteReference"/>
          <w:rFonts w:eastAsia="Times New Roman"/>
          <w:noProof/>
        </w:rPr>
        <w:footnoteReference w:id="3"/>
      </w:r>
      <w:r>
        <w:rPr>
          <w:rFonts w:eastAsia="Times New Roman"/>
          <w:noProof/>
        </w:rPr>
        <w:t>.</w:t>
      </w:r>
    </w:p>
    <w:p>
      <w:pPr>
        <w:spacing w:after="120" w:line="264" w:lineRule="auto"/>
        <w:jc w:val="both"/>
        <w:rPr>
          <w:rFonts w:eastAsia="Times New Roman"/>
          <w:noProof/>
          <w:lang w:val="en-US" w:eastAsia="en-GB"/>
        </w:rPr>
      </w:pPr>
      <w:r>
        <w:rPr>
          <w:rFonts w:eastAsia="Times New Roman"/>
          <w:noProof/>
          <w:lang w:val="en-US" w:eastAsia="en-GB"/>
        </w:rPr>
        <w:t xml:space="preserve">At the time of writing, 13 Member States had notified the completion of their ratification process (Austria, Czech Republic, Denmark, Estonia, Spain, Croatia, Latvia, Lithuania, Malta, Portugal, Finland, Sweden and the UK). The ratification process is still ongoing in other Member States and the Commission continues to be engaged with Member States and stakeholders to create awareness of the opportunities and to ensure EU stakeholders are able to derive full benefits of the agreement. As part of these efforts, the Commission developed specific guides to assist EU businesses which are or want to become active on the Canadian market (notably on the protection of geographical indications and public procurement). More such guides are in the process of being developed (notably on services and investment). The Commission also updated its Market Access Data Base to provide more information useful to EU exporters to Canada, in particular SMEs. </w:t>
      </w:r>
    </w:p>
    <w:p>
      <w:pPr>
        <w:pStyle w:val="ManualHeading1"/>
      </w:pPr>
      <w:bookmarkStart w:id="53" w:name="_Toc2261352"/>
      <w:bookmarkStart w:id="54" w:name="_Toc8833439"/>
      <w:bookmarkStart w:id="55" w:name="_Toc8835266"/>
      <w:bookmarkStart w:id="56" w:name="_Toc8833896"/>
      <w:bookmarkStart w:id="57" w:name="_Toc8909359"/>
      <w:bookmarkStart w:id="58" w:name="_Toc8910571"/>
      <w:bookmarkStart w:id="59" w:name="_Toc8911608"/>
      <w:bookmarkStart w:id="60" w:name="_Toc8974414"/>
      <w:bookmarkStart w:id="61" w:name="_Toc9008080"/>
      <w:bookmarkStart w:id="62" w:name="_Toc9008033"/>
      <w:bookmarkStart w:id="63" w:name="_Toc9348481"/>
      <w:bookmarkStart w:id="64" w:name="_Toc9607933"/>
      <w:bookmarkStart w:id="65" w:name="_Toc16000510"/>
      <w:r>
        <w:t>2.</w:t>
      </w:r>
      <w:r>
        <w:tab/>
        <w:t>Evolution of trade</w:t>
      </w:r>
      <w:bookmarkEnd w:id="53"/>
      <w:bookmarkEnd w:id="54"/>
      <w:bookmarkEnd w:id="55"/>
      <w:bookmarkEnd w:id="56"/>
      <w:bookmarkEnd w:id="57"/>
      <w:bookmarkEnd w:id="58"/>
      <w:bookmarkEnd w:id="59"/>
      <w:bookmarkEnd w:id="60"/>
      <w:bookmarkEnd w:id="61"/>
      <w:bookmarkEnd w:id="62"/>
      <w:bookmarkEnd w:id="63"/>
      <w:bookmarkEnd w:id="64"/>
      <w:bookmarkEnd w:id="65"/>
    </w:p>
    <w:p>
      <w:pPr>
        <w:spacing w:after="120" w:line="264" w:lineRule="auto"/>
        <w:jc w:val="both"/>
        <w:rPr>
          <w:rFonts w:eastAsia="Times New Roman"/>
          <w:noProof/>
          <w:lang w:eastAsia="en-GB"/>
        </w:rPr>
      </w:pPr>
      <w:r>
        <w:rPr>
          <w:rFonts w:eastAsia="Times New Roman"/>
          <w:noProof/>
          <w:lang w:eastAsia="en-GB"/>
        </w:rPr>
        <w:t>In terms of trade in goods, Canada is now the EU’s 10th largest trading partner (imports plus exports), with total trade flows worth €72 billion, or 2% of the EU’s total trade with third countries</w:t>
      </w:r>
      <w:r>
        <w:rPr>
          <w:rStyle w:val="FootnoteReference"/>
          <w:noProof/>
        </w:rPr>
        <w:footnoteReference w:id="4"/>
      </w:r>
      <w:r>
        <w:rPr>
          <w:rFonts w:eastAsia="Times New Roman"/>
          <w:noProof/>
          <w:lang w:eastAsia="en-GB"/>
        </w:rPr>
        <w:t xml:space="preserve">. </w:t>
      </w:r>
    </w:p>
    <w:p>
      <w:pPr>
        <w:spacing w:after="120" w:line="264" w:lineRule="auto"/>
        <w:jc w:val="both"/>
        <w:rPr>
          <w:rFonts w:eastAsia="Times New Roman"/>
          <w:noProof/>
          <w:lang w:eastAsia="en-GB"/>
        </w:rPr>
      </w:pPr>
      <w:r>
        <w:rPr>
          <w:rFonts w:eastAsia="Times New Roman"/>
          <w:noProof/>
          <w:lang w:eastAsia="en-GB"/>
        </w:rPr>
        <w:t>The EU had a trade surplus of €10.4 billion, which amounted to a €3.9 billion improvement compared to the average between 2015 and 2017.</w:t>
      </w:r>
    </w:p>
    <w:p>
      <w:pPr>
        <w:spacing w:after="120" w:line="264" w:lineRule="auto"/>
        <w:jc w:val="both"/>
        <w:rPr>
          <w:rFonts w:eastAsia="Times New Roman"/>
          <w:noProof/>
          <w:lang w:eastAsia="en-GB"/>
        </w:rPr>
      </w:pPr>
      <w:r>
        <w:rPr>
          <w:rFonts w:eastAsia="Times New Roman"/>
          <w:noProof/>
          <w:lang w:eastAsia="en-GB"/>
        </w:rPr>
        <w:t xml:space="preserve">Although one year after the provisional application of CETA some caution is needed to interpret the limited data available, EU exports were on a positive trajectory in 2018. EU goods exports to Canada increased by 15% percent when compared to the average of the three previous years (€36 billion). This meant a stronger increase than for EU goods exports to third countries, which went up by 8% during the same period. Over the same period, total EU goods imports from Canada increased by 5% or €1.5 billion. </w:t>
      </w:r>
    </w:p>
    <w:p>
      <w:pPr>
        <w:spacing w:after="120" w:line="264" w:lineRule="auto"/>
        <w:jc w:val="both"/>
        <w:rPr>
          <w:rFonts w:eastAsia="Times New Roman"/>
          <w:noProof/>
          <w:lang w:eastAsia="en-GB"/>
        </w:rPr>
      </w:pPr>
      <w:r>
        <w:rPr>
          <w:rFonts w:eastAsia="Times New Roman"/>
          <w:noProof/>
          <w:lang w:eastAsia="en-GB"/>
        </w:rPr>
        <w:t xml:space="preserve">The EU’s most important export items all experienced a significantly stronger export performance when compared to the average of the three previous years: ‘Machinery and mechanical appliances’ were up 16% (accounting for almost one-fifth of total EU exports to Canada); ‘Vehicles and parts’ were up 11% (accounting for 14% of total EU exports to Canada); ‘Pharmaceuticals’ were up 29% (accounting for 12% of total EU exports to Canada); ‘Agricultural goods’ were up 7% (accounting for 9% of total EU exports to Canada); ‘Electrical machinery’ was up 2% and ‘Organic chemicals’ were up by 77%. </w:t>
      </w:r>
    </w:p>
    <w:p>
      <w:pPr>
        <w:spacing w:after="120" w:line="264" w:lineRule="auto"/>
        <w:jc w:val="both"/>
        <w:rPr>
          <w:rFonts w:eastAsia="Times New Roman"/>
          <w:noProof/>
          <w:lang w:eastAsia="en-GB"/>
        </w:rPr>
      </w:pPr>
      <w:r>
        <w:rPr>
          <w:rFonts w:eastAsia="Times New Roman"/>
          <w:noProof/>
          <w:lang w:eastAsia="en-GB"/>
        </w:rPr>
        <w:drawing>
          <wp:inline distT="0" distB="0" distL="0" distR="0">
            <wp:extent cx="5341620" cy="3425190"/>
            <wp:effectExtent l="0" t="0" r="11430" b="2286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spacing w:after="120" w:line="264" w:lineRule="auto"/>
        <w:jc w:val="both"/>
        <w:rPr>
          <w:rFonts w:eastAsia="Times New Roman"/>
          <w:noProof/>
          <w:lang w:eastAsia="en-GB"/>
        </w:rPr>
      </w:pPr>
      <w:r>
        <w:rPr>
          <w:rFonts w:eastAsia="Times New Roman"/>
          <w:noProof/>
          <w:lang w:eastAsia="en-GB"/>
        </w:rPr>
        <w:t xml:space="preserve">At the same time, EU imports from Canada increased during the same period by 5% or €1.5 billion, from on average €29.5 billion in 2015-2017 to €31.0 billion in 2018. Imports from Canada grew at a slower pace than overall EU imports from third countries, which over the same period grew by 12%.  </w:t>
      </w:r>
    </w:p>
    <w:p>
      <w:pPr>
        <w:spacing w:after="120" w:line="264" w:lineRule="auto"/>
        <w:jc w:val="both"/>
        <w:rPr>
          <w:rFonts w:eastAsia="Times New Roman"/>
          <w:noProof/>
          <w:lang w:eastAsia="en-GB"/>
        </w:rPr>
      </w:pPr>
      <w:r>
        <w:rPr>
          <w:rFonts w:eastAsia="Times New Roman"/>
          <w:noProof/>
          <w:lang w:eastAsia="en-GB"/>
        </w:rPr>
        <w:t>Canada is the EU’s 12th largest source of imported goods, accounting for 2% of all goods imported from countries outside the EU. To put this into perspective, 20% of the EU’s total imports originate from China (€394 billion), which is the EU’s first trading partner in terms of imports.</w:t>
      </w:r>
    </w:p>
    <w:p>
      <w:pPr>
        <w:spacing w:after="120" w:line="264" w:lineRule="auto"/>
        <w:jc w:val="both"/>
        <w:rPr>
          <w:rFonts w:eastAsia="Times New Roman"/>
          <w:noProof/>
          <w:lang w:eastAsia="en-GB"/>
        </w:rPr>
      </w:pPr>
      <w:r>
        <w:rPr>
          <w:rFonts w:eastAsia="Times New Roman"/>
          <w:noProof/>
          <w:lang w:eastAsia="en-GB"/>
        </w:rPr>
        <w:t>The EU's most important imports from Canada are displayed in the graph below.</w:t>
      </w:r>
    </w:p>
    <w:p>
      <w:pPr>
        <w:jc w:val="both"/>
        <w:rPr>
          <w:noProof/>
        </w:rPr>
      </w:pPr>
    </w:p>
    <w:p>
      <w:pPr>
        <w:jc w:val="both"/>
        <w:rPr>
          <w:noProof/>
        </w:rPr>
      </w:pPr>
      <w:r>
        <w:rPr>
          <w:noProof/>
          <w:lang w:eastAsia="en-GB"/>
        </w:rPr>
        <w:drawing>
          <wp:inline distT="0" distB="0" distL="0" distR="0">
            <wp:extent cx="5353050" cy="33166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3050" cy="3316605"/>
                    </a:xfrm>
                    <a:prstGeom prst="rect">
                      <a:avLst/>
                    </a:prstGeom>
                    <a:noFill/>
                  </pic:spPr>
                </pic:pic>
              </a:graphicData>
            </a:graphic>
          </wp:inline>
        </w:drawing>
      </w:r>
    </w:p>
    <w:p>
      <w:pPr>
        <w:jc w:val="both"/>
        <w:rPr>
          <w:noProof/>
        </w:rPr>
      </w:pPr>
    </w:p>
    <w:p>
      <w:pPr>
        <w:spacing w:after="120" w:line="264" w:lineRule="auto"/>
        <w:jc w:val="both"/>
        <w:rPr>
          <w:rFonts w:eastAsia="Times New Roman"/>
          <w:noProof/>
          <w:lang w:eastAsia="en-GB"/>
        </w:rPr>
      </w:pPr>
      <w:r>
        <w:rPr>
          <w:rFonts w:eastAsia="Times New Roman"/>
          <w:noProof/>
          <w:lang w:eastAsia="en-GB"/>
        </w:rPr>
        <w:t>With the exception of aircraft and spacecraft and ores, slag and ash, these sectors are also part of the EU's top ten sectors when it comes to overall world imports.</w:t>
      </w:r>
    </w:p>
    <w:p>
      <w:pPr>
        <w:spacing w:after="120" w:line="264" w:lineRule="auto"/>
        <w:jc w:val="both"/>
        <w:rPr>
          <w:rFonts w:eastAsia="Times New Roman"/>
          <w:noProof/>
          <w:sz w:val="22"/>
          <w:szCs w:val="22"/>
          <w:lang w:eastAsia="en-GB"/>
        </w:rPr>
      </w:pPr>
      <w:r>
        <w:rPr>
          <w:rFonts w:eastAsia="Times New Roman"/>
          <w:noProof/>
          <w:sz w:val="22"/>
          <w:szCs w:val="22"/>
          <w:lang w:eastAsia="en-GB"/>
        </w:rPr>
        <w:t xml:space="preserve">Concerning services, total exchanges in 2018 amounted to €38.7 billion, an 11% increase compared to 2017 (see section statistics for the 2017 data). EU exports to Canada amounted to €23.5 billion, whilst Canada’s exports to the EU amounted to €15.1 billion; the EU maintained a trade surplus at around €8.3 billion. </w:t>
      </w:r>
    </w:p>
    <w:p>
      <w:pPr>
        <w:spacing w:after="120" w:line="264" w:lineRule="auto"/>
        <w:jc w:val="both"/>
        <w:rPr>
          <w:rFonts w:eastAsia="Times New Roman"/>
          <w:noProof/>
          <w:lang w:eastAsia="en-GB"/>
        </w:rPr>
      </w:pPr>
      <w:r>
        <w:rPr>
          <w:rFonts w:eastAsia="Times New Roman"/>
          <w:noProof/>
          <w:lang w:eastAsia="en-GB"/>
        </w:rPr>
        <w:t>In 2017, total FDI stocks amounted to €600 billion.</w:t>
      </w:r>
    </w:p>
    <w:p>
      <w:pPr>
        <w:pStyle w:val="ManualHeading1"/>
      </w:pPr>
      <w:bookmarkStart w:id="66" w:name="_Toc2261353"/>
      <w:bookmarkStart w:id="67" w:name="_Toc8833440"/>
      <w:bookmarkStart w:id="68" w:name="_Toc8835267"/>
      <w:bookmarkStart w:id="69" w:name="_Toc8833897"/>
      <w:bookmarkStart w:id="70" w:name="_Toc8909360"/>
      <w:bookmarkStart w:id="71" w:name="_Toc8910572"/>
      <w:bookmarkStart w:id="72" w:name="_Toc8911609"/>
      <w:bookmarkStart w:id="73" w:name="_Toc8974415"/>
      <w:bookmarkStart w:id="74" w:name="_Toc9008081"/>
      <w:bookmarkStart w:id="75" w:name="_Toc9008034"/>
      <w:bookmarkStart w:id="76" w:name="_Toc9348482"/>
      <w:bookmarkStart w:id="77" w:name="_Toc9607934"/>
      <w:bookmarkStart w:id="78" w:name="_Toc16000511"/>
      <w:r>
        <w:t>3.</w:t>
      </w:r>
      <w:r>
        <w:tab/>
        <w:t>Activities of the implementation bodies</w:t>
      </w:r>
      <w:bookmarkEnd w:id="66"/>
      <w:bookmarkEnd w:id="67"/>
      <w:bookmarkEnd w:id="68"/>
      <w:bookmarkEnd w:id="69"/>
      <w:bookmarkEnd w:id="70"/>
      <w:bookmarkEnd w:id="71"/>
      <w:bookmarkEnd w:id="72"/>
      <w:bookmarkEnd w:id="73"/>
      <w:bookmarkEnd w:id="74"/>
      <w:bookmarkEnd w:id="75"/>
      <w:bookmarkEnd w:id="76"/>
      <w:bookmarkEnd w:id="77"/>
      <w:bookmarkEnd w:id="78"/>
    </w:p>
    <w:p>
      <w:pPr>
        <w:autoSpaceDE w:val="0"/>
        <w:autoSpaceDN w:val="0"/>
        <w:adjustRightInd w:val="0"/>
        <w:spacing w:after="120" w:line="264" w:lineRule="auto"/>
        <w:jc w:val="both"/>
        <w:rPr>
          <w:rFonts w:eastAsia="Times New Roman"/>
          <w:noProof/>
          <w:lang w:eastAsia="en-GB"/>
        </w:rPr>
      </w:pPr>
      <w:r>
        <w:rPr>
          <w:rFonts w:eastAsia="Times New Roman"/>
          <w:noProof/>
          <w:lang w:val="en-US" w:eastAsia="en-GB"/>
        </w:rPr>
        <w:t xml:space="preserve">In 2018, 18 of the 20 the committees and dialogues established under CETA met (only the Dialogue on electronic commerce and the Mutual recognition of Professional Qualifications Committee did not meet). For more details, </w:t>
      </w:r>
      <w:r>
        <w:rPr>
          <w:rFonts w:eastAsia="Times New Roman"/>
          <w:noProof/>
          <w:lang w:eastAsia="en-GB"/>
        </w:rPr>
        <w:t>the agendas and reports of these meetings can be found on the Commission’s "CETA – Meetings and documents" webpage</w:t>
      </w:r>
      <w:r>
        <w:rPr>
          <w:rFonts w:eastAsia="Times New Roman"/>
          <w:noProof/>
          <w:vertAlign w:val="superscript"/>
          <w:lang w:eastAsia="en-GB"/>
        </w:rPr>
        <w:footnoteReference w:id="5"/>
      </w:r>
      <w:r>
        <w:rPr>
          <w:rFonts w:eastAsia="Times New Roman"/>
          <w:noProof/>
          <w:lang w:eastAsia="en-GB"/>
        </w:rPr>
        <w:t xml:space="preserve">. </w:t>
      </w:r>
    </w:p>
    <w:p>
      <w:pPr>
        <w:spacing w:after="120" w:line="264" w:lineRule="auto"/>
        <w:jc w:val="both"/>
        <w:rPr>
          <w:rFonts w:eastAsia="Times New Roman"/>
          <w:i/>
          <w:iCs/>
          <w:noProof/>
          <w:u w:val="single"/>
          <w:lang w:eastAsia="en-GB"/>
        </w:rPr>
      </w:pPr>
      <w:r>
        <w:rPr>
          <w:rFonts w:eastAsia="Times New Roman"/>
          <w:i/>
          <w:iCs/>
          <w:noProof/>
          <w:u w:val="single"/>
          <w:lang w:eastAsia="en-GB"/>
        </w:rPr>
        <w:t>Committees</w:t>
      </w:r>
    </w:p>
    <w:p>
      <w:pPr>
        <w:spacing w:after="120" w:line="264" w:lineRule="auto"/>
        <w:jc w:val="both"/>
        <w:rPr>
          <w:rFonts w:eastAsia="Times New Roman"/>
          <w:noProof/>
          <w:lang w:eastAsia="en-GB"/>
        </w:rPr>
      </w:pPr>
      <w:r>
        <w:rPr>
          <w:rFonts w:eastAsia="Times New Roman"/>
          <w:noProof/>
          <w:lang w:eastAsia="en-GB"/>
        </w:rPr>
        <w:t xml:space="preserve">The </w:t>
      </w:r>
      <w:r>
        <w:rPr>
          <w:rFonts w:eastAsia="Times New Roman"/>
          <w:b/>
          <w:bCs/>
          <w:noProof/>
          <w:lang w:eastAsia="en-GB"/>
        </w:rPr>
        <w:t>CETA Joint Committee</w:t>
      </w:r>
      <w:r>
        <w:rPr>
          <w:rFonts w:eastAsia="Times New Roman"/>
          <w:noProof/>
          <w:lang w:eastAsia="en-GB"/>
        </w:rPr>
        <w:t xml:space="preserve"> met in Montreal on 26 September 2018 </w:t>
      </w:r>
      <w:r>
        <w:rPr>
          <w:rFonts w:eastAsia="Times New Roman"/>
          <w:i/>
          <w:iCs/>
          <w:noProof/>
          <w:lang w:eastAsia="en-GB"/>
        </w:rPr>
        <w:t>(details provided in the introduction)</w:t>
      </w:r>
      <w:r>
        <w:rPr>
          <w:rFonts w:eastAsia="Times New Roman"/>
          <w:noProof/>
          <w:lang w:eastAsia="en-GB"/>
        </w:rPr>
        <w:t>. The activities of the other committees and dialogues were as follows:</w:t>
      </w:r>
    </w:p>
    <w:p>
      <w:pPr>
        <w:spacing w:after="120" w:line="264" w:lineRule="auto"/>
        <w:jc w:val="both"/>
        <w:rPr>
          <w:rFonts w:eastAsia="Times New Roman"/>
          <w:noProof/>
          <w:lang w:eastAsia="en-GB"/>
        </w:rPr>
      </w:pPr>
      <w:r>
        <w:rPr>
          <w:rFonts w:eastAsia="Times New Roman"/>
          <w:noProof/>
          <w:lang w:eastAsia="en-GB"/>
        </w:rPr>
        <w:t xml:space="preserve">The first meeting of the CETA </w:t>
      </w:r>
      <w:r>
        <w:rPr>
          <w:rFonts w:eastAsia="Times New Roman"/>
          <w:b/>
          <w:bCs/>
          <w:noProof/>
          <w:lang w:eastAsia="en-GB"/>
        </w:rPr>
        <w:t>Committee on Government Procurement</w:t>
      </w:r>
      <w:r>
        <w:rPr>
          <w:rFonts w:eastAsia="Times New Roman"/>
          <w:noProof/>
          <w:lang w:eastAsia="en-GB"/>
        </w:rPr>
        <w:t xml:space="preserve"> took place on 15 March 2018 in Brussels. The Parties exchanged recent legislative developments and discussed </w:t>
      </w:r>
      <w:r>
        <w:rPr>
          <w:rFonts w:eastAsia="Times New Roman"/>
          <w:i/>
          <w:iCs/>
          <w:noProof/>
          <w:lang w:eastAsia="en-GB"/>
        </w:rPr>
        <w:t xml:space="preserve">inter alia </w:t>
      </w:r>
      <w:r>
        <w:rPr>
          <w:rFonts w:eastAsia="Times New Roman"/>
          <w:noProof/>
          <w:lang w:eastAsia="en-GB"/>
        </w:rPr>
        <w:t xml:space="preserve">technical updates that need to be made to Annex 19-8 of Canada’s market access schedule, ongoing work in developing Canada’s single point of access for public procurement, existing bid challenge mechanisms/domestic review procedures, as well as public procurement opportunities, particularly in the space sector. </w:t>
      </w:r>
    </w:p>
    <w:p>
      <w:pPr>
        <w:spacing w:after="120" w:line="264" w:lineRule="auto"/>
        <w:jc w:val="both"/>
        <w:rPr>
          <w:rFonts w:eastAsia="Times New Roman"/>
          <w:noProof/>
          <w:lang w:eastAsia="en-GB"/>
        </w:rPr>
      </w:pPr>
      <w:r>
        <w:rPr>
          <w:rFonts w:eastAsia="Times New Roman"/>
          <w:noProof/>
          <w:lang w:eastAsia="en-GB"/>
        </w:rPr>
        <w:t xml:space="preserve">The first meeting of the </w:t>
      </w:r>
      <w:r>
        <w:rPr>
          <w:rFonts w:eastAsia="Times New Roman"/>
          <w:b/>
          <w:bCs/>
          <w:noProof/>
          <w:lang w:eastAsia="en-GB"/>
        </w:rPr>
        <w:t>Sanitary and Phytosanitary Joint Management Committee (JMC)</w:t>
      </w:r>
      <w:r>
        <w:rPr>
          <w:rFonts w:eastAsia="Times New Roman"/>
          <w:noProof/>
          <w:lang w:eastAsia="en-GB"/>
        </w:rPr>
        <w:t xml:space="preserve"> on 26-27 March 2018 in Ottawa, achieved the following outcomes (i) identification of priority SPS issues affecting trade between the European Union and Canada, and (ii) establishing the foundations for bilateral exchanges of information and for ongoing cooperative efforts including cooperation on animal welfare and antimicrobial resistance. More specifically, the EU and Canada identified the topic of long distance transport of animals as a topic for engagement within the context of the CETA Regulatory Cooperation Forum meeting of December 2018. </w:t>
      </w:r>
    </w:p>
    <w:p>
      <w:pPr>
        <w:spacing w:after="120" w:line="264" w:lineRule="auto"/>
        <w:jc w:val="both"/>
        <w:rPr>
          <w:rFonts w:eastAsia="Times New Roman"/>
          <w:noProof/>
          <w:lang w:eastAsia="en-GB"/>
        </w:rPr>
      </w:pPr>
      <w:r>
        <w:rPr>
          <w:rFonts w:eastAsia="Times New Roman"/>
          <w:noProof/>
          <w:lang w:eastAsia="en-GB"/>
        </w:rPr>
        <w:t>During the 2</w:t>
      </w:r>
      <w:r>
        <w:rPr>
          <w:rFonts w:eastAsia="Times New Roman"/>
          <w:noProof/>
          <w:vertAlign w:val="superscript"/>
          <w:lang w:eastAsia="en-GB"/>
        </w:rPr>
        <w:t xml:space="preserve">nd </w:t>
      </w:r>
      <w:r>
        <w:rPr>
          <w:rFonts w:eastAsia="Times New Roman"/>
          <w:noProof/>
          <w:lang w:eastAsia="en-GB"/>
        </w:rPr>
        <w:t xml:space="preserve"> SPS JMC meeting in February 2019 the agreed follow-up actions were further deepened to make the outcome more result- oriented on several pending market access issues, as reflected in more detail in the public report (</w:t>
      </w:r>
      <w:hyperlink r:id="rId19">
        <w:r>
          <w:rPr>
            <w:rFonts w:eastAsia="Times New Roman"/>
            <w:noProof/>
            <w:color w:val="0000FF"/>
            <w:u w:val="single"/>
            <w:lang w:eastAsia="en-GB"/>
          </w:rPr>
          <w:t>http://trade.ec.europa.eu/doclib/docs/2019/march/tradoc_157809.pdf</w:t>
        </w:r>
      </w:hyperlink>
      <w:r>
        <w:rPr>
          <w:rFonts w:eastAsia="Times New Roman"/>
          <w:noProof/>
          <w:lang w:eastAsia="en-GB"/>
        </w:rPr>
        <w:t>).</w:t>
      </w:r>
    </w:p>
    <w:p>
      <w:pPr>
        <w:spacing w:after="120" w:line="264" w:lineRule="auto"/>
        <w:jc w:val="both"/>
        <w:rPr>
          <w:rFonts w:eastAsia="Times New Roman"/>
          <w:noProof/>
          <w:lang w:eastAsia="en-GB"/>
        </w:rPr>
      </w:pPr>
      <w:r>
        <w:rPr>
          <w:rFonts w:eastAsia="Times New Roman"/>
          <w:noProof/>
          <w:lang w:eastAsia="en-GB"/>
        </w:rPr>
        <w:t xml:space="preserve">The </w:t>
      </w:r>
      <w:r>
        <w:rPr>
          <w:rFonts w:eastAsia="Times New Roman"/>
          <w:b/>
          <w:bCs/>
          <w:noProof/>
          <w:lang w:eastAsia="en-GB"/>
        </w:rPr>
        <w:t xml:space="preserve">Committee on Geographical Indications (GIs) </w:t>
      </w:r>
      <w:r>
        <w:rPr>
          <w:rFonts w:eastAsia="Times New Roman"/>
          <w:noProof/>
          <w:lang w:eastAsia="en-GB"/>
        </w:rPr>
        <w:t>convened on 17 May 2018. Canada explained the important changes it had made to its legislative framework to meet its CETA commitments on the protection of GIs. Concerns were raised by the EU about Canada’s implementation of CETA articles regarding administrative enforcement of GI protection and the lack of a list of companies entitled to use the grandfathering clause. Canada committed to organising explanatory meetings in certain EU Member States, which notably took place in Brussels, Paris, Madrid and Rome.</w:t>
      </w:r>
    </w:p>
    <w:p>
      <w:pPr>
        <w:spacing w:after="120" w:line="264" w:lineRule="auto"/>
        <w:jc w:val="both"/>
        <w:rPr>
          <w:rFonts w:eastAsia="Times New Roman"/>
          <w:noProof/>
          <w:lang w:eastAsia="en-GB"/>
        </w:rPr>
      </w:pPr>
      <w:r>
        <w:rPr>
          <w:rFonts w:eastAsia="Times New Roman"/>
          <w:noProof/>
          <w:lang w:eastAsia="en-GB"/>
        </w:rPr>
        <w:t xml:space="preserve">The </w:t>
      </w:r>
      <w:r>
        <w:rPr>
          <w:rFonts w:eastAsia="Times New Roman"/>
          <w:b/>
          <w:bCs/>
          <w:noProof/>
          <w:lang w:eastAsia="en-GB"/>
        </w:rPr>
        <w:t xml:space="preserve">Joint Customs Cooperation Committee (JCCC) </w:t>
      </w:r>
      <w:r>
        <w:rPr>
          <w:rFonts w:eastAsia="Times New Roman"/>
          <w:noProof/>
          <w:lang w:eastAsia="en-GB"/>
        </w:rPr>
        <w:t>convened in Brussels on 22 June 2018. Parties exchanged information about recent legislative and regulatory developments in the field of customs, explored bilateral and international cooperation topics and made progress towards the mutual recognition of the EU and Canada Authorised Economic Operator programmes.</w:t>
      </w:r>
    </w:p>
    <w:p>
      <w:pPr>
        <w:spacing w:after="120" w:line="264" w:lineRule="auto"/>
        <w:jc w:val="both"/>
        <w:rPr>
          <w:rFonts w:eastAsia="Times New Roman"/>
          <w:noProof/>
          <w:lang w:eastAsia="en-GB"/>
        </w:rPr>
      </w:pPr>
      <w:r>
        <w:rPr>
          <w:rFonts w:eastAsia="Times New Roman"/>
          <w:noProof/>
          <w:lang w:eastAsia="en-GB"/>
        </w:rPr>
        <w:t xml:space="preserve">The </w:t>
      </w:r>
      <w:r>
        <w:rPr>
          <w:rFonts w:eastAsia="Times New Roman"/>
          <w:b/>
          <w:bCs/>
          <w:noProof/>
          <w:lang w:eastAsia="en-GB"/>
        </w:rPr>
        <w:t xml:space="preserve">Wine and Spirits Committee </w:t>
      </w:r>
      <w:r>
        <w:rPr>
          <w:rFonts w:eastAsia="Times New Roman"/>
          <w:noProof/>
          <w:lang w:eastAsia="en-GB"/>
        </w:rPr>
        <w:t xml:space="preserve">met in Brussels on 5 July 2018. Parties had a detailed discussion on the implementation of the CETA Joint Declaration on wines and spirits, which contributed to developing a mutual understanding of their respective views. The EU expressed concerns about the enforcement of the protection of certain EU Wines and Spirits GIs, which the Canadian counterparts explained they were resolving. The EU provided an overview of its legislation on certain duty reductions, as well as on the on-going recast of the EU wine legislation, which should address Canada's concern about red ice wine. </w:t>
      </w:r>
    </w:p>
    <w:p>
      <w:pPr>
        <w:spacing w:after="120" w:line="264" w:lineRule="auto"/>
        <w:jc w:val="both"/>
        <w:rPr>
          <w:rFonts w:eastAsia="Times New Roman"/>
          <w:noProof/>
          <w:lang w:eastAsia="en-GB"/>
        </w:rPr>
      </w:pPr>
      <w:r>
        <w:rPr>
          <w:rFonts w:eastAsia="Times New Roman"/>
          <w:noProof/>
          <w:lang w:eastAsia="en-GB"/>
        </w:rPr>
        <w:t xml:space="preserve">The </w:t>
      </w:r>
      <w:r>
        <w:rPr>
          <w:rFonts w:eastAsia="Times New Roman"/>
          <w:b/>
          <w:bCs/>
          <w:noProof/>
          <w:lang w:eastAsia="en-GB"/>
        </w:rPr>
        <w:t>Financial Services Committee</w:t>
      </w:r>
      <w:r>
        <w:rPr>
          <w:rFonts w:eastAsia="Times New Roman"/>
          <w:noProof/>
          <w:lang w:eastAsia="en-GB"/>
        </w:rPr>
        <w:t xml:space="preserve"> met in Brussels on 19 June 2018. The Parties discussed financial sector developments as well as regulatory and supervisory issues relating to banking and capital markets. They also discussed issues pertaining to financial stability as well as cybersecurity, consumer and data protection and sustainable finance.</w:t>
      </w:r>
    </w:p>
    <w:p>
      <w:pPr>
        <w:spacing w:after="120" w:line="264" w:lineRule="auto"/>
        <w:jc w:val="both"/>
        <w:rPr>
          <w:rFonts w:eastAsia="Times New Roman"/>
          <w:noProof/>
          <w:lang w:eastAsia="en-GB"/>
        </w:rPr>
      </w:pPr>
      <w:r>
        <w:rPr>
          <w:rFonts w:eastAsia="Times New Roman"/>
          <w:noProof/>
          <w:lang w:eastAsia="en-GB"/>
        </w:rPr>
        <w:t xml:space="preserve">The </w:t>
      </w:r>
      <w:r>
        <w:rPr>
          <w:rFonts w:eastAsia="Times New Roman"/>
          <w:b/>
          <w:bCs/>
          <w:noProof/>
          <w:lang w:eastAsia="en-GB"/>
        </w:rPr>
        <w:t xml:space="preserve">Committee on Trade and Sustainable Development (TSD) </w:t>
      </w:r>
      <w:r>
        <w:rPr>
          <w:rFonts w:eastAsia="Times New Roman"/>
          <w:noProof/>
          <w:lang w:eastAsia="en-GB"/>
        </w:rPr>
        <w:t xml:space="preserve">met in Brussels on 13 September 2018. The meeting was preceded and informed by exchanges of the first CETA Civil Society Forum, which took place on 12 September 2018. In addition, the Parties met with the representatives of the domestic advisory groups (DAGs) referred to by the TSD chapters, and debriefed them on the TSD Committee discussions. They exchanged views on the subjects raised during the TSD meeting and discussed expectations for future work between the DAGs and the Parties. The EU and Canada acknowledged the envisaged adoption of three recommendations on trade and climate, trade and gender and trade and SMEs, which had been prepared in the framework of the TSD implementation work and which were subsequently adopted by the CETA Joint Committee on 26 September 2018. </w:t>
      </w:r>
    </w:p>
    <w:p>
      <w:pPr>
        <w:spacing w:after="120" w:line="264" w:lineRule="auto"/>
        <w:jc w:val="both"/>
        <w:rPr>
          <w:rFonts w:eastAsia="Times New Roman"/>
          <w:noProof/>
          <w:lang w:eastAsia="en-GB"/>
        </w:rPr>
      </w:pPr>
      <w:r>
        <w:rPr>
          <w:rFonts w:eastAsia="Times New Roman"/>
          <w:noProof/>
          <w:lang w:eastAsia="en-GB"/>
        </w:rPr>
        <w:t xml:space="preserve">The </w:t>
      </w:r>
      <w:r>
        <w:rPr>
          <w:rFonts w:eastAsia="Times New Roman"/>
          <w:b/>
          <w:bCs/>
          <w:noProof/>
          <w:lang w:eastAsia="en-GB"/>
        </w:rPr>
        <w:t xml:space="preserve">Committee on Services and Investment </w:t>
      </w:r>
      <w:r>
        <w:rPr>
          <w:rFonts w:eastAsia="Times New Roman"/>
          <w:noProof/>
          <w:lang w:eastAsia="en-GB"/>
        </w:rPr>
        <w:t xml:space="preserve">met in Brussels on 18 September 2018. On investment protection, the Parties discussed the functioning of the Appellate Tribunal, the code of conduct and rules for mediation. Both the EU and Canada agreed that subsequent work will be carried out at technical level to produce a draft decision in early 2019. On services, the Parties exchanged information on Mutual Recognition Agreements, Canada’s coastal shipping legislative reform, ongoing negotiations relating to the development of performance requirements obligations for financial services, and the provision of information on temporary entry. Both Parties agreed that technical level discussions would advance these issues further. </w:t>
      </w:r>
    </w:p>
    <w:p>
      <w:pPr>
        <w:spacing w:after="120" w:line="264" w:lineRule="auto"/>
        <w:jc w:val="both"/>
        <w:rPr>
          <w:rFonts w:eastAsia="Times New Roman"/>
          <w:noProof/>
          <w:lang w:eastAsia="en-GB"/>
        </w:rPr>
      </w:pPr>
      <w:r>
        <w:rPr>
          <w:rFonts w:eastAsia="Times New Roman"/>
          <w:noProof/>
          <w:lang w:eastAsia="en-GB"/>
        </w:rPr>
        <w:t xml:space="preserve">The </w:t>
      </w:r>
      <w:r>
        <w:rPr>
          <w:rFonts w:eastAsia="Times New Roman"/>
          <w:b/>
          <w:bCs/>
          <w:noProof/>
          <w:lang w:eastAsia="en-GB"/>
        </w:rPr>
        <w:t xml:space="preserve">Agriculture Committee </w:t>
      </w:r>
      <w:r>
        <w:rPr>
          <w:rFonts w:eastAsia="Times New Roman"/>
          <w:noProof/>
          <w:lang w:eastAsia="en-GB"/>
        </w:rPr>
        <w:t xml:space="preserve">met on 19 September 2018 in Brussels. Reviewing their respective trade data, both Parties welcomed increased imports across most agricultural goods. Canada raised concerns about the EU’s beef and pork quota management system and asked about data access, while the EU expressed concern about the Canadian cheese quota administration and the very low uptake of the quota until late in 2018. Other issues discussed were Canada’s price class for milk protein ingredients as well as European national measures on origin labelling. Both Parties agreed to engage in information sharing to remedy the flagged issues, calling for more collaboration in order to take advantage of CETA’s new opportunities. </w:t>
      </w:r>
    </w:p>
    <w:p>
      <w:pPr>
        <w:spacing w:after="120" w:line="264" w:lineRule="auto"/>
        <w:jc w:val="both"/>
        <w:rPr>
          <w:rFonts w:eastAsia="Times New Roman"/>
          <w:noProof/>
          <w:lang w:eastAsia="en-GB"/>
        </w:rPr>
      </w:pPr>
      <w:r>
        <w:rPr>
          <w:rFonts w:eastAsia="Times New Roman"/>
          <w:noProof/>
          <w:lang w:eastAsia="en-GB"/>
        </w:rPr>
        <w:t xml:space="preserve">On 16 November 2018, the </w:t>
      </w:r>
      <w:r>
        <w:rPr>
          <w:rFonts w:eastAsia="Times New Roman"/>
          <w:b/>
          <w:bCs/>
          <w:noProof/>
          <w:lang w:eastAsia="en-GB"/>
        </w:rPr>
        <w:t>Joint Sectoral Group (JSG) on Pharmaceuticals</w:t>
      </w:r>
      <w:r>
        <w:rPr>
          <w:rFonts w:eastAsia="Times New Roman"/>
          <w:noProof/>
          <w:lang w:eastAsia="en-GB"/>
        </w:rPr>
        <w:t xml:space="preserve"> convened by videoconference. Six administrative arrangements to facilitate the effective implementation and monitoring of the CETA Good Manufacturing Practices Protocol (GMP) on Pharmaceuticals were approved (Components of the Information Sharing Process; Two-way Alert Program; Procedure for Evaluating New Regulatory Authorities; Equivalence Maintenance Program; Components of a GMP Compliance Program; Contact Points). Canada’s Proposal on a Mutual Recognition Agreement (MRA) for Drug Facility Inspections in third countries and the Recognition of the Active Pharmaceutical Ingredients Program under the CETA GMP Protocol on Pharmaceuticals were discussed, with Parties agreeing to develop a common approach and propose a plan. The JSG confirmed the continued mutual recognition of GMP inspections and batch certification between the Parties. </w:t>
      </w:r>
    </w:p>
    <w:p>
      <w:pPr>
        <w:spacing w:after="120" w:line="264" w:lineRule="auto"/>
        <w:jc w:val="both"/>
        <w:rPr>
          <w:rFonts w:eastAsia="Times New Roman"/>
          <w:noProof/>
          <w:lang w:eastAsia="en-GB"/>
        </w:rPr>
      </w:pPr>
      <w:r>
        <w:rPr>
          <w:rFonts w:eastAsia="Times New Roman"/>
          <w:noProof/>
          <w:lang w:eastAsia="en-GB"/>
        </w:rPr>
        <w:t xml:space="preserve">On 29 November 2018, the </w:t>
      </w:r>
      <w:r>
        <w:rPr>
          <w:rFonts w:eastAsia="Times New Roman"/>
          <w:b/>
          <w:bCs/>
          <w:noProof/>
          <w:lang w:eastAsia="en-GB"/>
        </w:rPr>
        <w:t xml:space="preserve">Trade in Goods Committee </w:t>
      </w:r>
      <w:r>
        <w:rPr>
          <w:rFonts w:eastAsia="Times New Roman"/>
          <w:noProof/>
          <w:lang w:eastAsia="en-GB"/>
        </w:rPr>
        <w:t xml:space="preserve">convened via videoconference. The Committee welcomed the progress made on the reciprocal exchange of information on the safety of consumer products and discussed the implementation of the Protocol on conformity assessment. The Parties also exchanged information regarding the informal IPR dialogue in June 2018, the joint report of the Joint Sectoral Group on Pharmaceutical products, which took place on 16 November, as well as legislative developments. The Reports of the Agricultural Committee and the Wines &amp; Spirits Committee were discussed thereafter, covering a range of issues (including the cheese TRQ, provincial discriminatory measures against EU wines exporters, enforcement of W&amp;S GI protection, origin declaration on Wines &amp; Spirits, veterinary medicines regulation, and country-of-origin labelling, amongst others). </w:t>
      </w:r>
    </w:p>
    <w:p>
      <w:pPr>
        <w:spacing w:after="120" w:line="264" w:lineRule="auto"/>
        <w:jc w:val="both"/>
        <w:rPr>
          <w:rFonts w:eastAsia="Times New Roman"/>
          <w:noProof/>
          <w:lang w:eastAsia="en-GB"/>
        </w:rPr>
      </w:pPr>
      <w:r>
        <w:rPr>
          <w:rFonts w:eastAsia="Times New Roman"/>
          <w:noProof/>
          <w:lang w:eastAsia="en-GB"/>
        </w:rPr>
        <w:t xml:space="preserve">The </w:t>
      </w:r>
      <w:r>
        <w:rPr>
          <w:rFonts w:eastAsia="Times New Roman"/>
          <w:b/>
          <w:bCs/>
          <w:noProof/>
          <w:lang w:eastAsia="en-GB"/>
        </w:rPr>
        <w:t xml:space="preserve">Regulatory Cooperation Forum </w:t>
      </w:r>
      <w:r>
        <w:rPr>
          <w:rFonts w:eastAsia="Times New Roman"/>
          <w:noProof/>
          <w:lang w:eastAsia="en-GB"/>
        </w:rPr>
        <w:t xml:space="preserve">met on 14 December 2018 in Brussels (and videoconference) and agreed on a work plan. It was also agreed that the plan should be published online and updates should be published regularly. Topics retained in the work programme were ‘cybersecurity and the Internet of Things’, ‘animal welfare’, ‘cosmetics-like drug products’, and ‘pharmaceutical inspections’. Both Parties emphasised the importance of safety of consumer products and welcomed the new administrative arrangement adopted to exchange non-personal information on dangerous non-food consumer products. Finally, the Forum debriefed civil society stakeholders and in response to requests of stakeholders conveyed openness to receiving suggestions for new topics, if there is a common interest. Stakeholders welcomed the increased transparency. </w:t>
      </w:r>
    </w:p>
    <w:p>
      <w:pPr>
        <w:spacing w:after="120" w:line="264" w:lineRule="auto"/>
        <w:jc w:val="both"/>
        <w:rPr>
          <w:rFonts w:eastAsia="Times New Roman"/>
          <w:noProof/>
          <w:lang w:eastAsia="en-GB"/>
        </w:rPr>
      </w:pPr>
      <w:r>
        <w:rPr>
          <w:rFonts w:eastAsia="Times New Roman"/>
          <w:noProof/>
          <w:lang w:eastAsia="en-GB"/>
        </w:rPr>
        <w:t xml:space="preserve">The </w:t>
      </w:r>
      <w:r>
        <w:rPr>
          <w:rFonts w:eastAsia="Times New Roman"/>
          <w:b/>
          <w:bCs/>
          <w:noProof/>
          <w:lang w:eastAsia="en-GB"/>
        </w:rPr>
        <w:t>Joint Committee on Mutual Recognition of Professional Qualifications</w:t>
      </w:r>
      <w:r>
        <w:rPr>
          <w:rFonts w:eastAsia="Times New Roman"/>
          <w:noProof/>
          <w:lang w:eastAsia="en-GB"/>
        </w:rPr>
        <w:t xml:space="preserve"> met in Brussels on 16 April 2019. The Committee officially acknowledged the receipt of documents submitted by the Canadian Architectural Licensing Authorities (CALA) and the Architects’ Council of Europe (ACE) with a view to providing a joint recommendation on a Mutual Recognition Agreement (MRA) between Canada and the EU concerning the profession of architects. The Committee discussed the joint submission in light of Article 11 of CETA and exchanged views about the next steps in the process of the possible negotiation and adoption of the MRA.</w:t>
      </w:r>
    </w:p>
    <w:p>
      <w:pPr>
        <w:spacing w:after="120" w:line="264" w:lineRule="auto"/>
        <w:jc w:val="both"/>
        <w:rPr>
          <w:rFonts w:eastAsia="Times New Roman"/>
          <w:i/>
          <w:iCs/>
          <w:noProof/>
          <w:u w:val="single"/>
          <w:lang w:eastAsia="en-GB"/>
        </w:rPr>
      </w:pPr>
      <w:r>
        <w:rPr>
          <w:rFonts w:eastAsia="Times New Roman"/>
          <w:i/>
          <w:iCs/>
          <w:noProof/>
          <w:u w:val="single"/>
          <w:lang w:eastAsia="en-GB"/>
        </w:rPr>
        <w:t>Dialogues</w:t>
      </w:r>
    </w:p>
    <w:p>
      <w:pPr>
        <w:spacing w:after="120" w:line="264" w:lineRule="auto"/>
        <w:jc w:val="both"/>
        <w:rPr>
          <w:rFonts w:eastAsia="Times New Roman"/>
          <w:noProof/>
          <w:lang w:eastAsia="en-GB"/>
        </w:rPr>
      </w:pPr>
      <w:r>
        <w:rPr>
          <w:rFonts w:eastAsia="Times New Roman"/>
          <w:noProof/>
          <w:lang w:eastAsia="en-GB"/>
        </w:rPr>
        <w:t>The</w:t>
      </w:r>
      <w:r>
        <w:rPr>
          <w:rFonts w:eastAsia="Times New Roman"/>
          <w:b/>
          <w:bCs/>
          <w:noProof/>
          <w:lang w:eastAsia="en-GB"/>
        </w:rPr>
        <w:t xml:space="preserve"> Bilateral Dialogue on Forest Products</w:t>
      </w:r>
      <w:r>
        <w:rPr>
          <w:rFonts w:eastAsia="Times New Roman"/>
          <w:b/>
          <w:noProof/>
          <w:lang w:eastAsia="en-GB"/>
        </w:rPr>
        <w:t xml:space="preserve"> </w:t>
      </w:r>
      <w:r>
        <w:rPr>
          <w:rFonts w:eastAsia="Times New Roman"/>
          <w:noProof/>
          <w:lang w:eastAsia="en-GB"/>
        </w:rPr>
        <w:t xml:space="preserve">held a productive meeting on 23 May 2018 by videoconference, discussing resource efficiency of wood-based products, their sustainable use, product standards, hazard-based approach to regulation of plant protection products/biocides and EU-Canada cooperation on research and innovation. </w:t>
      </w:r>
    </w:p>
    <w:p>
      <w:pPr>
        <w:spacing w:after="120" w:line="264" w:lineRule="auto"/>
        <w:jc w:val="both"/>
        <w:rPr>
          <w:rFonts w:eastAsia="Times New Roman"/>
          <w:noProof/>
          <w:lang w:eastAsia="en-GB"/>
        </w:rPr>
      </w:pPr>
      <w:r>
        <w:rPr>
          <w:rFonts w:eastAsia="Times New Roman"/>
          <w:noProof/>
          <w:lang w:eastAsia="en-GB"/>
        </w:rPr>
        <w:t xml:space="preserve">The </w:t>
      </w:r>
      <w:r>
        <w:rPr>
          <w:rFonts w:eastAsia="Times New Roman"/>
          <w:b/>
          <w:bCs/>
          <w:noProof/>
          <w:lang w:eastAsia="en-GB"/>
        </w:rPr>
        <w:t xml:space="preserve">Bilateral Dialogue on Raw Materials </w:t>
      </w:r>
      <w:r>
        <w:rPr>
          <w:rFonts w:eastAsia="Times New Roman"/>
          <w:noProof/>
          <w:lang w:eastAsia="en-GB"/>
        </w:rPr>
        <w:t>took place</w:t>
      </w:r>
      <w:r>
        <w:rPr>
          <w:rFonts w:eastAsia="Times New Roman"/>
          <w:b/>
          <w:bCs/>
          <w:noProof/>
          <w:lang w:eastAsia="en-GB"/>
        </w:rPr>
        <w:t xml:space="preserve"> </w:t>
      </w:r>
      <w:r>
        <w:rPr>
          <w:rFonts w:eastAsia="Times New Roman"/>
          <w:noProof/>
          <w:lang w:eastAsia="en-GB"/>
        </w:rPr>
        <w:t xml:space="preserve">on 16 November 2018 and discussed research and innovation aspects of the raw materials life cycle. The EU and Canada also agreed to continue to exchange best practices on sustainable mining as well as to find synergies to boost investment opportunities in exploration and mining in the EU and Canada. Stakeholder representatives joined part of the meeting to report on the main outcome of the EU-Canada Raw Materials Stakeholders Forum. </w:t>
      </w:r>
    </w:p>
    <w:p>
      <w:pPr>
        <w:spacing w:after="120" w:line="264" w:lineRule="auto"/>
        <w:jc w:val="both"/>
        <w:rPr>
          <w:rFonts w:eastAsia="Times New Roman"/>
          <w:noProof/>
          <w:lang w:eastAsia="en-GB"/>
        </w:rPr>
      </w:pPr>
      <w:r>
        <w:rPr>
          <w:rFonts w:eastAsia="Times New Roman"/>
          <w:noProof/>
          <w:lang w:eastAsia="en-GB"/>
        </w:rPr>
        <w:t>The 14</w:t>
      </w:r>
      <w:r>
        <w:rPr>
          <w:rFonts w:eastAsia="Times New Roman"/>
          <w:noProof/>
          <w:vertAlign w:val="superscript"/>
          <w:lang w:eastAsia="en-GB"/>
        </w:rPr>
        <w:t>th</w:t>
      </w:r>
      <w:r>
        <w:rPr>
          <w:rFonts w:eastAsia="Times New Roman"/>
          <w:noProof/>
          <w:lang w:eastAsia="en-GB"/>
        </w:rPr>
        <w:t xml:space="preserve"> </w:t>
      </w:r>
      <w:r>
        <w:rPr>
          <w:rFonts w:eastAsia="Times New Roman"/>
          <w:b/>
          <w:bCs/>
          <w:noProof/>
          <w:lang w:eastAsia="en-GB"/>
        </w:rPr>
        <w:t>Joint Science and Technology Cooperation Committee</w:t>
      </w:r>
      <w:r>
        <w:rPr>
          <w:rFonts w:eastAsia="Times New Roman"/>
          <w:noProof/>
          <w:lang w:eastAsia="en-GB"/>
        </w:rPr>
        <w:t xml:space="preserve"> meeting - the first under CETA- acknowledged the importance of the recent research and innovation policy developments in Canada and in the European Union - </w:t>
      </w:r>
      <w:r>
        <w:rPr>
          <w:rFonts w:eastAsia="Times New Roman"/>
          <w:i/>
          <w:iCs/>
          <w:noProof/>
          <w:lang w:eastAsia="en-GB"/>
        </w:rPr>
        <w:t xml:space="preserve">Budget 2018 </w:t>
      </w:r>
      <w:r>
        <w:rPr>
          <w:rFonts w:eastAsia="Times New Roman"/>
          <w:noProof/>
          <w:lang w:eastAsia="en-GB"/>
        </w:rPr>
        <w:t xml:space="preserve">and </w:t>
      </w:r>
      <w:r>
        <w:rPr>
          <w:rFonts w:eastAsia="Times New Roman"/>
          <w:i/>
          <w:iCs/>
          <w:noProof/>
          <w:lang w:eastAsia="en-GB"/>
        </w:rPr>
        <w:t>Horizon 2020</w:t>
      </w:r>
      <w:r>
        <w:rPr>
          <w:rFonts w:eastAsia="Times New Roman"/>
          <w:noProof/>
          <w:lang w:eastAsia="en-GB"/>
        </w:rPr>
        <w:t xml:space="preserve">. Reinforcing the links between industry and research was a key objective of both Parties for this meeting and they agreed to continue their strong cooperation in key areas like marine, health, aeronautics and agricultural research. Mobility of Canadian and European researchers was strongly reaffirmed and continued development of appropriate framework conditions for research cooperation was agreed. </w:t>
      </w:r>
    </w:p>
    <w:p>
      <w:pPr>
        <w:spacing w:after="120" w:line="264" w:lineRule="auto"/>
        <w:jc w:val="both"/>
        <w:rPr>
          <w:rFonts w:eastAsia="Times New Roman"/>
          <w:noProof/>
          <w:lang w:eastAsia="en-GB"/>
        </w:rPr>
      </w:pPr>
      <w:r>
        <w:rPr>
          <w:rFonts w:eastAsia="Times New Roman"/>
          <w:noProof/>
          <w:lang w:eastAsia="en-GB"/>
        </w:rPr>
        <w:t xml:space="preserve">The </w:t>
      </w:r>
      <w:r>
        <w:rPr>
          <w:rFonts w:eastAsia="Times New Roman"/>
          <w:b/>
          <w:bCs/>
          <w:noProof/>
          <w:lang w:eastAsia="en-GB"/>
        </w:rPr>
        <w:t>Dialogue on Biotechnology</w:t>
      </w:r>
      <w:r>
        <w:rPr>
          <w:rFonts w:eastAsia="Times New Roman"/>
          <w:noProof/>
          <w:lang w:eastAsia="en-GB"/>
        </w:rPr>
        <w:t xml:space="preserve"> took place on 26 April 2018 by videoconference. Both Parties underlined the importance of information exchange on regulatory and technical issues affecting trade in agricultural products of biotechnology. Both sides exchanged information on legislative and policy developments. The EU raised the issue of Genetically Modified (GM) animals in Canada, specifically about GM salmon and its traceability requirements. Canada reaffirmed that all products exported to the EU, including salmon, must meet EU import requirements and therefore no GM salmon is exported to the EU. </w:t>
      </w:r>
    </w:p>
    <w:p>
      <w:pPr>
        <w:spacing w:after="120" w:line="264" w:lineRule="auto"/>
        <w:jc w:val="both"/>
        <w:rPr>
          <w:rFonts w:eastAsia="Times New Roman"/>
          <w:noProof/>
          <w:lang w:eastAsia="en-GB"/>
        </w:rPr>
      </w:pPr>
      <w:r>
        <w:rPr>
          <w:rFonts w:eastAsia="Times New Roman"/>
          <w:noProof/>
          <w:lang w:eastAsia="en-GB"/>
        </w:rPr>
        <w:t xml:space="preserve">The meeting of the </w:t>
      </w:r>
      <w:r>
        <w:rPr>
          <w:rFonts w:eastAsia="Times New Roman"/>
          <w:b/>
          <w:bCs/>
          <w:noProof/>
          <w:lang w:eastAsia="en-GB"/>
        </w:rPr>
        <w:t xml:space="preserve">Bilateral Dialogue on Motor Vehicle Regulations </w:t>
      </w:r>
      <w:r>
        <w:rPr>
          <w:rFonts w:eastAsia="Times New Roman"/>
          <w:noProof/>
          <w:lang w:eastAsia="en-GB"/>
        </w:rPr>
        <w:t>was held via</w:t>
      </w:r>
      <w:r>
        <w:rPr>
          <w:rFonts w:eastAsia="Times New Roman"/>
          <w:b/>
          <w:bCs/>
          <w:noProof/>
          <w:lang w:eastAsia="en-GB"/>
        </w:rPr>
        <w:t xml:space="preserve"> </w:t>
      </w:r>
      <w:r>
        <w:rPr>
          <w:rFonts w:eastAsia="Times New Roman"/>
          <w:noProof/>
          <w:lang w:eastAsia="en-GB"/>
        </w:rPr>
        <w:t xml:space="preserve">videoconference on 5 October 2018 and focused on regulatory developments with respect to motor vehicles. Regulatory ambitions in the Automated Driving sector were discussed and the Parties agreed to hold additional technical meetings on regulations of relevance ahead of the UNECE meetings in Geneva. Both sides confirmed their willingness to continue technical exchanges on issues of common interest. </w:t>
      </w:r>
    </w:p>
    <w:p>
      <w:pPr>
        <w:pStyle w:val="ManualHeading1"/>
      </w:pPr>
      <w:bookmarkStart w:id="79" w:name="_Toc2261354"/>
      <w:bookmarkStart w:id="80" w:name="_Toc8833441"/>
      <w:bookmarkStart w:id="81" w:name="_Toc8835268"/>
      <w:bookmarkStart w:id="82" w:name="_Toc8833898"/>
      <w:bookmarkStart w:id="83" w:name="_Toc8909361"/>
      <w:bookmarkStart w:id="84" w:name="_Toc8910573"/>
      <w:bookmarkStart w:id="85" w:name="_Toc8911610"/>
      <w:bookmarkStart w:id="86" w:name="_Toc8974416"/>
      <w:bookmarkStart w:id="87" w:name="_Toc9008082"/>
      <w:bookmarkStart w:id="88" w:name="_Toc9008035"/>
      <w:bookmarkStart w:id="89" w:name="_Toc9348483"/>
      <w:bookmarkStart w:id="90" w:name="_Toc9607935"/>
      <w:bookmarkStart w:id="91" w:name="_Toc16000512"/>
      <w:r>
        <w:t>4.</w:t>
      </w:r>
      <w:r>
        <w:tab/>
        <w:t>Implementation of the provisions on trade and sustainable development</w:t>
      </w:r>
      <w:bookmarkEnd w:id="79"/>
      <w:bookmarkEnd w:id="80"/>
      <w:bookmarkEnd w:id="81"/>
      <w:bookmarkEnd w:id="82"/>
      <w:bookmarkEnd w:id="83"/>
      <w:bookmarkEnd w:id="84"/>
      <w:bookmarkEnd w:id="85"/>
      <w:bookmarkEnd w:id="86"/>
      <w:bookmarkEnd w:id="87"/>
      <w:bookmarkEnd w:id="88"/>
      <w:bookmarkEnd w:id="89"/>
      <w:bookmarkEnd w:id="90"/>
      <w:bookmarkEnd w:id="91"/>
    </w:p>
    <w:p>
      <w:pPr>
        <w:spacing w:after="120" w:line="264" w:lineRule="auto"/>
        <w:jc w:val="both"/>
        <w:rPr>
          <w:rFonts w:eastAsia="Times New Roman"/>
          <w:noProof/>
          <w:lang w:eastAsia="en-GB"/>
        </w:rPr>
      </w:pPr>
      <w:r>
        <w:rPr>
          <w:rFonts w:eastAsia="Times New Roman"/>
          <w:noProof/>
          <w:lang w:eastAsia="en-GB"/>
        </w:rPr>
        <w:t xml:space="preserve">In the context of the Trade and Sustainable Development Committee, the EU and Canada discussed issues of common interest in the multilateral context and exchanged views on potential priority areas in the trade and labour, trade and environment and other cross-cutting fields. The Parties recalled the existing high intensity of bilateral relations on </w:t>
      </w:r>
      <w:r>
        <w:rPr>
          <w:rFonts w:eastAsia="Times New Roman"/>
          <w:b/>
          <w:bCs/>
          <w:noProof/>
          <w:lang w:eastAsia="en-GB"/>
        </w:rPr>
        <w:t>environmental issues</w:t>
      </w:r>
      <w:r>
        <w:rPr>
          <w:rFonts w:eastAsia="Times New Roman"/>
          <w:noProof/>
          <w:lang w:eastAsia="en-GB"/>
        </w:rPr>
        <w:t xml:space="preserve"> in general, and noted their commitment to future cooperation under CETA. The Parties updated each other on their relevant processes in relation to multilateral environment agreements (MEAs). In this context, the Parties also exchanged views on areas of mutual interest, such as trade in plastics, trade and biodiversity and clean technology. The Parties provided updates on their respective mechanisms and practices in receiving communications on the Trade and Environment Chapter (Canada) and Trade and Sustainable Development (EU) from non-governmental stakeholders and the wider public.</w:t>
      </w:r>
    </w:p>
    <w:p>
      <w:pPr>
        <w:spacing w:after="120" w:line="264" w:lineRule="auto"/>
        <w:jc w:val="both"/>
        <w:rPr>
          <w:rFonts w:eastAsia="Times New Roman"/>
          <w:noProof/>
          <w:lang w:eastAsia="en-GB"/>
        </w:rPr>
      </w:pPr>
      <w:r>
        <w:rPr>
          <w:rFonts w:eastAsia="Times New Roman"/>
          <w:noProof/>
          <w:lang w:eastAsia="en-GB"/>
        </w:rPr>
        <w:t>To expand the awareness of EU-Canada trade and climate action in the context of CETA, the EU and Canada hosted a conference in Brussels on 24 January 2019 to explore how to best leverage CETA’s institutional and legal framework to encourage further joint actions to support implementation of the Paris Agreement. At this conference business, civil society and policy communities from both sides of the Atlantic discussed topics such as the application of CETA to support sustainable and green investment, regulatory cooperation and trade in green technologies and services.</w:t>
      </w:r>
    </w:p>
    <w:p>
      <w:pPr>
        <w:spacing w:after="120" w:line="264" w:lineRule="auto"/>
        <w:jc w:val="both"/>
        <w:rPr>
          <w:rFonts w:eastAsia="Times New Roman"/>
          <w:noProof/>
          <w:lang w:eastAsia="en-GB"/>
        </w:rPr>
      </w:pPr>
      <w:r>
        <w:rPr>
          <w:rFonts w:eastAsia="Times New Roman"/>
          <w:noProof/>
          <w:lang w:eastAsia="en-GB"/>
        </w:rPr>
        <w:t xml:space="preserve">In relation to </w:t>
      </w:r>
      <w:r>
        <w:rPr>
          <w:rFonts w:eastAsia="Times New Roman"/>
          <w:b/>
          <w:bCs/>
          <w:noProof/>
          <w:lang w:eastAsia="en-GB"/>
        </w:rPr>
        <w:t>trade and labour</w:t>
      </w:r>
      <w:r>
        <w:rPr>
          <w:rFonts w:eastAsia="Times New Roman"/>
          <w:noProof/>
          <w:lang w:eastAsia="en-GB"/>
        </w:rPr>
        <w:t xml:space="preserve">, the Parties outlined their respective legal mechanisms for monitoring and ensuring compliance with core labour standards, and discussed possible priorities for cooperation. In this context, the EU and Canada expressed their preliminary interest in working jointly on (i) labour issues in relation to global supply chains in third countries; (ii) on collective bargaining in the context of the changing world of work, in particular on the platform economy; and (iii) on gender-related issues in the world of work, also in coordination with the work on the Trade and Gender Recommendation. </w:t>
      </w:r>
    </w:p>
    <w:p>
      <w:pPr>
        <w:spacing w:after="120" w:line="264" w:lineRule="auto"/>
        <w:jc w:val="both"/>
        <w:rPr>
          <w:rFonts w:eastAsia="Times New Roman"/>
          <w:noProof/>
          <w:lang w:eastAsia="en-GB"/>
        </w:rPr>
      </w:pPr>
      <w:r>
        <w:rPr>
          <w:rFonts w:eastAsia="Times New Roman"/>
          <w:noProof/>
          <w:lang w:eastAsia="en-GB"/>
        </w:rPr>
        <w:t xml:space="preserve">Under cross-cutting issues, the Parties also stressed the important role of businesses in promoting labour and environmental objectives and outlined their respective ongoing efforts in promoting responsible business conduct/corporate social responsibility with their trade partners. They agreed as a follow-up to explore potential synergies and cooperation activities.  </w:t>
      </w:r>
    </w:p>
    <w:p>
      <w:pPr>
        <w:spacing w:after="120" w:line="264" w:lineRule="auto"/>
        <w:jc w:val="both"/>
        <w:rPr>
          <w:rFonts w:eastAsia="Times New Roman"/>
          <w:i/>
          <w:iCs/>
          <w:noProof/>
          <w:lang w:eastAsia="en-GB"/>
        </w:rPr>
      </w:pPr>
      <w:r>
        <w:rPr>
          <w:rFonts w:eastAsia="Times New Roman"/>
          <w:i/>
          <w:iCs/>
          <w:noProof/>
          <w:lang w:eastAsia="en-GB"/>
        </w:rPr>
        <w:t>Trade and Sustainable Development (TSD) review</w:t>
      </w:r>
    </w:p>
    <w:p>
      <w:pPr>
        <w:spacing w:after="120" w:line="264" w:lineRule="auto"/>
        <w:jc w:val="both"/>
        <w:rPr>
          <w:rFonts w:eastAsia="Times New Roman"/>
          <w:noProof/>
          <w:lang w:eastAsia="en-GB"/>
        </w:rPr>
      </w:pPr>
      <w:r>
        <w:rPr>
          <w:rFonts w:eastAsia="Times New Roman"/>
          <w:noProof/>
        </w:rPr>
        <w:t xml:space="preserve">The review process was formally initiated by an exchange of letters between the EU and Canada after CETA provisionally came into force on 21 September 2017. In the course of 2018, the Parties held several technical level discussions and </w:t>
      </w:r>
      <w:r>
        <w:rPr>
          <w:rFonts w:eastAsia="Times New Roman"/>
          <w:noProof/>
          <w:lang w:eastAsia="en-GB"/>
        </w:rPr>
        <w:t xml:space="preserve">exchanged views in the context of the early review of the Trade and Sustainable Development chapters. Canada and the EU reconfirmed their commitment to advance this process and agreed to intensify their efforts on this commitment, with a view to reviewing the implementation of the TSD chapters, including their enforcement mechanisms, to propose solutions and outcomes at the second CETA Joint Committee meeting and subsequent Joint Committee meeting as pertinent. In parallel, the EU Commission published a </w:t>
      </w:r>
      <w:hyperlink r:id="rId20" w:history="1">
        <w:r>
          <w:rPr>
            <w:rFonts w:eastAsia="Times New Roman"/>
            <w:noProof/>
            <w:color w:val="0563C1"/>
            <w:u w:val="single"/>
            <w:lang w:eastAsia="en-GB"/>
          </w:rPr>
          <w:t>15-point action plan</w:t>
        </w:r>
      </w:hyperlink>
      <w:r>
        <w:rPr>
          <w:rFonts w:eastAsia="Times New Roman"/>
          <w:noProof/>
          <w:lang w:eastAsia="en-GB"/>
        </w:rPr>
        <w:t xml:space="preserve"> to make EU trade and sustainable development chapters more effective and which is informing the EU position on TSD. The Parties devised a joint work plan to be implemented in advance of the second CETA Joint Committee meeting.  </w:t>
      </w:r>
    </w:p>
    <w:p>
      <w:pPr>
        <w:pStyle w:val="ManualHeading1"/>
      </w:pPr>
      <w:bookmarkStart w:id="92" w:name="_Toc2261355"/>
      <w:bookmarkStart w:id="93" w:name="_Toc8833442"/>
      <w:bookmarkStart w:id="94" w:name="_Toc8835269"/>
      <w:bookmarkStart w:id="95" w:name="_Toc8833899"/>
      <w:bookmarkStart w:id="96" w:name="_Toc8909362"/>
      <w:bookmarkStart w:id="97" w:name="_Toc8910574"/>
      <w:bookmarkStart w:id="98" w:name="_Toc8911611"/>
      <w:bookmarkStart w:id="99" w:name="_Toc8974417"/>
      <w:bookmarkStart w:id="100" w:name="_Toc9008083"/>
      <w:bookmarkStart w:id="101" w:name="_Toc9008036"/>
      <w:bookmarkStart w:id="102" w:name="_Toc9348484"/>
      <w:bookmarkStart w:id="103" w:name="_Toc9607936"/>
      <w:bookmarkStart w:id="104" w:name="_Toc16000513"/>
      <w:r>
        <w:t>5.</w:t>
      </w:r>
      <w:r>
        <w:tab/>
        <w:t>Agriculture</w:t>
      </w:r>
      <w:bookmarkEnd w:id="92"/>
      <w:bookmarkEnd w:id="93"/>
      <w:bookmarkEnd w:id="94"/>
      <w:bookmarkEnd w:id="95"/>
      <w:bookmarkEnd w:id="96"/>
      <w:bookmarkEnd w:id="97"/>
      <w:bookmarkEnd w:id="98"/>
      <w:bookmarkEnd w:id="99"/>
      <w:bookmarkEnd w:id="100"/>
      <w:bookmarkEnd w:id="101"/>
      <w:bookmarkEnd w:id="102"/>
      <w:bookmarkEnd w:id="103"/>
      <w:bookmarkEnd w:id="104"/>
    </w:p>
    <w:p>
      <w:pPr>
        <w:autoSpaceDE w:val="0"/>
        <w:autoSpaceDN w:val="0"/>
        <w:adjustRightInd w:val="0"/>
        <w:spacing w:after="120" w:line="264" w:lineRule="auto"/>
        <w:jc w:val="both"/>
        <w:rPr>
          <w:rFonts w:eastAsia="Times New Roman"/>
          <w:noProof/>
          <w:lang w:eastAsia="en-GB"/>
        </w:rPr>
      </w:pPr>
      <w:r>
        <w:rPr>
          <w:rFonts w:eastAsia="Times New Roman"/>
          <w:noProof/>
          <w:lang w:eastAsia="en-GB"/>
        </w:rPr>
        <w:t>Since the provisional application of CETA on 21 September 2017, the Commission has been closely following the implementation of the commitments made in the field of agriculture. Canada is the 10</w:t>
      </w:r>
      <w:r>
        <w:rPr>
          <w:rFonts w:eastAsia="Times New Roman"/>
          <w:noProof/>
          <w:vertAlign w:val="superscript"/>
          <w:lang w:eastAsia="en-GB"/>
        </w:rPr>
        <w:t>th</w:t>
      </w:r>
      <w:r>
        <w:rPr>
          <w:rFonts w:eastAsia="Times New Roman"/>
          <w:noProof/>
          <w:lang w:eastAsia="en-GB"/>
        </w:rPr>
        <w:t xml:space="preserve"> most important market for EU agri-food exports. In 2018, the EU’s trade surplus with Canada grew by 31.5% to reach €1.7 billion. </w:t>
      </w:r>
    </w:p>
    <w:p>
      <w:pPr>
        <w:jc w:val="both"/>
        <w:rPr>
          <w:rFonts w:eastAsia="Times New Roman"/>
          <w:noProof/>
          <w:lang w:eastAsia="en-GB"/>
        </w:rPr>
      </w:pPr>
      <w:r>
        <w:rPr>
          <w:rFonts w:eastAsia="Times New Roman"/>
          <w:noProof/>
          <w:lang w:eastAsia="en-GB"/>
        </w:rPr>
        <w:t xml:space="preserve">EU-28 agri-food exports to Canada were up 4% in value when compared to 2017 and increased by 7% when compared with the average of the last three years (2015-2017). This is just slightly below the 4.3% annual growth recorded in the previous 4 years. </w:t>
      </w:r>
    </w:p>
    <w:p>
      <w:pPr>
        <w:jc w:val="both"/>
        <w:rPr>
          <w:rFonts w:eastAsia="Times New Roman"/>
          <w:noProof/>
          <w:lang w:eastAsia="en-GB"/>
        </w:rPr>
      </w:pPr>
    </w:p>
    <w:p>
      <w:pPr>
        <w:jc w:val="both"/>
        <w:rPr>
          <w:rFonts w:eastAsia="Times New Roman"/>
          <w:noProof/>
          <w:lang w:eastAsia="en-GB"/>
        </w:rPr>
      </w:pPr>
      <w:r>
        <w:rPr>
          <w:rFonts w:eastAsia="Times New Roman"/>
          <w:noProof/>
          <w:lang w:eastAsia="en-GB"/>
        </w:rPr>
        <w:t xml:space="preserve">Meanwhile EU imports fell by nearly 12%. This was largely due to a sharp decline of 40% in oilseeds (notably rapeseeds and soybeans) and a decline of 26% in wheat imports. The tariff rate quotas opened by the EU for the import of Canadian agricultural products were hardly utilised. The highest fill rate was 11% for the common wheat and sweet corn quotas. For meat, fill rates ranged from 0% for frozen beef to 4% for bison meat. They were particularly low (0%–1%) for the origin quotas for sugar-containing products, chocolate, food preparations and pet food. </w:t>
      </w:r>
    </w:p>
    <w:p>
      <w:pPr>
        <w:jc w:val="both"/>
        <w:rPr>
          <w:rFonts w:eastAsia="Times New Roman"/>
          <w:noProof/>
          <w:lang w:eastAsia="en-GB"/>
        </w:rPr>
      </w:pPr>
    </w:p>
    <w:p>
      <w:pPr>
        <w:autoSpaceDE w:val="0"/>
        <w:autoSpaceDN w:val="0"/>
        <w:adjustRightInd w:val="0"/>
        <w:spacing w:after="120" w:line="264" w:lineRule="auto"/>
        <w:jc w:val="both"/>
        <w:rPr>
          <w:rFonts w:eastAsia="Times New Roman"/>
          <w:noProof/>
          <w:lang w:eastAsia="en-GB"/>
        </w:rPr>
      </w:pPr>
      <w:r>
        <w:rPr>
          <w:rFonts w:eastAsia="Times New Roman"/>
          <w:noProof/>
          <w:lang w:eastAsia="en-GB"/>
        </w:rPr>
        <w:t xml:space="preserve">The additional duty free quotas for cheese are among the major gains for the EU in CETA. The EU therefore pays particular attention to ensure that the administration of this quota by Canada is in line with the principles agreed in CETA. </w:t>
      </w:r>
    </w:p>
    <w:p>
      <w:pPr>
        <w:jc w:val="both"/>
        <w:rPr>
          <w:rFonts w:eastAsia="Times New Roman"/>
          <w:noProof/>
          <w:lang w:eastAsia="en-GB"/>
        </w:rPr>
      </w:pPr>
      <w:r>
        <w:rPr>
          <w:rFonts w:eastAsia="Times New Roman"/>
          <w:noProof/>
          <w:lang w:eastAsia="en-GB"/>
        </w:rPr>
        <w:t xml:space="preserve">In 2018, the CETA cheese quota was nearly completely filled (96.4%), an even better result than in 2017. The quota uptake, however, was very slow to take off for well over the first half of 2018 and the EU raised its concerns in this regard to Canada, both in CETA’s Agriculture Committee as well as in the CETA Joint Committee. In these forums, the EU also highlighted other concerns with the Canadian quota management system, which notably foresees that 50% of quota licenses be allocated to Canada’s cheese manufacturers, which would not appear to constitute the most likely users of the quota. At the CETA Joint Committee it was agreed that in order to draw meaningful conclusions it was important to have data for the first full year of quota utilisation. The experience of the first full year of application of CETA has confirmed concerns raised by EU stakeholders about a large number of quota licenses (up to 40%) being transferred to other operators. Such transfers add costs to EU cheeses in Canada. In April 2019, the EU therefore requested that Canada conduct a mid-term review of its CETA cheese quota administration system. </w:t>
      </w:r>
    </w:p>
    <w:p>
      <w:pPr>
        <w:jc w:val="both"/>
        <w:rPr>
          <w:rFonts w:eastAsia="Times New Roman"/>
          <w:noProof/>
          <w:lang w:eastAsia="de-AT"/>
        </w:rPr>
      </w:pPr>
    </w:p>
    <w:p>
      <w:pPr>
        <w:keepNext/>
        <w:autoSpaceDE w:val="0"/>
        <w:autoSpaceDN w:val="0"/>
        <w:adjustRightInd w:val="0"/>
        <w:spacing w:after="120" w:line="264" w:lineRule="auto"/>
        <w:jc w:val="both"/>
        <w:rPr>
          <w:rFonts w:eastAsia="Times New Roman"/>
          <w:b/>
          <w:noProof/>
          <w:lang w:eastAsia="en-GB"/>
        </w:rPr>
      </w:pPr>
      <w:r>
        <w:rPr>
          <w:rFonts w:eastAsia="Times New Roman"/>
          <w:b/>
          <w:noProof/>
          <w:lang w:eastAsia="en-GB"/>
        </w:rPr>
        <w:t xml:space="preserve"> Utilisation of the CETA quota for EU cheese</w:t>
      </w:r>
    </w:p>
    <w:tbl>
      <w:tblPr>
        <w:tblW w:w="9095" w:type="dxa"/>
        <w:tblInd w:w="-8" w:type="dxa"/>
        <w:tblCellMar>
          <w:left w:w="0" w:type="dxa"/>
          <w:right w:w="0" w:type="dxa"/>
        </w:tblCellMar>
        <w:tblLook w:val="04A0" w:firstRow="1" w:lastRow="0" w:firstColumn="1" w:lastColumn="0" w:noHBand="0" w:noVBand="1"/>
      </w:tblPr>
      <w:tblGrid>
        <w:gridCol w:w="1009"/>
        <w:gridCol w:w="2273"/>
        <w:gridCol w:w="1696"/>
        <w:gridCol w:w="2349"/>
        <w:gridCol w:w="1768"/>
      </w:tblGrid>
      <w:tr>
        <w:trPr>
          <w:cantSplit/>
        </w:trPr>
        <w:tc>
          <w:tcPr>
            <w:tcW w:w="0" w:type="auto"/>
            <w:tcBorders>
              <w:top w:val="single" w:sz="8" w:space="0" w:color="auto"/>
              <w:left w:val="single" w:sz="8" w:space="0" w:color="auto"/>
              <w:bottom w:val="single" w:sz="8" w:space="0" w:color="auto"/>
              <w:right w:val="single" w:sz="8" w:space="0" w:color="auto"/>
            </w:tcBorders>
            <w:vAlign w:val="center"/>
            <w:hideMark/>
          </w:tcPr>
          <w:p>
            <w:pPr>
              <w:keepNext/>
              <w:spacing w:line="264" w:lineRule="auto"/>
              <w:jc w:val="center"/>
              <w:rPr>
                <w:rFonts w:eastAsia="Times New Roman"/>
                <w:b/>
                <w:noProof/>
                <w:lang w:eastAsia="en-GB"/>
              </w:rPr>
            </w:pPr>
            <w:r>
              <w:rPr>
                <w:rFonts w:eastAsia="Times New Roman"/>
                <w:b/>
                <w:noProof/>
                <w:lang w:eastAsia="en-GB"/>
              </w:rPr>
              <w:t>Tariff Code</w:t>
            </w:r>
          </w:p>
        </w:tc>
        <w:tc>
          <w:tcPr>
            <w:tcW w:w="2273" w:type="dxa"/>
            <w:tcBorders>
              <w:top w:val="single" w:sz="8" w:space="0" w:color="auto"/>
              <w:left w:val="nil"/>
              <w:bottom w:val="single" w:sz="8" w:space="0" w:color="auto"/>
              <w:right w:val="single" w:sz="8" w:space="0" w:color="auto"/>
            </w:tcBorders>
            <w:vAlign w:val="center"/>
            <w:hideMark/>
          </w:tcPr>
          <w:p>
            <w:pPr>
              <w:spacing w:line="264" w:lineRule="auto"/>
              <w:jc w:val="center"/>
              <w:rPr>
                <w:rFonts w:eastAsia="Times New Roman"/>
                <w:b/>
                <w:noProof/>
                <w:lang w:eastAsia="en-GB"/>
              </w:rPr>
            </w:pPr>
            <w:r>
              <w:rPr>
                <w:rFonts w:eastAsia="Times New Roman"/>
                <w:b/>
                <w:noProof/>
                <w:lang w:eastAsia="en-GB"/>
              </w:rPr>
              <w:t>Product</w:t>
            </w:r>
          </w:p>
        </w:tc>
        <w:tc>
          <w:tcPr>
            <w:tcW w:w="1696" w:type="dxa"/>
            <w:tcBorders>
              <w:top w:val="single" w:sz="8" w:space="0" w:color="auto"/>
              <w:left w:val="nil"/>
              <w:bottom w:val="single" w:sz="8" w:space="0" w:color="auto"/>
              <w:right w:val="single" w:sz="8" w:space="0" w:color="auto"/>
            </w:tcBorders>
            <w:vAlign w:val="center"/>
            <w:hideMark/>
          </w:tcPr>
          <w:p>
            <w:pPr>
              <w:spacing w:line="264" w:lineRule="auto"/>
              <w:jc w:val="center"/>
              <w:rPr>
                <w:rFonts w:eastAsia="Times New Roman"/>
                <w:b/>
                <w:noProof/>
                <w:lang w:eastAsia="en-GB"/>
              </w:rPr>
            </w:pPr>
            <w:r>
              <w:rPr>
                <w:rFonts w:eastAsia="Times New Roman"/>
                <w:b/>
                <w:noProof/>
                <w:lang w:eastAsia="en-GB"/>
              </w:rPr>
              <w:t>Quota 2018 (tonnes)</w:t>
            </w:r>
          </w:p>
        </w:tc>
        <w:tc>
          <w:tcPr>
            <w:tcW w:w="2349" w:type="dxa"/>
            <w:tcBorders>
              <w:top w:val="single" w:sz="8" w:space="0" w:color="auto"/>
              <w:left w:val="nil"/>
              <w:bottom w:val="single" w:sz="8" w:space="0" w:color="auto"/>
              <w:right w:val="single" w:sz="8" w:space="0" w:color="auto"/>
            </w:tcBorders>
            <w:vAlign w:val="center"/>
            <w:hideMark/>
          </w:tcPr>
          <w:p>
            <w:pPr>
              <w:spacing w:line="264" w:lineRule="auto"/>
              <w:jc w:val="center"/>
              <w:rPr>
                <w:rFonts w:eastAsia="Times New Roman"/>
                <w:b/>
                <w:noProof/>
                <w:lang w:eastAsia="en-GB"/>
              </w:rPr>
            </w:pPr>
            <w:r>
              <w:rPr>
                <w:rFonts w:eastAsia="Times New Roman"/>
                <w:b/>
                <w:noProof/>
                <w:lang w:eastAsia="en-GB"/>
              </w:rPr>
              <w:t>Utilisation 2018 (tonnes)</w:t>
            </w:r>
          </w:p>
        </w:tc>
        <w:tc>
          <w:tcPr>
            <w:tcW w:w="1768" w:type="dxa"/>
            <w:tcBorders>
              <w:top w:val="single" w:sz="8" w:space="0" w:color="auto"/>
              <w:left w:val="nil"/>
              <w:bottom w:val="single" w:sz="8" w:space="0" w:color="auto"/>
              <w:right w:val="single" w:sz="8" w:space="0" w:color="auto"/>
            </w:tcBorders>
            <w:vAlign w:val="center"/>
            <w:hideMark/>
          </w:tcPr>
          <w:p>
            <w:pPr>
              <w:spacing w:line="264" w:lineRule="auto"/>
              <w:jc w:val="center"/>
              <w:rPr>
                <w:rFonts w:eastAsia="Times New Roman"/>
                <w:b/>
                <w:noProof/>
                <w:lang w:eastAsia="en-GB"/>
              </w:rPr>
            </w:pPr>
            <w:r>
              <w:rPr>
                <w:rFonts w:eastAsia="Times New Roman"/>
                <w:b/>
                <w:noProof/>
                <w:lang w:eastAsia="en-GB"/>
              </w:rPr>
              <w:t>Utilisation rate</w:t>
            </w:r>
          </w:p>
        </w:tc>
      </w:tr>
      <w:tr>
        <w:trPr>
          <w:cantSplit/>
        </w:trPr>
        <w:tc>
          <w:tcPr>
            <w:tcW w:w="0" w:type="auto"/>
            <w:tcBorders>
              <w:top w:val="nil"/>
              <w:left w:val="single" w:sz="8" w:space="0" w:color="auto"/>
              <w:bottom w:val="single" w:sz="8" w:space="0" w:color="auto"/>
              <w:right w:val="single" w:sz="8" w:space="0" w:color="auto"/>
            </w:tcBorders>
            <w:hideMark/>
          </w:tcPr>
          <w:p>
            <w:pPr>
              <w:spacing w:line="264" w:lineRule="auto"/>
              <w:jc w:val="both"/>
              <w:rPr>
                <w:rFonts w:eastAsia="Times New Roman"/>
                <w:noProof/>
                <w:lang w:eastAsia="en-GB"/>
              </w:rPr>
            </w:pPr>
            <w:r>
              <w:rPr>
                <w:rFonts w:eastAsia="Times New Roman"/>
                <w:noProof/>
                <w:lang w:eastAsia="en-GB"/>
              </w:rPr>
              <w:t>0406</w:t>
            </w:r>
          </w:p>
        </w:tc>
        <w:tc>
          <w:tcPr>
            <w:tcW w:w="2273" w:type="dxa"/>
            <w:tcBorders>
              <w:top w:val="nil"/>
              <w:left w:val="nil"/>
              <w:bottom w:val="single" w:sz="8" w:space="0" w:color="auto"/>
              <w:right w:val="single" w:sz="8" w:space="0" w:color="auto"/>
            </w:tcBorders>
            <w:hideMark/>
          </w:tcPr>
          <w:p>
            <w:pPr>
              <w:spacing w:line="264" w:lineRule="auto"/>
              <w:jc w:val="both"/>
              <w:rPr>
                <w:rFonts w:eastAsia="Times New Roman"/>
                <w:noProof/>
                <w:lang w:eastAsia="en-GB"/>
              </w:rPr>
            </w:pPr>
            <w:r>
              <w:rPr>
                <w:rFonts w:eastAsia="Times New Roman"/>
                <w:noProof/>
                <w:lang w:eastAsia="en-GB"/>
              </w:rPr>
              <w:t>Cheese</w:t>
            </w:r>
          </w:p>
          <w:p>
            <w:pPr>
              <w:spacing w:line="264" w:lineRule="auto"/>
              <w:jc w:val="both"/>
              <w:rPr>
                <w:rFonts w:eastAsia="Times New Roman"/>
                <w:i/>
                <w:noProof/>
                <w:lang w:eastAsia="en-GB"/>
              </w:rPr>
            </w:pPr>
            <w:r>
              <w:rPr>
                <w:rFonts w:eastAsia="Times New Roman"/>
                <w:i/>
                <w:noProof/>
                <w:lang w:eastAsia="en-GB"/>
              </w:rPr>
              <w:t>  of which:</w:t>
            </w:r>
          </w:p>
          <w:p>
            <w:pPr>
              <w:spacing w:line="264" w:lineRule="auto"/>
              <w:jc w:val="both"/>
              <w:rPr>
                <w:rFonts w:eastAsia="Times New Roman"/>
                <w:i/>
                <w:noProof/>
                <w:lang w:eastAsia="en-GB"/>
              </w:rPr>
            </w:pPr>
            <w:r>
              <w:rPr>
                <w:rFonts w:eastAsia="Times New Roman"/>
                <w:i/>
                <w:noProof/>
                <w:lang w:eastAsia="en-GB"/>
              </w:rPr>
              <w:tab/>
              <w:t>high quality</w:t>
            </w:r>
          </w:p>
          <w:p>
            <w:pPr>
              <w:spacing w:line="264" w:lineRule="auto"/>
              <w:jc w:val="both"/>
              <w:rPr>
                <w:rFonts w:eastAsia="Times New Roman"/>
                <w:noProof/>
                <w:lang w:eastAsia="en-GB"/>
              </w:rPr>
            </w:pPr>
            <w:r>
              <w:rPr>
                <w:rFonts w:eastAsia="Times New Roman"/>
                <w:i/>
                <w:noProof/>
                <w:lang w:eastAsia="en-GB"/>
              </w:rPr>
              <w:tab/>
              <w:t>industrial</w:t>
            </w:r>
          </w:p>
        </w:tc>
        <w:tc>
          <w:tcPr>
            <w:tcW w:w="1696" w:type="dxa"/>
            <w:tcBorders>
              <w:top w:val="nil"/>
              <w:left w:val="nil"/>
              <w:bottom w:val="single" w:sz="8" w:space="0" w:color="auto"/>
              <w:right w:val="single" w:sz="8" w:space="0" w:color="auto"/>
            </w:tcBorders>
          </w:tcPr>
          <w:p>
            <w:pPr>
              <w:spacing w:line="264" w:lineRule="auto"/>
              <w:ind w:right="375"/>
              <w:jc w:val="right"/>
              <w:rPr>
                <w:rFonts w:eastAsia="Times New Roman"/>
                <w:noProof/>
                <w:lang w:eastAsia="en-GB"/>
              </w:rPr>
            </w:pPr>
            <w:r>
              <w:rPr>
                <w:rFonts w:eastAsia="Times New Roman"/>
                <w:noProof/>
                <w:lang w:eastAsia="en-GB"/>
              </w:rPr>
              <w:t>5 900</w:t>
            </w:r>
          </w:p>
          <w:p>
            <w:pPr>
              <w:spacing w:line="264" w:lineRule="auto"/>
              <w:ind w:right="375"/>
              <w:jc w:val="right"/>
              <w:rPr>
                <w:rFonts w:eastAsia="Times New Roman"/>
                <w:noProof/>
                <w:lang w:eastAsia="en-GB"/>
              </w:rPr>
            </w:pPr>
          </w:p>
          <w:p>
            <w:pPr>
              <w:spacing w:line="264" w:lineRule="auto"/>
              <w:ind w:right="375"/>
              <w:jc w:val="right"/>
              <w:rPr>
                <w:rFonts w:eastAsia="Times New Roman"/>
                <w:noProof/>
                <w:lang w:eastAsia="en-GB"/>
              </w:rPr>
            </w:pPr>
            <w:r>
              <w:rPr>
                <w:rFonts w:eastAsia="Times New Roman"/>
                <w:noProof/>
                <w:lang w:eastAsia="en-GB"/>
              </w:rPr>
              <w:t>5 333</w:t>
            </w:r>
          </w:p>
          <w:p>
            <w:pPr>
              <w:spacing w:line="264" w:lineRule="auto"/>
              <w:ind w:right="375"/>
              <w:jc w:val="right"/>
              <w:rPr>
                <w:rFonts w:eastAsia="Times New Roman"/>
                <w:noProof/>
                <w:lang w:eastAsia="en-GB"/>
              </w:rPr>
            </w:pPr>
            <w:r>
              <w:rPr>
                <w:rFonts w:eastAsia="Times New Roman"/>
                <w:noProof/>
                <w:lang w:eastAsia="en-GB"/>
              </w:rPr>
              <w:t>567</w:t>
            </w:r>
          </w:p>
        </w:tc>
        <w:tc>
          <w:tcPr>
            <w:tcW w:w="2349" w:type="dxa"/>
            <w:tcBorders>
              <w:top w:val="nil"/>
              <w:left w:val="nil"/>
              <w:bottom w:val="single" w:sz="8" w:space="0" w:color="auto"/>
              <w:right w:val="single" w:sz="8" w:space="0" w:color="auto"/>
            </w:tcBorders>
          </w:tcPr>
          <w:p>
            <w:pPr>
              <w:spacing w:line="264" w:lineRule="auto"/>
              <w:ind w:right="375"/>
              <w:jc w:val="right"/>
              <w:rPr>
                <w:rFonts w:eastAsia="Times New Roman"/>
                <w:noProof/>
                <w:lang w:eastAsia="en-GB"/>
              </w:rPr>
            </w:pPr>
            <w:r>
              <w:rPr>
                <w:rFonts w:eastAsia="Times New Roman"/>
                <w:noProof/>
                <w:lang w:eastAsia="en-GB"/>
              </w:rPr>
              <w:t>5 693</w:t>
            </w:r>
          </w:p>
          <w:p>
            <w:pPr>
              <w:spacing w:line="264" w:lineRule="auto"/>
              <w:ind w:right="375"/>
              <w:jc w:val="right"/>
              <w:rPr>
                <w:rFonts w:eastAsia="Times New Roman"/>
                <w:noProof/>
                <w:lang w:eastAsia="en-GB"/>
              </w:rPr>
            </w:pPr>
          </w:p>
          <w:p>
            <w:pPr>
              <w:spacing w:line="264" w:lineRule="auto"/>
              <w:ind w:right="375"/>
              <w:jc w:val="right"/>
              <w:rPr>
                <w:rFonts w:eastAsia="Times New Roman"/>
                <w:noProof/>
                <w:lang w:eastAsia="en-GB"/>
              </w:rPr>
            </w:pPr>
            <w:r>
              <w:rPr>
                <w:rFonts w:eastAsia="Times New Roman"/>
                <w:noProof/>
                <w:lang w:eastAsia="en-GB"/>
              </w:rPr>
              <w:t>5 290</w:t>
            </w:r>
          </w:p>
          <w:p>
            <w:pPr>
              <w:spacing w:line="264" w:lineRule="auto"/>
              <w:ind w:right="375"/>
              <w:jc w:val="right"/>
              <w:rPr>
                <w:rFonts w:eastAsia="Times New Roman"/>
                <w:noProof/>
                <w:lang w:eastAsia="en-GB"/>
              </w:rPr>
            </w:pPr>
            <w:r>
              <w:rPr>
                <w:rFonts w:eastAsia="Times New Roman"/>
                <w:noProof/>
                <w:lang w:eastAsia="en-GB"/>
              </w:rPr>
              <w:t>403</w:t>
            </w:r>
          </w:p>
        </w:tc>
        <w:tc>
          <w:tcPr>
            <w:tcW w:w="1768" w:type="dxa"/>
            <w:tcBorders>
              <w:top w:val="nil"/>
              <w:left w:val="nil"/>
              <w:bottom w:val="single" w:sz="8" w:space="0" w:color="auto"/>
              <w:right w:val="single" w:sz="8" w:space="0" w:color="auto"/>
            </w:tcBorders>
          </w:tcPr>
          <w:p>
            <w:pPr>
              <w:spacing w:line="264" w:lineRule="auto"/>
              <w:ind w:right="375"/>
              <w:jc w:val="right"/>
              <w:rPr>
                <w:rFonts w:eastAsia="Times New Roman"/>
                <w:noProof/>
                <w:lang w:eastAsia="en-GB"/>
              </w:rPr>
            </w:pPr>
            <w:r>
              <w:rPr>
                <w:rFonts w:eastAsia="Times New Roman"/>
                <w:noProof/>
                <w:lang w:eastAsia="en-GB"/>
              </w:rPr>
              <w:t>96,5 %</w:t>
            </w:r>
          </w:p>
          <w:p>
            <w:pPr>
              <w:spacing w:line="264" w:lineRule="auto"/>
              <w:ind w:right="375"/>
              <w:jc w:val="right"/>
              <w:rPr>
                <w:rFonts w:eastAsia="Times New Roman"/>
                <w:noProof/>
                <w:lang w:eastAsia="en-GB"/>
              </w:rPr>
            </w:pPr>
          </w:p>
          <w:p>
            <w:pPr>
              <w:spacing w:line="264" w:lineRule="auto"/>
              <w:ind w:right="375"/>
              <w:jc w:val="right"/>
              <w:rPr>
                <w:rFonts w:eastAsia="Times New Roman"/>
                <w:noProof/>
                <w:lang w:eastAsia="en-GB"/>
              </w:rPr>
            </w:pPr>
            <w:r>
              <w:rPr>
                <w:rFonts w:eastAsia="Times New Roman"/>
                <w:noProof/>
                <w:lang w:eastAsia="en-GB"/>
              </w:rPr>
              <w:t>99,2 %</w:t>
            </w:r>
          </w:p>
          <w:p>
            <w:pPr>
              <w:spacing w:line="264" w:lineRule="auto"/>
              <w:ind w:right="375"/>
              <w:jc w:val="right"/>
              <w:rPr>
                <w:rFonts w:eastAsia="Times New Roman"/>
                <w:noProof/>
                <w:lang w:eastAsia="en-GB"/>
              </w:rPr>
            </w:pPr>
            <w:r>
              <w:rPr>
                <w:rFonts w:eastAsia="Times New Roman"/>
                <w:noProof/>
                <w:lang w:eastAsia="en-GB"/>
              </w:rPr>
              <w:t>71,1 %</w:t>
            </w:r>
          </w:p>
        </w:tc>
      </w:tr>
    </w:tbl>
    <w:p>
      <w:pPr>
        <w:spacing w:after="120" w:line="264" w:lineRule="auto"/>
        <w:jc w:val="both"/>
        <w:rPr>
          <w:rFonts w:eastAsia="Times New Roman"/>
          <w:b/>
          <w:noProof/>
          <w:lang w:eastAsia="en-GB"/>
        </w:rPr>
      </w:pPr>
      <w:r>
        <w:rPr>
          <w:rFonts w:eastAsia="Times New Roman"/>
          <w:noProof/>
          <w:lang w:eastAsia="en-GB"/>
        </w:rPr>
        <w:t>Source: Global Affairs Canada.</w:t>
      </w:r>
    </w:p>
    <w:p>
      <w:pPr>
        <w:autoSpaceDE w:val="0"/>
        <w:autoSpaceDN w:val="0"/>
        <w:adjustRightInd w:val="0"/>
        <w:spacing w:after="120" w:line="264" w:lineRule="auto"/>
        <w:jc w:val="both"/>
        <w:rPr>
          <w:rFonts w:eastAsia="Times New Roman"/>
          <w:noProof/>
          <w:lang w:eastAsia="en-GB"/>
        </w:rPr>
      </w:pPr>
      <w:r>
        <w:rPr>
          <w:rFonts w:eastAsia="Times New Roman"/>
          <w:noProof/>
          <w:lang w:eastAsia="en-GB"/>
        </w:rPr>
        <w:t>On various occasions in 2018, the EU also expressed concerns about Canada’s price class for milk protein ingredients (milk class 7), which are made available to the food processing industry at world prices.</w:t>
      </w:r>
    </w:p>
    <w:p>
      <w:pPr>
        <w:autoSpaceDE w:val="0"/>
        <w:autoSpaceDN w:val="0"/>
        <w:adjustRightInd w:val="0"/>
        <w:spacing w:after="120" w:line="264" w:lineRule="auto"/>
        <w:jc w:val="both"/>
        <w:rPr>
          <w:rFonts w:eastAsia="Times New Roman"/>
          <w:noProof/>
          <w:lang w:eastAsia="en-GB"/>
        </w:rPr>
      </w:pPr>
      <w:r>
        <w:rPr>
          <w:rFonts w:eastAsia="Times New Roman"/>
          <w:noProof/>
          <w:lang w:eastAsia="en-GB"/>
        </w:rPr>
        <w:t xml:space="preserve">Canada for its part, raised concerns about the EU’s quota management system for meat quotas, specifically the automatic on-demand issuance of import licenses. The EU explained that for volumes not allocated during the initial application period, import licenses are automatically issued on-demand after they are processed. Canada also called for better access to quota utilisation data. The EU pointed out that data on quota allocation, which is publically available on-line, was a reliable guide to actual imports.  </w:t>
      </w:r>
    </w:p>
    <w:p>
      <w:pPr>
        <w:autoSpaceDE w:val="0"/>
        <w:autoSpaceDN w:val="0"/>
        <w:adjustRightInd w:val="0"/>
        <w:spacing w:after="120" w:line="264" w:lineRule="auto"/>
        <w:jc w:val="both"/>
        <w:rPr>
          <w:rFonts w:eastAsia="Times New Roman"/>
          <w:noProof/>
          <w:lang w:eastAsia="en-GB"/>
        </w:rPr>
      </w:pPr>
      <w:r>
        <w:rPr>
          <w:rFonts w:eastAsia="Times New Roman"/>
          <w:b/>
          <w:bCs/>
          <w:noProof/>
          <w:lang w:eastAsia="en-GB"/>
        </w:rPr>
        <w:t>Alcoholic beverages</w:t>
      </w:r>
      <w:r>
        <w:rPr>
          <w:rFonts w:eastAsia="Times New Roman"/>
          <w:noProof/>
          <w:lang w:eastAsia="en-GB"/>
        </w:rPr>
        <w:t xml:space="preserve">, in particular wines and spirits, top the list of EU agricultural exports, accounting for over 40%. Many discriminatory practices remain in Canada against imported wines and spirits, notably at provincial level. Ontario and Quebec have implemented the commitment foreseen in CETA and have moved away from ad-valorem cost of service differential fees to a volume based system. In accordance with the agreement, the EU has requested that Ontario and Quebec carry out new audits of their accounting system. In addition, the EU called for more transparency and clarity on cost allocation in relation to these cost of service differential fees (some costs are seen as unduly absorbed by imported products). The federal excise duty on imported wine (that exists since 2006) was increased in 2017 by 2% and an escalator clause linked to inflation was included. The EU requested that the discriminatory aspects of the tax to be removed. The tax has also been challenged in the World Trade Organisation by Australia. Finally, the Commission is working with the Canadian authorities to seek mutually agreed solutions to the multitude of concerns relating to the discrimatory treatment of EU alcoholic beverages compared to local ones across few provinces. </w:t>
      </w:r>
    </w:p>
    <w:p>
      <w:pPr>
        <w:autoSpaceDE w:val="0"/>
        <w:autoSpaceDN w:val="0"/>
        <w:adjustRightInd w:val="0"/>
        <w:spacing w:after="120" w:line="264" w:lineRule="auto"/>
        <w:jc w:val="both"/>
        <w:rPr>
          <w:rFonts w:eastAsia="Times New Roman"/>
          <w:i/>
          <w:iCs/>
          <w:noProof/>
          <w:lang w:eastAsia="en-GB"/>
        </w:rPr>
      </w:pPr>
      <w:r>
        <w:rPr>
          <w:rFonts w:eastAsia="Times New Roman"/>
          <w:noProof/>
          <w:lang w:eastAsia="en-GB"/>
        </w:rPr>
        <w:t xml:space="preserve">Since the entry into force of CETA 143 EU food </w:t>
      </w:r>
      <w:r>
        <w:rPr>
          <w:rFonts w:eastAsia="Times New Roman"/>
          <w:b/>
          <w:bCs/>
          <w:noProof/>
          <w:lang w:eastAsia="en-GB"/>
        </w:rPr>
        <w:t>geographical indications</w:t>
      </w:r>
      <w:r>
        <w:rPr>
          <w:rFonts w:eastAsia="Times New Roman"/>
          <w:noProof/>
          <w:lang w:eastAsia="en-GB"/>
        </w:rPr>
        <w:t xml:space="preserve"> (GIs) enjoy full protection from imitations in Canada, at a level comparable to that under EU law. The Commission worked with Canada to ensure that the protection of these GIs would be fully enforced. The amendment of Canada’s Trade-Mark Act to protect the geographical indications of food products, which was introduced as a result of CETA, established a procedure for the direct application for protection by EU rights-holders. The new system delivered its first result in September 2018 with the protection of an additional EU GI “Prosciutto di Carpegna”. This progress should be seen as a concrete positive outcome of CETA. European producers who are interested in exporting to Canada have for the first time access to an effective and easy mechanism to protect their geographical indications. In order to assist EU GI right holders to fully avail themselves of this new mechanism, the EU produced a GI guide available to businesses </w:t>
      </w:r>
      <w:hyperlink r:id="rId21" w:history="1">
        <w:r>
          <w:rPr>
            <w:rStyle w:val="Hyperlink"/>
            <w:rFonts w:eastAsia="Times New Roman"/>
            <w:noProof/>
            <w:lang w:eastAsia="en-GB"/>
          </w:rPr>
          <w:t>on the Commission’s webpage</w:t>
        </w:r>
      </w:hyperlink>
      <w:r>
        <w:rPr>
          <w:rFonts w:eastAsia="Times New Roman"/>
          <w:noProof/>
          <w:lang w:eastAsia="en-GB"/>
        </w:rPr>
        <w:t xml:space="preserve">. Certain concerns remain as to how the administrative enforcement can be ensured notably for the 8 grandfathered GIs for which a specific regime applies in view of certain prior uses on the Canadian market. The Commission will continue to engage with Canada on this issue.  In addition, the EU and Canada will also continue to work on updating the Annex of Wines and Spirits GIs. In the case of alcoholic beverages, CETA, as a result of the incorporation of the EU Canada wines and spirits agreement, only provides a list of GI names which are eligible for protection in Canada. EU GI rights-holders would still need to submit an application to Canadian authorities. </w:t>
      </w:r>
    </w:p>
    <w:p>
      <w:pPr>
        <w:spacing w:after="120" w:line="264" w:lineRule="auto"/>
        <w:jc w:val="both"/>
        <w:rPr>
          <w:rFonts w:eastAsia="Times New Roman"/>
          <w:b/>
          <w:bCs/>
          <w:noProof/>
          <w:lang w:eastAsia="en-GB"/>
        </w:rPr>
      </w:pPr>
      <w:r>
        <w:rPr>
          <w:rFonts w:eastAsia="Times New Roman"/>
          <w:b/>
          <w:bCs/>
          <w:noProof/>
          <w:lang w:eastAsia="en-GB"/>
        </w:rPr>
        <w:t xml:space="preserve">SPS measures  </w:t>
      </w:r>
    </w:p>
    <w:p>
      <w:pPr>
        <w:spacing w:after="120" w:line="264" w:lineRule="auto"/>
        <w:jc w:val="both"/>
        <w:rPr>
          <w:rFonts w:eastAsia="Times New Roman"/>
          <w:noProof/>
          <w:lang w:eastAsia="en-GB"/>
        </w:rPr>
      </w:pPr>
      <w:r>
        <w:rPr>
          <w:rFonts w:eastAsia="Times New Roman"/>
          <w:noProof/>
          <w:lang w:eastAsia="en-GB"/>
        </w:rPr>
        <w:t>Currently only 17 EU Member States are authorised to export meat to Canada. Work is ongoing to ensure that the remaining EU Member States will also have access to this market. At the end of 2018, a process was agreed for Canada to recognise the EU Meat inspection system, based on an additional set of audits of a selection of EU Member States in 2019. If this were to result in a satisfactory outcome in all audited EU Member States, Canada would allow the exports of meat from all EU Member States for bovine, swine and poultry. This process will not affect ongoing trade for those EU Member States currently authorised to export meat to Canada.</w:t>
      </w:r>
    </w:p>
    <w:p>
      <w:pPr>
        <w:spacing w:after="120" w:line="264" w:lineRule="auto"/>
        <w:jc w:val="both"/>
        <w:rPr>
          <w:rFonts w:eastAsia="Times New Roman"/>
          <w:noProof/>
          <w:lang w:eastAsia="en-GB"/>
        </w:rPr>
      </w:pPr>
      <w:r>
        <w:rPr>
          <w:rFonts w:eastAsia="Times New Roman"/>
          <w:noProof/>
          <w:lang w:eastAsia="en-GB"/>
        </w:rPr>
        <w:t>Work on the harmonisation of EU export certificates continues, with priorities put forward by both sides aiming at some tangible initial results in 2019.</w:t>
      </w:r>
    </w:p>
    <w:p>
      <w:pPr>
        <w:spacing w:after="120" w:line="264" w:lineRule="auto"/>
        <w:jc w:val="both"/>
        <w:rPr>
          <w:rFonts w:eastAsia="Times New Roman"/>
          <w:noProof/>
          <w:lang w:eastAsia="en-GB"/>
        </w:rPr>
      </w:pPr>
      <w:r>
        <w:rPr>
          <w:rFonts w:eastAsia="Times New Roman"/>
          <w:noProof/>
          <w:lang w:eastAsia="en-GB"/>
        </w:rPr>
        <w:t xml:space="preserve">For some plant commodities, Canada does not recognise alternatives to the use of methyl bromide as a pest mitigating measure for trade. In 2018, an EU project on alternatives to the use of methyl bromide was launched in close cooperation with Canadian authorities with the objective to identify risk measures not based on the use of a pesticide which is known to be an ozone depleting compound. A workshop with experts on both sides took place in March 2019. The outcome of this cooperation will result in a guidance document for EU exporters of plants and plant products for the Canadian market. </w:t>
      </w:r>
    </w:p>
    <w:p>
      <w:pPr>
        <w:spacing w:after="120" w:line="264" w:lineRule="auto"/>
        <w:jc w:val="both"/>
        <w:rPr>
          <w:rFonts w:eastAsia="Times New Roman"/>
          <w:noProof/>
          <w:lang w:eastAsia="en-GB"/>
        </w:rPr>
      </w:pPr>
      <w:r>
        <w:rPr>
          <w:rFonts w:eastAsia="Times New Roman"/>
          <w:noProof/>
          <w:lang w:eastAsia="en-GB"/>
        </w:rPr>
        <w:t xml:space="preserve">Several other SPS issues are still outstanding and are being further discussed with Canada with a view to finding a solution. For example, the export of EU bovine semen is limited only to Schmallenberg Virus serologically negative animals, while there is no scientific basis to justify this restriction. Exports from the EU to Canada are also not authorised for potatoes for planting (called also “potato mini tubers” by Canada) and fresh tomato with vines, stems, and calyces, due to restrictive plant health requirements for Canadian imports. Discussions are ongoing with the Canadian authorities to identify appropriate solutions. </w:t>
      </w:r>
    </w:p>
    <w:p>
      <w:pPr>
        <w:pStyle w:val="ManualHeading1"/>
      </w:pPr>
      <w:bookmarkStart w:id="105" w:name="_Toc8833443"/>
      <w:bookmarkStart w:id="106" w:name="_Toc8835270"/>
      <w:bookmarkStart w:id="107" w:name="_Toc8833900"/>
      <w:bookmarkStart w:id="108" w:name="_Toc8909363"/>
      <w:bookmarkStart w:id="109" w:name="_Toc8910575"/>
      <w:bookmarkStart w:id="110" w:name="_Toc8911612"/>
      <w:bookmarkStart w:id="111" w:name="_Toc8974418"/>
      <w:bookmarkStart w:id="112" w:name="_Toc9008084"/>
      <w:bookmarkStart w:id="113" w:name="_Toc9008037"/>
      <w:bookmarkStart w:id="114" w:name="_Toc9348485"/>
      <w:bookmarkStart w:id="115" w:name="_Toc9607937"/>
      <w:bookmarkStart w:id="116" w:name="_Toc16000514"/>
      <w:bookmarkStart w:id="117" w:name="_Toc2261356"/>
      <w:r>
        <w:t>6.</w:t>
      </w:r>
      <w:r>
        <w:tab/>
        <w:t>Regulatory Cooperation</w:t>
      </w:r>
      <w:bookmarkEnd w:id="105"/>
      <w:bookmarkEnd w:id="106"/>
      <w:bookmarkEnd w:id="107"/>
      <w:bookmarkEnd w:id="108"/>
      <w:bookmarkEnd w:id="109"/>
      <w:bookmarkEnd w:id="110"/>
      <w:bookmarkEnd w:id="111"/>
      <w:bookmarkEnd w:id="112"/>
      <w:bookmarkEnd w:id="113"/>
      <w:bookmarkEnd w:id="114"/>
      <w:bookmarkEnd w:id="115"/>
      <w:bookmarkEnd w:id="116"/>
      <w:r>
        <w:t xml:space="preserve"> </w:t>
      </w:r>
    </w:p>
    <w:p>
      <w:pPr>
        <w:spacing w:after="120" w:line="264" w:lineRule="auto"/>
        <w:jc w:val="both"/>
        <w:rPr>
          <w:rFonts w:eastAsia="Times New Roman"/>
          <w:noProof/>
          <w:lang w:val="en-CA" w:eastAsia="en-GB"/>
        </w:rPr>
      </w:pPr>
      <w:r>
        <w:rPr>
          <w:rFonts w:eastAsia="Times New Roman"/>
          <w:noProof/>
          <w:lang w:val="en-CA" w:eastAsia="en-GB"/>
        </w:rPr>
        <w:t xml:space="preserve">Chapter 21 of CETA lays out the framework for voluntary regulatory cooperation activities, including the establishment of the “Regulatory Cooperation Forum” (the Forum). The Forum builds on the existing regulatory cooperation agreement between the EU and Canada signed in 2004. </w:t>
      </w:r>
    </w:p>
    <w:p>
      <w:pPr>
        <w:spacing w:after="120" w:line="264" w:lineRule="auto"/>
        <w:jc w:val="both"/>
        <w:rPr>
          <w:rFonts w:eastAsia="Times New Roman"/>
          <w:noProof/>
          <w:lang w:eastAsia="en-GB"/>
        </w:rPr>
      </w:pPr>
      <w:r>
        <w:rPr>
          <w:rFonts w:eastAsia="Times New Roman"/>
          <w:noProof/>
          <w:lang w:val="en-CA" w:eastAsia="en-GB"/>
        </w:rPr>
        <w:t xml:space="preserve">To prepare for this first meeting, both the EU and Canada held stakeholder consultations to identify issues, priorities, and sectors that the Forum could consider to include into its first work plan. </w:t>
      </w:r>
      <w:r>
        <w:rPr>
          <w:rFonts w:eastAsia="Times New Roman"/>
          <w:noProof/>
          <w:lang w:eastAsia="en-GB"/>
        </w:rPr>
        <w:t>In January 2018, the Commission published a call for proposals inviting civil society to come forward with suggestions for topics for regulatory cooperation with Canada. The Commission received 26 responses to this call, which were made public</w:t>
      </w:r>
      <w:r>
        <w:rPr>
          <w:rFonts w:eastAsia="Times New Roman"/>
          <w:noProof/>
          <w:vertAlign w:val="superscript"/>
          <w:lang w:eastAsia="en-GB"/>
        </w:rPr>
        <w:footnoteReference w:id="6"/>
      </w:r>
      <w:r>
        <w:rPr>
          <w:rFonts w:eastAsia="Times New Roman"/>
          <w:noProof/>
          <w:lang w:eastAsia="en-GB"/>
        </w:rPr>
        <w:t>. From February to April 2018, Canada also sought comments from stakeholders on potential areas for regulatory cooperation with the EU. Canada received close to 40 responses, which were also made public</w:t>
      </w:r>
      <w:r>
        <w:rPr>
          <w:rFonts w:eastAsia="Times New Roman"/>
          <w:noProof/>
          <w:vertAlign w:val="superscript"/>
          <w:lang w:eastAsia="en-GB"/>
        </w:rPr>
        <w:footnoteReference w:id="7"/>
      </w:r>
      <w:r>
        <w:rPr>
          <w:rFonts w:eastAsia="Times New Roman"/>
          <w:noProof/>
          <w:lang w:eastAsia="en-GB"/>
        </w:rPr>
        <w:t>.</w:t>
      </w:r>
    </w:p>
    <w:p>
      <w:pPr>
        <w:spacing w:after="120" w:line="264" w:lineRule="auto"/>
        <w:jc w:val="both"/>
        <w:rPr>
          <w:rFonts w:eastAsia="Times New Roman"/>
          <w:noProof/>
          <w:lang w:eastAsia="en-GB"/>
        </w:rPr>
      </w:pPr>
      <w:r>
        <w:rPr>
          <w:rFonts w:eastAsia="Times New Roman"/>
          <w:noProof/>
          <w:lang w:eastAsia="en-GB"/>
        </w:rPr>
        <w:t xml:space="preserve">The first meeting of the Forum took place on 14 December 2018 in Brussels (and via video conference). </w:t>
      </w:r>
      <w:r>
        <w:rPr>
          <w:rFonts w:eastAsia="Times New Roman"/>
          <w:noProof/>
          <w:lang w:val="en-CA" w:eastAsia="en-GB"/>
        </w:rPr>
        <w:t xml:space="preserve">The topics to be included in the work plan were drawn from the consultations following feedback from EU and Canadian regulators, before being agreed between the EU and Canadian Co-chairs. In choosing the topics, the EU and Canada also took into account the readiness of the topics proposed for regulatory cooperation and whether or not the topics were already dealt with in other CETA committees or existing bilateral or international dialogues. Regulators from both sides provided an update on the feedback received during the consultations, how the initiatives were identified for cooperation, bilateral discussions to date and next steps. On this basis, </w:t>
      </w:r>
      <w:r>
        <w:rPr>
          <w:rFonts w:eastAsia="Times New Roman"/>
          <w:noProof/>
          <w:lang w:eastAsia="en-GB"/>
        </w:rPr>
        <w:t xml:space="preserve">the parties agreed on a work-plan including the following 5 topics: (i) cybersecurity and the internet of things; (ii) animal welfare – transportation of animals; (iii) re-testing of cosmetics-like products; (iv) co-operation on pharmaceutical inspections in third countries; and (v) exchange of information on the safety of consumer products. </w:t>
      </w:r>
    </w:p>
    <w:p>
      <w:pPr>
        <w:spacing w:after="120" w:line="264" w:lineRule="auto"/>
        <w:jc w:val="both"/>
        <w:rPr>
          <w:rFonts w:eastAsia="Times New Roman"/>
          <w:noProof/>
          <w:lang w:eastAsia="en-GB"/>
        </w:rPr>
      </w:pPr>
      <w:r>
        <w:rPr>
          <w:rFonts w:eastAsia="Times New Roman"/>
          <w:noProof/>
          <w:lang w:eastAsia="en-GB"/>
        </w:rPr>
        <w:t>The last topic already saw the conclusion of an administrative arrangement for the exchange of information on dangerous non-food consumer products between the European Commission’s Directorate-General for Justice and Consumers (DG JUST) and Health Canada on 13 November 2018, during International Product Safety Week. The Forum welcomed the agreed administrative arrangement and took stock of the context, scope, and type of information that will be exchanged under the administrative arrangement. Furthermore, it was agreed that it would be relevant for the Forum to receive a report of the implementation of the administrative arrangement at the next meeting.</w:t>
      </w:r>
    </w:p>
    <w:p>
      <w:pPr>
        <w:spacing w:after="120" w:line="264" w:lineRule="auto"/>
        <w:jc w:val="both"/>
        <w:rPr>
          <w:rFonts w:eastAsia="Times New Roman"/>
          <w:noProof/>
          <w:lang w:eastAsia="en-GB"/>
        </w:rPr>
      </w:pPr>
      <w:r>
        <w:rPr>
          <w:rFonts w:eastAsia="Times New Roman"/>
          <w:noProof/>
          <w:lang w:eastAsia="en-GB"/>
        </w:rPr>
        <w:t xml:space="preserve">During the civil society meeting, co-chairs and regulators from the EU and Canada debriefed civil society stakeholders about the Forum’s activities. Audiences from multiple physical locations participated in this exchange: stakeholders participating in person in Brussels, in Ottawa via video conference, and from desks and conference rooms via web streaming. Several stakeholders in Brussels and Ottawa participated and had the opportunity to comment on the outcomes of the Forum and indicated their interests for future initiatives to strengthen regulatory cooperation. </w:t>
      </w:r>
    </w:p>
    <w:p>
      <w:pPr>
        <w:pStyle w:val="ManualHeading1"/>
      </w:pPr>
      <w:bookmarkStart w:id="118" w:name="_Toc8833444"/>
      <w:bookmarkStart w:id="119" w:name="_Toc8835271"/>
      <w:bookmarkStart w:id="120" w:name="_Toc8833901"/>
      <w:bookmarkStart w:id="121" w:name="_Toc8909364"/>
      <w:bookmarkStart w:id="122" w:name="_Toc8910576"/>
      <w:bookmarkStart w:id="123" w:name="_Toc8911613"/>
      <w:bookmarkStart w:id="124" w:name="_Toc8974419"/>
      <w:bookmarkStart w:id="125" w:name="_Toc9008085"/>
      <w:bookmarkStart w:id="126" w:name="_Toc9008038"/>
      <w:bookmarkStart w:id="127" w:name="_Toc9348486"/>
      <w:bookmarkStart w:id="128" w:name="_Toc9607938"/>
      <w:bookmarkStart w:id="129" w:name="_Toc16000515"/>
      <w:r>
        <w:t>7.</w:t>
      </w:r>
      <w:r>
        <w:tab/>
        <w:t>Conclusions and outlook</w:t>
      </w:r>
      <w:bookmarkEnd w:id="117"/>
      <w:bookmarkEnd w:id="118"/>
      <w:bookmarkEnd w:id="119"/>
      <w:bookmarkEnd w:id="120"/>
      <w:bookmarkEnd w:id="121"/>
      <w:bookmarkEnd w:id="122"/>
      <w:bookmarkEnd w:id="123"/>
      <w:bookmarkEnd w:id="124"/>
      <w:bookmarkEnd w:id="125"/>
      <w:bookmarkEnd w:id="126"/>
      <w:bookmarkEnd w:id="127"/>
      <w:bookmarkEnd w:id="128"/>
      <w:bookmarkEnd w:id="129"/>
    </w:p>
    <w:p>
      <w:pPr>
        <w:spacing w:after="120" w:line="264" w:lineRule="auto"/>
        <w:jc w:val="both"/>
        <w:rPr>
          <w:rFonts w:eastAsia="Times New Roman"/>
          <w:noProof/>
          <w:lang w:eastAsia="en-GB"/>
        </w:rPr>
      </w:pPr>
      <w:r>
        <w:rPr>
          <w:rFonts w:eastAsia="Times New Roman"/>
          <w:noProof/>
          <w:lang w:eastAsia="en-GB"/>
        </w:rPr>
        <w:t>The first year of provisional application of CETA showed good results. T</w:t>
      </w:r>
      <w:r>
        <w:rPr>
          <w:rFonts w:eastAsia="Times New Roman"/>
          <w:noProof/>
          <w:lang w:val="en-US" w:eastAsia="en-GB"/>
        </w:rPr>
        <w:t xml:space="preserve">he institutional structure of the Agreement was set up and committees and dialogues started their activities. Important efforts were made to ensure the conduct of meetings was transparent and inclusive and this was welcomed by stakeholders and civil society. </w:t>
      </w:r>
    </w:p>
    <w:p>
      <w:pPr>
        <w:spacing w:after="120" w:line="264" w:lineRule="auto"/>
        <w:jc w:val="both"/>
        <w:rPr>
          <w:rFonts w:eastAsia="Times New Roman"/>
          <w:noProof/>
          <w:lang w:eastAsia="en-GB"/>
        </w:rPr>
      </w:pPr>
      <w:r>
        <w:rPr>
          <w:rFonts w:eastAsia="Times New Roman"/>
          <w:noProof/>
          <w:lang w:eastAsia="en-GB"/>
        </w:rPr>
        <w:t>Trade statistics for 2018 indicated that companies were starting to benefit from the signficant reduction of  duties applicable since 21 September 2017 (i.e. 98% of the overall duties which will be ultimately reduced by CETA). We can observe an increase in trade in many sectors, particularly in those sectors where duties were high before the entry into force of CETA. The preliminary statistics also indicated an increase of EU exports to Canada for agricultural products, in particular for processed agricultural products and cheeses where the EU has strong economic interests. CETA also offers the protection of 143 distinctive EU food products labelled with GIs. Thanks to CETA, the Canadian Trade Mark Act was amended to allow for a procedure for the direct application for protection by EU rights-holders of food GIs. A first successful additional protection of an EU GI was delivered through that mechanism in September 2018.</w:t>
      </w:r>
    </w:p>
    <w:p>
      <w:pPr>
        <w:spacing w:after="120" w:line="264" w:lineRule="auto"/>
        <w:jc w:val="both"/>
        <w:rPr>
          <w:rFonts w:eastAsia="Times New Roman"/>
          <w:noProof/>
          <w:lang w:val="en-US" w:eastAsia="en-GB"/>
        </w:rPr>
      </w:pPr>
      <w:r>
        <w:rPr>
          <w:rFonts w:eastAsia="Times New Roman"/>
          <w:noProof/>
          <w:lang w:eastAsia="en-GB"/>
        </w:rPr>
        <w:t xml:space="preserve">CETA also provides for a significant further opening of the Canadian procurement market, including at provincial and local level which represent an important percentage of public procurment. These openings have been vigourously welcomed by EU companies. CETA also gives unparalleled services market access for the EU, including new market access in maritime services, and more globally establishes legal certainty in all key economic sectors. It </w:t>
      </w:r>
      <w:r>
        <w:rPr>
          <w:rFonts w:eastAsia="Times New Roman"/>
          <w:noProof/>
          <w:lang w:val="en-CA" w:eastAsia="en-GB"/>
        </w:rPr>
        <w:t xml:space="preserve">also includes provisions to facilitate the movement of professionals and the recognition of qualifications. A first proposal for a Mutual Recognition Agreement (MRA) was made in 2018 by </w:t>
      </w:r>
      <w:r>
        <w:rPr>
          <w:rFonts w:eastAsia="Times New Roman"/>
          <w:noProof/>
          <w:lang w:val="en-US" w:eastAsia="en-GB"/>
        </w:rPr>
        <w:t xml:space="preserve">the Canadian Architectural Licensing Authorities (CALA) and the Architects’ Council of Europe (ACE) aiming to facilitate recognition and licensing procedures of architects in the EU and in Canada, thus completing a first step of the mutual recognition framework outlined in CETA. </w:t>
      </w:r>
    </w:p>
    <w:p>
      <w:pPr>
        <w:autoSpaceDE w:val="0"/>
        <w:autoSpaceDN w:val="0"/>
        <w:adjustRightInd w:val="0"/>
        <w:spacing w:after="120" w:line="264" w:lineRule="auto"/>
        <w:jc w:val="both"/>
        <w:rPr>
          <w:rFonts w:eastAsia="Times New Roman"/>
          <w:noProof/>
          <w:lang w:eastAsia="en-GB"/>
        </w:rPr>
      </w:pPr>
      <w:r>
        <w:rPr>
          <w:rFonts w:eastAsia="Times New Roman"/>
          <w:noProof/>
          <w:lang w:val="en-CA" w:eastAsia="en-GB"/>
        </w:rPr>
        <w:t xml:space="preserve">The Commission will continue its work to ensure correct implementation of CETA in all areas and will collaborate </w:t>
      </w:r>
      <w:r>
        <w:rPr>
          <w:rFonts w:eastAsia="Times New Roman"/>
          <w:noProof/>
          <w:lang w:eastAsia="en-GB"/>
        </w:rPr>
        <w:t xml:space="preserve">with EU Member States and stakeholders in order to make sure that EU companies and citizens take full advantages of the benefits created by CETA. </w:t>
      </w:r>
    </w:p>
    <w:p>
      <w:pPr>
        <w:pStyle w:val="ManualHeading1"/>
      </w:pPr>
      <w:bookmarkStart w:id="130" w:name="_Toc2261357"/>
      <w:bookmarkStart w:id="131" w:name="_Toc8833445"/>
      <w:bookmarkStart w:id="132" w:name="_Toc8835272"/>
      <w:bookmarkStart w:id="133" w:name="_Toc8833902"/>
      <w:bookmarkStart w:id="134" w:name="_Toc8909365"/>
      <w:bookmarkStart w:id="135" w:name="_Toc8910577"/>
      <w:bookmarkStart w:id="136" w:name="_Toc8911614"/>
      <w:bookmarkStart w:id="137" w:name="_Toc8974420"/>
      <w:bookmarkStart w:id="138" w:name="_Toc9008086"/>
      <w:bookmarkStart w:id="139" w:name="_Toc9008039"/>
      <w:bookmarkStart w:id="140" w:name="_Toc9348487"/>
      <w:bookmarkStart w:id="141" w:name="_Toc9607939"/>
      <w:bookmarkStart w:id="142" w:name="_Toc16000516"/>
      <w:r>
        <w:t>8.</w:t>
      </w:r>
      <w:r>
        <w:tab/>
        <w:t>Statistics</w:t>
      </w:r>
      <w:bookmarkEnd w:id="130"/>
      <w:bookmarkEnd w:id="131"/>
      <w:bookmarkEnd w:id="132"/>
      <w:bookmarkEnd w:id="133"/>
      <w:bookmarkEnd w:id="134"/>
      <w:bookmarkEnd w:id="135"/>
      <w:bookmarkEnd w:id="136"/>
      <w:bookmarkEnd w:id="137"/>
      <w:bookmarkEnd w:id="138"/>
      <w:bookmarkEnd w:id="139"/>
      <w:bookmarkEnd w:id="140"/>
      <w:bookmarkEnd w:id="141"/>
      <w:bookmarkEnd w:id="142"/>
    </w:p>
    <w:p>
      <w:pPr>
        <w:spacing w:after="120" w:line="264" w:lineRule="auto"/>
        <w:jc w:val="both"/>
        <w:rPr>
          <w:rFonts w:eastAsia="Times New Roman"/>
          <w:noProof/>
          <w:lang w:eastAsia="en-GB"/>
        </w:rPr>
      </w:pPr>
    </w:p>
    <w:tbl>
      <w:tblPr>
        <w:tblW w:w="6636" w:type="dxa"/>
        <w:tblInd w:w="108" w:type="dxa"/>
        <w:tblLook w:val="04A0" w:firstRow="1" w:lastRow="0" w:firstColumn="1" w:lastColumn="0" w:noHBand="0" w:noVBand="1"/>
      </w:tblPr>
      <w:tblGrid>
        <w:gridCol w:w="3617"/>
        <w:gridCol w:w="996"/>
        <w:gridCol w:w="996"/>
        <w:gridCol w:w="996"/>
        <w:gridCol w:w="996"/>
        <w:gridCol w:w="996"/>
      </w:tblGrid>
      <w:tr>
        <w:trPr>
          <w:trHeight w:val="210"/>
        </w:trPr>
        <w:tc>
          <w:tcPr>
            <w:tcW w:w="6636" w:type="dxa"/>
            <w:gridSpan w:val="6"/>
            <w:tcBorders>
              <w:top w:val="nil"/>
              <w:left w:val="nil"/>
              <w:bottom w:val="nil"/>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Merchandise trade EU28 2014-2018</w:t>
            </w:r>
          </w:p>
        </w:tc>
      </w:tr>
      <w:tr>
        <w:trPr>
          <w:trHeight w:val="210"/>
        </w:trPr>
        <w:tc>
          <w:tcPr>
            <w:tcW w:w="3617" w:type="dxa"/>
            <w:tcBorders>
              <w:top w:val="single" w:sz="4" w:space="0" w:color="auto"/>
              <w:left w:val="nil"/>
              <w:bottom w:val="single" w:sz="4" w:space="0" w:color="auto"/>
              <w:right w:val="nil"/>
            </w:tcBorders>
            <w:shd w:val="clear" w:color="000000" w:fill="FFFFFF"/>
            <w:noWrap/>
            <w:vAlign w:val="bottom"/>
            <w:hideMark/>
          </w:tcPr>
          <w:p>
            <w:pPr>
              <w:rPr>
                <w:rFonts w:eastAsia="Times New Roman"/>
                <w:b/>
                <w:bCs/>
                <w:noProof/>
                <w:lang w:val="en-IE" w:eastAsia="en-IE"/>
              </w:rPr>
            </w:pPr>
            <w:r>
              <w:rPr>
                <w:rFonts w:eastAsia="Times New Roman"/>
                <w:b/>
                <w:bCs/>
                <w:noProof/>
                <w:lang w:val="en-IE" w:eastAsia="en-IE"/>
              </w:rPr>
              <w:t> </w:t>
            </w:r>
          </w:p>
        </w:tc>
        <w:tc>
          <w:tcPr>
            <w:tcW w:w="579"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2014</w:t>
            </w:r>
          </w:p>
        </w:tc>
        <w:tc>
          <w:tcPr>
            <w:tcW w:w="579"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2015</w:t>
            </w:r>
          </w:p>
        </w:tc>
        <w:tc>
          <w:tcPr>
            <w:tcW w:w="579"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2016</w:t>
            </w:r>
          </w:p>
        </w:tc>
        <w:tc>
          <w:tcPr>
            <w:tcW w:w="579"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2017</w:t>
            </w:r>
          </w:p>
        </w:tc>
        <w:tc>
          <w:tcPr>
            <w:tcW w:w="703"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2018</w:t>
            </w:r>
          </w:p>
        </w:tc>
      </w:tr>
      <w:tr>
        <w:trPr>
          <w:trHeight w:val="210"/>
        </w:trPr>
        <w:tc>
          <w:tcPr>
            <w:tcW w:w="3617" w:type="dxa"/>
            <w:tcBorders>
              <w:top w:val="nil"/>
              <w:left w:val="nil"/>
              <w:bottom w:val="nil"/>
              <w:right w:val="nil"/>
            </w:tcBorders>
            <w:shd w:val="clear" w:color="000000" w:fill="FFFFFF"/>
            <w:noWrap/>
            <w:vAlign w:val="center"/>
            <w:hideMark/>
          </w:tcPr>
          <w:p>
            <w:pPr>
              <w:jc w:val="center"/>
              <w:rPr>
                <w:rFonts w:eastAsia="Times New Roman"/>
                <w:b/>
                <w:bCs/>
                <w:i/>
                <w:iCs/>
                <w:noProof/>
                <w:lang w:val="en-IE" w:eastAsia="en-IE"/>
              </w:rPr>
            </w:pPr>
            <w:r>
              <w:rPr>
                <w:rFonts w:eastAsia="Times New Roman"/>
                <w:b/>
                <w:bCs/>
                <w:i/>
                <w:iCs/>
                <w:noProof/>
                <w:lang w:val="en-IE" w:eastAsia="en-IE"/>
              </w:rPr>
              <w:t>EU28 trade with Canada (mio €)</w:t>
            </w:r>
          </w:p>
        </w:tc>
        <w:tc>
          <w:tcPr>
            <w:tcW w:w="579" w:type="dxa"/>
            <w:tcBorders>
              <w:top w:val="nil"/>
              <w:left w:val="nil"/>
              <w:bottom w:val="nil"/>
              <w:right w:val="nil"/>
            </w:tcBorders>
            <w:shd w:val="clear" w:color="auto" w:fill="auto"/>
            <w:noWrap/>
            <w:vAlign w:val="center"/>
            <w:hideMark/>
          </w:tcPr>
          <w:p>
            <w:pPr>
              <w:jc w:val="center"/>
              <w:rPr>
                <w:rFonts w:eastAsia="Times New Roman"/>
                <w:b/>
                <w:bCs/>
                <w:i/>
                <w:iCs/>
                <w:noProof/>
                <w:lang w:val="en-IE" w:eastAsia="en-IE"/>
              </w:rPr>
            </w:pPr>
          </w:p>
        </w:tc>
        <w:tc>
          <w:tcPr>
            <w:tcW w:w="579" w:type="dxa"/>
            <w:tcBorders>
              <w:top w:val="nil"/>
              <w:left w:val="nil"/>
              <w:bottom w:val="nil"/>
              <w:right w:val="nil"/>
            </w:tcBorders>
            <w:shd w:val="clear" w:color="000000" w:fill="FFFFFF"/>
            <w:noWrap/>
            <w:vAlign w:val="center"/>
            <w:hideMark/>
          </w:tcPr>
          <w:p>
            <w:pPr>
              <w:rPr>
                <w:rFonts w:eastAsia="Times New Roman"/>
                <w:b/>
                <w:bCs/>
                <w:i/>
                <w:iCs/>
                <w:noProof/>
                <w:lang w:val="en-IE" w:eastAsia="en-IE"/>
              </w:rPr>
            </w:pPr>
            <w:r>
              <w:rPr>
                <w:rFonts w:eastAsia="Times New Roman"/>
                <w:b/>
                <w:bCs/>
                <w:i/>
                <w:iCs/>
                <w:noProof/>
                <w:lang w:val="en-IE" w:eastAsia="en-IE"/>
              </w:rPr>
              <w:t> </w:t>
            </w:r>
          </w:p>
        </w:tc>
        <w:tc>
          <w:tcPr>
            <w:tcW w:w="579" w:type="dxa"/>
            <w:tcBorders>
              <w:top w:val="nil"/>
              <w:left w:val="nil"/>
              <w:bottom w:val="nil"/>
              <w:right w:val="nil"/>
            </w:tcBorders>
            <w:shd w:val="clear" w:color="000000" w:fill="FFFFFF"/>
            <w:noWrap/>
            <w:vAlign w:val="center"/>
            <w:hideMark/>
          </w:tcPr>
          <w:p>
            <w:pPr>
              <w:rPr>
                <w:rFonts w:eastAsia="Times New Roman"/>
                <w:b/>
                <w:bCs/>
                <w:i/>
                <w:iCs/>
                <w:noProof/>
                <w:lang w:val="en-IE" w:eastAsia="en-IE"/>
              </w:rPr>
            </w:pPr>
            <w:r>
              <w:rPr>
                <w:rFonts w:eastAsia="Times New Roman"/>
                <w:b/>
                <w:bCs/>
                <w:i/>
                <w:iCs/>
                <w:noProof/>
                <w:lang w:val="en-IE" w:eastAsia="en-IE"/>
              </w:rPr>
              <w:t> </w:t>
            </w:r>
          </w:p>
        </w:tc>
        <w:tc>
          <w:tcPr>
            <w:tcW w:w="579" w:type="dxa"/>
            <w:tcBorders>
              <w:top w:val="nil"/>
              <w:left w:val="nil"/>
              <w:bottom w:val="nil"/>
              <w:right w:val="nil"/>
            </w:tcBorders>
            <w:shd w:val="clear" w:color="000000" w:fill="FFFFFF"/>
            <w:noWrap/>
            <w:vAlign w:val="center"/>
            <w:hideMark/>
          </w:tcPr>
          <w:p>
            <w:pPr>
              <w:rPr>
                <w:rFonts w:eastAsia="Times New Roman"/>
                <w:b/>
                <w:bCs/>
                <w:i/>
                <w:iCs/>
                <w:noProof/>
                <w:lang w:val="en-IE" w:eastAsia="en-IE"/>
              </w:rPr>
            </w:pPr>
            <w:r>
              <w:rPr>
                <w:rFonts w:eastAsia="Times New Roman"/>
                <w:b/>
                <w:bCs/>
                <w:i/>
                <w:iCs/>
                <w:noProof/>
                <w:lang w:val="en-IE" w:eastAsia="en-IE"/>
              </w:rPr>
              <w:t> </w:t>
            </w:r>
          </w:p>
        </w:tc>
        <w:tc>
          <w:tcPr>
            <w:tcW w:w="703" w:type="dxa"/>
            <w:tcBorders>
              <w:top w:val="nil"/>
              <w:left w:val="nil"/>
              <w:bottom w:val="nil"/>
              <w:right w:val="nil"/>
            </w:tcBorders>
            <w:shd w:val="clear" w:color="000000" w:fill="FFFFFF"/>
            <w:noWrap/>
            <w:vAlign w:val="center"/>
            <w:hideMark/>
          </w:tcPr>
          <w:p>
            <w:pPr>
              <w:rPr>
                <w:rFonts w:eastAsia="Times New Roman"/>
                <w:b/>
                <w:bCs/>
                <w:i/>
                <w:iCs/>
                <w:noProof/>
                <w:lang w:val="en-IE" w:eastAsia="en-IE"/>
              </w:rPr>
            </w:pPr>
            <w:r>
              <w:rPr>
                <w:rFonts w:eastAsia="Times New Roman"/>
                <w:b/>
                <w:bCs/>
                <w:i/>
                <w:iCs/>
                <w:noProof/>
                <w:lang w:val="en-IE" w:eastAsia="en-IE"/>
              </w:rPr>
              <w:t> </w:t>
            </w:r>
          </w:p>
        </w:tc>
      </w:tr>
      <w:tr>
        <w:trPr>
          <w:trHeight w:val="210"/>
        </w:trPr>
        <w:tc>
          <w:tcPr>
            <w:tcW w:w="3617"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Imports</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27.431</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28.027</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29.016</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31.509</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30.988</w:t>
            </w:r>
          </w:p>
        </w:tc>
      </w:tr>
      <w:tr>
        <w:trPr>
          <w:trHeight w:val="210"/>
        </w:trPr>
        <w:tc>
          <w:tcPr>
            <w:tcW w:w="3617"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Exports</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31.654</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35.145</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35.228</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37.704</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41.355</w:t>
            </w:r>
          </w:p>
        </w:tc>
      </w:tr>
      <w:tr>
        <w:trPr>
          <w:trHeight w:val="210"/>
        </w:trPr>
        <w:tc>
          <w:tcPr>
            <w:tcW w:w="3617"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Balance</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4.223</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7.118</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6.212</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6.195</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10.366</w:t>
            </w:r>
          </w:p>
        </w:tc>
      </w:tr>
      <w:tr>
        <w:trPr>
          <w:trHeight w:val="210"/>
        </w:trPr>
        <w:tc>
          <w:tcPr>
            <w:tcW w:w="3617" w:type="dxa"/>
            <w:tcBorders>
              <w:top w:val="nil"/>
              <w:left w:val="nil"/>
              <w:bottom w:val="nil"/>
              <w:right w:val="nil"/>
            </w:tcBorders>
            <w:shd w:val="clear" w:color="000000" w:fill="FFFFFF"/>
            <w:noWrap/>
            <w:vAlign w:val="center"/>
            <w:hideMark/>
          </w:tcPr>
          <w:p>
            <w:pPr>
              <w:jc w:val="center"/>
              <w:rPr>
                <w:rFonts w:eastAsia="Times New Roman"/>
                <w:b/>
                <w:bCs/>
                <w:i/>
                <w:iCs/>
                <w:noProof/>
                <w:lang w:val="en-IE" w:eastAsia="en-IE"/>
              </w:rPr>
            </w:pPr>
            <w:r>
              <w:rPr>
                <w:rFonts w:eastAsia="Times New Roman"/>
                <w:b/>
                <w:bCs/>
                <w:i/>
                <w:iCs/>
                <w:noProof/>
                <w:lang w:val="en-IE" w:eastAsia="en-IE"/>
              </w:rPr>
              <w:t>Share Canada in EU28 trade with Extra-EU28</w:t>
            </w:r>
          </w:p>
        </w:tc>
        <w:tc>
          <w:tcPr>
            <w:tcW w:w="579" w:type="dxa"/>
            <w:tcBorders>
              <w:top w:val="nil"/>
              <w:left w:val="nil"/>
              <w:bottom w:val="nil"/>
              <w:right w:val="nil"/>
            </w:tcBorders>
            <w:shd w:val="clear" w:color="auto" w:fill="auto"/>
            <w:noWrap/>
            <w:vAlign w:val="center"/>
            <w:hideMark/>
          </w:tcPr>
          <w:p>
            <w:pPr>
              <w:jc w:val="center"/>
              <w:rPr>
                <w:rFonts w:eastAsia="Times New Roman"/>
                <w:b/>
                <w:bCs/>
                <w:i/>
                <w:iCs/>
                <w:noProof/>
                <w:lang w:val="en-IE" w:eastAsia="en-IE"/>
              </w:rPr>
            </w:pPr>
          </w:p>
        </w:tc>
        <w:tc>
          <w:tcPr>
            <w:tcW w:w="579" w:type="dxa"/>
            <w:tcBorders>
              <w:top w:val="nil"/>
              <w:left w:val="nil"/>
              <w:bottom w:val="nil"/>
              <w:right w:val="nil"/>
            </w:tcBorders>
            <w:shd w:val="clear" w:color="000000" w:fill="FFFFFF"/>
            <w:noWrap/>
            <w:vAlign w:val="center"/>
            <w:hideMark/>
          </w:tcPr>
          <w:p>
            <w:pPr>
              <w:rPr>
                <w:rFonts w:eastAsia="Times New Roman"/>
                <w:b/>
                <w:bCs/>
                <w:i/>
                <w:iCs/>
                <w:noProof/>
                <w:lang w:val="en-IE" w:eastAsia="en-IE"/>
              </w:rPr>
            </w:pPr>
            <w:r>
              <w:rPr>
                <w:rFonts w:eastAsia="Times New Roman"/>
                <w:b/>
                <w:bCs/>
                <w:i/>
                <w:iCs/>
                <w:noProof/>
                <w:lang w:val="en-IE" w:eastAsia="en-IE"/>
              </w:rPr>
              <w:t> </w:t>
            </w:r>
          </w:p>
        </w:tc>
        <w:tc>
          <w:tcPr>
            <w:tcW w:w="579" w:type="dxa"/>
            <w:tcBorders>
              <w:top w:val="nil"/>
              <w:left w:val="nil"/>
              <w:bottom w:val="nil"/>
              <w:right w:val="nil"/>
            </w:tcBorders>
            <w:shd w:val="clear" w:color="000000" w:fill="FFFFFF"/>
            <w:noWrap/>
            <w:vAlign w:val="center"/>
            <w:hideMark/>
          </w:tcPr>
          <w:p>
            <w:pPr>
              <w:rPr>
                <w:rFonts w:eastAsia="Times New Roman"/>
                <w:b/>
                <w:bCs/>
                <w:i/>
                <w:iCs/>
                <w:noProof/>
                <w:lang w:val="en-IE" w:eastAsia="en-IE"/>
              </w:rPr>
            </w:pPr>
            <w:r>
              <w:rPr>
                <w:rFonts w:eastAsia="Times New Roman"/>
                <w:b/>
                <w:bCs/>
                <w:i/>
                <w:iCs/>
                <w:noProof/>
                <w:lang w:val="en-IE" w:eastAsia="en-IE"/>
              </w:rPr>
              <w:t> </w:t>
            </w:r>
          </w:p>
        </w:tc>
        <w:tc>
          <w:tcPr>
            <w:tcW w:w="579" w:type="dxa"/>
            <w:tcBorders>
              <w:top w:val="nil"/>
              <w:left w:val="nil"/>
              <w:bottom w:val="nil"/>
              <w:right w:val="nil"/>
            </w:tcBorders>
            <w:shd w:val="clear" w:color="000000" w:fill="FFFFFF"/>
            <w:noWrap/>
            <w:vAlign w:val="center"/>
            <w:hideMark/>
          </w:tcPr>
          <w:p>
            <w:pPr>
              <w:rPr>
                <w:rFonts w:eastAsia="Times New Roman"/>
                <w:b/>
                <w:bCs/>
                <w:i/>
                <w:iCs/>
                <w:noProof/>
                <w:lang w:val="en-IE" w:eastAsia="en-IE"/>
              </w:rPr>
            </w:pPr>
            <w:r>
              <w:rPr>
                <w:rFonts w:eastAsia="Times New Roman"/>
                <w:b/>
                <w:bCs/>
                <w:i/>
                <w:iCs/>
                <w:noProof/>
                <w:lang w:val="en-IE" w:eastAsia="en-IE"/>
              </w:rPr>
              <w:t> </w:t>
            </w:r>
          </w:p>
        </w:tc>
        <w:tc>
          <w:tcPr>
            <w:tcW w:w="703" w:type="dxa"/>
            <w:tcBorders>
              <w:top w:val="nil"/>
              <w:left w:val="nil"/>
              <w:bottom w:val="nil"/>
              <w:right w:val="nil"/>
            </w:tcBorders>
            <w:shd w:val="clear" w:color="000000" w:fill="FFFFFF"/>
            <w:noWrap/>
            <w:vAlign w:val="center"/>
            <w:hideMark/>
          </w:tcPr>
          <w:p>
            <w:pPr>
              <w:rPr>
                <w:rFonts w:eastAsia="Times New Roman"/>
                <w:b/>
                <w:bCs/>
                <w:i/>
                <w:iCs/>
                <w:noProof/>
                <w:lang w:val="en-IE" w:eastAsia="en-IE"/>
              </w:rPr>
            </w:pPr>
            <w:r>
              <w:rPr>
                <w:rFonts w:eastAsia="Times New Roman"/>
                <w:b/>
                <w:bCs/>
                <w:i/>
                <w:iCs/>
                <w:noProof/>
                <w:lang w:val="en-IE" w:eastAsia="en-IE"/>
              </w:rPr>
              <w:t> </w:t>
            </w:r>
          </w:p>
        </w:tc>
      </w:tr>
      <w:tr>
        <w:trPr>
          <w:trHeight w:val="210"/>
        </w:trPr>
        <w:tc>
          <w:tcPr>
            <w:tcW w:w="3617"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Imports</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1,6%</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1,6%</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1,7%</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1,7%</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1,6%</w:t>
            </w:r>
          </w:p>
        </w:tc>
      </w:tr>
      <w:tr>
        <w:trPr>
          <w:trHeight w:val="210"/>
        </w:trPr>
        <w:tc>
          <w:tcPr>
            <w:tcW w:w="3617"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Exports</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1,9%</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2,0%</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2,0%</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2,0%</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2,1%</w:t>
            </w:r>
          </w:p>
        </w:tc>
      </w:tr>
      <w:tr>
        <w:trPr>
          <w:trHeight w:val="210"/>
        </w:trPr>
        <w:tc>
          <w:tcPr>
            <w:tcW w:w="3617"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Total (I+E)</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1,7%</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1,8%</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1,9%</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1,9%</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1,8%</w:t>
            </w:r>
          </w:p>
        </w:tc>
      </w:tr>
      <w:tr>
        <w:trPr>
          <w:trHeight w:val="210"/>
        </w:trPr>
        <w:tc>
          <w:tcPr>
            <w:tcW w:w="6636" w:type="dxa"/>
            <w:gridSpan w:val="6"/>
            <w:tcBorders>
              <w:top w:val="nil"/>
              <w:left w:val="nil"/>
              <w:bottom w:val="nil"/>
              <w:right w:val="nil"/>
            </w:tcBorders>
            <w:shd w:val="clear" w:color="000000" w:fill="FFFFFF"/>
            <w:noWrap/>
            <w:vAlign w:val="center"/>
            <w:hideMark/>
          </w:tcPr>
          <w:p>
            <w:pPr>
              <w:jc w:val="center"/>
              <w:rPr>
                <w:rFonts w:eastAsia="Times New Roman"/>
                <w:b/>
                <w:bCs/>
                <w:i/>
                <w:iCs/>
                <w:noProof/>
                <w:lang w:val="en-IE" w:eastAsia="en-IE"/>
              </w:rPr>
            </w:pPr>
            <w:r>
              <w:rPr>
                <w:rFonts w:eastAsia="Times New Roman"/>
                <w:b/>
                <w:bCs/>
                <w:i/>
                <w:iCs/>
                <w:noProof/>
                <w:lang w:val="en-IE" w:eastAsia="en-IE"/>
              </w:rPr>
              <w:t>Share EU28 in trade Canada with world</w:t>
            </w:r>
          </w:p>
        </w:tc>
      </w:tr>
      <w:tr>
        <w:trPr>
          <w:trHeight w:val="210"/>
        </w:trPr>
        <w:tc>
          <w:tcPr>
            <w:tcW w:w="3617"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Imports</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11,3%</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11,4%</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11,4%</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11,7%</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12,3%</w:t>
            </w:r>
          </w:p>
        </w:tc>
      </w:tr>
      <w:tr>
        <w:trPr>
          <w:trHeight w:val="210"/>
        </w:trPr>
        <w:tc>
          <w:tcPr>
            <w:tcW w:w="3617"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Exports</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7,4%</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7,2%</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7,7%</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7,3%</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7,4%</w:t>
            </w:r>
          </w:p>
        </w:tc>
      </w:tr>
      <w:tr>
        <w:trPr>
          <w:trHeight w:val="210"/>
        </w:trPr>
        <w:tc>
          <w:tcPr>
            <w:tcW w:w="3617"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Total (I+E)</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9,4%</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9,4%</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9,6%</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9,6%</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10,0%</w:t>
            </w:r>
          </w:p>
        </w:tc>
      </w:tr>
      <w:tr>
        <w:trPr>
          <w:trHeight w:val="225"/>
        </w:trPr>
        <w:tc>
          <w:tcPr>
            <w:tcW w:w="4775" w:type="dxa"/>
            <w:gridSpan w:val="3"/>
            <w:tcBorders>
              <w:top w:val="single" w:sz="4" w:space="0" w:color="auto"/>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xml:space="preserve">Source Trade G2 Statistics/ISDB </w:t>
            </w:r>
          </w:p>
        </w:tc>
        <w:tc>
          <w:tcPr>
            <w:tcW w:w="579" w:type="dxa"/>
            <w:tcBorders>
              <w:top w:val="single" w:sz="4" w:space="0" w:color="auto"/>
              <w:left w:val="nil"/>
              <w:bottom w:val="nil"/>
              <w:right w:val="nil"/>
            </w:tcBorders>
            <w:shd w:val="clear" w:color="000000" w:fill="FFFFFF"/>
            <w:noWrap/>
            <w:vAlign w:val="bottom"/>
            <w:hideMark/>
          </w:tcPr>
          <w:p>
            <w:pPr>
              <w:jc w:val="center"/>
              <w:rPr>
                <w:rFonts w:eastAsia="Times New Roman"/>
                <w:noProof/>
                <w:lang w:val="en-IE" w:eastAsia="en-IE"/>
              </w:rPr>
            </w:pPr>
            <w:r>
              <w:rPr>
                <w:rFonts w:eastAsia="Times New Roman"/>
                <w:noProof/>
                <w:lang w:val="en-IE" w:eastAsia="en-IE"/>
              </w:rPr>
              <w:t> </w:t>
            </w:r>
          </w:p>
        </w:tc>
        <w:tc>
          <w:tcPr>
            <w:tcW w:w="579" w:type="dxa"/>
            <w:tcBorders>
              <w:top w:val="single" w:sz="4" w:space="0" w:color="auto"/>
              <w:left w:val="nil"/>
              <w:bottom w:val="nil"/>
              <w:right w:val="nil"/>
            </w:tcBorders>
            <w:shd w:val="clear" w:color="000000" w:fill="FFFFFF"/>
            <w:noWrap/>
            <w:vAlign w:val="bottom"/>
            <w:hideMark/>
          </w:tcPr>
          <w:p>
            <w:pPr>
              <w:jc w:val="center"/>
              <w:rPr>
                <w:rFonts w:eastAsia="Times New Roman"/>
                <w:noProof/>
                <w:lang w:val="en-IE" w:eastAsia="en-IE"/>
              </w:rPr>
            </w:pPr>
            <w:r>
              <w:rPr>
                <w:rFonts w:eastAsia="Times New Roman"/>
                <w:noProof/>
                <w:lang w:val="en-IE" w:eastAsia="en-IE"/>
              </w:rPr>
              <w:t> </w:t>
            </w:r>
          </w:p>
        </w:tc>
        <w:tc>
          <w:tcPr>
            <w:tcW w:w="703" w:type="dxa"/>
            <w:tcBorders>
              <w:top w:val="single" w:sz="4" w:space="0" w:color="auto"/>
              <w:left w:val="nil"/>
              <w:bottom w:val="nil"/>
              <w:right w:val="nil"/>
            </w:tcBorders>
            <w:shd w:val="clear" w:color="000000" w:fill="FFFFFF"/>
            <w:noWrap/>
            <w:hideMark/>
          </w:tcPr>
          <w:p>
            <w:pPr>
              <w:jc w:val="right"/>
              <w:rPr>
                <w:rFonts w:eastAsia="Times New Roman"/>
                <w:noProof/>
                <w:lang w:val="en-IE" w:eastAsia="en-IE"/>
              </w:rPr>
            </w:pPr>
            <w:r>
              <w:rPr>
                <w:rFonts w:eastAsia="Times New Roman"/>
                <w:noProof/>
                <w:lang w:val="en-IE" w:eastAsia="en-IE"/>
              </w:rPr>
              <w:t>25-mars-19</w:t>
            </w:r>
          </w:p>
        </w:tc>
      </w:tr>
      <w:tr>
        <w:trPr>
          <w:trHeight w:val="210"/>
        </w:trPr>
        <w:tc>
          <w:tcPr>
            <w:tcW w:w="5354" w:type="dxa"/>
            <w:gridSpan w:val="4"/>
            <w:tcBorders>
              <w:top w:val="nil"/>
              <w:left w:val="nil"/>
              <w:bottom w:val="nil"/>
              <w:right w:val="nil"/>
            </w:tcBorders>
            <w:shd w:val="clear" w:color="000000" w:fill="FFFFFF"/>
            <w:noWrap/>
            <w:hideMark/>
          </w:tcPr>
          <w:p>
            <w:pPr>
              <w:rPr>
                <w:rFonts w:eastAsia="Times New Roman"/>
                <w:noProof/>
                <w:color w:val="000000"/>
                <w:lang w:val="en-IE" w:eastAsia="en-IE"/>
              </w:rPr>
            </w:pPr>
            <w:r>
              <w:rPr>
                <w:rFonts w:eastAsia="Times New Roman"/>
                <w:noProof/>
                <w:color w:val="000000"/>
                <w:lang w:val="en-IE" w:eastAsia="en-IE"/>
              </w:rPr>
              <w:t>Trade EU28: Eurostat COMEXT;  Trade Canada: IMF Dots</w:t>
            </w:r>
          </w:p>
        </w:tc>
        <w:tc>
          <w:tcPr>
            <w:tcW w:w="579" w:type="dxa"/>
            <w:tcBorders>
              <w:top w:val="nil"/>
              <w:left w:val="nil"/>
              <w:bottom w:val="nil"/>
              <w:right w:val="nil"/>
            </w:tcBorders>
            <w:shd w:val="clear" w:color="000000" w:fill="FFFFFF"/>
            <w:noWrap/>
            <w:vAlign w:val="bottom"/>
            <w:hideMark/>
          </w:tcPr>
          <w:p>
            <w:pPr>
              <w:rPr>
                <w:rFonts w:eastAsia="Times New Roman"/>
                <w:noProof/>
                <w:color w:val="000000"/>
                <w:lang w:val="en-IE" w:eastAsia="en-IE"/>
              </w:rPr>
            </w:pPr>
            <w:r>
              <w:rPr>
                <w:rFonts w:eastAsia="Times New Roman"/>
                <w:noProof/>
                <w:color w:val="000000"/>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color w:val="000000"/>
                <w:lang w:val="en-IE" w:eastAsia="en-IE"/>
              </w:rPr>
            </w:pPr>
            <w:r>
              <w:rPr>
                <w:rFonts w:eastAsia="Times New Roman"/>
                <w:noProof/>
                <w:color w:val="000000"/>
                <w:lang w:val="en-IE" w:eastAsia="en-IE"/>
              </w:rPr>
              <w:t> </w:t>
            </w:r>
          </w:p>
        </w:tc>
      </w:tr>
      <w:tr>
        <w:trPr>
          <w:trHeight w:val="210"/>
        </w:trPr>
        <w:tc>
          <w:tcPr>
            <w:tcW w:w="3617" w:type="dxa"/>
            <w:tcBorders>
              <w:top w:val="nil"/>
              <w:left w:val="nil"/>
              <w:bottom w:val="nil"/>
              <w:right w:val="nil"/>
            </w:tcBorders>
            <w:shd w:val="clear" w:color="000000" w:fill="FFFFFF"/>
            <w:noWrap/>
            <w:vAlign w:val="bottom"/>
            <w:hideMark/>
          </w:tcPr>
          <w:p>
            <w:pPr>
              <w:rPr>
                <w:rFonts w:eastAsia="Times New Roman"/>
                <w:noProof/>
                <w:color w:val="000000"/>
                <w:lang w:val="en-IE" w:eastAsia="en-IE"/>
              </w:rPr>
            </w:pPr>
            <w:r>
              <w:rPr>
                <w:rFonts w:eastAsia="Times New Roman"/>
                <w:noProof/>
                <w:color w:val="000000"/>
                <w:lang w:val="en-IE" w:eastAsia="en-IE"/>
              </w:rPr>
              <w:t> </w:t>
            </w:r>
          </w:p>
        </w:tc>
        <w:tc>
          <w:tcPr>
            <w:tcW w:w="579" w:type="dxa"/>
            <w:tcBorders>
              <w:top w:val="nil"/>
              <w:left w:val="nil"/>
              <w:bottom w:val="nil"/>
              <w:right w:val="nil"/>
            </w:tcBorders>
            <w:shd w:val="clear" w:color="000000" w:fill="FFFFFF"/>
            <w:noWrap/>
            <w:vAlign w:val="bottom"/>
            <w:hideMark/>
          </w:tcPr>
          <w:p>
            <w:pPr>
              <w:rPr>
                <w:rFonts w:eastAsia="Times New Roman"/>
                <w:noProof/>
                <w:color w:val="000000"/>
                <w:lang w:val="en-IE" w:eastAsia="en-IE"/>
              </w:rPr>
            </w:pPr>
            <w:r>
              <w:rPr>
                <w:rFonts w:eastAsia="Times New Roman"/>
                <w:noProof/>
                <w:color w:val="000000"/>
                <w:lang w:val="en-IE" w:eastAsia="en-IE"/>
              </w:rPr>
              <w:t> </w:t>
            </w:r>
          </w:p>
        </w:tc>
        <w:tc>
          <w:tcPr>
            <w:tcW w:w="579" w:type="dxa"/>
            <w:tcBorders>
              <w:top w:val="nil"/>
              <w:left w:val="nil"/>
              <w:bottom w:val="nil"/>
              <w:right w:val="nil"/>
            </w:tcBorders>
            <w:shd w:val="clear" w:color="000000" w:fill="FFFFFF"/>
            <w:noWrap/>
            <w:vAlign w:val="bottom"/>
            <w:hideMark/>
          </w:tcPr>
          <w:p>
            <w:pPr>
              <w:rPr>
                <w:rFonts w:eastAsia="Times New Roman"/>
                <w:noProof/>
                <w:color w:val="000000"/>
                <w:lang w:val="en-IE" w:eastAsia="en-IE"/>
              </w:rPr>
            </w:pPr>
            <w:r>
              <w:rPr>
                <w:rFonts w:eastAsia="Times New Roman"/>
                <w:noProof/>
                <w:color w:val="000000"/>
                <w:lang w:val="en-IE" w:eastAsia="en-IE"/>
              </w:rPr>
              <w:t> </w:t>
            </w:r>
          </w:p>
        </w:tc>
        <w:tc>
          <w:tcPr>
            <w:tcW w:w="579" w:type="dxa"/>
            <w:tcBorders>
              <w:top w:val="nil"/>
              <w:left w:val="nil"/>
              <w:bottom w:val="nil"/>
              <w:right w:val="nil"/>
            </w:tcBorders>
            <w:shd w:val="clear" w:color="000000" w:fill="FFFFFF"/>
            <w:noWrap/>
            <w:vAlign w:val="bottom"/>
            <w:hideMark/>
          </w:tcPr>
          <w:p>
            <w:pPr>
              <w:rPr>
                <w:rFonts w:eastAsia="Times New Roman"/>
                <w:noProof/>
                <w:color w:val="000000"/>
                <w:lang w:val="en-IE" w:eastAsia="en-IE"/>
              </w:rPr>
            </w:pPr>
            <w:r>
              <w:rPr>
                <w:rFonts w:eastAsia="Times New Roman"/>
                <w:noProof/>
                <w:color w:val="000000"/>
                <w:lang w:val="en-IE" w:eastAsia="en-IE"/>
              </w:rPr>
              <w:t> </w:t>
            </w:r>
          </w:p>
        </w:tc>
        <w:tc>
          <w:tcPr>
            <w:tcW w:w="579" w:type="dxa"/>
            <w:tcBorders>
              <w:top w:val="nil"/>
              <w:left w:val="nil"/>
              <w:bottom w:val="nil"/>
              <w:right w:val="nil"/>
            </w:tcBorders>
            <w:shd w:val="clear" w:color="000000" w:fill="FFFFFF"/>
            <w:noWrap/>
            <w:vAlign w:val="bottom"/>
            <w:hideMark/>
          </w:tcPr>
          <w:p>
            <w:pPr>
              <w:rPr>
                <w:rFonts w:eastAsia="Times New Roman"/>
                <w:noProof/>
                <w:color w:val="000000"/>
                <w:lang w:val="en-IE" w:eastAsia="en-IE"/>
              </w:rPr>
            </w:pPr>
            <w:r>
              <w:rPr>
                <w:rFonts w:eastAsia="Times New Roman"/>
                <w:noProof/>
                <w:color w:val="000000"/>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color w:val="000000"/>
                <w:lang w:val="en-IE" w:eastAsia="en-IE"/>
              </w:rPr>
            </w:pPr>
            <w:r>
              <w:rPr>
                <w:rFonts w:eastAsia="Times New Roman"/>
                <w:noProof/>
                <w:color w:val="000000"/>
                <w:lang w:val="en-IE" w:eastAsia="en-IE"/>
              </w:rPr>
              <w:t> </w:t>
            </w:r>
          </w:p>
        </w:tc>
      </w:tr>
      <w:tr>
        <w:trPr>
          <w:trHeight w:val="225"/>
        </w:trPr>
        <w:tc>
          <w:tcPr>
            <w:tcW w:w="6636" w:type="dxa"/>
            <w:gridSpan w:val="6"/>
            <w:tcBorders>
              <w:top w:val="nil"/>
              <w:left w:val="nil"/>
              <w:bottom w:val="nil"/>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Total merchandise trade EU28 with Canada (mio €)</w:t>
            </w:r>
          </w:p>
        </w:tc>
      </w:tr>
      <w:tr>
        <w:trPr>
          <w:trHeight w:val="225"/>
        </w:trPr>
        <w:tc>
          <w:tcPr>
            <w:tcW w:w="4196"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lang w:val="en-IE" w:eastAsia="en-IE"/>
              </w:rPr>
            </w:pPr>
            <w:r>
              <w:rPr>
                <w:rFonts w:eastAsia="Times New Roman"/>
                <w:b/>
                <w:bCs/>
                <w:noProof/>
                <w:lang w:val="en-IE" w:eastAsia="en-IE"/>
              </w:rPr>
              <w:t>Canada</w:t>
            </w:r>
          </w:p>
        </w:tc>
        <w:tc>
          <w:tcPr>
            <w:tcW w:w="579"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2017</w:t>
            </w:r>
          </w:p>
        </w:tc>
        <w:tc>
          <w:tcPr>
            <w:tcW w:w="579"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2018</w:t>
            </w:r>
          </w:p>
        </w:tc>
        <w:tc>
          <w:tcPr>
            <w:tcW w:w="128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Growth</w:t>
            </w:r>
          </w:p>
        </w:tc>
      </w:tr>
      <w:tr>
        <w:trPr>
          <w:trHeight w:val="225"/>
        </w:trPr>
        <w:tc>
          <w:tcPr>
            <w:tcW w:w="4196" w:type="dxa"/>
            <w:gridSpan w:val="2"/>
            <w:vMerge/>
            <w:tcBorders>
              <w:top w:val="single" w:sz="4" w:space="0" w:color="auto"/>
              <w:left w:val="nil"/>
              <w:bottom w:val="single" w:sz="4" w:space="0" w:color="000000"/>
              <w:right w:val="nil"/>
            </w:tcBorders>
            <w:vAlign w:val="center"/>
            <w:hideMark/>
          </w:tcPr>
          <w:p>
            <w:pPr>
              <w:rPr>
                <w:rFonts w:eastAsia="Times New Roman"/>
                <w:b/>
                <w:bCs/>
                <w:noProof/>
                <w:lang w:val="en-IE" w:eastAsia="en-IE"/>
              </w:rPr>
            </w:pPr>
          </w:p>
        </w:tc>
        <w:tc>
          <w:tcPr>
            <w:tcW w:w="579" w:type="dxa"/>
            <w:vMerge/>
            <w:tcBorders>
              <w:top w:val="single" w:sz="4" w:space="0" w:color="auto"/>
              <w:left w:val="nil"/>
              <w:bottom w:val="single" w:sz="4" w:space="0" w:color="000000"/>
              <w:right w:val="nil"/>
            </w:tcBorders>
            <w:vAlign w:val="center"/>
            <w:hideMark/>
          </w:tcPr>
          <w:p>
            <w:pPr>
              <w:rPr>
                <w:rFonts w:eastAsia="Times New Roman"/>
                <w:b/>
                <w:bCs/>
                <w:noProof/>
                <w:lang w:val="en-IE" w:eastAsia="en-IE"/>
              </w:rPr>
            </w:pPr>
          </w:p>
        </w:tc>
        <w:tc>
          <w:tcPr>
            <w:tcW w:w="579" w:type="dxa"/>
            <w:vMerge/>
            <w:tcBorders>
              <w:top w:val="single" w:sz="4" w:space="0" w:color="auto"/>
              <w:left w:val="nil"/>
              <w:bottom w:val="single" w:sz="4" w:space="0" w:color="000000"/>
              <w:right w:val="nil"/>
            </w:tcBorders>
            <w:vAlign w:val="center"/>
            <w:hideMark/>
          </w:tcPr>
          <w:p>
            <w:pPr>
              <w:rPr>
                <w:rFonts w:eastAsia="Times New Roman"/>
                <w:b/>
                <w:bCs/>
                <w:noProof/>
                <w:lang w:val="en-IE" w:eastAsia="en-IE"/>
              </w:rPr>
            </w:pPr>
          </w:p>
        </w:tc>
        <w:tc>
          <w:tcPr>
            <w:tcW w:w="579" w:type="dxa"/>
            <w:tcBorders>
              <w:top w:val="nil"/>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annual %</w:t>
            </w:r>
          </w:p>
        </w:tc>
      </w:tr>
      <w:tr>
        <w:trPr>
          <w:trHeight w:val="225"/>
        </w:trPr>
        <w:tc>
          <w:tcPr>
            <w:tcW w:w="3617"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Imports</w:t>
            </w:r>
          </w:p>
        </w:tc>
        <w:tc>
          <w:tcPr>
            <w:tcW w:w="579"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31.509</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30.988</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-521</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-1,7%</w:t>
            </w:r>
          </w:p>
        </w:tc>
      </w:tr>
      <w:tr>
        <w:trPr>
          <w:trHeight w:val="225"/>
        </w:trPr>
        <w:tc>
          <w:tcPr>
            <w:tcW w:w="3617"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Exports</w:t>
            </w:r>
          </w:p>
        </w:tc>
        <w:tc>
          <w:tcPr>
            <w:tcW w:w="579"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37.704</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41.355</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3.651</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9,7%</w:t>
            </w:r>
          </w:p>
        </w:tc>
      </w:tr>
      <w:tr>
        <w:trPr>
          <w:trHeight w:val="225"/>
        </w:trPr>
        <w:tc>
          <w:tcPr>
            <w:tcW w:w="3617"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Balance</w:t>
            </w:r>
          </w:p>
        </w:tc>
        <w:tc>
          <w:tcPr>
            <w:tcW w:w="579"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6.195</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10.366</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4.172</w:t>
            </w:r>
          </w:p>
        </w:tc>
        <w:tc>
          <w:tcPr>
            <w:tcW w:w="703"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r>
      <w:tr>
        <w:trPr>
          <w:trHeight w:val="225"/>
        </w:trPr>
        <w:tc>
          <w:tcPr>
            <w:tcW w:w="3617" w:type="dxa"/>
            <w:tcBorders>
              <w:top w:val="nil"/>
              <w:left w:val="nil"/>
              <w:bottom w:val="single" w:sz="4" w:space="0" w:color="auto"/>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Total trade</w:t>
            </w:r>
          </w:p>
        </w:tc>
        <w:tc>
          <w:tcPr>
            <w:tcW w:w="579" w:type="dxa"/>
            <w:tcBorders>
              <w:top w:val="nil"/>
              <w:left w:val="nil"/>
              <w:bottom w:val="single" w:sz="4" w:space="0" w:color="auto"/>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579"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69.213</w:t>
            </w:r>
          </w:p>
        </w:tc>
        <w:tc>
          <w:tcPr>
            <w:tcW w:w="579"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72.343</w:t>
            </w:r>
          </w:p>
        </w:tc>
        <w:tc>
          <w:tcPr>
            <w:tcW w:w="579"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3.130</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4,5%</w:t>
            </w:r>
          </w:p>
        </w:tc>
      </w:tr>
      <w:tr>
        <w:trPr>
          <w:trHeight w:val="240"/>
        </w:trPr>
        <w:tc>
          <w:tcPr>
            <w:tcW w:w="5354" w:type="dxa"/>
            <w:gridSpan w:val="4"/>
            <w:tcBorders>
              <w:top w:val="single" w:sz="4" w:space="0" w:color="auto"/>
              <w:left w:val="nil"/>
              <w:bottom w:val="nil"/>
              <w:right w:val="nil"/>
            </w:tcBorders>
            <w:shd w:val="clear" w:color="000000" w:fill="FFFFFF"/>
            <w:noWrap/>
            <w:hideMark/>
          </w:tcPr>
          <w:p>
            <w:pPr>
              <w:rPr>
                <w:rFonts w:eastAsia="Times New Roman"/>
                <w:noProof/>
                <w:lang w:val="en-IE" w:eastAsia="en-IE"/>
              </w:rPr>
            </w:pPr>
            <w:r>
              <w:rPr>
                <w:rFonts w:eastAsia="Times New Roman"/>
                <w:noProof/>
                <w:lang w:val="en-IE" w:eastAsia="en-IE"/>
              </w:rPr>
              <w:t>Source Trade G2 Statistics/ISDB from Eurostat COMEXT</w:t>
            </w:r>
          </w:p>
        </w:tc>
        <w:tc>
          <w:tcPr>
            <w:tcW w:w="579"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r>
      <w:tr>
        <w:trPr>
          <w:trHeight w:val="225"/>
        </w:trPr>
        <w:tc>
          <w:tcPr>
            <w:tcW w:w="6636" w:type="dxa"/>
            <w:gridSpan w:val="6"/>
            <w:tcBorders>
              <w:top w:val="nil"/>
              <w:left w:val="nil"/>
              <w:bottom w:val="nil"/>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Agrifood trade EU28 with Canada (mio €)</w:t>
            </w:r>
          </w:p>
        </w:tc>
      </w:tr>
      <w:tr>
        <w:trPr>
          <w:trHeight w:val="255"/>
        </w:trPr>
        <w:tc>
          <w:tcPr>
            <w:tcW w:w="4196"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lang w:val="en-IE" w:eastAsia="en-IE"/>
              </w:rPr>
            </w:pPr>
            <w:r>
              <w:rPr>
                <w:rFonts w:eastAsia="Times New Roman"/>
                <w:b/>
                <w:bCs/>
                <w:noProof/>
                <w:lang w:val="en-IE" w:eastAsia="en-IE"/>
              </w:rPr>
              <w:t>Canada</w:t>
            </w:r>
          </w:p>
        </w:tc>
        <w:tc>
          <w:tcPr>
            <w:tcW w:w="579"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2017</w:t>
            </w:r>
          </w:p>
        </w:tc>
        <w:tc>
          <w:tcPr>
            <w:tcW w:w="579"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2018</w:t>
            </w:r>
          </w:p>
        </w:tc>
        <w:tc>
          <w:tcPr>
            <w:tcW w:w="128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Growth</w:t>
            </w:r>
          </w:p>
        </w:tc>
      </w:tr>
      <w:tr>
        <w:trPr>
          <w:trHeight w:val="225"/>
        </w:trPr>
        <w:tc>
          <w:tcPr>
            <w:tcW w:w="4196" w:type="dxa"/>
            <w:gridSpan w:val="2"/>
            <w:vMerge/>
            <w:tcBorders>
              <w:top w:val="single" w:sz="4" w:space="0" w:color="auto"/>
              <w:left w:val="nil"/>
              <w:bottom w:val="single" w:sz="4" w:space="0" w:color="000000"/>
              <w:right w:val="nil"/>
            </w:tcBorders>
            <w:vAlign w:val="center"/>
            <w:hideMark/>
          </w:tcPr>
          <w:p>
            <w:pPr>
              <w:rPr>
                <w:rFonts w:eastAsia="Times New Roman"/>
                <w:b/>
                <w:bCs/>
                <w:noProof/>
                <w:lang w:val="en-IE" w:eastAsia="en-IE"/>
              </w:rPr>
            </w:pPr>
          </w:p>
        </w:tc>
        <w:tc>
          <w:tcPr>
            <w:tcW w:w="579" w:type="dxa"/>
            <w:vMerge/>
            <w:tcBorders>
              <w:top w:val="single" w:sz="4" w:space="0" w:color="auto"/>
              <w:left w:val="nil"/>
              <w:bottom w:val="single" w:sz="4" w:space="0" w:color="000000"/>
              <w:right w:val="nil"/>
            </w:tcBorders>
            <w:vAlign w:val="center"/>
            <w:hideMark/>
          </w:tcPr>
          <w:p>
            <w:pPr>
              <w:rPr>
                <w:rFonts w:eastAsia="Times New Roman"/>
                <w:b/>
                <w:bCs/>
                <w:noProof/>
                <w:lang w:val="en-IE" w:eastAsia="en-IE"/>
              </w:rPr>
            </w:pPr>
          </w:p>
        </w:tc>
        <w:tc>
          <w:tcPr>
            <w:tcW w:w="579" w:type="dxa"/>
            <w:vMerge/>
            <w:tcBorders>
              <w:top w:val="single" w:sz="4" w:space="0" w:color="auto"/>
              <w:left w:val="nil"/>
              <w:bottom w:val="single" w:sz="4" w:space="0" w:color="000000"/>
              <w:right w:val="nil"/>
            </w:tcBorders>
            <w:vAlign w:val="center"/>
            <w:hideMark/>
          </w:tcPr>
          <w:p>
            <w:pPr>
              <w:rPr>
                <w:rFonts w:eastAsia="Times New Roman"/>
                <w:b/>
                <w:bCs/>
                <w:noProof/>
                <w:lang w:val="en-IE" w:eastAsia="en-IE"/>
              </w:rPr>
            </w:pPr>
          </w:p>
        </w:tc>
        <w:tc>
          <w:tcPr>
            <w:tcW w:w="579" w:type="dxa"/>
            <w:tcBorders>
              <w:top w:val="nil"/>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annual %</w:t>
            </w:r>
          </w:p>
        </w:tc>
      </w:tr>
      <w:tr>
        <w:trPr>
          <w:trHeight w:val="225"/>
        </w:trPr>
        <w:tc>
          <w:tcPr>
            <w:tcW w:w="3617"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Imports</w:t>
            </w:r>
          </w:p>
        </w:tc>
        <w:tc>
          <w:tcPr>
            <w:tcW w:w="579"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2.251</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1.988</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-263</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-11,7%</w:t>
            </w:r>
          </w:p>
        </w:tc>
      </w:tr>
      <w:tr>
        <w:trPr>
          <w:trHeight w:val="225"/>
        </w:trPr>
        <w:tc>
          <w:tcPr>
            <w:tcW w:w="3617"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Exports</w:t>
            </w:r>
          </w:p>
        </w:tc>
        <w:tc>
          <w:tcPr>
            <w:tcW w:w="579"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3.560</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3.707</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147</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4,1%</w:t>
            </w:r>
          </w:p>
        </w:tc>
      </w:tr>
      <w:tr>
        <w:trPr>
          <w:trHeight w:val="225"/>
        </w:trPr>
        <w:tc>
          <w:tcPr>
            <w:tcW w:w="3617"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Balance</w:t>
            </w:r>
          </w:p>
        </w:tc>
        <w:tc>
          <w:tcPr>
            <w:tcW w:w="579"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1.309</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1.720</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411</w:t>
            </w:r>
          </w:p>
        </w:tc>
        <w:tc>
          <w:tcPr>
            <w:tcW w:w="703"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r>
      <w:tr>
        <w:trPr>
          <w:trHeight w:val="225"/>
        </w:trPr>
        <w:tc>
          <w:tcPr>
            <w:tcW w:w="3617" w:type="dxa"/>
            <w:tcBorders>
              <w:top w:val="nil"/>
              <w:left w:val="nil"/>
              <w:bottom w:val="single" w:sz="4" w:space="0" w:color="auto"/>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Total trade</w:t>
            </w:r>
          </w:p>
        </w:tc>
        <w:tc>
          <w:tcPr>
            <w:tcW w:w="579"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579"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5.810</w:t>
            </w:r>
          </w:p>
        </w:tc>
        <w:tc>
          <w:tcPr>
            <w:tcW w:w="579"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5.695</w:t>
            </w:r>
          </w:p>
        </w:tc>
        <w:tc>
          <w:tcPr>
            <w:tcW w:w="579"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-116</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-2,0%</w:t>
            </w:r>
          </w:p>
        </w:tc>
      </w:tr>
      <w:tr>
        <w:trPr>
          <w:trHeight w:val="240"/>
        </w:trPr>
        <w:tc>
          <w:tcPr>
            <w:tcW w:w="5354" w:type="dxa"/>
            <w:gridSpan w:val="4"/>
            <w:tcBorders>
              <w:top w:val="single" w:sz="4" w:space="0" w:color="auto"/>
              <w:left w:val="nil"/>
              <w:bottom w:val="nil"/>
              <w:right w:val="nil"/>
            </w:tcBorders>
            <w:shd w:val="clear" w:color="000000" w:fill="FFFFFF"/>
            <w:noWrap/>
            <w:hideMark/>
          </w:tcPr>
          <w:p>
            <w:pPr>
              <w:rPr>
                <w:rFonts w:eastAsia="Times New Roman"/>
                <w:noProof/>
                <w:lang w:val="en-IE" w:eastAsia="en-IE"/>
              </w:rPr>
            </w:pPr>
            <w:r>
              <w:rPr>
                <w:rFonts w:eastAsia="Times New Roman"/>
                <w:noProof/>
                <w:lang w:val="en-IE" w:eastAsia="en-IE"/>
              </w:rPr>
              <w:t>Source Trade G2 Statistics/ISDB from Eurostat COMEXT</w:t>
            </w:r>
          </w:p>
        </w:tc>
        <w:tc>
          <w:tcPr>
            <w:tcW w:w="579"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r>
      <w:tr>
        <w:trPr>
          <w:trHeight w:val="225"/>
        </w:trPr>
        <w:tc>
          <w:tcPr>
            <w:tcW w:w="6636" w:type="dxa"/>
            <w:gridSpan w:val="6"/>
            <w:tcBorders>
              <w:top w:val="nil"/>
              <w:left w:val="nil"/>
              <w:bottom w:val="nil"/>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NAMA trade EU28 with Canada (mio €)</w:t>
            </w:r>
          </w:p>
        </w:tc>
      </w:tr>
      <w:tr>
        <w:trPr>
          <w:trHeight w:val="225"/>
        </w:trPr>
        <w:tc>
          <w:tcPr>
            <w:tcW w:w="4196"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lang w:val="en-IE" w:eastAsia="en-IE"/>
              </w:rPr>
            </w:pPr>
            <w:r>
              <w:rPr>
                <w:rFonts w:eastAsia="Times New Roman"/>
                <w:b/>
                <w:bCs/>
                <w:noProof/>
                <w:lang w:val="en-IE" w:eastAsia="en-IE"/>
              </w:rPr>
              <w:t>Canada</w:t>
            </w:r>
          </w:p>
        </w:tc>
        <w:tc>
          <w:tcPr>
            <w:tcW w:w="579"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2017</w:t>
            </w:r>
          </w:p>
        </w:tc>
        <w:tc>
          <w:tcPr>
            <w:tcW w:w="579"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2018</w:t>
            </w:r>
          </w:p>
        </w:tc>
        <w:tc>
          <w:tcPr>
            <w:tcW w:w="128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Growth</w:t>
            </w:r>
          </w:p>
        </w:tc>
      </w:tr>
      <w:tr>
        <w:trPr>
          <w:trHeight w:val="225"/>
        </w:trPr>
        <w:tc>
          <w:tcPr>
            <w:tcW w:w="4196" w:type="dxa"/>
            <w:gridSpan w:val="2"/>
            <w:vMerge/>
            <w:tcBorders>
              <w:top w:val="single" w:sz="4" w:space="0" w:color="auto"/>
              <w:left w:val="nil"/>
              <w:bottom w:val="single" w:sz="4" w:space="0" w:color="000000"/>
              <w:right w:val="nil"/>
            </w:tcBorders>
            <w:vAlign w:val="center"/>
            <w:hideMark/>
          </w:tcPr>
          <w:p>
            <w:pPr>
              <w:rPr>
                <w:rFonts w:eastAsia="Times New Roman"/>
                <w:b/>
                <w:bCs/>
                <w:noProof/>
                <w:lang w:val="en-IE" w:eastAsia="en-IE"/>
              </w:rPr>
            </w:pPr>
          </w:p>
        </w:tc>
        <w:tc>
          <w:tcPr>
            <w:tcW w:w="579" w:type="dxa"/>
            <w:vMerge/>
            <w:tcBorders>
              <w:top w:val="single" w:sz="4" w:space="0" w:color="auto"/>
              <w:left w:val="nil"/>
              <w:bottom w:val="single" w:sz="4" w:space="0" w:color="000000"/>
              <w:right w:val="nil"/>
            </w:tcBorders>
            <w:vAlign w:val="center"/>
            <w:hideMark/>
          </w:tcPr>
          <w:p>
            <w:pPr>
              <w:rPr>
                <w:rFonts w:eastAsia="Times New Roman"/>
                <w:b/>
                <w:bCs/>
                <w:noProof/>
                <w:lang w:val="en-IE" w:eastAsia="en-IE"/>
              </w:rPr>
            </w:pPr>
          </w:p>
        </w:tc>
        <w:tc>
          <w:tcPr>
            <w:tcW w:w="579" w:type="dxa"/>
            <w:vMerge/>
            <w:tcBorders>
              <w:top w:val="single" w:sz="4" w:space="0" w:color="auto"/>
              <w:left w:val="nil"/>
              <w:bottom w:val="single" w:sz="4" w:space="0" w:color="000000"/>
              <w:right w:val="nil"/>
            </w:tcBorders>
            <w:vAlign w:val="center"/>
            <w:hideMark/>
          </w:tcPr>
          <w:p>
            <w:pPr>
              <w:rPr>
                <w:rFonts w:eastAsia="Times New Roman"/>
                <w:b/>
                <w:bCs/>
                <w:noProof/>
                <w:lang w:val="en-IE" w:eastAsia="en-IE"/>
              </w:rPr>
            </w:pPr>
          </w:p>
        </w:tc>
        <w:tc>
          <w:tcPr>
            <w:tcW w:w="579" w:type="dxa"/>
            <w:tcBorders>
              <w:top w:val="nil"/>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annual %</w:t>
            </w:r>
          </w:p>
        </w:tc>
      </w:tr>
      <w:tr>
        <w:trPr>
          <w:trHeight w:val="225"/>
        </w:trPr>
        <w:tc>
          <w:tcPr>
            <w:tcW w:w="4196" w:type="dxa"/>
            <w:gridSpan w:val="2"/>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EU28 imports</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29.258</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29.001</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-258</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-0,9%</w:t>
            </w:r>
          </w:p>
        </w:tc>
      </w:tr>
      <w:tr>
        <w:trPr>
          <w:trHeight w:val="225"/>
        </w:trPr>
        <w:tc>
          <w:tcPr>
            <w:tcW w:w="4196" w:type="dxa"/>
            <w:gridSpan w:val="2"/>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EU28 exports</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34.144</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37.647</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3.503</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10,3%</w:t>
            </w:r>
          </w:p>
        </w:tc>
      </w:tr>
      <w:tr>
        <w:trPr>
          <w:trHeight w:val="225"/>
        </w:trPr>
        <w:tc>
          <w:tcPr>
            <w:tcW w:w="3617"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Balance</w:t>
            </w:r>
          </w:p>
        </w:tc>
        <w:tc>
          <w:tcPr>
            <w:tcW w:w="579"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4.886</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8.647</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3.761</w:t>
            </w:r>
          </w:p>
        </w:tc>
        <w:tc>
          <w:tcPr>
            <w:tcW w:w="703"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r>
      <w:tr>
        <w:trPr>
          <w:trHeight w:val="225"/>
        </w:trPr>
        <w:tc>
          <w:tcPr>
            <w:tcW w:w="3617"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Total trade</w:t>
            </w:r>
          </w:p>
        </w:tc>
        <w:tc>
          <w:tcPr>
            <w:tcW w:w="579"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63.403</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66.648</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3.245</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5,1%</w:t>
            </w:r>
          </w:p>
        </w:tc>
      </w:tr>
      <w:tr>
        <w:trPr>
          <w:trHeight w:val="240"/>
        </w:trPr>
        <w:tc>
          <w:tcPr>
            <w:tcW w:w="5354" w:type="dxa"/>
            <w:gridSpan w:val="4"/>
            <w:tcBorders>
              <w:top w:val="single" w:sz="4" w:space="0" w:color="auto"/>
              <w:left w:val="nil"/>
              <w:bottom w:val="nil"/>
              <w:right w:val="nil"/>
            </w:tcBorders>
            <w:shd w:val="clear" w:color="000000" w:fill="FFFFFF"/>
            <w:noWrap/>
            <w:hideMark/>
          </w:tcPr>
          <w:p>
            <w:pPr>
              <w:rPr>
                <w:rFonts w:eastAsia="Times New Roman"/>
                <w:noProof/>
                <w:lang w:val="en-IE" w:eastAsia="en-IE"/>
              </w:rPr>
            </w:pPr>
            <w:r>
              <w:rPr>
                <w:rFonts w:eastAsia="Times New Roman"/>
                <w:noProof/>
                <w:lang w:val="en-IE" w:eastAsia="en-IE"/>
              </w:rPr>
              <w:t>Source Trade G2 Statistics/ISDB from Eurostat COMEXT</w:t>
            </w:r>
          </w:p>
        </w:tc>
        <w:tc>
          <w:tcPr>
            <w:tcW w:w="579" w:type="dxa"/>
            <w:tcBorders>
              <w:top w:val="single" w:sz="4" w:space="0" w:color="auto"/>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r>
      <w:tr>
        <w:trPr>
          <w:trHeight w:val="225"/>
        </w:trPr>
        <w:tc>
          <w:tcPr>
            <w:tcW w:w="5354" w:type="dxa"/>
            <w:gridSpan w:val="4"/>
            <w:tcBorders>
              <w:top w:val="nil"/>
              <w:left w:val="nil"/>
              <w:bottom w:val="single" w:sz="4" w:space="0" w:color="auto"/>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Services trade EU28 with Canada (mio €)</w:t>
            </w:r>
          </w:p>
        </w:tc>
        <w:tc>
          <w:tcPr>
            <w:tcW w:w="579" w:type="dxa"/>
            <w:tcBorders>
              <w:top w:val="nil"/>
              <w:left w:val="nil"/>
              <w:bottom w:val="nil"/>
              <w:right w:val="nil"/>
            </w:tcBorders>
            <w:shd w:val="clear" w:color="000000" w:fill="FFFFFF"/>
            <w:noWrap/>
            <w:vAlign w:val="center"/>
            <w:hideMark/>
          </w:tcPr>
          <w:p>
            <w:pPr>
              <w:rPr>
                <w:rFonts w:eastAsia="Times New Roman"/>
                <w:b/>
                <w:bCs/>
                <w:noProof/>
                <w:lang w:val="en-IE" w:eastAsia="en-IE"/>
              </w:rPr>
            </w:pPr>
            <w:r>
              <w:rPr>
                <w:rFonts w:eastAsia="Times New Roman"/>
                <w:b/>
                <w:bCs/>
                <w:noProof/>
                <w:lang w:val="en-IE" w:eastAsia="en-IE"/>
              </w:rPr>
              <w:t> </w:t>
            </w:r>
          </w:p>
        </w:tc>
        <w:tc>
          <w:tcPr>
            <w:tcW w:w="703" w:type="dxa"/>
            <w:tcBorders>
              <w:top w:val="nil"/>
              <w:left w:val="nil"/>
              <w:bottom w:val="nil"/>
              <w:right w:val="nil"/>
            </w:tcBorders>
            <w:shd w:val="clear" w:color="000000" w:fill="FFFFFF"/>
            <w:noWrap/>
            <w:vAlign w:val="center"/>
            <w:hideMark/>
          </w:tcPr>
          <w:p>
            <w:pPr>
              <w:rPr>
                <w:rFonts w:eastAsia="Times New Roman"/>
                <w:b/>
                <w:bCs/>
                <w:noProof/>
                <w:lang w:val="en-IE" w:eastAsia="en-IE"/>
              </w:rPr>
            </w:pPr>
            <w:r>
              <w:rPr>
                <w:rFonts w:eastAsia="Times New Roman"/>
                <w:b/>
                <w:bCs/>
                <w:noProof/>
                <w:lang w:val="en-IE" w:eastAsia="en-IE"/>
              </w:rPr>
              <w:t> </w:t>
            </w:r>
          </w:p>
        </w:tc>
      </w:tr>
      <w:tr>
        <w:trPr>
          <w:trHeight w:val="225"/>
        </w:trPr>
        <w:tc>
          <w:tcPr>
            <w:tcW w:w="4196"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lang w:val="en-IE" w:eastAsia="en-IE"/>
              </w:rPr>
            </w:pPr>
            <w:r>
              <w:rPr>
                <w:rFonts w:eastAsia="Times New Roman"/>
                <w:b/>
                <w:bCs/>
                <w:noProof/>
                <w:lang w:val="en-IE" w:eastAsia="en-IE"/>
              </w:rPr>
              <w:t>Canada</w:t>
            </w:r>
          </w:p>
        </w:tc>
        <w:tc>
          <w:tcPr>
            <w:tcW w:w="579"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2016</w:t>
            </w:r>
          </w:p>
        </w:tc>
        <w:tc>
          <w:tcPr>
            <w:tcW w:w="579"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2017</w:t>
            </w:r>
          </w:p>
        </w:tc>
        <w:tc>
          <w:tcPr>
            <w:tcW w:w="128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Growth</w:t>
            </w:r>
          </w:p>
        </w:tc>
      </w:tr>
      <w:tr>
        <w:trPr>
          <w:trHeight w:val="225"/>
        </w:trPr>
        <w:tc>
          <w:tcPr>
            <w:tcW w:w="4196" w:type="dxa"/>
            <w:gridSpan w:val="2"/>
            <w:vMerge/>
            <w:tcBorders>
              <w:top w:val="single" w:sz="4" w:space="0" w:color="auto"/>
              <w:left w:val="nil"/>
              <w:bottom w:val="single" w:sz="4" w:space="0" w:color="000000"/>
              <w:right w:val="nil"/>
            </w:tcBorders>
            <w:vAlign w:val="center"/>
            <w:hideMark/>
          </w:tcPr>
          <w:p>
            <w:pPr>
              <w:rPr>
                <w:rFonts w:eastAsia="Times New Roman"/>
                <w:b/>
                <w:bCs/>
                <w:noProof/>
                <w:lang w:val="en-IE" w:eastAsia="en-IE"/>
              </w:rPr>
            </w:pPr>
          </w:p>
        </w:tc>
        <w:tc>
          <w:tcPr>
            <w:tcW w:w="579" w:type="dxa"/>
            <w:vMerge/>
            <w:tcBorders>
              <w:top w:val="nil"/>
              <w:left w:val="nil"/>
              <w:bottom w:val="single" w:sz="4" w:space="0" w:color="000000"/>
              <w:right w:val="nil"/>
            </w:tcBorders>
            <w:vAlign w:val="center"/>
            <w:hideMark/>
          </w:tcPr>
          <w:p>
            <w:pPr>
              <w:rPr>
                <w:rFonts w:eastAsia="Times New Roman"/>
                <w:b/>
                <w:bCs/>
                <w:noProof/>
                <w:lang w:val="en-IE" w:eastAsia="en-IE"/>
              </w:rPr>
            </w:pPr>
          </w:p>
        </w:tc>
        <w:tc>
          <w:tcPr>
            <w:tcW w:w="579" w:type="dxa"/>
            <w:vMerge/>
            <w:tcBorders>
              <w:top w:val="nil"/>
              <w:left w:val="nil"/>
              <w:bottom w:val="single" w:sz="4" w:space="0" w:color="000000"/>
              <w:right w:val="nil"/>
            </w:tcBorders>
            <w:vAlign w:val="center"/>
            <w:hideMark/>
          </w:tcPr>
          <w:p>
            <w:pPr>
              <w:rPr>
                <w:rFonts w:eastAsia="Times New Roman"/>
                <w:b/>
                <w:bCs/>
                <w:noProof/>
                <w:lang w:val="en-IE" w:eastAsia="en-IE"/>
              </w:rPr>
            </w:pPr>
          </w:p>
        </w:tc>
        <w:tc>
          <w:tcPr>
            <w:tcW w:w="579" w:type="dxa"/>
            <w:tcBorders>
              <w:top w:val="nil"/>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annual %</w:t>
            </w:r>
          </w:p>
        </w:tc>
      </w:tr>
      <w:tr>
        <w:trPr>
          <w:trHeight w:val="225"/>
        </w:trPr>
        <w:tc>
          <w:tcPr>
            <w:tcW w:w="3617"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Imports</w:t>
            </w:r>
          </w:p>
        </w:tc>
        <w:tc>
          <w:tcPr>
            <w:tcW w:w="579"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12.067</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13.228</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1.160</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9,6%</w:t>
            </w:r>
          </w:p>
        </w:tc>
      </w:tr>
      <w:tr>
        <w:trPr>
          <w:trHeight w:val="225"/>
        </w:trPr>
        <w:tc>
          <w:tcPr>
            <w:tcW w:w="3617"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Exports</w:t>
            </w:r>
          </w:p>
        </w:tc>
        <w:tc>
          <w:tcPr>
            <w:tcW w:w="579"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20.221</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21.681</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1.460</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7,2%</w:t>
            </w:r>
          </w:p>
        </w:tc>
      </w:tr>
      <w:tr>
        <w:trPr>
          <w:trHeight w:val="225"/>
        </w:trPr>
        <w:tc>
          <w:tcPr>
            <w:tcW w:w="3617"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Balance</w:t>
            </w:r>
          </w:p>
        </w:tc>
        <w:tc>
          <w:tcPr>
            <w:tcW w:w="579"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8.154</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8.454</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300</w:t>
            </w:r>
          </w:p>
        </w:tc>
        <w:tc>
          <w:tcPr>
            <w:tcW w:w="703"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r>
      <w:tr>
        <w:trPr>
          <w:trHeight w:val="225"/>
        </w:trPr>
        <w:tc>
          <w:tcPr>
            <w:tcW w:w="3617" w:type="dxa"/>
            <w:tcBorders>
              <w:top w:val="nil"/>
              <w:left w:val="nil"/>
              <w:bottom w:val="single" w:sz="4" w:space="0" w:color="auto"/>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Total trade</w:t>
            </w:r>
          </w:p>
        </w:tc>
        <w:tc>
          <w:tcPr>
            <w:tcW w:w="579" w:type="dxa"/>
            <w:tcBorders>
              <w:top w:val="nil"/>
              <w:left w:val="nil"/>
              <w:bottom w:val="single" w:sz="4" w:space="0" w:color="auto"/>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579"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32.288</w:t>
            </w:r>
          </w:p>
        </w:tc>
        <w:tc>
          <w:tcPr>
            <w:tcW w:w="579"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34.909</w:t>
            </w:r>
          </w:p>
        </w:tc>
        <w:tc>
          <w:tcPr>
            <w:tcW w:w="579"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2.620</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8,1%</w:t>
            </w:r>
          </w:p>
        </w:tc>
      </w:tr>
      <w:tr>
        <w:trPr>
          <w:trHeight w:val="240"/>
        </w:trPr>
        <w:tc>
          <w:tcPr>
            <w:tcW w:w="5933" w:type="dxa"/>
            <w:gridSpan w:val="5"/>
            <w:tcBorders>
              <w:top w:val="nil"/>
              <w:left w:val="nil"/>
              <w:bottom w:val="nil"/>
              <w:right w:val="nil"/>
            </w:tcBorders>
            <w:shd w:val="clear" w:color="000000" w:fill="FFFFFF"/>
            <w:noWrap/>
            <w:hideMark/>
          </w:tcPr>
          <w:p>
            <w:pPr>
              <w:rPr>
                <w:rFonts w:eastAsia="Times New Roman"/>
                <w:noProof/>
                <w:lang w:val="en-IE" w:eastAsia="en-IE"/>
              </w:rPr>
            </w:pPr>
            <w:r>
              <w:rPr>
                <w:rFonts w:eastAsia="Times New Roman"/>
                <w:noProof/>
                <w:lang w:val="en-IE" w:eastAsia="en-IE"/>
              </w:rPr>
              <w:t>Source Trade G2 Statistics/ISDB from Eurostat BOP statistics</w:t>
            </w:r>
          </w:p>
        </w:tc>
        <w:tc>
          <w:tcPr>
            <w:tcW w:w="703"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r>
      <w:tr>
        <w:trPr>
          <w:trHeight w:val="240"/>
        </w:trPr>
        <w:tc>
          <w:tcPr>
            <w:tcW w:w="6636" w:type="dxa"/>
            <w:gridSpan w:val="6"/>
            <w:tcBorders>
              <w:top w:val="nil"/>
              <w:left w:val="nil"/>
              <w:bottom w:val="nil"/>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Services trade EU28 with Canada (mio €)</w:t>
            </w:r>
          </w:p>
        </w:tc>
      </w:tr>
      <w:tr>
        <w:trPr>
          <w:trHeight w:val="225"/>
        </w:trPr>
        <w:tc>
          <w:tcPr>
            <w:tcW w:w="3617"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579"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2013</w:t>
            </w:r>
          </w:p>
        </w:tc>
        <w:tc>
          <w:tcPr>
            <w:tcW w:w="579"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2014</w:t>
            </w:r>
          </w:p>
        </w:tc>
        <w:tc>
          <w:tcPr>
            <w:tcW w:w="579"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2015</w:t>
            </w:r>
          </w:p>
        </w:tc>
        <w:tc>
          <w:tcPr>
            <w:tcW w:w="579"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2016</w:t>
            </w:r>
          </w:p>
        </w:tc>
        <w:tc>
          <w:tcPr>
            <w:tcW w:w="703"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2017</w:t>
            </w:r>
          </w:p>
        </w:tc>
      </w:tr>
      <w:tr>
        <w:trPr>
          <w:trHeight w:val="225"/>
        </w:trPr>
        <w:tc>
          <w:tcPr>
            <w:tcW w:w="3617"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Imports</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11.684</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11.036</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12.640</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12.067</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13.228</w:t>
            </w:r>
          </w:p>
        </w:tc>
      </w:tr>
      <w:tr>
        <w:trPr>
          <w:trHeight w:val="225"/>
        </w:trPr>
        <w:tc>
          <w:tcPr>
            <w:tcW w:w="3617"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Exports</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17.976</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16.558</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19.376</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20.221</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21.681</w:t>
            </w:r>
          </w:p>
        </w:tc>
      </w:tr>
      <w:tr>
        <w:trPr>
          <w:trHeight w:val="225"/>
        </w:trPr>
        <w:tc>
          <w:tcPr>
            <w:tcW w:w="3617"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Balance</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6.292</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5.522</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6.736</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8.154</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8.454</w:t>
            </w:r>
          </w:p>
        </w:tc>
      </w:tr>
      <w:tr>
        <w:trPr>
          <w:trHeight w:val="225"/>
        </w:trPr>
        <w:tc>
          <w:tcPr>
            <w:tcW w:w="3617" w:type="dxa"/>
            <w:tcBorders>
              <w:top w:val="nil"/>
              <w:left w:val="nil"/>
              <w:bottom w:val="single" w:sz="4" w:space="0" w:color="auto"/>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Total trade</w:t>
            </w:r>
          </w:p>
        </w:tc>
        <w:tc>
          <w:tcPr>
            <w:tcW w:w="579"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29.661</w:t>
            </w:r>
          </w:p>
        </w:tc>
        <w:tc>
          <w:tcPr>
            <w:tcW w:w="579"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27.594</w:t>
            </w:r>
          </w:p>
        </w:tc>
        <w:tc>
          <w:tcPr>
            <w:tcW w:w="579"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32.017</w:t>
            </w:r>
          </w:p>
        </w:tc>
        <w:tc>
          <w:tcPr>
            <w:tcW w:w="579"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32.288</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34.909</w:t>
            </w:r>
          </w:p>
        </w:tc>
      </w:tr>
      <w:tr>
        <w:trPr>
          <w:trHeight w:val="225"/>
        </w:trPr>
        <w:tc>
          <w:tcPr>
            <w:tcW w:w="3617" w:type="dxa"/>
            <w:tcBorders>
              <w:top w:val="nil"/>
              <w:left w:val="nil"/>
              <w:bottom w:val="nil"/>
              <w:right w:val="nil"/>
            </w:tcBorders>
            <w:shd w:val="clear" w:color="000000" w:fill="FFFFFF"/>
            <w:noWrap/>
            <w:hideMark/>
          </w:tcPr>
          <w:p>
            <w:pPr>
              <w:rPr>
                <w:rFonts w:eastAsia="Times New Roman"/>
                <w:noProof/>
                <w:lang w:val="en-IE" w:eastAsia="en-IE"/>
              </w:rPr>
            </w:pPr>
            <w:r>
              <w:rPr>
                <w:rFonts w:eastAsia="Times New Roman"/>
                <w:noProof/>
                <w:lang w:val="en-IE" w:eastAsia="en-IE"/>
              </w:rPr>
              <w:t>Source Trade G2 Statistics/ISDB from Eurostat BOP statistics</w:t>
            </w:r>
          </w:p>
        </w:tc>
        <w:tc>
          <w:tcPr>
            <w:tcW w:w="579" w:type="dxa"/>
            <w:tcBorders>
              <w:top w:val="nil"/>
              <w:left w:val="nil"/>
              <w:bottom w:val="nil"/>
              <w:right w:val="nil"/>
            </w:tcBorders>
            <w:shd w:val="clear" w:color="000000" w:fill="FFFFFF"/>
            <w:noWrap/>
            <w:hideMark/>
          </w:tcPr>
          <w:p>
            <w:pPr>
              <w:rPr>
                <w:rFonts w:eastAsia="Times New Roman"/>
                <w:noProof/>
                <w:lang w:val="en-IE" w:eastAsia="en-IE"/>
              </w:rPr>
            </w:pPr>
            <w:r>
              <w:rPr>
                <w:rFonts w:eastAsia="Times New Roman"/>
                <w:noProof/>
                <w:lang w:val="en-IE" w:eastAsia="en-IE"/>
              </w:rPr>
              <w:t> </w:t>
            </w:r>
          </w:p>
        </w:tc>
        <w:tc>
          <w:tcPr>
            <w:tcW w:w="579"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579"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579"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r>
      <w:tr>
        <w:trPr>
          <w:trHeight w:val="225"/>
        </w:trPr>
        <w:tc>
          <w:tcPr>
            <w:tcW w:w="6636" w:type="dxa"/>
            <w:gridSpan w:val="6"/>
            <w:tcBorders>
              <w:top w:val="nil"/>
              <w:left w:val="nil"/>
              <w:bottom w:val="nil"/>
              <w:right w:val="nil"/>
            </w:tcBorders>
            <w:shd w:val="clear" w:color="000000" w:fill="FFFFFF"/>
            <w:noWrap/>
            <w:vAlign w:val="center"/>
            <w:hideMark/>
          </w:tcPr>
          <w:p>
            <w:pPr>
              <w:jc w:val="center"/>
              <w:rPr>
                <w:rFonts w:eastAsia="Times New Roman"/>
                <w:b/>
                <w:bCs/>
                <w:noProof/>
                <w:lang w:val="es-ES" w:eastAsia="en-IE"/>
              </w:rPr>
            </w:pPr>
            <w:r>
              <w:rPr>
                <w:rFonts w:eastAsia="Times New Roman"/>
                <w:b/>
                <w:bCs/>
                <w:noProof/>
                <w:lang w:val="es-ES" w:eastAsia="en-IE"/>
              </w:rPr>
              <w:t>FDI EU28 with Canada (mio €)</w:t>
            </w:r>
          </w:p>
        </w:tc>
      </w:tr>
      <w:tr>
        <w:trPr>
          <w:trHeight w:val="225"/>
        </w:trPr>
        <w:tc>
          <w:tcPr>
            <w:tcW w:w="3617"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lang w:val="es-ES" w:eastAsia="en-IE"/>
              </w:rPr>
            </w:pPr>
            <w:r>
              <w:rPr>
                <w:rFonts w:eastAsia="Times New Roman"/>
                <w:noProof/>
                <w:lang w:val="es-ES" w:eastAsia="en-IE"/>
              </w:rPr>
              <w:t> </w:t>
            </w:r>
          </w:p>
        </w:tc>
        <w:tc>
          <w:tcPr>
            <w:tcW w:w="579"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2013</w:t>
            </w:r>
          </w:p>
        </w:tc>
        <w:tc>
          <w:tcPr>
            <w:tcW w:w="579"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2014</w:t>
            </w:r>
          </w:p>
        </w:tc>
        <w:tc>
          <w:tcPr>
            <w:tcW w:w="579"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2015</w:t>
            </w:r>
          </w:p>
        </w:tc>
        <w:tc>
          <w:tcPr>
            <w:tcW w:w="579"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2016</w:t>
            </w:r>
          </w:p>
        </w:tc>
        <w:tc>
          <w:tcPr>
            <w:tcW w:w="703"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2017</w:t>
            </w:r>
          </w:p>
        </w:tc>
      </w:tr>
      <w:tr>
        <w:trPr>
          <w:trHeight w:val="225"/>
        </w:trPr>
        <w:tc>
          <w:tcPr>
            <w:tcW w:w="6636" w:type="dxa"/>
            <w:gridSpan w:val="6"/>
            <w:tcBorders>
              <w:top w:val="nil"/>
              <w:left w:val="nil"/>
              <w:bottom w:val="nil"/>
              <w:right w:val="nil"/>
            </w:tcBorders>
            <w:shd w:val="clear" w:color="000000" w:fill="FFFFFF"/>
            <w:noWrap/>
            <w:vAlign w:val="center"/>
            <w:hideMark/>
          </w:tcPr>
          <w:p>
            <w:pPr>
              <w:jc w:val="center"/>
              <w:rPr>
                <w:rFonts w:eastAsia="Times New Roman"/>
                <w:b/>
                <w:bCs/>
                <w:i/>
                <w:iCs/>
                <w:noProof/>
                <w:lang w:val="en-IE" w:eastAsia="en-IE"/>
              </w:rPr>
            </w:pPr>
            <w:r>
              <w:rPr>
                <w:rFonts w:eastAsia="Times New Roman"/>
                <w:b/>
                <w:bCs/>
                <w:i/>
                <w:iCs/>
                <w:noProof/>
                <w:lang w:val="en-IE" w:eastAsia="en-IE"/>
              </w:rPr>
              <w:t>FDI Stocks</w:t>
            </w:r>
          </w:p>
        </w:tc>
      </w:tr>
      <w:tr>
        <w:trPr>
          <w:trHeight w:val="225"/>
        </w:trPr>
        <w:tc>
          <w:tcPr>
            <w:tcW w:w="3617"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Inward</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165.239</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211.486</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245.556</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299.979</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292.998</w:t>
            </w:r>
          </w:p>
        </w:tc>
      </w:tr>
      <w:tr>
        <w:trPr>
          <w:trHeight w:val="225"/>
        </w:trPr>
        <w:tc>
          <w:tcPr>
            <w:tcW w:w="3617"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Outward</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256.748</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286.867</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283.214</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315.153</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304.782</w:t>
            </w:r>
          </w:p>
        </w:tc>
      </w:tr>
      <w:tr>
        <w:trPr>
          <w:trHeight w:val="225"/>
        </w:trPr>
        <w:tc>
          <w:tcPr>
            <w:tcW w:w="6636" w:type="dxa"/>
            <w:gridSpan w:val="6"/>
            <w:tcBorders>
              <w:top w:val="nil"/>
              <w:left w:val="nil"/>
              <w:bottom w:val="nil"/>
              <w:right w:val="nil"/>
            </w:tcBorders>
            <w:shd w:val="clear" w:color="000000" w:fill="FFFFFF"/>
            <w:noWrap/>
            <w:vAlign w:val="center"/>
            <w:hideMark/>
          </w:tcPr>
          <w:p>
            <w:pPr>
              <w:jc w:val="center"/>
              <w:rPr>
                <w:rFonts w:eastAsia="Times New Roman"/>
                <w:b/>
                <w:bCs/>
                <w:i/>
                <w:iCs/>
                <w:noProof/>
                <w:lang w:val="en-IE" w:eastAsia="en-IE"/>
              </w:rPr>
            </w:pPr>
            <w:r>
              <w:rPr>
                <w:rFonts w:eastAsia="Times New Roman"/>
                <w:b/>
                <w:bCs/>
                <w:i/>
                <w:iCs/>
                <w:noProof/>
                <w:lang w:val="en-IE" w:eastAsia="en-IE"/>
              </w:rPr>
              <w:t>FDI Flows</w:t>
            </w:r>
          </w:p>
        </w:tc>
      </w:tr>
      <w:tr>
        <w:trPr>
          <w:trHeight w:val="225"/>
        </w:trPr>
        <w:tc>
          <w:tcPr>
            <w:tcW w:w="3617"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Inward</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20.367</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17.856</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30.507</w:t>
            </w:r>
          </w:p>
        </w:tc>
        <w:tc>
          <w:tcPr>
            <w:tcW w:w="57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40.437</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29.400</w:t>
            </w:r>
          </w:p>
        </w:tc>
      </w:tr>
      <w:tr>
        <w:trPr>
          <w:trHeight w:val="225"/>
        </w:trPr>
        <w:tc>
          <w:tcPr>
            <w:tcW w:w="3617"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Outward</w:t>
            </w:r>
          </w:p>
        </w:tc>
        <w:tc>
          <w:tcPr>
            <w:tcW w:w="579"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22.243</w:t>
            </w:r>
          </w:p>
        </w:tc>
        <w:tc>
          <w:tcPr>
            <w:tcW w:w="579"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9.291</w:t>
            </w:r>
          </w:p>
        </w:tc>
        <w:tc>
          <w:tcPr>
            <w:tcW w:w="579"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-10.475</w:t>
            </w:r>
          </w:p>
        </w:tc>
        <w:tc>
          <w:tcPr>
            <w:tcW w:w="579"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21.918</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4.058</w:t>
            </w:r>
          </w:p>
        </w:tc>
      </w:tr>
      <w:tr>
        <w:trPr>
          <w:trHeight w:val="225"/>
        </w:trPr>
        <w:tc>
          <w:tcPr>
            <w:tcW w:w="3617" w:type="dxa"/>
            <w:tcBorders>
              <w:top w:val="single" w:sz="4" w:space="0" w:color="auto"/>
              <w:left w:val="nil"/>
              <w:bottom w:val="nil"/>
              <w:right w:val="nil"/>
            </w:tcBorders>
            <w:shd w:val="clear" w:color="000000" w:fill="FFFFFF"/>
            <w:noWrap/>
            <w:hideMark/>
          </w:tcPr>
          <w:p>
            <w:pPr>
              <w:rPr>
                <w:rFonts w:eastAsia="Times New Roman"/>
                <w:noProof/>
                <w:lang w:val="en-IE" w:eastAsia="en-IE"/>
              </w:rPr>
            </w:pPr>
            <w:r>
              <w:rPr>
                <w:rFonts w:eastAsia="Times New Roman"/>
                <w:noProof/>
                <w:lang w:val="en-IE" w:eastAsia="en-IE"/>
              </w:rPr>
              <w:t>Source Trade G2 Statistics/ISDB from Eurostat BOP statistics</w:t>
            </w:r>
          </w:p>
        </w:tc>
        <w:tc>
          <w:tcPr>
            <w:tcW w:w="579" w:type="dxa"/>
            <w:tcBorders>
              <w:top w:val="nil"/>
              <w:left w:val="nil"/>
              <w:bottom w:val="nil"/>
              <w:right w:val="nil"/>
            </w:tcBorders>
            <w:shd w:val="clear" w:color="000000" w:fill="FFFFFF"/>
            <w:noWrap/>
            <w:hideMark/>
          </w:tcPr>
          <w:p>
            <w:pPr>
              <w:rPr>
                <w:rFonts w:eastAsia="Times New Roman"/>
                <w:noProof/>
                <w:lang w:val="en-IE" w:eastAsia="en-IE"/>
              </w:rPr>
            </w:pPr>
            <w:r>
              <w:rPr>
                <w:rFonts w:eastAsia="Times New Roman"/>
                <w:noProof/>
                <w:lang w:val="en-IE" w:eastAsia="en-IE"/>
              </w:rPr>
              <w:t> </w:t>
            </w:r>
          </w:p>
        </w:tc>
        <w:tc>
          <w:tcPr>
            <w:tcW w:w="579"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579"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579"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r>
    </w:tbl>
    <w:p>
      <w:pPr>
        <w:spacing w:after="120" w:line="264" w:lineRule="auto"/>
        <w:jc w:val="both"/>
        <w:rPr>
          <w:rFonts w:eastAsia="Times New Roman"/>
          <w:noProof/>
          <w:lang w:val="en-IE" w:eastAsia="en-GB"/>
        </w:rPr>
      </w:pPr>
    </w:p>
    <w:p>
      <w:pPr>
        <w:spacing w:after="200" w:line="276" w:lineRule="auto"/>
        <w:rPr>
          <w:noProof/>
        </w:rPr>
      </w:pPr>
      <w:r>
        <w:rPr>
          <w:noProof/>
        </w:rPr>
        <w:br w:type="page"/>
      </w:r>
    </w:p>
    <w:p>
      <w:pPr>
        <w:pStyle w:val="ChapterHead"/>
        <w:jc w:val="both"/>
        <w:rPr>
          <w:b/>
          <w:bCs/>
          <w:noProof/>
        </w:rPr>
      </w:pPr>
      <w:bookmarkStart w:id="143" w:name="_Toc8833446"/>
      <w:bookmarkStart w:id="144" w:name="_Toc8835273"/>
      <w:bookmarkStart w:id="145" w:name="_Toc8833903"/>
      <w:bookmarkStart w:id="146" w:name="_Toc8909366"/>
      <w:bookmarkStart w:id="147" w:name="_Toc8910578"/>
      <w:bookmarkStart w:id="148" w:name="_Toc8911615"/>
      <w:bookmarkStart w:id="149" w:name="_Toc8974421"/>
      <w:bookmarkStart w:id="150" w:name="_Toc9008087"/>
      <w:bookmarkStart w:id="151" w:name="_Toc9008040"/>
      <w:bookmarkStart w:id="152" w:name="_Toc9348488"/>
      <w:bookmarkStart w:id="153" w:name="_Toc9607940"/>
      <w:bookmarkStart w:id="154" w:name="_Toc16000517"/>
      <w:r>
        <w:rPr>
          <w:b/>
          <w:bCs/>
          <w:noProof/>
        </w:rPr>
        <w:t>ANNUAL REPORT ON THE IMPLEMENTATION OF THE EU-SOUTH KOREA FREE TRADE AGREEMENT</w:t>
      </w:r>
      <w:bookmarkEnd w:id="143"/>
      <w:bookmarkEnd w:id="144"/>
      <w:bookmarkEnd w:id="145"/>
      <w:bookmarkEnd w:id="146"/>
      <w:bookmarkEnd w:id="147"/>
      <w:bookmarkEnd w:id="148"/>
      <w:bookmarkEnd w:id="149"/>
      <w:bookmarkEnd w:id="150"/>
      <w:bookmarkEnd w:id="151"/>
      <w:bookmarkEnd w:id="152"/>
      <w:bookmarkEnd w:id="153"/>
      <w:bookmarkEnd w:id="154"/>
    </w:p>
    <w:p>
      <w:pPr>
        <w:pStyle w:val="ManualHeading1"/>
      </w:pPr>
      <w:bookmarkStart w:id="155" w:name="_Toc8833447"/>
      <w:bookmarkStart w:id="156" w:name="_Toc8835274"/>
      <w:bookmarkStart w:id="157" w:name="_Toc8833904"/>
      <w:bookmarkStart w:id="158" w:name="_Toc8909367"/>
      <w:bookmarkStart w:id="159" w:name="_Toc8910579"/>
      <w:bookmarkStart w:id="160" w:name="_Toc8911616"/>
      <w:bookmarkStart w:id="161" w:name="_Toc8974422"/>
      <w:bookmarkStart w:id="162" w:name="_Toc9008088"/>
      <w:bookmarkStart w:id="163" w:name="_Toc9008041"/>
      <w:bookmarkStart w:id="164" w:name="_Toc9348489"/>
      <w:bookmarkStart w:id="165" w:name="_Toc9607941"/>
      <w:bookmarkStart w:id="166" w:name="_Toc16000518"/>
      <w:r>
        <w:t>1.</w:t>
      </w:r>
      <w:r>
        <w:tab/>
        <w:t>Introduction</w:t>
      </w:r>
      <w:bookmarkEnd w:id="155"/>
      <w:bookmarkEnd w:id="156"/>
      <w:bookmarkEnd w:id="157"/>
      <w:bookmarkEnd w:id="158"/>
      <w:bookmarkEnd w:id="159"/>
      <w:bookmarkEnd w:id="160"/>
      <w:bookmarkEnd w:id="161"/>
      <w:bookmarkEnd w:id="162"/>
      <w:bookmarkEnd w:id="163"/>
      <w:bookmarkEnd w:id="164"/>
      <w:bookmarkEnd w:id="165"/>
      <w:bookmarkEnd w:id="166"/>
    </w:p>
    <w:p>
      <w:pPr>
        <w:jc w:val="both"/>
        <w:rPr>
          <w:noProof/>
        </w:rPr>
      </w:pPr>
      <w:r>
        <w:rPr>
          <w:noProof/>
        </w:rPr>
        <w:t>The Free Trade Agreement (FTA; referred to as ‘the Agreement’) between the EU and its Member States and the Republic of South Korea (in this report referred to as "South Korea") has been provisionally applied since July 2011. On 13 December 2015, it entered formally into force after ratification by EU Member States. The Additional Protocol to the FTA, to take into account the accession of Croatia to the EU, has been provisionally applied since 26 May 2014 and it entered into force on 1 January 2016.</w:t>
      </w:r>
    </w:p>
    <w:p>
      <w:pPr>
        <w:jc w:val="both"/>
        <w:rPr>
          <w:noProof/>
        </w:rPr>
      </w:pPr>
    </w:p>
    <w:p>
      <w:pPr>
        <w:jc w:val="both"/>
        <w:rPr>
          <w:noProof/>
        </w:rPr>
      </w:pPr>
      <w:r>
        <w:rPr>
          <w:noProof/>
        </w:rPr>
        <w:t xml:space="preserve">The EU-South Korea FTA is the first of a new generation of comprehensive FTAs meaning that apart from providing market opening commitments as well as a basis for regulatory co-operation in key sectors, it includes a substantial chapter on sustainable development that upholds and promotes social and environmental standards. </w:t>
      </w:r>
    </w:p>
    <w:p>
      <w:pPr>
        <w:jc w:val="both"/>
        <w:rPr>
          <w:noProof/>
        </w:rPr>
      </w:pPr>
    </w:p>
    <w:p>
      <w:pPr>
        <w:jc w:val="both"/>
        <w:rPr>
          <w:noProof/>
        </w:rPr>
      </w:pPr>
      <w:r>
        <w:rPr>
          <w:noProof/>
        </w:rPr>
        <w:t>This is the 7th Annual Report on the implementation of the EU-South Korea FTA, which presents the recent evolution of EU-South Korea bilateral trade and investment and against 2010, which is the last year before the Agreement went into force. An overview of activities of the FTA Working Groups and Committees is also included in the report. Special attention is given to the Trade and Sustainable Development chapter.</w:t>
      </w:r>
    </w:p>
    <w:p>
      <w:pPr>
        <w:jc w:val="both"/>
        <w:rPr>
          <w:noProof/>
        </w:rPr>
      </w:pPr>
    </w:p>
    <w:p>
      <w:pPr>
        <w:jc w:val="both"/>
        <w:rPr>
          <w:noProof/>
        </w:rPr>
      </w:pPr>
      <w:r>
        <w:rPr>
          <w:noProof/>
        </w:rPr>
        <w:t>According to the ex-post evaluation of the EU-South Korea FTA conducted by an independent contractor, published in March 2019</w:t>
      </w:r>
      <w:r>
        <w:rPr>
          <w:rStyle w:val="FootnoteReference"/>
          <w:noProof/>
        </w:rPr>
        <w:footnoteReference w:id="8"/>
      </w:r>
      <w:r>
        <w:rPr>
          <w:noProof/>
        </w:rPr>
        <w:t>, the EU economy gained additional €4.4 billion and the South Korean economy €4.9 billion through the FTA. This happened despite the fact that the external environment, notably the post financial crisis period was not particularly supportive, weighing on demand and international trade.</w:t>
      </w:r>
    </w:p>
    <w:p>
      <w:pPr>
        <w:pStyle w:val="ManualHeading1"/>
      </w:pPr>
      <w:bookmarkStart w:id="167" w:name="_Toc8833448"/>
      <w:bookmarkStart w:id="168" w:name="_Toc8835275"/>
      <w:bookmarkStart w:id="169" w:name="_Toc8833905"/>
      <w:bookmarkStart w:id="170" w:name="_Toc8909368"/>
      <w:bookmarkStart w:id="171" w:name="_Toc8910580"/>
      <w:bookmarkStart w:id="172" w:name="_Toc8911617"/>
      <w:bookmarkStart w:id="173" w:name="_Toc8974423"/>
      <w:bookmarkStart w:id="174" w:name="_Toc9008089"/>
      <w:bookmarkStart w:id="175" w:name="_Toc9008042"/>
      <w:bookmarkStart w:id="176" w:name="_Toc9348490"/>
      <w:bookmarkStart w:id="177" w:name="_Toc9607942"/>
      <w:bookmarkStart w:id="178" w:name="_Toc16000519"/>
      <w:r>
        <w:t>2.</w:t>
      </w:r>
      <w:r>
        <w:tab/>
        <w:t>Evolution of bilateral trade</w:t>
      </w:r>
      <w:bookmarkEnd w:id="167"/>
      <w:bookmarkEnd w:id="168"/>
      <w:bookmarkEnd w:id="169"/>
      <w:bookmarkEnd w:id="170"/>
      <w:bookmarkEnd w:id="171"/>
      <w:bookmarkEnd w:id="172"/>
      <w:bookmarkEnd w:id="173"/>
      <w:bookmarkEnd w:id="174"/>
      <w:bookmarkEnd w:id="175"/>
      <w:bookmarkEnd w:id="176"/>
      <w:bookmarkEnd w:id="177"/>
      <w:bookmarkEnd w:id="178"/>
    </w:p>
    <w:p>
      <w:pPr>
        <w:pStyle w:val="Heading2"/>
        <w:ind w:left="0" w:firstLine="0"/>
        <w:rPr>
          <w:szCs w:val="24"/>
        </w:rPr>
      </w:pPr>
      <w:bookmarkStart w:id="179" w:name="_Toc8833449"/>
      <w:bookmarkStart w:id="180" w:name="_Toc8835276"/>
      <w:bookmarkStart w:id="181" w:name="_Toc8833906"/>
      <w:bookmarkStart w:id="182" w:name="_Toc8909369"/>
      <w:bookmarkStart w:id="183" w:name="_Toc8910581"/>
      <w:bookmarkStart w:id="184" w:name="_Toc8911618"/>
      <w:bookmarkStart w:id="185" w:name="_Toc8974424"/>
      <w:bookmarkStart w:id="186" w:name="_Toc9008090"/>
      <w:bookmarkStart w:id="187" w:name="_Toc9008043"/>
      <w:bookmarkStart w:id="188" w:name="_Toc9348491"/>
      <w:bookmarkStart w:id="189" w:name="_Toc9607943"/>
      <w:bookmarkStart w:id="190" w:name="_Toc16000520"/>
      <w:r>
        <w:rPr>
          <w:szCs w:val="24"/>
        </w:rPr>
        <w:t>2.1 Trade in Goods</w:t>
      </w:r>
      <w:bookmarkEnd w:id="179"/>
      <w:bookmarkEnd w:id="180"/>
      <w:bookmarkEnd w:id="181"/>
      <w:bookmarkEnd w:id="182"/>
      <w:bookmarkEnd w:id="183"/>
      <w:bookmarkEnd w:id="184"/>
      <w:bookmarkEnd w:id="185"/>
      <w:bookmarkEnd w:id="186"/>
      <w:bookmarkEnd w:id="187"/>
      <w:bookmarkEnd w:id="188"/>
      <w:bookmarkEnd w:id="189"/>
      <w:bookmarkEnd w:id="190"/>
    </w:p>
    <w:p>
      <w:pPr>
        <w:jc w:val="both"/>
        <w:rPr>
          <w:rFonts w:eastAsia="Calibri"/>
          <w:noProof/>
        </w:rPr>
      </w:pPr>
      <w:r>
        <w:rPr>
          <w:rFonts w:eastAsia="Calibri"/>
          <w:noProof/>
        </w:rPr>
        <w:t>In 2018, South Korea accounted for 2.5% of the EU’s total trade in goods and was the EU's eighth largest trading partner.  The liberalisation of trade in goods has been beneficial for EU exports as the introduction of the EU-South Korea FTA saw EU exports in goods rise from €27.9 billion in 2010 to €49.2 billion in 2018, a 76% increase. EU imports of South Korean products also grew significantly over the same period, albeit at a slower pace, as values increased from €39.5 billion in 2010 to €51 billion in 2018.</w:t>
      </w:r>
    </w:p>
    <w:p>
      <w:pPr>
        <w:jc w:val="both"/>
        <w:rPr>
          <w:rFonts w:eastAsia="Calibri"/>
          <w:noProof/>
        </w:rPr>
      </w:pPr>
    </w:p>
    <w:p>
      <w:pPr>
        <w:jc w:val="both"/>
        <w:rPr>
          <w:rFonts w:eastAsia="Calibri"/>
          <w:noProof/>
        </w:rPr>
      </w:pPr>
      <w:r>
        <w:rPr>
          <w:rFonts w:eastAsia="Calibri"/>
          <w:noProof/>
        </w:rPr>
        <w:t>While historically, the EU has had a trade deficit with South Korea, the sharp rise in exports since the introduction of the FTA led to an EU trade surplus from 2013 to 2016. Data for 2018 shows that the EU has a slight trade deficit of -€1.9 billion, however it is clear that there is now a more balanced level of trade in goods between the two partners.</w:t>
      </w:r>
    </w:p>
    <w:p>
      <w:pPr>
        <w:rPr>
          <w:noProof/>
        </w:rPr>
      </w:pPr>
    </w:p>
    <w:p>
      <w:pPr>
        <w:keepNext/>
        <w:spacing w:after="120"/>
        <w:jc w:val="both"/>
        <w:rPr>
          <w:rFonts w:eastAsia="Calibri"/>
          <w:noProof/>
        </w:rPr>
      </w:pPr>
      <w:r>
        <w:rPr>
          <w:noProof/>
          <w:lang w:eastAsia="en-GB"/>
        </w:rPr>
        <w:drawing>
          <wp:inline distT="0" distB="0" distL="0" distR="0">
            <wp:extent cx="5829300" cy="2676525"/>
            <wp:effectExtent l="0" t="0" r="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rFonts w:eastAsia="Calibri"/>
          <w:noProof/>
        </w:rPr>
        <w:br w:type="textWrapping" w:clear="all"/>
        <w:t>The increase in EU exports over the 2010-2018 period was driven by a surge in trade in some key product categories. Machinery and appliances accounted for almost 30% (€14.2 billion) of EU exports to South Korea. Exports in this category have increased by 31% since 2010. The largest gains over the 2010-2018 period have been in transport equipment (+187%) which accounts for just under one fifth (€9.6 billion) of total EU exports. This was driven by a +226% increase in motor vehicles (including parts) which were valued at €8.6 billion (17% of total EU exports) in 2018.</w:t>
      </w:r>
    </w:p>
    <w:p>
      <w:pPr>
        <w:jc w:val="both"/>
        <w:rPr>
          <w:rFonts w:eastAsia="Calibri"/>
          <w:noProof/>
        </w:rPr>
      </w:pPr>
      <w:r>
        <w:rPr>
          <w:rFonts w:eastAsia="Calibri"/>
          <w:noProof/>
        </w:rPr>
        <w:t xml:space="preserve">At the same time, EU imports of machinery and appliances made up over one third of total EU imports (€18.4 billion) in 2018. There was a sharp decline in the import of these products in the first years after the FTA’s entry into force  (falling as low as €13 billion in 2013), however since 2015 there has been a resurgence and imports of machinery and appliances are now at a very similar level as they were in 2010 (i.e. €18 billion). Imports of transport equipment grew by 16% and made up a quarter (€12.7 billion) of EU imports in 2018. Again, this increase was triggered by a substantial rise in imports of motor vehicles (including parts) (+165%) over the 2010-2018 period. Motor vehicles (including parts) accounted for 20% (€10.2 billion) of total EU goods imported from South Korea in 2018.  </w:t>
      </w:r>
    </w:p>
    <w:p>
      <w:pPr>
        <w:jc w:val="both"/>
        <w:rPr>
          <w:rFonts w:eastAsia="Calibri"/>
          <w:noProof/>
        </w:rPr>
      </w:pPr>
    </w:p>
    <w:p>
      <w:pPr>
        <w:jc w:val="both"/>
        <w:rPr>
          <w:rFonts w:eastAsia="Calibri"/>
          <w:noProof/>
        </w:rPr>
      </w:pPr>
      <w:r>
        <w:rPr>
          <w:rFonts w:eastAsia="Calibri"/>
          <w:noProof/>
        </w:rPr>
        <w:t>Annual comparisons show that both the EU total exports and imports from South Korea slithly decreased in 2018, compared to 2017, in line with the overall slowdown of international trade dynamics.</w:t>
      </w:r>
    </w:p>
    <w:p>
      <w:pPr>
        <w:pStyle w:val="Heading2"/>
        <w:ind w:left="0" w:firstLine="0"/>
        <w:rPr>
          <w:szCs w:val="24"/>
        </w:rPr>
      </w:pPr>
      <w:bookmarkStart w:id="191" w:name="_Toc8833451"/>
      <w:bookmarkStart w:id="192" w:name="_Toc8835278"/>
      <w:bookmarkStart w:id="193" w:name="_Toc8833908"/>
      <w:bookmarkStart w:id="194" w:name="_Toc8909371"/>
      <w:bookmarkStart w:id="195" w:name="_Toc8910583"/>
      <w:bookmarkStart w:id="196" w:name="_Toc8911620"/>
      <w:bookmarkStart w:id="197" w:name="_Toc8974426"/>
      <w:bookmarkStart w:id="198" w:name="_Toc9008093"/>
      <w:bookmarkStart w:id="199" w:name="_Toc9008046"/>
      <w:bookmarkStart w:id="200" w:name="_Toc9348492"/>
      <w:bookmarkStart w:id="201" w:name="_Toc9607944"/>
      <w:bookmarkStart w:id="202" w:name="_Toc16000521"/>
      <w:r>
        <w:rPr>
          <w:szCs w:val="24"/>
        </w:rPr>
        <w:t>2.2 Trade in agricultural goods</w:t>
      </w:r>
      <w:bookmarkEnd w:id="191"/>
      <w:bookmarkEnd w:id="192"/>
      <w:bookmarkEnd w:id="193"/>
      <w:bookmarkEnd w:id="194"/>
      <w:bookmarkEnd w:id="195"/>
      <w:bookmarkEnd w:id="196"/>
      <w:bookmarkEnd w:id="197"/>
      <w:bookmarkEnd w:id="198"/>
      <w:bookmarkEnd w:id="199"/>
      <w:bookmarkEnd w:id="200"/>
      <w:bookmarkEnd w:id="201"/>
      <w:bookmarkEnd w:id="202"/>
    </w:p>
    <w:p>
      <w:pPr>
        <w:jc w:val="both"/>
        <w:rPr>
          <w:rFonts w:eastAsia="Calibri"/>
          <w:noProof/>
        </w:rPr>
      </w:pPr>
      <w:r>
        <w:rPr>
          <w:rFonts w:eastAsia="Calibri"/>
          <w:noProof/>
        </w:rPr>
        <w:t xml:space="preserve">With respect to trade in </w:t>
      </w:r>
      <w:r>
        <w:rPr>
          <w:rFonts w:eastAsia="Calibri"/>
          <w:b/>
          <w:noProof/>
        </w:rPr>
        <w:t>agriculture goods</w:t>
      </w:r>
      <w:r>
        <w:rPr>
          <w:rFonts w:eastAsia="Calibri"/>
          <w:noProof/>
        </w:rPr>
        <w:t xml:space="preserve">, </w:t>
      </w:r>
      <w:r>
        <w:rPr>
          <w:noProof/>
        </w:rPr>
        <w:t xml:space="preserve">EU exports to South Korea continued to grow in 2018 at 4.8%, albeit at a slower pace than in previous years and stood at €3 billion in 2018. Imports from South Korea </w:t>
      </w:r>
      <w:r>
        <w:rPr>
          <w:b/>
          <w:noProof/>
        </w:rPr>
        <w:t>in the agri-food sector</w:t>
      </w:r>
      <w:r>
        <w:rPr>
          <w:noProof/>
        </w:rPr>
        <w:t xml:space="preserve"> stagnated at the record high of €201 million reached in 2017, resulting in a surplus of € 2.8 billion in 2018. Overall, EU exports have increased by 37.8% and imports have increased by 62% since 2014, the strongest growth rate in the agri-food sector among FTA partners. </w:t>
      </w:r>
      <w:r>
        <w:rPr>
          <w:rFonts w:eastAsia="Calibri"/>
          <w:noProof/>
        </w:rPr>
        <w:t xml:space="preserve">Main products exported by the EU are pork (24.6% of EU agricultural exports to South Korea), followed by beer, cheese, chocolate, confectionery and ice cream, spirits and liqueurs and wine. </w:t>
      </w:r>
    </w:p>
    <w:p>
      <w:pPr>
        <w:jc w:val="both"/>
        <w:rPr>
          <w:rFonts w:eastAsia="Calibri"/>
          <w:i/>
          <w:noProof/>
        </w:rPr>
      </w:pPr>
    </w:p>
    <w:p>
      <w:pPr>
        <w:jc w:val="both"/>
        <w:rPr>
          <w:noProof/>
        </w:rPr>
      </w:pPr>
      <w:r>
        <w:rPr>
          <w:noProof/>
        </w:rPr>
        <w:t xml:space="preserve">The </w:t>
      </w:r>
      <w:r>
        <w:rPr>
          <w:b/>
          <w:noProof/>
        </w:rPr>
        <w:t>main impediments</w:t>
      </w:r>
      <w:r>
        <w:rPr>
          <w:noProof/>
        </w:rPr>
        <w:t xml:space="preserve"> to expanding trade were again the following: first, approvals of EU beef (due to a Bovine Spongiform Encephalopathy (BSE)-related import ban) remained pending and have been for some Member States since 2004, and also for poultry there was no progress in revising the Korean policy of country-wide import bans in the event of an outbreak of avian influenza. Similarly, the country-wide bans of pork imposed on Belgium, Hungary and Poland due to African Swine Fever (ASF) were not lifted by South Korea. South Korea recently filed applications for beef exports to the EU, which might indicate a stronger trade orientation in the South Korean administration.</w:t>
      </w:r>
    </w:p>
    <w:p>
      <w:pPr>
        <w:jc w:val="both"/>
        <w:rPr>
          <w:rFonts w:eastAsia="Calibri"/>
          <w:noProof/>
        </w:rPr>
      </w:pPr>
    </w:p>
    <w:p>
      <w:pPr>
        <w:jc w:val="both"/>
        <w:rPr>
          <w:rFonts w:eastAsia="Calibri"/>
          <w:noProof/>
        </w:rPr>
      </w:pPr>
      <w:r>
        <w:rPr>
          <w:rFonts w:eastAsia="Calibri"/>
          <w:noProof/>
        </w:rPr>
        <w:t xml:space="preserve">For sensitive agricultural products the EU-South Korea FTA foresees specific </w:t>
      </w:r>
      <w:r>
        <w:rPr>
          <w:rFonts w:eastAsia="Calibri"/>
          <w:b/>
          <w:bCs/>
          <w:noProof/>
        </w:rPr>
        <w:t>tariff rates quotas (TRQs)</w:t>
      </w:r>
      <w:r>
        <w:rPr>
          <w:rFonts w:eastAsia="Calibri"/>
          <w:noProof/>
        </w:rPr>
        <w:t>. The fill rate of these import quotas applied by South Korea to goods originating in the EU decreased for 3 out of 10 product groups. Only in case of oranges the TRQ was not used in the two reference periods.</w:t>
      </w:r>
    </w:p>
    <w:p>
      <w:pPr>
        <w:jc w:val="both"/>
        <w:rPr>
          <w:rFonts w:eastAsia="Calibri"/>
          <w:noProof/>
        </w:rPr>
      </w:pPr>
    </w:p>
    <w:p>
      <w:pPr>
        <w:keepNext/>
        <w:spacing w:after="120"/>
        <w:jc w:val="both"/>
        <w:rPr>
          <w:rFonts w:eastAsia="Calibri"/>
          <w:b/>
          <w:bCs/>
          <w:noProof/>
        </w:rPr>
      </w:pPr>
      <w:r>
        <w:rPr>
          <w:rFonts w:eastAsia="Calibri"/>
          <w:b/>
          <w:bCs/>
          <w:noProof/>
        </w:rPr>
        <w:t>EU-South Korea FTA TRQ Fill Rates</w:t>
      </w:r>
    </w:p>
    <w:tbl>
      <w:tblPr>
        <w:tblStyle w:val="TableGrid"/>
        <w:tblW w:w="0" w:type="auto"/>
        <w:tblLook w:val="04A0" w:firstRow="1" w:lastRow="0" w:firstColumn="1" w:lastColumn="0" w:noHBand="0" w:noVBand="1"/>
      </w:tblPr>
      <w:tblGrid>
        <w:gridCol w:w="3005"/>
        <w:gridCol w:w="3005"/>
        <w:gridCol w:w="3006"/>
      </w:tblGrid>
      <w:tr>
        <w:tc>
          <w:tcPr>
            <w:tcW w:w="3005" w:type="dxa"/>
          </w:tcPr>
          <w:p>
            <w:pPr>
              <w:jc w:val="both"/>
              <w:rPr>
                <w:rFonts w:eastAsia="Calibri"/>
                <w:noProof/>
                <w:lang w:eastAsia="en-GB"/>
              </w:rPr>
            </w:pPr>
          </w:p>
        </w:tc>
        <w:tc>
          <w:tcPr>
            <w:tcW w:w="6011" w:type="dxa"/>
            <w:gridSpan w:val="2"/>
          </w:tcPr>
          <w:p>
            <w:pPr>
              <w:jc w:val="center"/>
              <w:rPr>
                <w:rFonts w:eastAsia="Calibri"/>
                <w:b/>
                <w:noProof/>
                <w:lang w:eastAsia="en-GB"/>
              </w:rPr>
            </w:pPr>
            <w:r>
              <w:rPr>
                <w:rFonts w:eastAsia="Calibri"/>
                <w:b/>
                <w:noProof/>
                <w:lang w:eastAsia="en-GB"/>
              </w:rPr>
              <w:t>Utilisation Rate</w:t>
            </w:r>
          </w:p>
        </w:tc>
      </w:tr>
      <w:tr>
        <w:tc>
          <w:tcPr>
            <w:tcW w:w="3005" w:type="dxa"/>
          </w:tcPr>
          <w:p>
            <w:pPr>
              <w:jc w:val="both"/>
              <w:rPr>
                <w:rFonts w:eastAsia="Calibri"/>
                <w:noProof/>
                <w:lang w:eastAsia="en-GB"/>
              </w:rPr>
            </w:pPr>
          </w:p>
        </w:tc>
        <w:tc>
          <w:tcPr>
            <w:tcW w:w="3005" w:type="dxa"/>
          </w:tcPr>
          <w:p>
            <w:pPr>
              <w:jc w:val="center"/>
              <w:rPr>
                <w:rFonts w:eastAsia="Calibri"/>
                <w:b/>
                <w:noProof/>
                <w:lang w:eastAsia="en-GB"/>
              </w:rPr>
            </w:pPr>
            <w:r>
              <w:rPr>
                <w:rFonts w:eastAsia="Calibri"/>
                <w:b/>
                <w:noProof/>
                <w:lang w:eastAsia="en-GB"/>
              </w:rPr>
              <w:t>7/2016 to 6/2017</w:t>
            </w:r>
          </w:p>
        </w:tc>
        <w:tc>
          <w:tcPr>
            <w:tcW w:w="3006" w:type="dxa"/>
          </w:tcPr>
          <w:p>
            <w:pPr>
              <w:jc w:val="center"/>
              <w:rPr>
                <w:rFonts w:eastAsia="Calibri"/>
                <w:b/>
                <w:noProof/>
                <w:lang w:eastAsia="en-GB"/>
              </w:rPr>
            </w:pPr>
            <w:r>
              <w:rPr>
                <w:rFonts w:eastAsia="Calibri"/>
                <w:b/>
                <w:noProof/>
                <w:lang w:eastAsia="en-GB"/>
              </w:rPr>
              <w:t>7/2017 to 6/2018</w:t>
            </w:r>
          </w:p>
        </w:tc>
      </w:tr>
      <w:tr>
        <w:tc>
          <w:tcPr>
            <w:tcW w:w="3005" w:type="dxa"/>
            <w:vAlign w:val="center"/>
          </w:tcPr>
          <w:p>
            <w:pPr>
              <w:jc w:val="both"/>
              <w:rPr>
                <w:rFonts w:eastAsia="Calibri"/>
                <w:noProof/>
                <w:lang w:eastAsia="en-GB"/>
              </w:rPr>
            </w:pPr>
            <w:r>
              <w:rPr>
                <w:rFonts w:eastAsia="Calibri"/>
                <w:noProof/>
                <w:lang w:eastAsia="en-GB"/>
              </w:rPr>
              <w:t>Milk Powder, Condensed milk (cream)</w:t>
            </w:r>
          </w:p>
        </w:tc>
        <w:tc>
          <w:tcPr>
            <w:tcW w:w="3005" w:type="dxa"/>
            <w:vAlign w:val="center"/>
          </w:tcPr>
          <w:p>
            <w:pPr>
              <w:jc w:val="center"/>
              <w:rPr>
                <w:rFonts w:eastAsia="Calibri"/>
                <w:noProof/>
                <w:lang w:eastAsia="en-GB"/>
              </w:rPr>
            </w:pPr>
            <w:r>
              <w:rPr>
                <w:rFonts w:eastAsia="Calibri"/>
                <w:noProof/>
                <w:lang w:eastAsia="en-GB"/>
              </w:rPr>
              <w:t>99.9 %</w:t>
            </w:r>
          </w:p>
        </w:tc>
        <w:tc>
          <w:tcPr>
            <w:tcW w:w="3006" w:type="dxa"/>
            <w:vAlign w:val="center"/>
          </w:tcPr>
          <w:p>
            <w:pPr>
              <w:jc w:val="center"/>
              <w:rPr>
                <w:rFonts w:eastAsia="Calibri"/>
                <w:noProof/>
                <w:lang w:eastAsia="en-GB"/>
              </w:rPr>
            </w:pPr>
            <w:r>
              <w:rPr>
                <w:rFonts w:eastAsia="Calibri"/>
                <w:noProof/>
                <w:lang w:eastAsia="en-GB"/>
              </w:rPr>
              <w:t>100.0 %</w:t>
            </w:r>
          </w:p>
        </w:tc>
      </w:tr>
      <w:tr>
        <w:tc>
          <w:tcPr>
            <w:tcW w:w="3005" w:type="dxa"/>
            <w:vAlign w:val="center"/>
          </w:tcPr>
          <w:p>
            <w:pPr>
              <w:jc w:val="both"/>
              <w:rPr>
                <w:rFonts w:eastAsia="Calibri"/>
                <w:noProof/>
                <w:lang w:eastAsia="en-GB"/>
              </w:rPr>
            </w:pPr>
            <w:r>
              <w:rPr>
                <w:rFonts w:eastAsia="Calibri"/>
                <w:noProof/>
                <w:lang w:eastAsia="en-GB"/>
              </w:rPr>
              <w:t>Butter</w:t>
            </w:r>
          </w:p>
        </w:tc>
        <w:tc>
          <w:tcPr>
            <w:tcW w:w="3005" w:type="dxa"/>
            <w:vAlign w:val="center"/>
          </w:tcPr>
          <w:p>
            <w:pPr>
              <w:jc w:val="center"/>
              <w:rPr>
                <w:rFonts w:eastAsia="Calibri"/>
                <w:noProof/>
                <w:lang w:eastAsia="en-GB"/>
              </w:rPr>
            </w:pPr>
            <w:r>
              <w:rPr>
                <w:rFonts w:eastAsia="Calibri"/>
                <w:noProof/>
                <w:lang w:eastAsia="en-GB"/>
              </w:rPr>
              <w:t>100.0 %</w:t>
            </w:r>
          </w:p>
        </w:tc>
        <w:tc>
          <w:tcPr>
            <w:tcW w:w="3006" w:type="dxa"/>
            <w:vAlign w:val="center"/>
          </w:tcPr>
          <w:p>
            <w:pPr>
              <w:jc w:val="center"/>
              <w:rPr>
                <w:rFonts w:eastAsia="Calibri"/>
                <w:noProof/>
                <w:lang w:eastAsia="en-GB"/>
              </w:rPr>
            </w:pPr>
            <w:r>
              <w:rPr>
                <w:rFonts w:eastAsia="Calibri"/>
                <w:noProof/>
                <w:lang w:eastAsia="en-GB"/>
              </w:rPr>
              <w:t>99.9 %</w:t>
            </w:r>
          </w:p>
        </w:tc>
      </w:tr>
      <w:tr>
        <w:tc>
          <w:tcPr>
            <w:tcW w:w="3005" w:type="dxa"/>
            <w:vAlign w:val="center"/>
          </w:tcPr>
          <w:p>
            <w:pPr>
              <w:jc w:val="both"/>
              <w:rPr>
                <w:rFonts w:eastAsia="Calibri"/>
                <w:noProof/>
                <w:lang w:eastAsia="en-GB"/>
              </w:rPr>
            </w:pPr>
            <w:r>
              <w:rPr>
                <w:rFonts w:eastAsia="Calibri"/>
                <w:noProof/>
                <w:lang w:eastAsia="en-GB"/>
              </w:rPr>
              <w:t>Food Whey</w:t>
            </w:r>
          </w:p>
        </w:tc>
        <w:tc>
          <w:tcPr>
            <w:tcW w:w="3005" w:type="dxa"/>
            <w:vAlign w:val="center"/>
          </w:tcPr>
          <w:p>
            <w:pPr>
              <w:jc w:val="center"/>
              <w:rPr>
                <w:rFonts w:eastAsia="Calibri"/>
                <w:noProof/>
                <w:lang w:eastAsia="en-GB"/>
              </w:rPr>
            </w:pPr>
            <w:r>
              <w:rPr>
                <w:rFonts w:eastAsia="Calibri"/>
                <w:noProof/>
                <w:lang w:eastAsia="en-GB"/>
              </w:rPr>
              <w:t>98.3 %</w:t>
            </w:r>
          </w:p>
        </w:tc>
        <w:tc>
          <w:tcPr>
            <w:tcW w:w="3006" w:type="dxa"/>
            <w:vAlign w:val="center"/>
          </w:tcPr>
          <w:p>
            <w:pPr>
              <w:jc w:val="center"/>
              <w:rPr>
                <w:rFonts w:eastAsia="Calibri"/>
                <w:noProof/>
                <w:lang w:eastAsia="en-GB"/>
              </w:rPr>
            </w:pPr>
            <w:r>
              <w:rPr>
                <w:rFonts w:eastAsia="Calibri"/>
                <w:noProof/>
                <w:lang w:eastAsia="en-GB"/>
              </w:rPr>
              <w:t>99.0 %</w:t>
            </w:r>
          </w:p>
        </w:tc>
      </w:tr>
      <w:tr>
        <w:tc>
          <w:tcPr>
            <w:tcW w:w="3005" w:type="dxa"/>
            <w:vAlign w:val="center"/>
          </w:tcPr>
          <w:p>
            <w:pPr>
              <w:jc w:val="both"/>
              <w:rPr>
                <w:rFonts w:eastAsia="Calibri"/>
                <w:noProof/>
                <w:lang w:eastAsia="en-GB"/>
              </w:rPr>
            </w:pPr>
            <w:r>
              <w:rPr>
                <w:rFonts w:eastAsia="Calibri"/>
                <w:noProof/>
                <w:lang w:eastAsia="en-GB"/>
              </w:rPr>
              <w:t>Cheeses</w:t>
            </w:r>
          </w:p>
        </w:tc>
        <w:tc>
          <w:tcPr>
            <w:tcW w:w="3005" w:type="dxa"/>
            <w:vAlign w:val="center"/>
          </w:tcPr>
          <w:p>
            <w:pPr>
              <w:jc w:val="center"/>
              <w:rPr>
                <w:rFonts w:eastAsia="Calibri"/>
                <w:noProof/>
                <w:lang w:eastAsia="en-GB"/>
              </w:rPr>
            </w:pPr>
            <w:r>
              <w:rPr>
                <w:rFonts w:eastAsia="Calibri"/>
                <w:noProof/>
                <w:lang w:eastAsia="en-GB"/>
              </w:rPr>
              <w:t>99.9 %</w:t>
            </w:r>
          </w:p>
        </w:tc>
        <w:tc>
          <w:tcPr>
            <w:tcW w:w="3006" w:type="dxa"/>
            <w:vAlign w:val="center"/>
          </w:tcPr>
          <w:p>
            <w:pPr>
              <w:jc w:val="center"/>
              <w:rPr>
                <w:rFonts w:eastAsia="Calibri"/>
                <w:noProof/>
                <w:lang w:eastAsia="en-GB"/>
              </w:rPr>
            </w:pPr>
            <w:r>
              <w:rPr>
                <w:rFonts w:eastAsia="Calibri"/>
                <w:noProof/>
                <w:lang w:eastAsia="en-GB"/>
              </w:rPr>
              <w:t>99.1 %</w:t>
            </w:r>
          </w:p>
        </w:tc>
      </w:tr>
      <w:tr>
        <w:tc>
          <w:tcPr>
            <w:tcW w:w="3005" w:type="dxa"/>
            <w:vAlign w:val="center"/>
          </w:tcPr>
          <w:p>
            <w:pPr>
              <w:jc w:val="both"/>
              <w:rPr>
                <w:rFonts w:eastAsia="Calibri"/>
                <w:noProof/>
                <w:lang w:eastAsia="en-GB"/>
              </w:rPr>
            </w:pPr>
            <w:r>
              <w:rPr>
                <w:rFonts w:eastAsia="Calibri"/>
                <w:noProof/>
                <w:lang w:eastAsia="en-GB"/>
              </w:rPr>
              <w:t>Prepared dry milk</w:t>
            </w:r>
          </w:p>
        </w:tc>
        <w:tc>
          <w:tcPr>
            <w:tcW w:w="3005" w:type="dxa"/>
            <w:vAlign w:val="center"/>
          </w:tcPr>
          <w:p>
            <w:pPr>
              <w:jc w:val="center"/>
              <w:rPr>
                <w:rFonts w:eastAsia="Calibri"/>
                <w:noProof/>
                <w:lang w:eastAsia="en-GB"/>
              </w:rPr>
            </w:pPr>
            <w:r>
              <w:rPr>
                <w:rFonts w:eastAsia="Calibri"/>
                <w:noProof/>
                <w:lang w:eastAsia="en-GB"/>
              </w:rPr>
              <w:t>99.8 %</w:t>
            </w:r>
          </w:p>
        </w:tc>
        <w:tc>
          <w:tcPr>
            <w:tcW w:w="3006" w:type="dxa"/>
            <w:vAlign w:val="center"/>
          </w:tcPr>
          <w:p>
            <w:pPr>
              <w:jc w:val="center"/>
              <w:rPr>
                <w:rFonts w:eastAsia="Calibri"/>
                <w:noProof/>
                <w:lang w:eastAsia="en-GB"/>
              </w:rPr>
            </w:pPr>
            <w:r>
              <w:rPr>
                <w:rFonts w:eastAsia="Calibri"/>
                <w:noProof/>
                <w:lang w:eastAsia="en-GB"/>
              </w:rPr>
              <w:t>60.5 %</w:t>
            </w:r>
          </w:p>
        </w:tc>
      </w:tr>
      <w:tr>
        <w:tc>
          <w:tcPr>
            <w:tcW w:w="3005" w:type="dxa"/>
            <w:vAlign w:val="center"/>
          </w:tcPr>
          <w:p>
            <w:pPr>
              <w:jc w:val="both"/>
              <w:rPr>
                <w:rFonts w:eastAsia="Calibri"/>
                <w:noProof/>
                <w:lang w:eastAsia="en-GB"/>
              </w:rPr>
            </w:pPr>
            <w:r>
              <w:rPr>
                <w:rFonts w:eastAsia="Calibri"/>
                <w:noProof/>
                <w:lang w:eastAsia="en-GB"/>
              </w:rPr>
              <w:t>Natural honey</w:t>
            </w:r>
          </w:p>
        </w:tc>
        <w:tc>
          <w:tcPr>
            <w:tcW w:w="3005" w:type="dxa"/>
            <w:vAlign w:val="center"/>
          </w:tcPr>
          <w:p>
            <w:pPr>
              <w:jc w:val="center"/>
              <w:rPr>
                <w:rFonts w:eastAsia="Calibri"/>
                <w:noProof/>
                <w:lang w:eastAsia="en-GB"/>
              </w:rPr>
            </w:pPr>
            <w:r>
              <w:rPr>
                <w:rFonts w:eastAsia="Calibri"/>
                <w:noProof/>
                <w:lang w:eastAsia="en-GB"/>
              </w:rPr>
              <w:t>98.9 %</w:t>
            </w:r>
          </w:p>
        </w:tc>
        <w:tc>
          <w:tcPr>
            <w:tcW w:w="3006" w:type="dxa"/>
            <w:vAlign w:val="center"/>
          </w:tcPr>
          <w:p>
            <w:pPr>
              <w:jc w:val="center"/>
              <w:rPr>
                <w:rFonts w:eastAsia="Calibri"/>
                <w:noProof/>
                <w:lang w:eastAsia="en-GB"/>
              </w:rPr>
            </w:pPr>
            <w:r>
              <w:rPr>
                <w:rFonts w:eastAsia="Calibri"/>
                <w:noProof/>
                <w:lang w:eastAsia="en-GB"/>
              </w:rPr>
              <w:t>49.1 %</w:t>
            </w:r>
          </w:p>
        </w:tc>
      </w:tr>
      <w:tr>
        <w:tc>
          <w:tcPr>
            <w:tcW w:w="3005" w:type="dxa"/>
            <w:vAlign w:val="center"/>
          </w:tcPr>
          <w:p>
            <w:pPr>
              <w:jc w:val="both"/>
              <w:rPr>
                <w:rFonts w:eastAsia="Calibri"/>
                <w:noProof/>
                <w:lang w:eastAsia="en-GB"/>
              </w:rPr>
            </w:pPr>
            <w:r>
              <w:rPr>
                <w:rFonts w:eastAsia="Calibri"/>
                <w:noProof/>
                <w:lang w:eastAsia="en-GB"/>
              </w:rPr>
              <w:t>Oranges</w:t>
            </w:r>
          </w:p>
        </w:tc>
        <w:tc>
          <w:tcPr>
            <w:tcW w:w="3005" w:type="dxa"/>
            <w:vAlign w:val="center"/>
          </w:tcPr>
          <w:p>
            <w:pPr>
              <w:jc w:val="center"/>
              <w:rPr>
                <w:rFonts w:eastAsia="Calibri"/>
                <w:noProof/>
                <w:lang w:eastAsia="en-GB"/>
              </w:rPr>
            </w:pPr>
            <w:r>
              <w:rPr>
                <w:rFonts w:eastAsia="Calibri"/>
                <w:noProof/>
                <w:lang w:eastAsia="en-GB"/>
              </w:rPr>
              <w:t>0.0 %</w:t>
            </w:r>
          </w:p>
        </w:tc>
        <w:tc>
          <w:tcPr>
            <w:tcW w:w="3006" w:type="dxa"/>
            <w:vAlign w:val="center"/>
          </w:tcPr>
          <w:p>
            <w:pPr>
              <w:jc w:val="center"/>
              <w:rPr>
                <w:rFonts w:eastAsia="Calibri"/>
                <w:noProof/>
                <w:lang w:eastAsia="en-GB"/>
              </w:rPr>
            </w:pPr>
            <w:r>
              <w:rPr>
                <w:rFonts w:eastAsia="Calibri"/>
                <w:noProof/>
                <w:lang w:eastAsia="en-GB"/>
              </w:rPr>
              <w:t>0.0 %</w:t>
            </w:r>
          </w:p>
        </w:tc>
      </w:tr>
      <w:tr>
        <w:tc>
          <w:tcPr>
            <w:tcW w:w="3005" w:type="dxa"/>
            <w:tcBorders>
              <w:bottom w:val="single" w:sz="4" w:space="0" w:color="auto"/>
            </w:tcBorders>
            <w:vAlign w:val="center"/>
          </w:tcPr>
          <w:p>
            <w:pPr>
              <w:jc w:val="both"/>
              <w:rPr>
                <w:rFonts w:eastAsia="Calibri"/>
                <w:noProof/>
                <w:lang w:eastAsia="en-GB"/>
              </w:rPr>
            </w:pPr>
            <w:r>
              <w:rPr>
                <w:rFonts w:eastAsia="Calibri"/>
                <w:noProof/>
                <w:lang w:eastAsia="en-GB"/>
              </w:rPr>
              <w:t>Marling barley, malt</w:t>
            </w:r>
          </w:p>
        </w:tc>
        <w:tc>
          <w:tcPr>
            <w:tcW w:w="3005" w:type="dxa"/>
            <w:tcBorders>
              <w:bottom w:val="single" w:sz="4" w:space="0" w:color="auto"/>
            </w:tcBorders>
            <w:vAlign w:val="center"/>
          </w:tcPr>
          <w:p>
            <w:pPr>
              <w:jc w:val="center"/>
              <w:rPr>
                <w:rFonts w:eastAsia="Calibri"/>
                <w:noProof/>
                <w:lang w:eastAsia="en-GB"/>
              </w:rPr>
            </w:pPr>
            <w:r>
              <w:rPr>
                <w:rFonts w:eastAsia="Calibri"/>
                <w:noProof/>
                <w:lang w:eastAsia="en-GB"/>
              </w:rPr>
              <w:t>99.0 %</w:t>
            </w:r>
          </w:p>
        </w:tc>
        <w:tc>
          <w:tcPr>
            <w:tcW w:w="3006" w:type="dxa"/>
            <w:tcBorders>
              <w:bottom w:val="single" w:sz="4" w:space="0" w:color="auto"/>
            </w:tcBorders>
            <w:vAlign w:val="center"/>
          </w:tcPr>
          <w:p>
            <w:pPr>
              <w:jc w:val="center"/>
              <w:rPr>
                <w:rFonts w:eastAsia="Calibri"/>
                <w:noProof/>
                <w:lang w:eastAsia="en-GB"/>
              </w:rPr>
            </w:pPr>
            <w:r>
              <w:rPr>
                <w:rFonts w:eastAsia="Calibri"/>
                <w:noProof/>
                <w:lang w:eastAsia="en-GB"/>
              </w:rPr>
              <w:t>80.8 %</w:t>
            </w:r>
          </w:p>
        </w:tc>
      </w:tr>
      <w:tr>
        <w:tc>
          <w:tcPr>
            <w:tcW w:w="3005" w:type="dxa"/>
            <w:tcBorders>
              <w:top w:val="single" w:sz="4" w:space="0" w:color="auto"/>
              <w:left w:val="single" w:sz="4" w:space="0" w:color="auto"/>
              <w:bottom w:val="single" w:sz="4" w:space="0" w:color="auto"/>
              <w:right w:val="single" w:sz="4" w:space="0" w:color="auto"/>
            </w:tcBorders>
            <w:vAlign w:val="center"/>
          </w:tcPr>
          <w:p>
            <w:pPr>
              <w:jc w:val="both"/>
              <w:rPr>
                <w:rFonts w:eastAsia="Calibri"/>
                <w:noProof/>
                <w:lang w:eastAsia="en-GB"/>
              </w:rPr>
            </w:pPr>
            <w:r>
              <w:rPr>
                <w:rFonts w:eastAsia="Calibri"/>
                <w:noProof/>
                <w:lang w:eastAsia="en-GB"/>
              </w:rPr>
              <w:t>Supplementary feed</w:t>
            </w:r>
          </w:p>
        </w:tc>
        <w:tc>
          <w:tcPr>
            <w:tcW w:w="3005" w:type="dxa"/>
            <w:tcBorders>
              <w:top w:val="single" w:sz="4" w:space="0" w:color="auto"/>
              <w:left w:val="single" w:sz="4" w:space="0" w:color="auto"/>
              <w:bottom w:val="single" w:sz="4" w:space="0" w:color="auto"/>
              <w:right w:val="single" w:sz="4" w:space="0" w:color="auto"/>
            </w:tcBorders>
            <w:vAlign w:val="center"/>
          </w:tcPr>
          <w:p>
            <w:pPr>
              <w:jc w:val="center"/>
              <w:rPr>
                <w:rFonts w:eastAsia="Calibri"/>
                <w:noProof/>
                <w:lang w:eastAsia="en-GB"/>
              </w:rPr>
            </w:pPr>
            <w:r>
              <w:rPr>
                <w:rFonts w:eastAsia="Calibri"/>
                <w:noProof/>
                <w:lang w:eastAsia="en-GB"/>
              </w:rPr>
              <w:t>99.0 %</w:t>
            </w:r>
          </w:p>
        </w:tc>
        <w:tc>
          <w:tcPr>
            <w:tcW w:w="3006" w:type="dxa"/>
            <w:tcBorders>
              <w:top w:val="single" w:sz="4" w:space="0" w:color="auto"/>
              <w:left w:val="single" w:sz="4" w:space="0" w:color="auto"/>
              <w:bottom w:val="single" w:sz="4" w:space="0" w:color="auto"/>
              <w:right w:val="single" w:sz="4" w:space="0" w:color="auto"/>
            </w:tcBorders>
            <w:vAlign w:val="center"/>
          </w:tcPr>
          <w:p>
            <w:pPr>
              <w:jc w:val="center"/>
              <w:rPr>
                <w:rFonts w:eastAsia="Calibri"/>
                <w:noProof/>
                <w:lang w:eastAsia="en-GB"/>
              </w:rPr>
            </w:pPr>
            <w:r>
              <w:rPr>
                <w:rFonts w:eastAsia="Calibri"/>
                <w:noProof/>
                <w:lang w:eastAsia="en-GB"/>
              </w:rPr>
              <w:t>99.2 %</w:t>
            </w:r>
          </w:p>
        </w:tc>
      </w:tr>
      <w:tr>
        <w:tc>
          <w:tcPr>
            <w:tcW w:w="3005" w:type="dxa"/>
            <w:tcBorders>
              <w:top w:val="single" w:sz="4" w:space="0" w:color="auto"/>
              <w:left w:val="single" w:sz="4" w:space="0" w:color="auto"/>
              <w:bottom w:val="single" w:sz="4" w:space="0" w:color="auto"/>
              <w:right w:val="single" w:sz="4" w:space="0" w:color="auto"/>
            </w:tcBorders>
            <w:vAlign w:val="center"/>
          </w:tcPr>
          <w:p>
            <w:pPr>
              <w:jc w:val="both"/>
              <w:rPr>
                <w:rFonts w:eastAsia="Calibri"/>
                <w:noProof/>
                <w:lang w:eastAsia="en-GB"/>
              </w:rPr>
            </w:pPr>
            <w:r>
              <w:rPr>
                <w:rFonts w:eastAsia="Calibri"/>
                <w:noProof/>
                <w:lang w:eastAsia="en-GB"/>
              </w:rPr>
              <w:t>Dextrin</w:t>
            </w:r>
          </w:p>
        </w:tc>
        <w:tc>
          <w:tcPr>
            <w:tcW w:w="3005" w:type="dxa"/>
            <w:tcBorders>
              <w:top w:val="single" w:sz="4" w:space="0" w:color="auto"/>
              <w:left w:val="single" w:sz="4" w:space="0" w:color="auto"/>
              <w:bottom w:val="single" w:sz="4" w:space="0" w:color="auto"/>
              <w:right w:val="single" w:sz="4" w:space="0" w:color="auto"/>
            </w:tcBorders>
            <w:vAlign w:val="center"/>
          </w:tcPr>
          <w:p>
            <w:pPr>
              <w:jc w:val="center"/>
              <w:rPr>
                <w:rFonts w:eastAsia="Calibri"/>
                <w:noProof/>
                <w:lang w:eastAsia="en-GB"/>
              </w:rPr>
            </w:pPr>
            <w:r>
              <w:rPr>
                <w:rFonts w:eastAsia="Calibri"/>
                <w:noProof/>
                <w:lang w:eastAsia="en-GB"/>
              </w:rPr>
              <w:t>78.7 %</w:t>
            </w:r>
          </w:p>
        </w:tc>
        <w:tc>
          <w:tcPr>
            <w:tcW w:w="3006" w:type="dxa"/>
            <w:tcBorders>
              <w:top w:val="single" w:sz="4" w:space="0" w:color="auto"/>
              <w:left w:val="single" w:sz="4" w:space="0" w:color="auto"/>
              <w:bottom w:val="single" w:sz="4" w:space="0" w:color="auto"/>
              <w:right w:val="single" w:sz="4" w:space="0" w:color="auto"/>
            </w:tcBorders>
            <w:vAlign w:val="center"/>
          </w:tcPr>
          <w:p>
            <w:pPr>
              <w:jc w:val="center"/>
              <w:rPr>
                <w:rFonts w:eastAsia="Calibri"/>
                <w:noProof/>
                <w:lang w:eastAsia="en-GB"/>
              </w:rPr>
            </w:pPr>
            <w:r>
              <w:rPr>
                <w:rFonts w:eastAsia="Calibri"/>
                <w:noProof/>
                <w:lang w:eastAsia="en-GB"/>
              </w:rPr>
              <w:t>70.6 %</w:t>
            </w:r>
          </w:p>
        </w:tc>
      </w:tr>
    </w:tbl>
    <w:p>
      <w:pPr>
        <w:jc w:val="both"/>
        <w:rPr>
          <w:rFonts w:eastAsia="Times New Roman"/>
          <w:noProof/>
        </w:rPr>
      </w:pPr>
      <w:r>
        <w:rPr>
          <w:rFonts w:eastAsia="Times New Roman"/>
          <w:noProof/>
        </w:rPr>
        <w:t>Source: South Korean authorities</w:t>
      </w:r>
    </w:p>
    <w:p>
      <w:pPr>
        <w:rPr>
          <w:noProof/>
        </w:rPr>
      </w:pPr>
    </w:p>
    <w:p>
      <w:pPr>
        <w:pStyle w:val="Heading2"/>
        <w:tabs>
          <w:tab w:val="clear" w:pos="4570"/>
        </w:tabs>
        <w:ind w:left="567"/>
        <w:rPr>
          <w:szCs w:val="24"/>
        </w:rPr>
      </w:pPr>
      <w:bookmarkStart w:id="203" w:name="_Toc8833453"/>
      <w:bookmarkStart w:id="204" w:name="_Toc8835280"/>
      <w:bookmarkStart w:id="205" w:name="_Toc8833910"/>
      <w:bookmarkStart w:id="206" w:name="_Toc8909373"/>
      <w:bookmarkStart w:id="207" w:name="_Toc8910585"/>
      <w:bookmarkStart w:id="208" w:name="_Toc8911622"/>
      <w:bookmarkStart w:id="209" w:name="_Toc8974428"/>
      <w:bookmarkStart w:id="210" w:name="_Toc9008095"/>
      <w:bookmarkStart w:id="211" w:name="_Toc9008048"/>
      <w:bookmarkStart w:id="212" w:name="_Toc9348494"/>
      <w:bookmarkStart w:id="213" w:name="_Toc9607946"/>
      <w:bookmarkStart w:id="214" w:name="_Toc16000522"/>
      <w:r>
        <w:rPr>
          <w:szCs w:val="24"/>
        </w:rPr>
        <w:t>2.3 Trade in Services and Foreign Direct Investment (FDI)</w:t>
      </w:r>
      <w:bookmarkEnd w:id="203"/>
      <w:bookmarkEnd w:id="204"/>
      <w:bookmarkEnd w:id="205"/>
      <w:bookmarkEnd w:id="206"/>
      <w:bookmarkEnd w:id="207"/>
      <w:bookmarkEnd w:id="208"/>
      <w:bookmarkEnd w:id="209"/>
      <w:bookmarkEnd w:id="210"/>
      <w:bookmarkEnd w:id="211"/>
      <w:bookmarkEnd w:id="212"/>
      <w:bookmarkEnd w:id="213"/>
      <w:bookmarkEnd w:id="214"/>
    </w:p>
    <w:p>
      <w:pPr>
        <w:widowControl w:val="0"/>
        <w:spacing w:after="120"/>
        <w:jc w:val="both"/>
        <w:rPr>
          <w:rFonts w:eastAsia="Calibri"/>
          <w:noProof/>
        </w:rPr>
      </w:pPr>
      <w:r>
        <w:rPr>
          <w:rFonts w:eastAsia="Calibri"/>
          <w:noProof/>
        </w:rPr>
        <w:t>EU exports of services to South Korea increased from €7.4 billion in 2010 to €13.5 billion in 2017 while EU imports rose by 66% (€3.1 billion) over the same period to €7.9 billion in 2017. Although trade in services have grown in both directions, the EU has consistently held a trade surplus with South Korea that peaked at €6.3 billion in 2015. This fell to €5.6 billion of a surplus in 2017, which is greater than the 2010 balance (€2.6 billion).</w:t>
      </w:r>
    </w:p>
    <w:p>
      <w:pPr>
        <w:widowControl w:val="0"/>
        <w:spacing w:after="120"/>
        <w:jc w:val="both"/>
        <w:rPr>
          <w:rFonts w:eastAsia="Calibri"/>
          <w:noProof/>
        </w:rPr>
      </w:pPr>
      <w:r>
        <w:rPr>
          <w:rFonts w:eastAsia="Calibri"/>
          <w:noProof/>
        </w:rPr>
        <w:t>Transport services account for the highest share of both EU imports (€2.4 billion) and exports (€2.9 billion) of services to South Korea. EU imports of construction services have increased significantly since the introduction of the EU-South Korea FTA, rising from €87 million in 2010 to €818 million in 2017 while other business services increased by 161% over the same period to €2.8 billion in 2017.</w:t>
      </w:r>
    </w:p>
    <w:p>
      <w:pPr>
        <w:widowControl w:val="0"/>
        <w:spacing w:after="120"/>
        <w:jc w:val="both"/>
        <w:rPr>
          <w:rFonts w:eastAsia="Calibri"/>
          <w:noProof/>
        </w:rPr>
      </w:pPr>
      <w:r>
        <w:rPr>
          <w:rFonts w:eastAsia="Calibri"/>
          <w:noProof/>
        </w:rPr>
        <w:t>The largest gains in EU exports to South Korea include travel (+120%), telecommunications (+125%) and intellectual property (+189%) which account for over 40% (€5.3 billion) of total EU exports to South Korea in 2017.</w:t>
      </w:r>
    </w:p>
    <w:p>
      <w:pPr>
        <w:jc w:val="both"/>
        <w:rPr>
          <w:rFonts w:eastAsia="Times New Roman"/>
          <w:i/>
          <w:noProof/>
        </w:rPr>
      </w:pPr>
      <w:r>
        <w:rPr>
          <w:rFonts w:eastAsia="Calibri"/>
          <w:noProof/>
        </w:rPr>
        <w:t xml:space="preserve">As is the case with goods and services, the EU-South Korea FTA has also stimulated growth in FDI between the two partners. Latest available data shows that the stock of EU FDI in South Korea rose from €37.5 billion in 2010 to €51.3 billion in 2017, a 37% increase. The stock of South Korean FDI in the EU more than doubled, rising from €13.1 billion in 2010 to €28.3 billion in 2017.  </w:t>
      </w:r>
    </w:p>
    <w:p>
      <w:pPr>
        <w:pStyle w:val="ManualHeading1"/>
      </w:pPr>
      <w:bookmarkStart w:id="215" w:name="_Toc8833454"/>
      <w:bookmarkStart w:id="216" w:name="_Toc8835281"/>
      <w:bookmarkStart w:id="217" w:name="_Toc8833911"/>
      <w:bookmarkStart w:id="218" w:name="_Toc8909374"/>
      <w:bookmarkStart w:id="219" w:name="_Toc8910586"/>
      <w:bookmarkStart w:id="220" w:name="_Toc8911623"/>
      <w:bookmarkStart w:id="221" w:name="_Toc8974429"/>
      <w:bookmarkStart w:id="222" w:name="_Toc9008096"/>
      <w:bookmarkStart w:id="223" w:name="_Toc9008049"/>
      <w:bookmarkStart w:id="224" w:name="_Toc9348495"/>
      <w:bookmarkStart w:id="225" w:name="_Toc9607947"/>
      <w:bookmarkStart w:id="226" w:name="_Toc16000523"/>
      <w:r>
        <w:t>3.</w:t>
      </w:r>
      <w:r>
        <w:tab/>
        <w:t>Activities of the implementation bodies</w:t>
      </w:r>
      <w:bookmarkEnd w:id="215"/>
      <w:bookmarkEnd w:id="216"/>
      <w:bookmarkEnd w:id="217"/>
      <w:bookmarkEnd w:id="218"/>
      <w:bookmarkEnd w:id="219"/>
      <w:bookmarkEnd w:id="220"/>
      <w:bookmarkEnd w:id="221"/>
      <w:bookmarkEnd w:id="222"/>
      <w:bookmarkEnd w:id="223"/>
      <w:bookmarkEnd w:id="224"/>
      <w:bookmarkEnd w:id="225"/>
      <w:bookmarkEnd w:id="226"/>
    </w:p>
    <w:p>
      <w:pPr>
        <w:jc w:val="both"/>
        <w:rPr>
          <w:rFonts w:eastAsia="Calibri"/>
          <w:noProof/>
        </w:rPr>
      </w:pPr>
      <w:r>
        <w:rPr>
          <w:rFonts w:eastAsia="Calibri"/>
          <w:noProof/>
        </w:rPr>
        <w:t xml:space="preserve">The institutional provisions of the EU-South Korea FTA (Article 15) established seven Specialised Committees, seven Working Groups and an Intellectual Property (IP) and Electronics Dialogue. The annual meeting of the Trade Committee at ministerial level plays a supervisory role and ensures that the FTA operates properly. The summary below presents activities of Working Groups and Committees that took place between June 2018 and May 2019. </w:t>
      </w:r>
      <w:r>
        <w:rPr>
          <w:rFonts w:eastAsia="Calibri"/>
          <w:noProof/>
          <w:vertAlign w:val="superscript"/>
        </w:rPr>
        <w:footnoteReference w:id="9"/>
      </w:r>
      <w:r>
        <w:rPr>
          <w:rFonts w:eastAsia="Calibri"/>
          <w:noProof/>
        </w:rPr>
        <w:t xml:space="preserve"> </w:t>
      </w:r>
    </w:p>
    <w:p>
      <w:pPr>
        <w:jc w:val="both"/>
        <w:rPr>
          <w:rFonts w:eastAsia="Calibri"/>
          <w:noProof/>
        </w:rPr>
      </w:pPr>
    </w:p>
    <w:p>
      <w:pPr>
        <w:jc w:val="both"/>
        <w:rPr>
          <w:rFonts w:eastAsia="Calibri"/>
          <w:noProof/>
        </w:rPr>
      </w:pPr>
      <w:r>
        <w:rPr>
          <w:rFonts w:eastAsia="Calibri"/>
          <w:noProof/>
        </w:rPr>
        <w:t xml:space="preserve">The </w:t>
      </w:r>
      <w:r>
        <w:rPr>
          <w:rFonts w:eastAsia="Calibri"/>
          <w:b/>
          <w:noProof/>
        </w:rPr>
        <w:t>Trade Committee</w:t>
      </w:r>
      <w:r>
        <w:rPr>
          <w:rFonts w:eastAsia="Calibri"/>
          <w:noProof/>
        </w:rPr>
        <w:t xml:space="preserve"> met for the 8</w:t>
      </w:r>
      <w:r>
        <w:rPr>
          <w:rFonts w:eastAsia="Calibri"/>
          <w:noProof/>
          <w:vertAlign w:val="superscript"/>
        </w:rPr>
        <w:t>th</w:t>
      </w:r>
      <w:r>
        <w:rPr>
          <w:rFonts w:eastAsia="Calibri"/>
          <w:noProof/>
        </w:rPr>
        <w:t xml:space="preserve"> time on 9 April 2019 in Seoul. Both sides agreed that the FTA is a success that has significantly increased bilateral trade and investment even though some concerns on implementation persist, including the long delayed market access for EU beef and the non-ratification of four fundamental ILO Conventions. Furthermore, the deteriorating business climate in South Korea remains a challenge for businesses to fully benefit from the FTA. </w:t>
      </w:r>
    </w:p>
    <w:p>
      <w:pPr>
        <w:jc w:val="both"/>
        <w:rPr>
          <w:rFonts w:eastAsia="Calibri"/>
          <w:noProof/>
        </w:rPr>
      </w:pPr>
    </w:p>
    <w:p>
      <w:pPr>
        <w:jc w:val="both"/>
        <w:rPr>
          <w:rFonts w:eastAsia="Calibri"/>
          <w:noProof/>
        </w:rPr>
      </w:pPr>
      <w:r>
        <w:rPr>
          <w:rFonts w:eastAsia="Calibri"/>
          <w:noProof/>
        </w:rPr>
        <w:t xml:space="preserve">While recognising some positive developments related to the beef issue, the EU highlighted that the market remained closed and South Korea agreed to rapidly complete the technical steps for the most advanced applicants. On TSD, the EU recognized that some efforts have been made by the South Korean government but progress has been insufficient for South Korea to comply with its commitments. With regard to the car sector, both sides endorsed the finalisation of the administrative amendment of the car annexes under the written procedure. The Commissioner also raised the concerns that the car sector has highlighted regarding the difficult business climate. The EU also raised the well-known Intelletual Property Rights related issues (i.e. </w:t>
      </w:r>
      <w:r>
        <w:rPr>
          <w:noProof/>
        </w:rPr>
        <w:t xml:space="preserve">public performance rights </w:t>
      </w:r>
      <w:r>
        <w:rPr>
          <w:rFonts w:eastAsia="Calibri"/>
          <w:noProof/>
        </w:rPr>
        <w:t>and geographical indications) while South Korea repeated its request for market access for Samgyetang (chicken ginseng soup) and asked for a solution for the long-standing surimi issue. South Korea was also concerned about the adverse effect of the EU steel safeguards measures.</w:t>
      </w:r>
    </w:p>
    <w:p>
      <w:pPr>
        <w:jc w:val="both"/>
        <w:rPr>
          <w:rFonts w:eastAsia="Calibri"/>
          <w:noProof/>
        </w:rPr>
      </w:pPr>
    </w:p>
    <w:p>
      <w:pPr>
        <w:jc w:val="both"/>
        <w:rPr>
          <w:rFonts w:eastAsia="Calibri"/>
          <w:noProof/>
        </w:rPr>
      </w:pPr>
      <w:r>
        <w:rPr>
          <w:rFonts w:eastAsia="Calibri"/>
          <w:noProof/>
        </w:rPr>
        <w:t xml:space="preserve">The 6th meeting of the </w:t>
      </w:r>
      <w:r>
        <w:rPr>
          <w:rFonts w:eastAsia="Calibri"/>
          <w:b/>
          <w:noProof/>
        </w:rPr>
        <w:t>Working Group on Geographical Indications</w:t>
      </w:r>
      <w:r>
        <w:rPr>
          <w:rFonts w:eastAsia="Calibri"/>
          <w:noProof/>
        </w:rPr>
        <w:t xml:space="preserve"> was held in Brussels, on 30 May 2018. The extension of the initial list of EU Geographical indications remains a significant irritant with respect to the implementation of the FTA provisions on protection of intellectual property. With the recent adoption of the rules of procedures of the said Working Group, the EU now expects Korea to examine the 2014 EU request to add 46 GIs to the list of EU GIs protected under the FTA.</w:t>
      </w:r>
    </w:p>
    <w:p>
      <w:pPr>
        <w:jc w:val="both"/>
        <w:rPr>
          <w:rFonts w:eastAsia="Calibri"/>
          <w:noProof/>
        </w:rPr>
      </w:pPr>
    </w:p>
    <w:p>
      <w:pPr>
        <w:jc w:val="both"/>
        <w:rPr>
          <w:rFonts w:eastAsia="Calibri"/>
          <w:noProof/>
        </w:rPr>
      </w:pPr>
      <w:r>
        <w:rPr>
          <w:rFonts w:eastAsia="Calibri"/>
          <w:noProof/>
          <w:lang w:val="en-US"/>
        </w:rPr>
        <w:t xml:space="preserve">On 22 November 2018, the </w:t>
      </w:r>
      <w:r>
        <w:rPr>
          <w:rFonts w:eastAsia="Calibri"/>
          <w:b/>
          <w:noProof/>
          <w:lang w:val="en-US"/>
        </w:rPr>
        <w:t>Customs Committee</w:t>
      </w:r>
      <w:r>
        <w:rPr>
          <w:rFonts w:eastAsia="Calibri"/>
          <w:noProof/>
          <w:lang w:val="en-US"/>
        </w:rPr>
        <w:t xml:space="preserve"> met in Brussels. It mostly addressed issues related to rules of origin, in particular origin verification procedures and issues related to the approved exporter system. The EU also raised duty relief on goods re-entered after repair and both sides discussed mutual administrative assistance, </w:t>
      </w:r>
      <w:r>
        <w:rPr>
          <w:rFonts w:eastAsia="Calibri"/>
          <w:noProof/>
        </w:rPr>
        <w:t xml:space="preserve">including the exchange of information points and cooperation on specific cases in which the level of co-operation from South Korea was considered by the EU side as unsatisfactory. </w:t>
      </w:r>
    </w:p>
    <w:p>
      <w:pPr>
        <w:jc w:val="both"/>
        <w:rPr>
          <w:rFonts w:eastAsia="Calibri"/>
          <w:noProof/>
        </w:rPr>
      </w:pPr>
    </w:p>
    <w:p>
      <w:pPr>
        <w:jc w:val="both"/>
        <w:rPr>
          <w:rFonts w:eastAsia="Calibri"/>
          <w:noProof/>
        </w:rPr>
      </w:pPr>
      <w:r>
        <w:rPr>
          <w:rFonts w:eastAsia="Calibri"/>
          <w:noProof/>
        </w:rPr>
        <w:t xml:space="preserve">On 7 November 2018, the </w:t>
      </w:r>
      <w:r>
        <w:rPr>
          <w:rFonts w:eastAsia="Calibri"/>
          <w:b/>
          <w:noProof/>
        </w:rPr>
        <w:t>4</w:t>
      </w:r>
      <w:r>
        <w:rPr>
          <w:rFonts w:eastAsia="Calibri"/>
          <w:b/>
          <w:noProof/>
          <w:vertAlign w:val="superscript"/>
        </w:rPr>
        <w:t>th</w:t>
      </w:r>
      <w:r>
        <w:rPr>
          <w:rFonts w:eastAsia="Calibri"/>
          <w:b/>
          <w:noProof/>
        </w:rPr>
        <w:t xml:space="preserve"> EU-South Korea Dialogue on Electronics</w:t>
      </w:r>
      <w:r>
        <w:rPr>
          <w:rFonts w:eastAsia="Calibri"/>
          <w:noProof/>
        </w:rPr>
        <w:t xml:space="preserve"> took place in Brussels. A wide range of issues was discussed, including the following: the implementation and enlargement of the scope of Annex 2-B of the agreement to include radio equipment testing; the review of Appendix 2-B-3 of the agreement to simplify conformity assessment procedures; a future cooperation on the development of new standards; modifications on the EU Eco-design Regulation for Electronic Display asked by South Korea. Discussions were also held on EU energy labelling requirements for electronic displays, light source and household refrigerating appliances. </w:t>
      </w:r>
    </w:p>
    <w:p>
      <w:pPr>
        <w:jc w:val="both"/>
        <w:rPr>
          <w:rFonts w:eastAsia="Calibri"/>
          <w:noProof/>
        </w:rPr>
      </w:pPr>
    </w:p>
    <w:p>
      <w:pPr>
        <w:jc w:val="both"/>
        <w:rPr>
          <w:rFonts w:eastAsia="Calibri"/>
          <w:noProof/>
        </w:rPr>
      </w:pPr>
      <w:r>
        <w:rPr>
          <w:rFonts w:eastAsia="Calibri"/>
          <w:noProof/>
        </w:rPr>
        <w:t xml:space="preserve">The </w:t>
      </w:r>
      <w:r>
        <w:rPr>
          <w:rFonts w:eastAsia="Calibri"/>
          <w:b/>
          <w:noProof/>
        </w:rPr>
        <w:t>Working Group on Motor Vehicles and Parts</w:t>
      </w:r>
      <w:r>
        <w:rPr>
          <w:rFonts w:eastAsia="Calibri"/>
          <w:noProof/>
        </w:rPr>
        <w:t xml:space="preserve"> met in Brussels on 4 December 2018 and addressed environmental issues, technical standards, harmonization, convergence and market access issues. Compared to previous years, the Working Group also discussed different issues related to broader cooperation on trade policy, including international developments, the state of play of bilateral trade flows and investments and the business climate in the sector. During the April 2019 Trade Committee the EU and South Korea concluded to endorse the administrative amendment of Annex 2-C in order to be implemented by September 2019. On the regulatory side, the parties agreed to share information on CO2 emission regulations for passenger cars, heavy-duty vehicles and “Emission Related Components” certification procedures. The EU agreed to provide additional information on the entry into force of the EU “Whole Type Approval”. Market access issues discussed included, </w:t>
      </w:r>
      <w:r>
        <w:rPr>
          <w:rFonts w:eastAsia="Calibri"/>
          <w:i/>
          <w:noProof/>
        </w:rPr>
        <w:t>inter alia</w:t>
      </w:r>
      <w:r>
        <w:rPr>
          <w:rFonts w:eastAsia="Calibri"/>
          <w:noProof/>
        </w:rPr>
        <w:t xml:space="preserve">, truck-tractors, self-certification and marking of car parts, vehicle width limit, homologation certificates and producers responsibility for end of life vehicles. </w:t>
      </w:r>
    </w:p>
    <w:p>
      <w:pPr>
        <w:jc w:val="both"/>
        <w:rPr>
          <w:rFonts w:eastAsia="Calibri"/>
          <w:noProof/>
        </w:rPr>
      </w:pPr>
    </w:p>
    <w:p>
      <w:pPr>
        <w:jc w:val="both"/>
        <w:rPr>
          <w:rFonts w:eastAsia="Calibri"/>
          <w:noProof/>
        </w:rPr>
      </w:pPr>
      <w:r>
        <w:rPr>
          <w:rFonts w:eastAsia="Calibri"/>
          <w:noProof/>
        </w:rPr>
        <w:t>The 7</w:t>
      </w:r>
      <w:r>
        <w:rPr>
          <w:rFonts w:eastAsia="Calibri"/>
          <w:noProof/>
          <w:vertAlign w:val="superscript"/>
        </w:rPr>
        <w:t>th</w:t>
      </w:r>
      <w:r>
        <w:rPr>
          <w:rFonts w:eastAsia="Calibri"/>
          <w:noProof/>
        </w:rPr>
        <w:t xml:space="preserve"> meeting of the </w:t>
      </w:r>
      <w:r>
        <w:rPr>
          <w:rFonts w:eastAsia="Calibri"/>
          <w:b/>
          <w:noProof/>
        </w:rPr>
        <w:t>Working Group on Pharmaceuticals and Medical Devices</w:t>
      </w:r>
      <w:r>
        <w:rPr>
          <w:rFonts w:eastAsia="Calibri"/>
          <w:noProof/>
        </w:rPr>
        <w:t xml:space="preserve"> took place on 5 December 2018. In the area of medical devices, the parties exchanged information on i.a. the current draft of the Unique Device Identifier (UDI) rules in South Korea and on the objective and future implementation of the Integrated Medical Device Information System (IMDIS) in South Korea. Concerning pharmaceuticals, both sides discussed i.a. the draft amended premium pricing policy published on 7 November 2018 by South Korea that amends the conditions for rewarding innovations in new pharmaceutical products in South Korea. </w:t>
      </w:r>
    </w:p>
    <w:p>
      <w:pPr>
        <w:jc w:val="both"/>
        <w:rPr>
          <w:rFonts w:eastAsia="Calibri"/>
          <w:noProof/>
        </w:rPr>
      </w:pPr>
    </w:p>
    <w:p>
      <w:pPr>
        <w:jc w:val="both"/>
        <w:rPr>
          <w:rFonts w:eastAsia="Calibri"/>
          <w:noProof/>
        </w:rPr>
      </w:pPr>
      <w:r>
        <w:rPr>
          <w:rFonts w:eastAsia="Calibri"/>
          <w:noProof/>
        </w:rPr>
        <w:t xml:space="preserve">The </w:t>
      </w:r>
      <w:r>
        <w:rPr>
          <w:rFonts w:eastAsia="Calibri"/>
          <w:b/>
          <w:noProof/>
        </w:rPr>
        <w:t>Working Group on Chemicals</w:t>
      </w:r>
      <w:r>
        <w:rPr>
          <w:rFonts w:eastAsia="Calibri"/>
          <w:noProof/>
        </w:rPr>
        <w:t xml:space="preserve"> organised a videoconference on 5 March 2019 and engaged in useful exchanges on regulatory developments of interest to both sides. The EU notably requested additional information and clarifications on i.a. the amendments to the South Korean REACH legislation implemented in January 2019 and on the requirements for treated articles placed on the South Korean market under the South Korean Biocidal Product Regulation.   </w:t>
      </w:r>
    </w:p>
    <w:p>
      <w:pPr>
        <w:jc w:val="both"/>
        <w:rPr>
          <w:rFonts w:eastAsia="Calibri"/>
          <w:noProof/>
        </w:rPr>
      </w:pPr>
    </w:p>
    <w:p>
      <w:pPr>
        <w:jc w:val="both"/>
        <w:rPr>
          <w:rFonts w:eastAsia="Calibri"/>
          <w:noProof/>
        </w:rPr>
      </w:pPr>
      <w:r>
        <w:rPr>
          <w:rFonts w:eastAsia="Calibri"/>
          <w:noProof/>
        </w:rPr>
        <w:t xml:space="preserve">The </w:t>
      </w:r>
      <w:r>
        <w:rPr>
          <w:rFonts w:eastAsia="Calibri"/>
          <w:b/>
          <w:bCs/>
          <w:noProof/>
        </w:rPr>
        <w:t>Committee on SPS Measures</w:t>
      </w:r>
      <w:r>
        <w:rPr>
          <w:rFonts w:eastAsia="Calibri"/>
          <w:noProof/>
        </w:rPr>
        <w:t xml:space="preserve"> met in Brussels</w:t>
      </w:r>
      <w:r>
        <w:rPr>
          <w:rFonts w:eastAsia="Calibri"/>
          <w:b/>
          <w:bCs/>
          <w:noProof/>
        </w:rPr>
        <w:t xml:space="preserve"> </w:t>
      </w:r>
      <w:r>
        <w:rPr>
          <w:rFonts w:eastAsia="Calibri"/>
          <w:noProof/>
        </w:rPr>
        <w:t>on 19 September 2018. The Parties discussed pending applications for import of EU and South Korean beef, the recognition of regionalisation measures for avian influenza and African swine fever, and policies related to certification. South Korea also requested to discuss the pending application for export of chicken-ginseng soup and dairy products to the EU. The meeting was followed by a one-day seminar to discuss regionalisation policies in the EU and South Korea to control outbreaks of highly pathogenic avian influenza.</w:t>
      </w:r>
    </w:p>
    <w:p>
      <w:pPr>
        <w:jc w:val="both"/>
        <w:rPr>
          <w:rFonts w:eastAsia="Calibri"/>
          <w:noProof/>
        </w:rPr>
      </w:pPr>
    </w:p>
    <w:p>
      <w:pPr>
        <w:jc w:val="both"/>
        <w:rPr>
          <w:rFonts w:eastAsia="Calibri"/>
          <w:noProof/>
        </w:rPr>
      </w:pPr>
      <w:r>
        <w:rPr>
          <w:rFonts w:eastAsia="Calibri"/>
          <w:noProof/>
        </w:rPr>
        <w:t>The 7</w:t>
      </w:r>
      <w:r>
        <w:rPr>
          <w:rFonts w:eastAsia="Calibri"/>
          <w:noProof/>
          <w:vertAlign w:val="superscript"/>
        </w:rPr>
        <w:t>th</w:t>
      </w:r>
      <w:r>
        <w:rPr>
          <w:rFonts w:eastAsia="Calibri"/>
          <w:noProof/>
        </w:rPr>
        <w:t xml:space="preserve"> EU-South Korea</w:t>
      </w:r>
      <w:r>
        <w:rPr>
          <w:rFonts w:eastAsia="Calibri"/>
          <w:b/>
          <w:noProof/>
        </w:rPr>
        <w:t xml:space="preserve"> Trade in Goods Committee </w:t>
      </w:r>
      <w:r>
        <w:rPr>
          <w:rFonts w:eastAsia="Calibri"/>
          <w:noProof/>
        </w:rPr>
        <w:t>was held on 6</w:t>
      </w:r>
      <w:r>
        <w:rPr>
          <w:rFonts w:eastAsia="Calibri"/>
          <w:noProof/>
          <w:vertAlign w:val="superscript"/>
        </w:rPr>
        <w:t>th</w:t>
      </w:r>
      <w:r>
        <w:rPr>
          <w:rFonts w:eastAsia="Calibri"/>
          <w:noProof/>
        </w:rPr>
        <w:t xml:space="preserve"> December 2018 in Brussels. A number of sectoral issues wre discussed including the preparation of the next Trade Committee foreseen for April 2019. The meeting brought many clarifications on the cosmetics sector legislation in South Korea and the F-gas quota system in the EU. While no breakthrough was registered at the meeting, enhanced cooperation on electronics with the view to enlarge the annex to radio equipment was agreed. EU concerns were raised with regard to an increased support to shipbuilding by the South Korean government and the EU requested more transparency and a dedicated dialogue. The implementation of the competition chapter was also raised. Finally, both sides discussed the preparation of the Trade Committee.</w:t>
      </w:r>
    </w:p>
    <w:p>
      <w:pPr>
        <w:jc w:val="both"/>
        <w:rPr>
          <w:rFonts w:eastAsia="Calibri"/>
          <w:noProof/>
        </w:rPr>
      </w:pPr>
    </w:p>
    <w:p>
      <w:pPr>
        <w:jc w:val="both"/>
        <w:rPr>
          <w:rFonts w:eastAsia="Calibri"/>
          <w:noProof/>
        </w:rPr>
      </w:pPr>
      <w:r>
        <w:rPr>
          <w:rFonts w:eastAsia="Calibri"/>
          <w:noProof/>
        </w:rPr>
        <w:t>The 5</w:t>
      </w:r>
      <w:r>
        <w:rPr>
          <w:rFonts w:eastAsia="Calibri"/>
          <w:noProof/>
          <w:vertAlign w:val="superscript"/>
        </w:rPr>
        <w:t>th</w:t>
      </w:r>
      <w:r>
        <w:rPr>
          <w:rFonts w:eastAsia="Calibri"/>
          <w:noProof/>
        </w:rPr>
        <w:t xml:space="preserve"> and the 6</w:t>
      </w:r>
      <w:r>
        <w:rPr>
          <w:rFonts w:eastAsia="Calibri"/>
          <w:noProof/>
          <w:vertAlign w:val="superscript"/>
        </w:rPr>
        <w:t>th</w:t>
      </w:r>
      <w:r>
        <w:rPr>
          <w:rFonts w:eastAsia="Calibri"/>
          <w:noProof/>
        </w:rPr>
        <w:t xml:space="preserve"> meetings of the </w:t>
      </w:r>
      <w:r>
        <w:rPr>
          <w:rFonts w:eastAsia="Calibri"/>
          <w:b/>
          <w:noProof/>
        </w:rPr>
        <w:t>Trade Remedy Cooperation Working Group</w:t>
      </w:r>
      <w:r>
        <w:rPr>
          <w:rFonts w:eastAsia="Calibri"/>
          <w:noProof/>
        </w:rPr>
        <w:t xml:space="preserve"> were held on 7 December 2018 in Brussels and 20 May 2019 in Seoul, respectively. The latter meeting took place back-to-back with the International KTC Seoul Forum on Trade Remedies in which the EU side participated. During the 5</w:t>
      </w:r>
      <w:r>
        <w:rPr>
          <w:rFonts w:eastAsia="Calibri"/>
          <w:noProof/>
          <w:vertAlign w:val="superscript"/>
        </w:rPr>
        <w:t>th</w:t>
      </w:r>
      <w:r>
        <w:rPr>
          <w:rFonts w:eastAsia="Calibri"/>
          <w:noProof/>
        </w:rPr>
        <w:t xml:space="preserve"> and the 6</w:t>
      </w:r>
      <w:r>
        <w:rPr>
          <w:rFonts w:eastAsia="Calibri"/>
          <w:noProof/>
          <w:vertAlign w:val="superscript"/>
        </w:rPr>
        <w:t>th</w:t>
      </w:r>
      <w:r>
        <w:rPr>
          <w:rFonts w:eastAsia="Calibri"/>
          <w:noProof/>
        </w:rPr>
        <w:t xml:space="preserve"> meetings of the Trade Remedy Cooperation Working Group, the two sides updated each other on latest developments in domestic trade remedy laws, policies and practice. The EU side notably debriefed South Korea on the entry into force and implementation of the two latest amendments to the EU Trade Remedy basic legislation, namely the ‘new anti-dumping methodology’ and the ‘modernisation of trade defence instruments’, which had entered into force in December 2017 and June 2018 respectively</w:t>
      </w:r>
      <w:r>
        <w:rPr>
          <w:rFonts w:eastAsia="Calibri"/>
          <w:noProof/>
          <w:vertAlign w:val="superscript"/>
          <w:lang w:val="fr-BE"/>
        </w:rPr>
        <w:footnoteReference w:id="10"/>
      </w:r>
      <w:r>
        <w:rPr>
          <w:rFonts w:eastAsia="Calibri"/>
          <w:noProof/>
        </w:rPr>
        <w:t>. South Korea expressed concerns with respect to the EU steel safeguard measures</w:t>
      </w:r>
      <w:r>
        <w:rPr>
          <w:rStyle w:val="FootnoteReference"/>
          <w:rFonts w:eastAsia="Calibri"/>
          <w:noProof/>
        </w:rPr>
        <w:footnoteReference w:id="11"/>
      </w:r>
      <w:r>
        <w:rPr>
          <w:rFonts w:eastAsia="Calibri"/>
          <w:noProof/>
        </w:rPr>
        <w:t xml:space="preserve"> and the EU briefed South Korea on the upcoming review investigation of the steel safeguard measures. The EU expressed concerns with the respect of general fairness and transparency principles in a recent investigation conducted by South Korea against Italian exports of stainless steel bars. The EU invited South Korea to revise its policy and methodology accordingly. The two sides also shared statistics on Trade Defence cases and exchanged views on global trends in trade remedy investigations, and related WTO litigation.</w:t>
      </w:r>
    </w:p>
    <w:p>
      <w:pPr>
        <w:jc w:val="both"/>
        <w:rPr>
          <w:rFonts w:eastAsia="Calibri"/>
          <w:noProof/>
        </w:rPr>
      </w:pPr>
    </w:p>
    <w:p>
      <w:pPr>
        <w:jc w:val="both"/>
        <w:rPr>
          <w:rFonts w:eastAsia="Calibri"/>
          <w:iCs/>
          <w:noProof/>
        </w:rPr>
      </w:pPr>
      <w:r>
        <w:rPr>
          <w:rFonts w:eastAsia="Calibri"/>
          <w:iCs/>
          <w:noProof/>
        </w:rPr>
        <w:t xml:space="preserve">The meeting of the </w:t>
      </w:r>
      <w:r>
        <w:rPr>
          <w:rFonts w:eastAsia="Calibri"/>
          <w:b/>
          <w:bCs/>
          <w:iCs/>
          <w:noProof/>
        </w:rPr>
        <w:t>Working Group on Government Procurement</w:t>
      </w:r>
      <w:r>
        <w:rPr>
          <w:rFonts w:eastAsia="Calibri"/>
          <w:iCs/>
          <w:noProof/>
        </w:rPr>
        <w:t xml:space="preserve"> took place in Brussels on 26 November 2018. The Parties provided information  on recent legislative developments, discussed market access issues and potential irregularities raised by European and South Korean industries. Both sides are committed to ensure that the FTA is implemented and any irregularity in the effective public procurement market access is corrected. Among other issues the Parties exchanged views on cooperation on SME policy (that may require a follow up with a recently established Ministry for SMEs in South Korea) and the EU inquired about a possible interest from the South Korean side to integrate a machine translation tool for tender notices in its e-procurement portal. </w:t>
      </w:r>
    </w:p>
    <w:p>
      <w:pPr>
        <w:jc w:val="both"/>
        <w:rPr>
          <w:rFonts w:eastAsia="Calibri"/>
          <w:iCs/>
          <w:noProof/>
        </w:rPr>
      </w:pPr>
    </w:p>
    <w:p>
      <w:pPr>
        <w:jc w:val="both"/>
        <w:rPr>
          <w:rFonts w:eastAsia="Calibri"/>
          <w:noProof/>
        </w:rPr>
      </w:pPr>
      <w:bookmarkStart w:id="227" w:name="_Toc9008097"/>
      <w:bookmarkStart w:id="228" w:name="_Toc9008050"/>
      <w:r>
        <w:rPr>
          <w:rFonts w:eastAsia="Calibri"/>
          <w:noProof/>
        </w:rPr>
        <w:t>The 6</w:t>
      </w:r>
      <w:r>
        <w:rPr>
          <w:rFonts w:eastAsia="Calibri"/>
          <w:noProof/>
          <w:vertAlign w:val="superscript"/>
        </w:rPr>
        <w:t>th</w:t>
      </w:r>
      <w:r>
        <w:rPr>
          <w:rFonts w:eastAsia="Calibri"/>
          <w:noProof/>
        </w:rPr>
        <w:t xml:space="preserve"> EU-South Korea </w:t>
      </w:r>
      <w:r>
        <w:rPr>
          <w:rFonts w:eastAsia="Calibri"/>
          <w:b/>
          <w:bCs/>
          <w:noProof/>
        </w:rPr>
        <w:t>Cultural Cooperation Committee</w:t>
      </w:r>
      <w:r>
        <w:rPr>
          <w:rFonts w:eastAsia="Calibri"/>
          <w:noProof/>
        </w:rPr>
        <w:t xml:space="preserve"> convened on 13 May 2019 in Seoul, followed by a 2 day study visit to various South Korean cultural institutions. The topics discussed included performing arts, culture and cities, new developments in cultural and creative sectors- namely cultural entrepreneurship, the cultural content industry and the connections between arts, science and technology- architecture and audio-visual co-productions. </w:t>
      </w:r>
    </w:p>
    <w:p>
      <w:pPr>
        <w:pStyle w:val="ManualHeading1"/>
      </w:pPr>
      <w:bookmarkStart w:id="229" w:name="_Toc8833455"/>
      <w:bookmarkStart w:id="230" w:name="_Toc8835282"/>
      <w:bookmarkStart w:id="231" w:name="_Toc8833912"/>
      <w:bookmarkStart w:id="232" w:name="_Toc8909375"/>
      <w:bookmarkStart w:id="233" w:name="_Toc8910587"/>
      <w:bookmarkStart w:id="234" w:name="_Toc8911624"/>
      <w:bookmarkStart w:id="235" w:name="_Toc8974430"/>
      <w:bookmarkStart w:id="236" w:name="_Toc9348496"/>
      <w:bookmarkStart w:id="237" w:name="_Toc9607948"/>
      <w:bookmarkStart w:id="238" w:name="_Toc16000524"/>
      <w:r>
        <w:t>4.</w:t>
      </w:r>
      <w:r>
        <w:tab/>
        <w:t>Implementation of the provisions on trade and sustainable development</w:t>
      </w:r>
      <w:bookmarkEnd w:id="227"/>
      <w:bookmarkEnd w:id="228"/>
      <w:bookmarkEnd w:id="229"/>
      <w:bookmarkEnd w:id="230"/>
      <w:bookmarkEnd w:id="231"/>
      <w:bookmarkEnd w:id="232"/>
      <w:bookmarkEnd w:id="233"/>
      <w:bookmarkEnd w:id="234"/>
      <w:bookmarkEnd w:id="235"/>
      <w:bookmarkEnd w:id="236"/>
      <w:bookmarkEnd w:id="237"/>
      <w:bookmarkEnd w:id="238"/>
    </w:p>
    <w:p>
      <w:pPr>
        <w:jc w:val="both"/>
        <w:rPr>
          <w:noProof/>
        </w:rPr>
      </w:pPr>
      <w:r>
        <w:rPr>
          <w:noProof/>
        </w:rPr>
        <w:t>The Commission continued to express its serious concerns and stepped-up its messages vis-à-vis the South Korean government regarding FTA commitments related to international (ILO) standards and agreements. These concerns have been raised in the framework of regular FTA committees including at the 6</w:t>
      </w:r>
      <w:r>
        <w:rPr>
          <w:noProof/>
          <w:vertAlign w:val="superscript"/>
        </w:rPr>
        <w:t>th</w:t>
      </w:r>
      <w:r>
        <w:rPr>
          <w:noProof/>
        </w:rPr>
        <w:t xml:space="preserve"> meeting of the TSD committee of 13 July 2018</w:t>
      </w:r>
      <w:r>
        <w:rPr>
          <w:rStyle w:val="FootnoteReference"/>
          <w:noProof/>
        </w:rPr>
        <w:footnoteReference w:id="12"/>
      </w:r>
      <w:r>
        <w:rPr>
          <w:noProof/>
        </w:rPr>
        <w:t xml:space="preserve">. Also, civil society has again raised these concerns in the context of regular work of the Domestic Advisory Groups and the Civil Society Forum under the FTA. </w:t>
      </w:r>
    </w:p>
    <w:p>
      <w:pPr>
        <w:jc w:val="both"/>
        <w:rPr>
          <w:noProof/>
        </w:rPr>
      </w:pPr>
    </w:p>
    <w:p>
      <w:pPr>
        <w:jc w:val="both"/>
        <w:rPr>
          <w:noProof/>
        </w:rPr>
      </w:pPr>
      <w:r>
        <w:rPr>
          <w:noProof/>
        </w:rPr>
        <w:t>Due to insufficient progress on the envisaged steps presented by Korea at the 6</w:t>
      </w:r>
      <w:r>
        <w:rPr>
          <w:noProof/>
          <w:vertAlign w:val="superscript"/>
        </w:rPr>
        <w:t>th</w:t>
      </w:r>
      <w:r>
        <w:rPr>
          <w:noProof/>
        </w:rPr>
        <w:t xml:space="preserve"> Committee on Trade and Sustainable Development, and in line with the more assertive approach to enforcement of commitments as outlined in the TSD 15-point action plan of February 2018, on 17 December 2018 the Commission formally requested the government </w:t>
      </w:r>
      <w:hyperlink r:id="rId23" w:history="1">
        <w:r>
          <w:rPr>
            <w:rStyle w:val="Hyperlink"/>
            <w:noProof/>
          </w:rPr>
          <w:t>request consultations</w:t>
        </w:r>
      </w:hyperlink>
      <w:r>
        <w:rPr>
          <w:noProof/>
        </w:rPr>
        <w:t xml:space="preserve"> under Article 13.14 of the FTA to seek a mutually satisfactory solution</w:t>
      </w:r>
      <w:r>
        <w:rPr>
          <w:rStyle w:val="FootnoteReference"/>
          <w:noProof/>
        </w:rPr>
        <w:footnoteReference w:id="13"/>
      </w:r>
      <w:r>
        <w:rPr>
          <w:noProof/>
        </w:rPr>
        <w:t xml:space="preserve">. </w:t>
      </w:r>
    </w:p>
    <w:p>
      <w:pPr>
        <w:jc w:val="both"/>
        <w:rPr>
          <w:noProof/>
        </w:rPr>
      </w:pPr>
    </w:p>
    <w:p>
      <w:pPr>
        <w:jc w:val="both"/>
        <w:rPr>
          <w:noProof/>
        </w:rPr>
      </w:pPr>
      <w:r>
        <w:rPr>
          <w:noProof/>
        </w:rPr>
        <w:t>In that context, the EU raised concerns with regard to Korea’s issues with respecting in law and practice of the core International Labour Organisation (ILO) principles of the freedom of association and right to collective bargaining, and with regard to the insufficient efforts by Korea towards the ratification of four outstanding fundamental ILO Conventions.</w:t>
      </w:r>
    </w:p>
    <w:p>
      <w:pPr>
        <w:jc w:val="both"/>
        <w:rPr>
          <w:noProof/>
        </w:rPr>
      </w:pPr>
    </w:p>
    <w:p>
      <w:pPr>
        <w:jc w:val="both"/>
        <w:rPr>
          <w:noProof/>
        </w:rPr>
      </w:pPr>
      <w:r>
        <w:rPr>
          <w:noProof/>
        </w:rPr>
        <w:t>Government consultations are a first step of dispute settlement proceedings. This is the first dispute settlement initiated by the EU under bilateral trade agreement. The EU held government consultations with Korea on 21 January 2019. Korean government has engaged cooperatively however the consultations however these did not lead to any satisfactory solution and the progress made until now by Korea has been insufficient. In the follow-up to the government consultations, the Commission raised the insufficient progress on labour commitments at meetings with Korean trade and labour ministers at the occasion of 8</w:t>
      </w:r>
      <w:r>
        <w:rPr>
          <w:noProof/>
          <w:vertAlign w:val="superscript"/>
        </w:rPr>
        <w:t>th</w:t>
      </w:r>
      <w:r>
        <w:rPr>
          <w:noProof/>
        </w:rPr>
        <w:t xml:space="preserve"> Trade Committee on 9 April 2019 in Seoul.</w:t>
      </w:r>
    </w:p>
    <w:p>
      <w:pPr>
        <w:jc w:val="both"/>
        <w:rPr>
          <w:noProof/>
        </w:rPr>
      </w:pPr>
    </w:p>
    <w:p>
      <w:pPr>
        <w:spacing w:after="120"/>
        <w:jc w:val="both"/>
        <w:rPr>
          <w:noProof/>
          <w:lang w:val="en"/>
        </w:rPr>
      </w:pPr>
      <w:r>
        <w:rPr>
          <w:noProof/>
          <w:lang w:val="en"/>
        </w:rPr>
        <w:t xml:space="preserve">Since the outcome of the efforts by the Korean government remain uncertain, on 4 July 2019, </w:t>
      </w:r>
      <w:r>
        <w:rPr>
          <w:noProof/>
        </w:rPr>
        <w:t xml:space="preserve">the EU requested </w:t>
      </w:r>
      <w:hyperlink r:id="rId24" w:history="1">
        <w:r>
          <w:rPr>
            <w:rStyle w:val="Hyperlink"/>
            <w:noProof/>
          </w:rPr>
          <w:t>the establishment of a panel</w:t>
        </w:r>
      </w:hyperlink>
      <w:r>
        <w:rPr>
          <w:rStyle w:val="FootnoteReference"/>
          <w:noProof/>
          <w:color w:val="0000FF" w:themeColor="hyperlink"/>
        </w:rPr>
        <w:footnoteReference w:id="14"/>
      </w:r>
      <w:r>
        <w:rPr>
          <w:noProof/>
        </w:rPr>
        <w:t xml:space="preserve"> </w:t>
      </w:r>
      <w:r>
        <w:rPr>
          <w:noProof/>
          <w:lang w:val="en"/>
        </w:rPr>
        <w:t>(the 2</w:t>
      </w:r>
      <w:r>
        <w:rPr>
          <w:noProof/>
          <w:vertAlign w:val="superscript"/>
          <w:lang w:val="en"/>
        </w:rPr>
        <w:t>nd</w:t>
      </w:r>
      <w:r>
        <w:rPr>
          <w:noProof/>
          <w:lang w:val="en"/>
        </w:rPr>
        <w:t xml:space="preserve"> stage of the arbitration procedure under the FTA) to examine the matters that have not been satisfactory addressed through government consultations. During the panel proceedings, the Commission will remain open to continue looking for a mutually agreed solution to the dispute. If Korea does not comply with its commitments in a timely manner, the panel of experts will deliver a public report with recommendations on achieving compliance. The implementation of the recommendations of the panel report will then be monitored by the Trade and Sustainable Development Committee created under the terms of the EU-Korea trade agreement.</w:t>
      </w:r>
    </w:p>
    <w:p>
      <w:pPr>
        <w:pStyle w:val="ManualHeading1"/>
      </w:pPr>
      <w:bookmarkStart w:id="239" w:name="_Toc8833456"/>
      <w:bookmarkStart w:id="240" w:name="_Toc8835283"/>
      <w:bookmarkStart w:id="241" w:name="_Toc8833913"/>
      <w:bookmarkStart w:id="242" w:name="_Toc8909376"/>
      <w:bookmarkStart w:id="243" w:name="_Toc8910588"/>
      <w:bookmarkStart w:id="244" w:name="_Toc8911625"/>
      <w:bookmarkStart w:id="245" w:name="_Toc8974431"/>
      <w:bookmarkStart w:id="246" w:name="_Toc9008098"/>
      <w:bookmarkStart w:id="247" w:name="_Toc9008051"/>
      <w:bookmarkStart w:id="248" w:name="_Toc9348497"/>
      <w:bookmarkStart w:id="249" w:name="_Toc9607949"/>
      <w:bookmarkStart w:id="250" w:name="_Toc16000525"/>
      <w:r>
        <w:t>5.</w:t>
      </w:r>
      <w:r>
        <w:tab/>
        <w:t>Specific areas subject to monitoring</w:t>
      </w:r>
      <w:bookmarkEnd w:id="239"/>
      <w:bookmarkEnd w:id="240"/>
      <w:bookmarkEnd w:id="241"/>
      <w:bookmarkEnd w:id="242"/>
      <w:bookmarkEnd w:id="243"/>
      <w:bookmarkEnd w:id="244"/>
      <w:bookmarkEnd w:id="245"/>
      <w:bookmarkEnd w:id="246"/>
      <w:bookmarkEnd w:id="247"/>
      <w:bookmarkEnd w:id="248"/>
      <w:bookmarkEnd w:id="249"/>
      <w:bookmarkEnd w:id="250"/>
    </w:p>
    <w:p>
      <w:pPr>
        <w:jc w:val="both"/>
        <w:rPr>
          <w:noProof/>
        </w:rPr>
      </w:pPr>
      <w:r>
        <w:rPr>
          <w:noProof/>
        </w:rPr>
        <w:t>In line with Article 14 of the protocol on Rules of Origin, South Korea’s imports of key car parts and electronics from the most important suppliers (outside the EU) have been monitored. China and Japan remain the largest car parts suppliers. Japan still pays full duty on car parts while China benefits from tariff reduction (within the South Korea-China agreement most car parts will be liberalised in 10 or 15 years).</w:t>
      </w:r>
    </w:p>
    <w:p>
      <w:pPr>
        <w:jc w:val="both"/>
        <w:rPr>
          <w:noProof/>
        </w:rPr>
      </w:pPr>
    </w:p>
    <w:p>
      <w:pPr>
        <w:jc w:val="both"/>
        <w:rPr>
          <w:rFonts w:eastAsia="Calibri"/>
          <w:noProof/>
        </w:rPr>
      </w:pPr>
      <w:r>
        <w:rPr>
          <w:rFonts w:eastAsia="Calibri"/>
          <w:noProof/>
          <w:lang w:eastAsia="en-GB"/>
        </w:rPr>
        <w:drawing>
          <wp:inline distT="0" distB="0" distL="0" distR="0">
            <wp:extent cx="5731510" cy="2100264"/>
            <wp:effectExtent l="0" t="0" r="2540" b="0"/>
            <wp:docPr id="84719523" name="Picture 84719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2100264"/>
                    </a:xfrm>
                    <a:prstGeom prst="rect">
                      <a:avLst/>
                    </a:prstGeom>
                    <a:noFill/>
                    <a:ln>
                      <a:noFill/>
                    </a:ln>
                  </pic:spPr>
                </pic:pic>
              </a:graphicData>
            </a:graphic>
          </wp:inline>
        </w:drawing>
      </w:r>
    </w:p>
    <w:p>
      <w:pPr>
        <w:rPr>
          <w:i/>
          <w:noProof/>
        </w:rPr>
      </w:pPr>
      <w:r>
        <w:rPr>
          <w:i/>
          <w:noProof/>
        </w:rPr>
        <w:t>Source: KITA</w:t>
      </w:r>
    </w:p>
    <w:p>
      <w:pPr>
        <w:rPr>
          <w:noProof/>
        </w:rPr>
      </w:pPr>
    </w:p>
    <w:p>
      <w:pPr>
        <w:jc w:val="both"/>
        <w:rPr>
          <w:noProof/>
        </w:rPr>
      </w:pPr>
      <w:r>
        <w:rPr>
          <w:noProof/>
        </w:rPr>
        <w:t>In conclusion, the import pattern has not fundamentally changed since the EU-South Korea FTA was signed and there was no significant increase in imports of car components and key electronics from the largest suppliers to South Korea in 2018 compared to 2017. Based on these trade statistics, it is not possible to establish a link between the allowance of duty drawback and the increase in EU imports of cars from South Korea.</w:t>
      </w:r>
    </w:p>
    <w:p>
      <w:pPr>
        <w:pStyle w:val="ManualHeading1"/>
      </w:pPr>
      <w:bookmarkStart w:id="251" w:name="_Toc8833457"/>
      <w:bookmarkStart w:id="252" w:name="_Toc8835284"/>
      <w:bookmarkStart w:id="253" w:name="_Toc8833914"/>
      <w:bookmarkStart w:id="254" w:name="_Toc8909377"/>
      <w:bookmarkStart w:id="255" w:name="_Toc8910589"/>
      <w:bookmarkStart w:id="256" w:name="_Toc8911626"/>
      <w:bookmarkStart w:id="257" w:name="_Toc8974432"/>
      <w:bookmarkStart w:id="258" w:name="_Toc9008099"/>
      <w:bookmarkStart w:id="259" w:name="_Toc9008052"/>
      <w:bookmarkStart w:id="260" w:name="_Toc9348498"/>
      <w:bookmarkStart w:id="261" w:name="_Toc9607950"/>
      <w:bookmarkStart w:id="262" w:name="_Toc16000526"/>
      <w:r>
        <w:t>6.</w:t>
      </w:r>
      <w:r>
        <w:tab/>
        <w:t>Progress, main open issues and follow-up actions</w:t>
      </w:r>
      <w:bookmarkEnd w:id="251"/>
      <w:bookmarkEnd w:id="252"/>
      <w:bookmarkEnd w:id="253"/>
      <w:bookmarkEnd w:id="254"/>
      <w:bookmarkEnd w:id="255"/>
      <w:bookmarkEnd w:id="256"/>
      <w:bookmarkEnd w:id="257"/>
      <w:bookmarkEnd w:id="258"/>
      <w:bookmarkEnd w:id="259"/>
      <w:bookmarkEnd w:id="260"/>
      <w:bookmarkEnd w:id="261"/>
      <w:bookmarkEnd w:id="262"/>
    </w:p>
    <w:p>
      <w:pPr>
        <w:jc w:val="both"/>
        <w:rPr>
          <w:noProof/>
        </w:rPr>
      </w:pPr>
      <w:r>
        <w:rPr>
          <w:noProof/>
        </w:rPr>
        <w:t xml:space="preserve">Progress on the implementation of the Trade and Sustainable Development chapter of the FTA by South Korea has not been sufficient with regard to the ratification of the four pending ILO conventions and protection of </w:t>
      </w:r>
      <w:r>
        <w:rPr>
          <w:b/>
          <w:noProof/>
        </w:rPr>
        <w:t>labour rights</w:t>
      </w:r>
      <w:r>
        <w:rPr>
          <w:noProof/>
        </w:rPr>
        <w:t xml:space="preserve">. Therefore, the Commission stepped up the engagement with South Korea and launched dispute settlement proceedings under the FTA in order to address these issues. </w:t>
      </w:r>
    </w:p>
    <w:p>
      <w:pPr>
        <w:jc w:val="both"/>
        <w:rPr>
          <w:noProof/>
        </w:rPr>
      </w:pPr>
    </w:p>
    <w:p>
      <w:pPr>
        <w:jc w:val="both"/>
        <w:rPr>
          <w:noProof/>
        </w:rPr>
      </w:pPr>
      <w:r>
        <w:rPr>
          <w:noProof/>
        </w:rPr>
        <w:t xml:space="preserve">Access of EU </w:t>
      </w:r>
      <w:r>
        <w:rPr>
          <w:b/>
          <w:noProof/>
        </w:rPr>
        <w:t>beef</w:t>
      </w:r>
      <w:r>
        <w:rPr>
          <w:noProof/>
        </w:rPr>
        <w:t xml:space="preserve"> to the South Korean market, which has been closed to all EU imports since January 2001, remains another EU key concern. By mid-2019, South Korea carried out audits in two Member States (Denmark and The Netherlands) which depending on the conclusions of the auditors, open the door to beef from these two Member States on the South Korean market. However, the acceptance of the principle of regionalisation for animal diseases by South Korea remains an important topic in the sanitary and phyto-sanitary area in particular for the exports of pig meat and poultry products. </w:t>
      </w:r>
    </w:p>
    <w:p>
      <w:pPr>
        <w:jc w:val="both"/>
        <w:rPr>
          <w:noProof/>
        </w:rPr>
      </w:pPr>
    </w:p>
    <w:p>
      <w:pPr>
        <w:jc w:val="both"/>
        <w:rPr>
          <w:noProof/>
        </w:rPr>
      </w:pPr>
      <w:r>
        <w:rPr>
          <w:noProof/>
        </w:rPr>
        <w:t xml:space="preserve">In the area of </w:t>
      </w:r>
      <w:r>
        <w:rPr>
          <w:b/>
          <w:noProof/>
        </w:rPr>
        <w:t>Intellectual Property</w:t>
      </w:r>
      <w:r>
        <w:rPr>
          <w:noProof/>
        </w:rPr>
        <w:t>, South Korea still needs to establish an effective remuneration system for public performance rights. Lack of progress in this area remains a concern to the EU. The revised Presidential Decree, which entered into force in August 2018 did not sufficiently address the core issues of exempting the majority of retail venues from paying remunerations and the low level of fees. These issues will be discussed again at the next EU-South Korea Intellectual Property Dialogue under the FTA in autumn 2019. The extension of the geographical indications’ (GI) list protected by the FTA is also still pending. Recent adoption of the Rules of Procedure of the EU-South Korea GIs Working Group should ease the way towards adding further EU and South Korean geographical indications to the Annex of the FTA.</w:t>
      </w:r>
    </w:p>
    <w:p>
      <w:pPr>
        <w:jc w:val="both"/>
        <w:rPr>
          <w:noProof/>
        </w:rPr>
      </w:pPr>
    </w:p>
    <w:p>
      <w:pPr>
        <w:jc w:val="both"/>
        <w:rPr>
          <w:noProof/>
        </w:rPr>
      </w:pPr>
      <w:r>
        <w:rPr>
          <w:noProof/>
        </w:rPr>
        <w:t xml:space="preserve">Improvements in the area of </w:t>
      </w:r>
      <w:r>
        <w:rPr>
          <w:b/>
          <w:noProof/>
        </w:rPr>
        <w:t>customs procedures</w:t>
      </w:r>
      <w:r>
        <w:rPr>
          <w:noProof/>
        </w:rPr>
        <w:t xml:space="preserve"> could contribute to increase the preference utilisation rates, and further facilitate the participation of small and medium sized enterprises (SMEs).</w:t>
      </w:r>
    </w:p>
    <w:p>
      <w:pPr>
        <w:pStyle w:val="ManualHeading1"/>
      </w:pPr>
      <w:bookmarkStart w:id="263" w:name="_Toc8833458"/>
      <w:bookmarkStart w:id="264" w:name="_Toc8835285"/>
      <w:bookmarkStart w:id="265" w:name="_Toc8833915"/>
      <w:bookmarkStart w:id="266" w:name="_Toc8909378"/>
      <w:bookmarkStart w:id="267" w:name="_Toc8910590"/>
      <w:bookmarkStart w:id="268" w:name="_Toc8911627"/>
      <w:bookmarkStart w:id="269" w:name="_Toc8974433"/>
      <w:bookmarkStart w:id="270" w:name="_Toc9008100"/>
      <w:bookmarkStart w:id="271" w:name="_Toc9008053"/>
      <w:bookmarkStart w:id="272" w:name="_Toc9348499"/>
      <w:bookmarkStart w:id="273" w:name="_Toc9607951"/>
      <w:bookmarkStart w:id="274" w:name="_Toc16000527"/>
      <w:r>
        <w:t>7.</w:t>
      </w:r>
      <w:r>
        <w:tab/>
        <w:t>Conclusions and outlook</w:t>
      </w:r>
      <w:bookmarkEnd w:id="263"/>
      <w:bookmarkEnd w:id="264"/>
      <w:bookmarkEnd w:id="265"/>
      <w:bookmarkEnd w:id="266"/>
      <w:bookmarkEnd w:id="267"/>
      <w:bookmarkEnd w:id="268"/>
      <w:bookmarkEnd w:id="269"/>
      <w:bookmarkEnd w:id="270"/>
      <w:bookmarkEnd w:id="271"/>
      <w:bookmarkEnd w:id="272"/>
      <w:bookmarkEnd w:id="273"/>
      <w:bookmarkEnd w:id="274"/>
    </w:p>
    <w:p>
      <w:pPr>
        <w:jc w:val="both"/>
        <w:rPr>
          <w:noProof/>
        </w:rPr>
      </w:pPr>
      <w:r>
        <w:rPr>
          <w:noProof/>
        </w:rPr>
        <w:t xml:space="preserve">The EU-South Korea FTA offers a sound institutional framework for bilateral trade between the EU and South Korea despite the fact that some difficulties persist as outlined in section 6.  The </w:t>
      </w:r>
      <w:hyperlink r:id="rId26" w:history="1">
        <w:r>
          <w:rPr>
            <w:rStyle w:val="Hyperlink"/>
            <w:noProof/>
          </w:rPr>
          <w:t>ex post evaluation study of the FTA</w:t>
        </w:r>
      </w:hyperlink>
      <w:r>
        <w:rPr>
          <w:noProof/>
        </w:rPr>
        <w:t xml:space="preserve"> published by the EU Commission in March 2019 concluded that in the vast majority of areas the implementation works well, supporting economic development on both sides.</w:t>
      </w:r>
    </w:p>
    <w:p>
      <w:pPr>
        <w:jc w:val="both"/>
        <w:rPr>
          <w:noProof/>
        </w:rPr>
      </w:pPr>
    </w:p>
    <w:p>
      <w:pPr>
        <w:jc w:val="both"/>
        <w:rPr>
          <w:noProof/>
        </w:rPr>
      </w:pPr>
      <w:r>
        <w:rPr>
          <w:noProof/>
        </w:rPr>
        <w:t>Both parties continue working on the implementation of the EU-South Korea FTA in order to bring further benefits to their businesses and consumers. In this respect, the specialised committees and working groups established under the EU-South Korea FTA serve as a forum to discuss and seek solutions to the implementation and market access issues, including regulatory developments on both sides.</w:t>
      </w:r>
    </w:p>
    <w:p>
      <w:pPr>
        <w:pStyle w:val="ManualHeading1"/>
      </w:pPr>
      <w:bookmarkStart w:id="275" w:name="_Toc8833459"/>
      <w:bookmarkStart w:id="276" w:name="_Toc8835286"/>
      <w:bookmarkStart w:id="277" w:name="_Toc8833916"/>
      <w:bookmarkStart w:id="278" w:name="_Toc8909379"/>
      <w:bookmarkStart w:id="279" w:name="_Toc8910591"/>
      <w:bookmarkStart w:id="280" w:name="_Toc8911628"/>
      <w:bookmarkStart w:id="281" w:name="_Toc8974434"/>
      <w:bookmarkStart w:id="282" w:name="_Toc9008101"/>
      <w:bookmarkStart w:id="283" w:name="_Toc9008054"/>
      <w:bookmarkStart w:id="284" w:name="_Toc9348500"/>
      <w:bookmarkStart w:id="285" w:name="_Toc9607952"/>
      <w:bookmarkStart w:id="286" w:name="_Toc16000528"/>
      <w:r>
        <w:t>8.</w:t>
      </w:r>
      <w:r>
        <w:tab/>
        <w:t>Statistics</w:t>
      </w:r>
      <w:bookmarkEnd w:id="275"/>
      <w:bookmarkEnd w:id="276"/>
      <w:bookmarkEnd w:id="277"/>
      <w:bookmarkEnd w:id="278"/>
      <w:bookmarkEnd w:id="279"/>
      <w:bookmarkEnd w:id="280"/>
      <w:bookmarkEnd w:id="281"/>
      <w:bookmarkEnd w:id="282"/>
      <w:bookmarkEnd w:id="283"/>
      <w:bookmarkEnd w:id="284"/>
      <w:bookmarkEnd w:id="285"/>
      <w:bookmarkEnd w:id="286"/>
    </w:p>
    <w:tbl>
      <w:tblPr>
        <w:tblW w:w="6303" w:type="dxa"/>
        <w:tblInd w:w="108" w:type="dxa"/>
        <w:tblLook w:val="04A0" w:firstRow="1" w:lastRow="0" w:firstColumn="1" w:lastColumn="0" w:noHBand="0" w:noVBand="1"/>
      </w:tblPr>
      <w:tblGrid>
        <w:gridCol w:w="3312"/>
        <w:gridCol w:w="876"/>
        <w:gridCol w:w="996"/>
        <w:gridCol w:w="996"/>
        <w:gridCol w:w="876"/>
        <w:gridCol w:w="924"/>
      </w:tblGrid>
      <w:tr>
        <w:trPr>
          <w:trHeight w:val="225"/>
        </w:trPr>
        <w:tc>
          <w:tcPr>
            <w:tcW w:w="6303" w:type="dxa"/>
            <w:gridSpan w:val="6"/>
            <w:tcBorders>
              <w:top w:val="nil"/>
              <w:left w:val="nil"/>
              <w:bottom w:val="nil"/>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Total merchandise trade EU28 with South Korea (mio €)</w:t>
            </w:r>
          </w:p>
        </w:tc>
      </w:tr>
      <w:tr>
        <w:trPr>
          <w:trHeight w:val="225"/>
        </w:trPr>
        <w:tc>
          <w:tcPr>
            <w:tcW w:w="3832"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lang w:val="en-IE" w:eastAsia="en-IE"/>
              </w:rPr>
            </w:pPr>
            <w:r>
              <w:rPr>
                <w:rFonts w:eastAsia="Times New Roman"/>
                <w:b/>
                <w:bCs/>
                <w:noProof/>
                <w:lang w:val="en-IE" w:eastAsia="en-IE"/>
              </w:rPr>
              <w:t>South Korea</w:t>
            </w:r>
          </w:p>
        </w:tc>
        <w:tc>
          <w:tcPr>
            <w:tcW w:w="609"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2017</w:t>
            </w:r>
          </w:p>
        </w:tc>
        <w:tc>
          <w:tcPr>
            <w:tcW w:w="609"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2018</w:t>
            </w:r>
          </w:p>
        </w:tc>
        <w:tc>
          <w:tcPr>
            <w:tcW w:w="1253"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Growth</w:t>
            </w:r>
          </w:p>
        </w:tc>
      </w:tr>
      <w:tr>
        <w:trPr>
          <w:trHeight w:val="225"/>
        </w:trPr>
        <w:tc>
          <w:tcPr>
            <w:tcW w:w="3832" w:type="dxa"/>
            <w:gridSpan w:val="2"/>
            <w:vMerge/>
            <w:tcBorders>
              <w:top w:val="single" w:sz="4" w:space="0" w:color="auto"/>
              <w:left w:val="nil"/>
              <w:bottom w:val="single" w:sz="4" w:space="0" w:color="000000"/>
              <w:right w:val="nil"/>
            </w:tcBorders>
            <w:vAlign w:val="center"/>
            <w:hideMark/>
          </w:tcPr>
          <w:p>
            <w:pPr>
              <w:rPr>
                <w:rFonts w:eastAsia="Times New Roman"/>
                <w:b/>
                <w:bCs/>
                <w:noProof/>
                <w:lang w:val="en-IE" w:eastAsia="en-IE"/>
              </w:rPr>
            </w:pPr>
          </w:p>
        </w:tc>
        <w:tc>
          <w:tcPr>
            <w:tcW w:w="609" w:type="dxa"/>
            <w:vMerge/>
            <w:tcBorders>
              <w:top w:val="single" w:sz="4" w:space="0" w:color="auto"/>
              <w:left w:val="nil"/>
              <w:bottom w:val="single" w:sz="4" w:space="0" w:color="000000"/>
              <w:right w:val="nil"/>
            </w:tcBorders>
            <w:vAlign w:val="center"/>
            <w:hideMark/>
          </w:tcPr>
          <w:p>
            <w:pPr>
              <w:rPr>
                <w:rFonts w:eastAsia="Times New Roman"/>
                <w:b/>
                <w:bCs/>
                <w:noProof/>
                <w:lang w:val="en-IE" w:eastAsia="en-IE"/>
              </w:rPr>
            </w:pPr>
          </w:p>
        </w:tc>
        <w:tc>
          <w:tcPr>
            <w:tcW w:w="609" w:type="dxa"/>
            <w:vMerge/>
            <w:tcBorders>
              <w:top w:val="single" w:sz="4" w:space="0" w:color="auto"/>
              <w:left w:val="nil"/>
              <w:bottom w:val="single" w:sz="4" w:space="0" w:color="000000"/>
              <w:right w:val="nil"/>
            </w:tcBorders>
            <w:vAlign w:val="center"/>
            <w:hideMark/>
          </w:tcPr>
          <w:p>
            <w:pPr>
              <w:rPr>
                <w:rFonts w:eastAsia="Times New Roman"/>
                <w:b/>
                <w:bCs/>
                <w:noProof/>
                <w:lang w:val="en-IE" w:eastAsia="en-IE"/>
              </w:rPr>
            </w:pPr>
          </w:p>
        </w:tc>
        <w:tc>
          <w:tcPr>
            <w:tcW w:w="520" w:type="dxa"/>
            <w:tcBorders>
              <w:top w:val="nil"/>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mio €</w:t>
            </w:r>
          </w:p>
        </w:tc>
        <w:tc>
          <w:tcPr>
            <w:tcW w:w="73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annual %</w:t>
            </w:r>
          </w:p>
        </w:tc>
      </w:tr>
      <w:tr>
        <w:trPr>
          <w:trHeight w:val="225"/>
        </w:trPr>
        <w:tc>
          <w:tcPr>
            <w:tcW w:w="3312"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Imports</w:t>
            </w:r>
          </w:p>
        </w:tc>
        <w:tc>
          <w:tcPr>
            <w:tcW w:w="52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60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51.734</w:t>
            </w:r>
          </w:p>
        </w:tc>
        <w:tc>
          <w:tcPr>
            <w:tcW w:w="60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51.089</w:t>
            </w:r>
          </w:p>
        </w:tc>
        <w:tc>
          <w:tcPr>
            <w:tcW w:w="52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-645</w:t>
            </w:r>
          </w:p>
        </w:tc>
        <w:tc>
          <w:tcPr>
            <w:tcW w:w="73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-1,2%</w:t>
            </w:r>
          </w:p>
        </w:tc>
      </w:tr>
      <w:tr>
        <w:trPr>
          <w:trHeight w:val="225"/>
        </w:trPr>
        <w:tc>
          <w:tcPr>
            <w:tcW w:w="3312"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Exports</w:t>
            </w:r>
          </w:p>
        </w:tc>
        <w:tc>
          <w:tcPr>
            <w:tcW w:w="52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60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50.132</w:t>
            </w:r>
          </w:p>
        </w:tc>
        <w:tc>
          <w:tcPr>
            <w:tcW w:w="60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49.250</w:t>
            </w:r>
          </w:p>
        </w:tc>
        <w:tc>
          <w:tcPr>
            <w:tcW w:w="52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-882</w:t>
            </w:r>
          </w:p>
        </w:tc>
        <w:tc>
          <w:tcPr>
            <w:tcW w:w="73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-1,8%</w:t>
            </w:r>
          </w:p>
        </w:tc>
      </w:tr>
      <w:tr>
        <w:trPr>
          <w:trHeight w:val="225"/>
        </w:trPr>
        <w:tc>
          <w:tcPr>
            <w:tcW w:w="3312"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Balance</w:t>
            </w:r>
          </w:p>
        </w:tc>
        <w:tc>
          <w:tcPr>
            <w:tcW w:w="52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60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-1.601</w:t>
            </w:r>
          </w:p>
        </w:tc>
        <w:tc>
          <w:tcPr>
            <w:tcW w:w="60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-1.839</w:t>
            </w:r>
          </w:p>
        </w:tc>
        <w:tc>
          <w:tcPr>
            <w:tcW w:w="52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-238</w:t>
            </w:r>
          </w:p>
        </w:tc>
        <w:tc>
          <w:tcPr>
            <w:tcW w:w="733"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r>
      <w:tr>
        <w:trPr>
          <w:trHeight w:val="225"/>
        </w:trPr>
        <w:tc>
          <w:tcPr>
            <w:tcW w:w="3312" w:type="dxa"/>
            <w:tcBorders>
              <w:top w:val="nil"/>
              <w:left w:val="nil"/>
              <w:bottom w:val="single" w:sz="4" w:space="0" w:color="auto"/>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Total trade</w:t>
            </w:r>
          </w:p>
        </w:tc>
        <w:tc>
          <w:tcPr>
            <w:tcW w:w="520" w:type="dxa"/>
            <w:tcBorders>
              <w:top w:val="nil"/>
              <w:left w:val="nil"/>
              <w:bottom w:val="single" w:sz="4" w:space="0" w:color="auto"/>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609"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101.866</w:t>
            </w:r>
          </w:p>
        </w:tc>
        <w:tc>
          <w:tcPr>
            <w:tcW w:w="609"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100.339</w:t>
            </w:r>
          </w:p>
        </w:tc>
        <w:tc>
          <w:tcPr>
            <w:tcW w:w="520"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-1.527</w:t>
            </w:r>
          </w:p>
        </w:tc>
        <w:tc>
          <w:tcPr>
            <w:tcW w:w="733"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-1,5%</w:t>
            </w:r>
          </w:p>
        </w:tc>
      </w:tr>
      <w:tr>
        <w:trPr>
          <w:trHeight w:val="240"/>
        </w:trPr>
        <w:tc>
          <w:tcPr>
            <w:tcW w:w="5050" w:type="dxa"/>
            <w:gridSpan w:val="4"/>
            <w:tcBorders>
              <w:top w:val="single" w:sz="4" w:space="0" w:color="auto"/>
              <w:left w:val="nil"/>
              <w:bottom w:val="nil"/>
              <w:right w:val="nil"/>
            </w:tcBorders>
            <w:shd w:val="clear" w:color="000000" w:fill="FFFFFF"/>
            <w:noWrap/>
            <w:hideMark/>
          </w:tcPr>
          <w:p>
            <w:pPr>
              <w:rPr>
                <w:rFonts w:eastAsia="Times New Roman"/>
                <w:noProof/>
                <w:lang w:val="en-IE" w:eastAsia="en-IE"/>
              </w:rPr>
            </w:pPr>
            <w:r>
              <w:rPr>
                <w:rFonts w:eastAsia="Times New Roman"/>
                <w:noProof/>
                <w:lang w:val="en-IE" w:eastAsia="en-IE"/>
              </w:rPr>
              <w:t>Source Trade G2 Statistics/ISDB from Eurostat COMEXT</w:t>
            </w:r>
          </w:p>
        </w:tc>
        <w:tc>
          <w:tcPr>
            <w:tcW w:w="52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733"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r>
      <w:tr>
        <w:trPr>
          <w:trHeight w:val="225"/>
        </w:trPr>
        <w:tc>
          <w:tcPr>
            <w:tcW w:w="6303" w:type="dxa"/>
            <w:gridSpan w:val="6"/>
            <w:tcBorders>
              <w:top w:val="nil"/>
              <w:left w:val="nil"/>
              <w:bottom w:val="nil"/>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Agrifood trade EU28 with South Korea (mio €)</w:t>
            </w:r>
          </w:p>
        </w:tc>
      </w:tr>
      <w:tr>
        <w:trPr>
          <w:trHeight w:val="255"/>
        </w:trPr>
        <w:tc>
          <w:tcPr>
            <w:tcW w:w="3832"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lang w:val="en-IE" w:eastAsia="en-IE"/>
              </w:rPr>
            </w:pPr>
            <w:r>
              <w:rPr>
                <w:rFonts w:eastAsia="Times New Roman"/>
                <w:b/>
                <w:bCs/>
                <w:noProof/>
                <w:lang w:val="en-IE" w:eastAsia="en-IE"/>
              </w:rPr>
              <w:t>South Korea</w:t>
            </w:r>
          </w:p>
        </w:tc>
        <w:tc>
          <w:tcPr>
            <w:tcW w:w="609"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2017</w:t>
            </w:r>
          </w:p>
        </w:tc>
        <w:tc>
          <w:tcPr>
            <w:tcW w:w="609"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2018</w:t>
            </w:r>
          </w:p>
        </w:tc>
        <w:tc>
          <w:tcPr>
            <w:tcW w:w="1253"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Growth</w:t>
            </w:r>
          </w:p>
        </w:tc>
      </w:tr>
      <w:tr>
        <w:trPr>
          <w:trHeight w:val="225"/>
        </w:trPr>
        <w:tc>
          <w:tcPr>
            <w:tcW w:w="3832" w:type="dxa"/>
            <w:gridSpan w:val="2"/>
            <w:vMerge/>
            <w:tcBorders>
              <w:top w:val="single" w:sz="4" w:space="0" w:color="auto"/>
              <w:left w:val="nil"/>
              <w:bottom w:val="single" w:sz="4" w:space="0" w:color="000000"/>
              <w:right w:val="nil"/>
            </w:tcBorders>
            <w:vAlign w:val="center"/>
            <w:hideMark/>
          </w:tcPr>
          <w:p>
            <w:pPr>
              <w:rPr>
                <w:rFonts w:eastAsia="Times New Roman"/>
                <w:b/>
                <w:bCs/>
                <w:noProof/>
                <w:lang w:val="en-IE" w:eastAsia="en-IE"/>
              </w:rPr>
            </w:pPr>
          </w:p>
        </w:tc>
        <w:tc>
          <w:tcPr>
            <w:tcW w:w="609" w:type="dxa"/>
            <w:vMerge/>
            <w:tcBorders>
              <w:top w:val="single" w:sz="4" w:space="0" w:color="auto"/>
              <w:left w:val="nil"/>
              <w:bottom w:val="single" w:sz="4" w:space="0" w:color="000000"/>
              <w:right w:val="nil"/>
            </w:tcBorders>
            <w:vAlign w:val="center"/>
            <w:hideMark/>
          </w:tcPr>
          <w:p>
            <w:pPr>
              <w:rPr>
                <w:rFonts w:eastAsia="Times New Roman"/>
                <w:b/>
                <w:bCs/>
                <w:noProof/>
                <w:lang w:val="en-IE" w:eastAsia="en-IE"/>
              </w:rPr>
            </w:pPr>
          </w:p>
        </w:tc>
        <w:tc>
          <w:tcPr>
            <w:tcW w:w="609" w:type="dxa"/>
            <w:vMerge/>
            <w:tcBorders>
              <w:top w:val="single" w:sz="4" w:space="0" w:color="auto"/>
              <w:left w:val="nil"/>
              <w:bottom w:val="single" w:sz="4" w:space="0" w:color="000000"/>
              <w:right w:val="nil"/>
            </w:tcBorders>
            <w:vAlign w:val="center"/>
            <w:hideMark/>
          </w:tcPr>
          <w:p>
            <w:pPr>
              <w:rPr>
                <w:rFonts w:eastAsia="Times New Roman"/>
                <w:b/>
                <w:bCs/>
                <w:noProof/>
                <w:lang w:val="en-IE" w:eastAsia="en-IE"/>
              </w:rPr>
            </w:pPr>
          </w:p>
        </w:tc>
        <w:tc>
          <w:tcPr>
            <w:tcW w:w="520" w:type="dxa"/>
            <w:tcBorders>
              <w:top w:val="nil"/>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mio €</w:t>
            </w:r>
          </w:p>
        </w:tc>
        <w:tc>
          <w:tcPr>
            <w:tcW w:w="73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annual %</w:t>
            </w:r>
          </w:p>
        </w:tc>
      </w:tr>
      <w:tr>
        <w:trPr>
          <w:trHeight w:val="225"/>
        </w:trPr>
        <w:tc>
          <w:tcPr>
            <w:tcW w:w="3312"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Imports</w:t>
            </w:r>
          </w:p>
        </w:tc>
        <w:tc>
          <w:tcPr>
            <w:tcW w:w="52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60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203</w:t>
            </w:r>
          </w:p>
        </w:tc>
        <w:tc>
          <w:tcPr>
            <w:tcW w:w="60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201</w:t>
            </w:r>
          </w:p>
        </w:tc>
        <w:tc>
          <w:tcPr>
            <w:tcW w:w="52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w:t>
            </w:r>
          </w:p>
        </w:tc>
        <w:tc>
          <w:tcPr>
            <w:tcW w:w="73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-0,9%</w:t>
            </w:r>
          </w:p>
        </w:tc>
      </w:tr>
      <w:tr>
        <w:trPr>
          <w:trHeight w:val="225"/>
        </w:trPr>
        <w:tc>
          <w:tcPr>
            <w:tcW w:w="3312"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Exports</w:t>
            </w:r>
          </w:p>
        </w:tc>
        <w:tc>
          <w:tcPr>
            <w:tcW w:w="52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60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2.889</w:t>
            </w:r>
          </w:p>
        </w:tc>
        <w:tc>
          <w:tcPr>
            <w:tcW w:w="60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3.028</w:t>
            </w:r>
          </w:p>
        </w:tc>
        <w:tc>
          <w:tcPr>
            <w:tcW w:w="52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139</w:t>
            </w:r>
          </w:p>
        </w:tc>
        <w:tc>
          <w:tcPr>
            <w:tcW w:w="73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4,8%</w:t>
            </w:r>
          </w:p>
        </w:tc>
      </w:tr>
      <w:tr>
        <w:trPr>
          <w:trHeight w:val="225"/>
        </w:trPr>
        <w:tc>
          <w:tcPr>
            <w:tcW w:w="3312"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Balance</w:t>
            </w:r>
          </w:p>
        </w:tc>
        <w:tc>
          <w:tcPr>
            <w:tcW w:w="52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60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2.686</w:t>
            </w:r>
          </w:p>
        </w:tc>
        <w:tc>
          <w:tcPr>
            <w:tcW w:w="60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2.827</w:t>
            </w:r>
          </w:p>
        </w:tc>
        <w:tc>
          <w:tcPr>
            <w:tcW w:w="52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141</w:t>
            </w:r>
          </w:p>
        </w:tc>
        <w:tc>
          <w:tcPr>
            <w:tcW w:w="733"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r>
      <w:tr>
        <w:trPr>
          <w:trHeight w:val="225"/>
        </w:trPr>
        <w:tc>
          <w:tcPr>
            <w:tcW w:w="3312" w:type="dxa"/>
            <w:tcBorders>
              <w:top w:val="nil"/>
              <w:left w:val="nil"/>
              <w:bottom w:val="single" w:sz="4" w:space="0" w:color="auto"/>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Total trade</w:t>
            </w:r>
          </w:p>
        </w:tc>
        <w:tc>
          <w:tcPr>
            <w:tcW w:w="52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609"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3.092</w:t>
            </w:r>
          </w:p>
        </w:tc>
        <w:tc>
          <w:tcPr>
            <w:tcW w:w="609"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3.229</w:t>
            </w:r>
          </w:p>
        </w:tc>
        <w:tc>
          <w:tcPr>
            <w:tcW w:w="520"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137</w:t>
            </w:r>
          </w:p>
        </w:tc>
        <w:tc>
          <w:tcPr>
            <w:tcW w:w="733"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4,4%</w:t>
            </w:r>
          </w:p>
        </w:tc>
      </w:tr>
      <w:tr>
        <w:trPr>
          <w:trHeight w:val="240"/>
        </w:trPr>
        <w:tc>
          <w:tcPr>
            <w:tcW w:w="5050" w:type="dxa"/>
            <w:gridSpan w:val="4"/>
            <w:tcBorders>
              <w:top w:val="single" w:sz="4" w:space="0" w:color="auto"/>
              <w:left w:val="nil"/>
              <w:bottom w:val="nil"/>
              <w:right w:val="nil"/>
            </w:tcBorders>
            <w:shd w:val="clear" w:color="000000" w:fill="FFFFFF"/>
            <w:noWrap/>
            <w:hideMark/>
          </w:tcPr>
          <w:p>
            <w:pPr>
              <w:rPr>
                <w:rFonts w:eastAsia="Times New Roman"/>
                <w:noProof/>
                <w:lang w:val="en-IE" w:eastAsia="en-IE"/>
              </w:rPr>
            </w:pPr>
            <w:r>
              <w:rPr>
                <w:rFonts w:eastAsia="Times New Roman"/>
                <w:noProof/>
                <w:lang w:val="en-IE" w:eastAsia="en-IE"/>
              </w:rPr>
              <w:t>Source Trade G2 Statistics/ISDB from Eurostat COMEXT</w:t>
            </w:r>
          </w:p>
        </w:tc>
        <w:tc>
          <w:tcPr>
            <w:tcW w:w="52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733"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r>
      <w:tr>
        <w:trPr>
          <w:trHeight w:val="225"/>
        </w:trPr>
        <w:tc>
          <w:tcPr>
            <w:tcW w:w="6303" w:type="dxa"/>
            <w:gridSpan w:val="6"/>
            <w:tcBorders>
              <w:top w:val="nil"/>
              <w:left w:val="nil"/>
              <w:bottom w:val="nil"/>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NAMA trade EU28 with South Korea (mio €)</w:t>
            </w:r>
          </w:p>
        </w:tc>
      </w:tr>
      <w:tr>
        <w:trPr>
          <w:trHeight w:val="225"/>
        </w:trPr>
        <w:tc>
          <w:tcPr>
            <w:tcW w:w="3832"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lang w:val="en-IE" w:eastAsia="en-IE"/>
              </w:rPr>
            </w:pPr>
            <w:r>
              <w:rPr>
                <w:rFonts w:eastAsia="Times New Roman"/>
                <w:b/>
                <w:bCs/>
                <w:noProof/>
                <w:lang w:val="en-IE" w:eastAsia="en-IE"/>
              </w:rPr>
              <w:t>South Korea</w:t>
            </w:r>
          </w:p>
        </w:tc>
        <w:tc>
          <w:tcPr>
            <w:tcW w:w="609"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2017</w:t>
            </w:r>
          </w:p>
        </w:tc>
        <w:tc>
          <w:tcPr>
            <w:tcW w:w="609"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2018</w:t>
            </w:r>
          </w:p>
        </w:tc>
        <w:tc>
          <w:tcPr>
            <w:tcW w:w="1253"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Growth</w:t>
            </w:r>
          </w:p>
        </w:tc>
      </w:tr>
      <w:tr>
        <w:trPr>
          <w:trHeight w:val="225"/>
        </w:trPr>
        <w:tc>
          <w:tcPr>
            <w:tcW w:w="3832" w:type="dxa"/>
            <w:gridSpan w:val="2"/>
            <w:vMerge/>
            <w:tcBorders>
              <w:top w:val="single" w:sz="4" w:space="0" w:color="auto"/>
              <w:left w:val="nil"/>
              <w:bottom w:val="single" w:sz="4" w:space="0" w:color="000000"/>
              <w:right w:val="nil"/>
            </w:tcBorders>
            <w:vAlign w:val="center"/>
            <w:hideMark/>
          </w:tcPr>
          <w:p>
            <w:pPr>
              <w:rPr>
                <w:rFonts w:eastAsia="Times New Roman"/>
                <w:b/>
                <w:bCs/>
                <w:noProof/>
                <w:lang w:val="en-IE" w:eastAsia="en-IE"/>
              </w:rPr>
            </w:pPr>
          </w:p>
        </w:tc>
        <w:tc>
          <w:tcPr>
            <w:tcW w:w="609" w:type="dxa"/>
            <w:vMerge/>
            <w:tcBorders>
              <w:top w:val="single" w:sz="4" w:space="0" w:color="auto"/>
              <w:left w:val="nil"/>
              <w:bottom w:val="single" w:sz="4" w:space="0" w:color="000000"/>
              <w:right w:val="nil"/>
            </w:tcBorders>
            <w:vAlign w:val="center"/>
            <w:hideMark/>
          </w:tcPr>
          <w:p>
            <w:pPr>
              <w:rPr>
                <w:rFonts w:eastAsia="Times New Roman"/>
                <w:b/>
                <w:bCs/>
                <w:noProof/>
                <w:lang w:val="en-IE" w:eastAsia="en-IE"/>
              </w:rPr>
            </w:pPr>
          </w:p>
        </w:tc>
        <w:tc>
          <w:tcPr>
            <w:tcW w:w="609" w:type="dxa"/>
            <w:vMerge/>
            <w:tcBorders>
              <w:top w:val="single" w:sz="4" w:space="0" w:color="auto"/>
              <w:left w:val="nil"/>
              <w:bottom w:val="single" w:sz="4" w:space="0" w:color="000000"/>
              <w:right w:val="nil"/>
            </w:tcBorders>
            <w:vAlign w:val="center"/>
            <w:hideMark/>
          </w:tcPr>
          <w:p>
            <w:pPr>
              <w:rPr>
                <w:rFonts w:eastAsia="Times New Roman"/>
                <w:b/>
                <w:bCs/>
                <w:noProof/>
                <w:lang w:val="en-IE" w:eastAsia="en-IE"/>
              </w:rPr>
            </w:pPr>
          </w:p>
        </w:tc>
        <w:tc>
          <w:tcPr>
            <w:tcW w:w="520" w:type="dxa"/>
            <w:tcBorders>
              <w:top w:val="nil"/>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mio €</w:t>
            </w:r>
          </w:p>
        </w:tc>
        <w:tc>
          <w:tcPr>
            <w:tcW w:w="73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annual %</w:t>
            </w:r>
          </w:p>
        </w:tc>
      </w:tr>
      <w:tr>
        <w:trPr>
          <w:trHeight w:val="225"/>
        </w:trPr>
        <w:tc>
          <w:tcPr>
            <w:tcW w:w="3832" w:type="dxa"/>
            <w:gridSpan w:val="2"/>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EU28 imports</w:t>
            </w:r>
          </w:p>
        </w:tc>
        <w:tc>
          <w:tcPr>
            <w:tcW w:w="60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51.531</w:t>
            </w:r>
          </w:p>
        </w:tc>
        <w:tc>
          <w:tcPr>
            <w:tcW w:w="60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50.888</w:t>
            </w:r>
          </w:p>
        </w:tc>
        <w:tc>
          <w:tcPr>
            <w:tcW w:w="52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-643</w:t>
            </w:r>
          </w:p>
        </w:tc>
        <w:tc>
          <w:tcPr>
            <w:tcW w:w="73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-1,2%</w:t>
            </w:r>
          </w:p>
        </w:tc>
      </w:tr>
      <w:tr>
        <w:trPr>
          <w:trHeight w:val="225"/>
        </w:trPr>
        <w:tc>
          <w:tcPr>
            <w:tcW w:w="3832" w:type="dxa"/>
            <w:gridSpan w:val="2"/>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EU28 exports</w:t>
            </w:r>
          </w:p>
        </w:tc>
        <w:tc>
          <w:tcPr>
            <w:tcW w:w="60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47.244</w:t>
            </w:r>
          </w:p>
        </w:tc>
        <w:tc>
          <w:tcPr>
            <w:tcW w:w="60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46.222</w:t>
            </w:r>
          </w:p>
        </w:tc>
        <w:tc>
          <w:tcPr>
            <w:tcW w:w="52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-1.021</w:t>
            </w:r>
          </w:p>
        </w:tc>
        <w:tc>
          <w:tcPr>
            <w:tcW w:w="73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-2,2%</w:t>
            </w:r>
          </w:p>
        </w:tc>
      </w:tr>
      <w:tr>
        <w:trPr>
          <w:trHeight w:val="225"/>
        </w:trPr>
        <w:tc>
          <w:tcPr>
            <w:tcW w:w="3312"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Balance</w:t>
            </w:r>
          </w:p>
        </w:tc>
        <w:tc>
          <w:tcPr>
            <w:tcW w:w="52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60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-4.287</w:t>
            </w:r>
          </w:p>
        </w:tc>
        <w:tc>
          <w:tcPr>
            <w:tcW w:w="60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-4.666</w:t>
            </w:r>
          </w:p>
        </w:tc>
        <w:tc>
          <w:tcPr>
            <w:tcW w:w="52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-378</w:t>
            </w:r>
          </w:p>
        </w:tc>
        <w:tc>
          <w:tcPr>
            <w:tcW w:w="733"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r>
      <w:tr>
        <w:trPr>
          <w:trHeight w:val="225"/>
        </w:trPr>
        <w:tc>
          <w:tcPr>
            <w:tcW w:w="3312"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Total trade</w:t>
            </w:r>
          </w:p>
        </w:tc>
        <w:tc>
          <w:tcPr>
            <w:tcW w:w="52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60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98.774</w:t>
            </w:r>
          </w:p>
        </w:tc>
        <w:tc>
          <w:tcPr>
            <w:tcW w:w="60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97.110</w:t>
            </w:r>
          </w:p>
        </w:tc>
        <w:tc>
          <w:tcPr>
            <w:tcW w:w="52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-1.664</w:t>
            </w:r>
          </w:p>
        </w:tc>
        <w:tc>
          <w:tcPr>
            <w:tcW w:w="733"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-1,7%</w:t>
            </w:r>
          </w:p>
        </w:tc>
      </w:tr>
      <w:tr>
        <w:trPr>
          <w:trHeight w:val="240"/>
        </w:trPr>
        <w:tc>
          <w:tcPr>
            <w:tcW w:w="5050" w:type="dxa"/>
            <w:gridSpan w:val="4"/>
            <w:tcBorders>
              <w:top w:val="single" w:sz="4" w:space="0" w:color="auto"/>
              <w:left w:val="nil"/>
              <w:bottom w:val="nil"/>
              <w:right w:val="nil"/>
            </w:tcBorders>
            <w:shd w:val="clear" w:color="000000" w:fill="FFFFFF"/>
            <w:noWrap/>
            <w:hideMark/>
          </w:tcPr>
          <w:p>
            <w:pPr>
              <w:rPr>
                <w:rFonts w:eastAsia="Times New Roman"/>
                <w:noProof/>
                <w:lang w:val="en-IE" w:eastAsia="en-IE"/>
              </w:rPr>
            </w:pPr>
            <w:r>
              <w:rPr>
                <w:rFonts w:eastAsia="Times New Roman"/>
                <w:noProof/>
                <w:lang w:val="en-IE" w:eastAsia="en-IE"/>
              </w:rPr>
              <w:t>Source Trade G2 Statistics/ISDB from Eurostat COMEXT</w:t>
            </w:r>
          </w:p>
        </w:tc>
        <w:tc>
          <w:tcPr>
            <w:tcW w:w="520" w:type="dxa"/>
            <w:tcBorders>
              <w:top w:val="single" w:sz="4" w:space="0" w:color="auto"/>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733"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r>
      <w:tr>
        <w:trPr>
          <w:trHeight w:val="225"/>
        </w:trPr>
        <w:tc>
          <w:tcPr>
            <w:tcW w:w="5050" w:type="dxa"/>
            <w:gridSpan w:val="4"/>
            <w:tcBorders>
              <w:top w:val="nil"/>
              <w:left w:val="nil"/>
              <w:bottom w:val="single" w:sz="4" w:space="0" w:color="auto"/>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Services trade EU28 with South Korea (mio €)</w:t>
            </w:r>
          </w:p>
        </w:tc>
        <w:tc>
          <w:tcPr>
            <w:tcW w:w="520" w:type="dxa"/>
            <w:tcBorders>
              <w:top w:val="nil"/>
              <w:left w:val="nil"/>
              <w:bottom w:val="nil"/>
              <w:right w:val="nil"/>
            </w:tcBorders>
            <w:shd w:val="clear" w:color="000000" w:fill="FFFFFF"/>
            <w:noWrap/>
            <w:vAlign w:val="center"/>
            <w:hideMark/>
          </w:tcPr>
          <w:p>
            <w:pPr>
              <w:rPr>
                <w:rFonts w:eastAsia="Times New Roman"/>
                <w:b/>
                <w:bCs/>
                <w:noProof/>
                <w:lang w:val="en-IE" w:eastAsia="en-IE"/>
              </w:rPr>
            </w:pPr>
            <w:r>
              <w:rPr>
                <w:rFonts w:eastAsia="Times New Roman"/>
                <w:b/>
                <w:bCs/>
                <w:noProof/>
                <w:lang w:val="en-IE" w:eastAsia="en-IE"/>
              </w:rPr>
              <w:t> </w:t>
            </w:r>
          </w:p>
        </w:tc>
        <w:tc>
          <w:tcPr>
            <w:tcW w:w="733" w:type="dxa"/>
            <w:tcBorders>
              <w:top w:val="nil"/>
              <w:left w:val="nil"/>
              <w:bottom w:val="nil"/>
              <w:right w:val="nil"/>
            </w:tcBorders>
            <w:shd w:val="clear" w:color="000000" w:fill="FFFFFF"/>
            <w:noWrap/>
            <w:vAlign w:val="center"/>
            <w:hideMark/>
          </w:tcPr>
          <w:p>
            <w:pPr>
              <w:rPr>
                <w:rFonts w:eastAsia="Times New Roman"/>
                <w:b/>
                <w:bCs/>
                <w:noProof/>
                <w:lang w:val="en-IE" w:eastAsia="en-IE"/>
              </w:rPr>
            </w:pPr>
            <w:r>
              <w:rPr>
                <w:rFonts w:eastAsia="Times New Roman"/>
                <w:b/>
                <w:bCs/>
                <w:noProof/>
                <w:lang w:val="en-IE" w:eastAsia="en-IE"/>
              </w:rPr>
              <w:t> </w:t>
            </w:r>
          </w:p>
        </w:tc>
      </w:tr>
      <w:tr>
        <w:trPr>
          <w:trHeight w:val="225"/>
        </w:trPr>
        <w:tc>
          <w:tcPr>
            <w:tcW w:w="3832"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lang w:val="en-IE" w:eastAsia="en-IE"/>
              </w:rPr>
            </w:pPr>
            <w:r>
              <w:rPr>
                <w:rFonts w:eastAsia="Times New Roman"/>
                <w:b/>
                <w:bCs/>
                <w:noProof/>
                <w:lang w:val="en-IE" w:eastAsia="en-IE"/>
              </w:rPr>
              <w:t>South Korea</w:t>
            </w:r>
          </w:p>
        </w:tc>
        <w:tc>
          <w:tcPr>
            <w:tcW w:w="609"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2016</w:t>
            </w:r>
          </w:p>
        </w:tc>
        <w:tc>
          <w:tcPr>
            <w:tcW w:w="609"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2017</w:t>
            </w:r>
          </w:p>
        </w:tc>
        <w:tc>
          <w:tcPr>
            <w:tcW w:w="1253"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Growth</w:t>
            </w:r>
          </w:p>
        </w:tc>
      </w:tr>
      <w:tr>
        <w:trPr>
          <w:trHeight w:val="225"/>
        </w:trPr>
        <w:tc>
          <w:tcPr>
            <w:tcW w:w="3832" w:type="dxa"/>
            <w:gridSpan w:val="2"/>
            <w:vMerge/>
            <w:tcBorders>
              <w:top w:val="single" w:sz="4" w:space="0" w:color="auto"/>
              <w:left w:val="nil"/>
              <w:bottom w:val="single" w:sz="4" w:space="0" w:color="000000"/>
              <w:right w:val="nil"/>
            </w:tcBorders>
            <w:vAlign w:val="center"/>
            <w:hideMark/>
          </w:tcPr>
          <w:p>
            <w:pPr>
              <w:rPr>
                <w:rFonts w:eastAsia="Times New Roman"/>
                <w:b/>
                <w:bCs/>
                <w:noProof/>
                <w:lang w:val="en-IE" w:eastAsia="en-IE"/>
              </w:rPr>
            </w:pPr>
          </w:p>
        </w:tc>
        <w:tc>
          <w:tcPr>
            <w:tcW w:w="609" w:type="dxa"/>
            <w:vMerge/>
            <w:tcBorders>
              <w:top w:val="nil"/>
              <w:left w:val="nil"/>
              <w:bottom w:val="single" w:sz="4" w:space="0" w:color="000000"/>
              <w:right w:val="nil"/>
            </w:tcBorders>
            <w:vAlign w:val="center"/>
            <w:hideMark/>
          </w:tcPr>
          <w:p>
            <w:pPr>
              <w:rPr>
                <w:rFonts w:eastAsia="Times New Roman"/>
                <w:b/>
                <w:bCs/>
                <w:noProof/>
                <w:lang w:val="en-IE" w:eastAsia="en-IE"/>
              </w:rPr>
            </w:pPr>
          </w:p>
        </w:tc>
        <w:tc>
          <w:tcPr>
            <w:tcW w:w="609" w:type="dxa"/>
            <w:vMerge/>
            <w:tcBorders>
              <w:top w:val="nil"/>
              <w:left w:val="nil"/>
              <w:bottom w:val="single" w:sz="4" w:space="0" w:color="000000"/>
              <w:right w:val="nil"/>
            </w:tcBorders>
            <w:vAlign w:val="center"/>
            <w:hideMark/>
          </w:tcPr>
          <w:p>
            <w:pPr>
              <w:rPr>
                <w:rFonts w:eastAsia="Times New Roman"/>
                <w:b/>
                <w:bCs/>
                <w:noProof/>
                <w:lang w:val="en-IE" w:eastAsia="en-IE"/>
              </w:rPr>
            </w:pPr>
          </w:p>
        </w:tc>
        <w:tc>
          <w:tcPr>
            <w:tcW w:w="520" w:type="dxa"/>
            <w:tcBorders>
              <w:top w:val="nil"/>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mio €</w:t>
            </w:r>
          </w:p>
        </w:tc>
        <w:tc>
          <w:tcPr>
            <w:tcW w:w="73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annual %</w:t>
            </w:r>
          </w:p>
        </w:tc>
      </w:tr>
      <w:tr>
        <w:trPr>
          <w:trHeight w:val="225"/>
        </w:trPr>
        <w:tc>
          <w:tcPr>
            <w:tcW w:w="3312"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Imports</w:t>
            </w:r>
          </w:p>
        </w:tc>
        <w:tc>
          <w:tcPr>
            <w:tcW w:w="52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60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7.215</w:t>
            </w:r>
          </w:p>
        </w:tc>
        <w:tc>
          <w:tcPr>
            <w:tcW w:w="60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7.939</w:t>
            </w:r>
          </w:p>
        </w:tc>
        <w:tc>
          <w:tcPr>
            <w:tcW w:w="52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724</w:t>
            </w:r>
          </w:p>
        </w:tc>
        <w:tc>
          <w:tcPr>
            <w:tcW w:w="73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10,0%</w:t>
            </w:r>
          </w:p>
        </w:tc>
      </w:tr>
      <w:tr>
        <w:trPr>
          <w:trHeight w:val="225"/>
        </w:trPr>
        <w:tc>
          <w:tcPr>
            <w:tcW w:w="3312"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Exports</w:t>
            </w:r>
          </w:p>
        </w:tc>
        <w:tc>
          <w:tcPr>
            <w:tcW w:w="52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60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12.608</w:t>
            </w:r>
          </w:p>
        </w:tc>
        <w:tc>
          <w:tcPr>
            <w:tcW w:w="60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13.520</w:t>
            </w:r>
          </w:p>
        </w:tc>
        <w:tc>
          <w:tcPr>
            <w:tcW w:w="52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912</w:t>
            </w:r>
          </w:p>
        </w:tc>
        <w:tc>
          <w:tcPr>
            <w:tcW w:w="73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7,2%</w:t>
            </w:r>
          </w:p>
        </w:tc>
      </w:tr>
      <w:tr>
        <w:trPr>
          <w:trHeight w:val="225"/>
        </w:trPr>
        <w:tc>
          <w:tcPr>
            <w:tcW w:w="3312"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Balance</w:t>
            </w:r>
          </w:p>
        </w:tc>
        <w:tc>
          <w:tcPr>
            <w:tcW w:w="52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60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5.393</w:t>
            </w:r>
          </w:p>
        </w:tc>
        <w:tc>
          <w:tcPr>
            <w:tcW w:w="60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5.581</w:t>
            </w:r>
          </w:p>
        </w:tc>
        <w:tc>
          <w:tcPr>
            <w:tcW w:w="52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188</w:t>
            </w:r>
          </w:p>
        </w:tc>
        <w:tc>
          <w:tcPr>
            <w:tcW w:w="733"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r>
      <w:tr>
        <w:trPr>
          <w:trHeight w:val="225"/>
        </w:trPr>
        <w:tc>
          <w:tcPr>
            <w:tcW w:w="3312" w:type="dxa"/>
            <w:tcBorders>
              <w:top w:val="nil"/>
              <w:left w:val="nil"/>
              <w:bottom w:val="single" w:sz="4" w:space="0" w:color="auto"/>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Total trade</w:t>
            </w:r>
          </w:p>
        </w:tc>
        <w:tc>
          <w:tcPr>
            <w:tcW w:w="520" w:type="dxa"/>
            <w:tcBorders>
              <w:top w:val="nil"/>
              <w:left w:val="nil"/>
              <w:bottom w:val="single" w:sz="4" w:space="0" w:color="auto"/>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609"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19.823</w:t>
            </w:r>
          </w:p>
        </w:tc>
        <w:tc>
          <w:tcPr>
            <w:tcW w:w="609"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21.459</w:t>
            </w:r>
          </w:p>
        </w:tc>
        <w:tc>
          <w:tcPr>
            <w:tcW w:w="520"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1.637</w:t>
            </w:r>
          </w:p>
        </w:tc>
        <w:tc>
          <w:tcPr>
            <w:tcW w:w="733"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8,3%</w:t>
            </w:r>
          </w:p>
        </w:tc>
      </w:tr>
      <w:tr>
        <w:trPr>
          <w:trHeight w:val="240"/>
        </w:trPr>
        <w:tc>
          <w:tcPr>
            <w:tcW w:w="5570" w:type="dxa"/>
            <w:gridSpan w:val="5"/>
            <w:tcBorders>
              <w:top w:val="nil"/>
              <w:left w:val="nil"/>
              <w:bottom w:val="nil"/>
              <w:right w:val="nil"/>
            </w:tcBorders>
            <w:shd w:val="clear" w:color="000000" w:fill="FFFFFF"/>
            <w:noWrap/>
            <w:hideMark/>
          </w:tcPr>
          <w:p>
            <w:pPr>
              <w:rPr>
                <w:rFonts w:eastAsia="Times New Roman"/>
                <w:noProof/>
                <w:lang w:val="en-IE" w:eastAsia="en-IE"/>
              </w:rPr>
            </w:pPr>
            <w:r>
              <w:rPr>
                <w:rFonts w:eastAsia="Times New Roman"/>
                <w:noProof/>
                <w:lang w:val="en-IE" w:eastAsia="en-IE"/>
              </w:rPr>
              <w:t>Source Trade G2 Statistics/ISDB from Eurostat BOP statistics</w:t>
            </w:r>
          </w:p>
        </w:tc>
        <w:tc>
          <w:tcPr>
            <w:tcW w:w="733"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r>
      <w:tr>
        <w:trPr>
          <w:trHeight w:val="240"/>
        </w:trPr>
        <w:tc>
          <w:tcPr>
            <w:tcW w:w="6303" w:type="dxa"/>
            <w:gridSpan w:val="6"/>
            <w:tcBorders>
              <w:top w:val="nil"/>
              <w:left w:val="nil"/>
              <w:bottom w:val="nil"/>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Services trade EU28 with South Korea (mio €)</w:t>
            </w:r>
          </w:p>
        </w:tc>
      </w:tr>
      <w:tr>
        <w:trPr>
          <w:trHeight w:val="225"/>
        </w:trPr>
        <w:tc>
          <w:tcPr>
            <w:tcW w:w="3312"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52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2013</w:t>
            </w:r>
          </w:p>
        </w:tc>
        <w:tc>
          <w:tcPr>
            <w:tcW w:w="609"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2014</w:t>
            </w:r>
          </w:p>
        </w:tc>
        <w:tc>
          <w:tcPr>
            <w:tcW w:w="609"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2015</w:t>
            </w:r>
          </w:p>
        </w:tc>
        <w:tc>
          <w:tcPr>
            <w:tcW w:w="52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2016</w:t>
            </w:r>
          </w:p>
        </w:tc>
        <w:tc>
          <w:tcPr>
            <w:tcW w:w="733"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2017</w:t>
            </w:r>
          </w:p>
        </w:tc>
      </w:tr>
      <w:tr>
        <w:trPr>
          <w:trHeight w:val="225"/>
        </w:trPr>
        <w:tc>
          <w:tcPr>
            <w:tcW w:w="3312"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Imports</w:t>
            </w:r>
          </w:p>
        </w:tc>
        <w:tc>
          <w:tcPr>
            <w:tcW w:w="52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5.653</w:t>
            </w:r>
          </w:p>
        </w:tc>
        <w:tc>
          <w:tcPr>
            <w:tcW w:w="60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6.310</w:t>
            </w:r>
          </w:p>
        </w:tc>
        <w:tc>
          <w:tcPr>
            <w:tcW w:w="60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6.917</w:t>
            </w:r>
          </w:p>
        </w:tc>
        <w:tc>
          <w:tcPr>
            <w:tcW w:w="52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7.215</w:t>
            </w:r>
          </w:p>
        </w:tc>
        <w:tc>
          <w:tcPr>
            <w:tcW w:w="73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7.939</w:t>
            </w:r>
          </w:p>
        </w:tc>
      </w:tr>
      <w:tr>
        <w:trPr>
          <w:trHeight w:val="225"/>
        </w:trPr>
        <w:tc>
          <w:tcPr>
            <w:tcW w:w="3312"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Exports</w:t>
            </w:r>
          </w:p>
        </w:tc>
        <w:tc>
          <w:tcPr>
            <w:tcW w:w="52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10.662</w:t>
            </w:r>
          </w:p>
        </w:tc>
        <w:tc>
          <w:tcPr>
            <w:tcW w:w="60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11.761</w:t>
            </w:r>
          </w:p>
        </w:tc>
        <w:tc>
          <w:tcPr>
            <w:tcW w:w="60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13.247</w:t>
            </w:r>
          </w:p>
        </w:tc>
        <w:tc>
          <w:tcPr>
            <w:tcW w:w="52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12.608</w:t>
            </w:r>
          </w:p>
        </w:tc>
        <w:tc>
          <w:tcPr>
            <w:tcW w:w="73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13.520</w:t>
            </w:r>
          </w:p>
        </w:tc>
      </w:tr>
      <w:tr>
        <w:trPr>
          <w:trHeight w:val="225"/>
        </w:trPr>
        <w:tc>
          <w:tcPr>
            <w:tcW w:w="3312"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Balance</w:t>
            </w:r>
          </w:p>
        </w:tc>
        <w:tc>
          <w:tcPr>
            <w:tcW w:w="52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5.010</w:t>
            </w:r>
          </w:p>
        </w:tc>
        <w:tc>
          <w:tcPr>
            <w:tcW w:w="60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5.451</w:t>
            </w:r>
          </w:p>
        </w:tc>
        <w:tc>
          <w:tcPr>
            <w:tcW w:w="60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6.330</w:t>
            </w:r>
          </w:p>
        </w:tc>
        <w:tc>
          <w:tcPr>
            <w:tcW w:w="52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5.393</w:t>
            </w:r>
          </w:p>
        </w:tc>
        <w:tc>
          <w:tcPr>
            <w:tcW w:w="73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5.581</w:t>
            </w:r>
          </w:p>
        </w:tc>
      </w:tr>
      <w:tr>
        <w:trPr>
          <w:trHeight w:val="225"/>
        </w:trPr>
        <w:tc>
          <w:tcPr>
            <w:tcW w:w="3312" w:type="dxa"/>
            <w:tcBorders>
              <w:top w:val="nil"/>
              <w:left w:val="nil"/>
              <w:bottom w:val="single" w:sz="4" w:space="0" w:color="auto"/>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Total trade</w:t>
            </w:r>
          </w:p>
        </w:tc>
        <w:tc>
          <w:tcPr>
            <w:tcW w:w="520"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16.315</w:t>
            </w:r>
          </w:p>
        </w:tc>
        <w:tc>
          <w:tcPr>
            <w:tcW w:w="609"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18.071</w:t>
            </w:r>
          </w:p>
        </w:tc>
        <w:tc>
          <w:tcPr>
            <w:tcW w:w="609"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20.164</w:t>
            </w:r>
          </w:p>
        </w:tc>
        <w:tc>
          <w:tcPr>
            <w:tcW w:w="520"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19.823</w:t>
            </w:r>
          </w:p>
        </w:tc>
        <w:tc>
          <w:tcPr>
            <w:tcW w:w="733"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21.459</w:t>
            </w:r>
          </w:p>
        </w:tc>
      </w:tr>
      <w:tr>
        <w:trPr>
          <w:trHeight w:val="225"/>
        </w:trPr>
        <w:tc>
          <w:tcPr>
            <w:tcW w:w="3312" w:type="dxa"/>
            <w:tcBorders>
              <w:top w:val="nil"/>
              <w:left w:val="nil"/>
              <w:bottom w:val="nil"/>
              <w:right w:val="nil"/>
            </w:tcBorders>
            <w:shd w:val="clear" w:color="000000" w:fill="FFFFFF"/>
            <w:noWrap/>
            <w:hideMark/>
          </w:tcPr>
          <w:p>
            <w:pPr>
              <w:rPr>
                <w:rFonts w:eastAsia="Times New Roman"/>
                <w:noProof/>
                <w:lang w:val="en-IE" w:eastAsia="en-IE"/>
              </w:rPr>
            </w:pPr>
            <w:r>
              <w:rPr>
                <w:rFonts w:eastAsia="Times New Roman"/>
                <w:noProof/>
                <w:lang w:val="en-IE" w:eastAsia="en-IE"/>
              </w:rPr>
              <w:t>Source Trade G2 Statistics/ISDB from Eurostat BOP statistics</w:t>
            </w:r>
          </w:p>
        </w:tc>
        <w:tc>
          <w:tcPr>
            <w:tcW w:w="520" w:type="dxa"/>
            <w:tcBorders>
              <w:top w:val="nil"/>
              <w:left w:val="nil"/>
              <w:bottom w:val="nil"/>
              <w:right w:val="nil"/>
            </w:tcBorders>
            <w:shd w:val="clear" w:color="000000" w:fill="FFFFFF"/>
            <w:noWrap/>
            <w:hideMark/>
          </w:tcPr>
          <w:p>
            <w:pPr>
              <w:rPr>
                <w:rFonts w:eastAsia="Times New Roman"/>
                <w:noProof/>
                <w:lang w:val="en-IE" w:eastAsia="en-IE"/>
              </w:rPr>
            </w:pPr>
            <w:r>
              <w:rPr>
                <w:rFonts w:eastAsia="Times New Roman"/>
                <w:noProof/>
                <w:lang w:val="en-IE" w:eastAsia="en-IE"/>
              </w:rPr>
              <w:t> </w:t>
            </w:r>
          </w:p>
        </w:tc>
        <w:tc>
          <w:tcPr>
            <w:tcW w:w="609"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609"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52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733"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r>
      <w:tr>
        <w:trPr>
          <w:trHeight w:val="225"/>
        </w:trPr>
        <w:tc>
          <w:tcPr>
            <w:tcW w:w="6303" w:type="dxa"/>
            <w:gridSpan w:val="6"/>
            <w:tcBorders>
              <w:top w:val="nil"/>
              <w:left w:val="nil"/>
              <w:bottom w:val="nil"/>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FDI EU28 with South Korea (mio €)</w:t>
            </w:r>
          </w:p>
        </w:tc>
      </w:tr>
      <w:tr>
        <w:trPr>
          <w:trHeight w:val="225"/>
        </w:trPr>
        <w:tc>
          <w:tcPr>
            <w:tcW w:w="3312"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520"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2013</w:t>
            </w:r>
          </w:p>
        </w:tc>
        <w:tc>
          <w:tcPr>
            <w:tcW w:w="609"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2014</w:t>
            </w:r>
          </w:p>
        </w:tc>
        <w:tc>
          <w:tcPr>
            <w:tcW w:w="609"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2015</w:t>
            </w:r>
          </w:p>
        </w:tc>
        <w:tc>
          <w:tcPr>
            <w:tcW w:w="52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2016</w:t>
            </w:r>
          </w:p>
        </w:tc>
        <w:tc>
          <w:tcPr>
            <w:tcW w:w="733"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2017</w:t>
            </w:r>
          </w:p>
        </w:tc>
      </w:tr>
      <w:tr>
        <w:trPr>
          <w:trHeight w:val="225"/>
        </w:trPr>
        <w:tc>
          <w:tcPr>
            <w:tcW w:w="6303" w:type="dxa"/>
            <w:gridSpan w:val="6"/>
            <w:tcBorders>
              <w:top w:val="nil"/>
              <w:left w:val="nil"/>
              <w:bottom w:val="nil"/>
              <w:right w:val="nil"/>
            </w:tcBorders>
            <w:shd w:val="clear" w:color="000000" w:fill="FFFFFF"/>
            <w:noWrap/>
            <w:vAlign w:val="center"/>
            <w:hideMark/>
          </w:tcPr>
          <w:p>
            <w:pPr>
              <w:jc w:val="center"/>
              <w:rPr>
                <w:rFonts w:eastAsia="Times New Roman"/>
                <w:b/>
                <w:bCs/>
                <w:i/>
                <w:iCs/>
                <w:noProof/>
                <w:lang w:val="en-IE" w:eastAsia="en-IE"/>
              </w:rPr>
            </w:pPr>
            <w:r>
              <w:rPr>
                <w:rFonts w:eastAsia="Times New Roman"/>
                <w:b/>
                <w:bCs/>
                <w:i/>
                <w:iCs/>
                <w:noProof/>
                <w:lang w:val="en-IE" w:eastAsia="en-IE"/>
              </w:rPr>
              <w:t>FDI Stocks</w:t>
            </w:r>
          </w:p>
        </w:tc>
      </w:tr>
      <w:tr>
        <w:trPr>
          <w:trHeight w:val="225"/>
        </w:trPr>
        <w:tc>
          <w:tcPr>
            <w:tcW w:w="3312"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Inward</w:t>
            </w:r>
          </w:p>
        </w:tc>
        <w:tc>
          <w:tcPr>
            <w:tcW w:w="52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15.517</w:t>
            </w:r>
          </w:p>
        </w:tc>
        <w:tc>
          <w:tcPr>
            <w:tcW w:w="60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17.922</w:t>
            </w:r>
          </w:p>
        </w:tc>
        <w:tc>
          <w:tcPr>
            <w:tcW w:w="60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18.571</w:t>
            </w:r>
          </w:p>
        </w:tc>
        <w:tc>
          <w:tcPr>
            <w:tcW w:w="52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24.308</w:t>
            </w:r>
          </w:p>
        </w:tc>
        <w:tc>
          <w:tcPr>
            <w:tcW w:w="73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28.288</w:t>
            </w:r>
          </w:p>
        </w:tc>
      </w:tr>
      <w:tr>
        <w:trPr>
          <w:trHeight w:val="225"/>
        </w:trPr>
        <w:tc>
          <w:tcPr>
            <w:tcW w:w="3312"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Outward</w:t>
            </w:r>
          </w:p>
        </w:tc>
        <w:tc>
          <w:tcPr>
            <w:tcW w:w="52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32.105</w:t>
            </w:r>
          </w:p>
        </w:tc>
        <w:tc>
          <w:tcPr>
            <w:tcW w:w="60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42.976</w:t>
            </w:r>
          </w:p>
        </w:tc>
        <w:tc>
          <w:tcPr>
            <w:tcW w:w="60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42.520</w:t>
            </w:r>
          </w:p>
        </w:tc>
        <w:tc>
          <w:tcPr>
            <w:tcW w:w="52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47.013</w:t>
            </w:r>
          </w:p>
        </w:tc>
        <w:tc>
          <w:tcPr>
            <w:tcW w:w="73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51.286</w:t>
            </w:r>
          </w:p>
        </w:tc>
      </w:tr>
      <w:tr>
        <w:trPr>
          <w:trHeight w:val="225"/>
        </w:trPr>
        <w:tc>
          <w:tcPr>
            <w:tcW w:w="6303" w:type="dxa"/>
            <w:gridSpan w:val="6"/>
            <w:tcBorders>
              <w:top w:val="nil"/>
              <w:left w:val="nil"/>
              <w:bottom w:val="nil"/>
              <w:right w:val="nil"/>
            </w:tcBorders>
            <w:shd w:val="clear" w:color="000000" w:fill="FFFFFF"/>
            <w:noWrap/>
            <w:vAlign w:val="center"/>
            <w:hideMark/>
          </w:tcPr>
          <w:p>
            <w:pPr>
              <w:jc w:val="center"/>
              <w:rPr>
                <w:rFonts w:eastAsia="Times New Roman"/>
                <w:b/>
                <w:bCs/>
                <w:i/>
                <w:iCs/>
                <w:noProof/>
                <w:lang w:val="en-IE" w:eastAsia="en-IE"/>
              </w:rPr>
            </w:pPr>
            <w:r>
              <w:rPr>
                <w:rFonts w:eastAsia="Times New Roman"/>
                <w:b/>
                <w:bCs/>
                <w:i/>
                <w:iCs/>
                <w:noProof/>
                <w:lang w:val="en-IE" w:eastAsia="en-IE"/>
              </w:rPr>
              <w:t>FDI Flows</w:t>
            </w:r>
          </w:p>
        </w:tc>
      </w:tr>
      <w:tr>
        <w:trPr>
          <w:trHeight w:val="225"/>
        </w:trPr>
        <w:tc>
          <w:tcPr>
            <w:tcW w:w="3312"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Inward</w:t>
            </w:r>
          </w:p>
        </w:tc>
        <w:tc>
          <w:tcPr>
            <w:tcW w:w="52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1.868</w:t>
            </w:r>
          </w:p>
        </w:tc>
        <w:tc>
          <w:tcPr>
            <w:tcW w:w="60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4.286</w:t>
            </w:r>
          </w:p>
        </w:tc>
        <w:tc>
          <w:tcPr>
            <w:tcW w:w="609"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2.068</w:t>
            </w:r>
          </w:p>
        </w:tc>
        <w:tc>
          <w:tcPr>
            <w:tcW w:w="52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1.809</w:t>
            </w:r>
          </w:p>
        </w:tc>
        <w:tc>
          <w:tcPr>
            <w:tcW w:w="73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2.245</w:t>
            </w:r>
          </w:p>
        </w:tc>
      </w:tr>
      <w:tr>
        <w:trPr>
          <w:trHeight w:val="225"/>
        </w:trPr>
        <w:tc>
          <w:tcPr>
            <w:tcW w:w="3312"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Outward</w:t>
            </w:r>
          </w:p>
        </w:tc>
        <w:tc>
          <w:tcPr>
            <w:tcW w:w="520"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868</w:t>
            </w:r>
          </w:p>
        </w:tc>
        <w:tc>
          <w:tcPr>
            <w:tcW w:w="609"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7.731</w:t>
            </w:r>
          </w:p>
        </w:tc>
        <w:tc>
          <w:tcPr>
            <w:tcW w:w="609"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-5.195</w:t>
            </w:r>
          </w:p>
        </w:tc>
        <w:tc>
          <w:tcPr>
            <w:tcW w:w="520"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3.244</w:t>
            </w:r>
          </w:p>
        </w:tc>
        <w:tc>
          <w:tcPr>
            <w:tcW w:w="733"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4.978</w:t>
            </w:r>
          </w:p>
        </w:tc>
      </w:tr>
      <w:tr>
        <w:trPr>
          <w:trHeight w:val="225"/>
        </w:trPr>
        <w:tc>
          <w:tcPr>
            <w:tcW w:w="3312" w:type="dxa"/>
            <w:tcBorders>
              <w:top w:val="single" w:sz="4" w:space="0" w:color="auto"/>
              <w:left w:val="nil"/>
              <w:bottom w:val="nil"/>
              <w:right w:val="nil"/>
            </w:tcBorders>
            <w:shd w:val="clear" w:color="000000" w:fill="FFFFFF"/>
            <w:noWrap/>
            <w:hideMark/>
          </w:tcPr>
          <w:p>
            <w:pPr>
              <w:rPr>
                <w:rFonts w:eastAsia="Times New Roman"/>
                <w:noProof/>
                <w:lang w:val="en-IE" w:eastAsia="en-IE"/>
              </w:rPr>
            </w:pPr>
            <w:r>
              <w:rPr>
                <w:rFonts w:eastAsia="Times New Roman"/>
                <w:noProof/>
                <w:lang w:val="en-IE" w:eastAsia="en-IE"/>
              </w:rPr>
              <w:t>Source Trade G2 Statistics/ISDB from Eurostat BOP statistics</w:t>
            </w:r>
          </w:p>
        </w:tc>
        <w:tc>
          <w:tcPr>
            <w:tcW w:w="520" w:type="dxa"/>
            <w:tcBorders>
              <w:top w:val="nil"/>
              <w:left w:val="nil"/>
              <w:bottom w:val="nil"/>
              <w:right w:val="nil"/>
            </w:tcBorders>
            <w:shd w:val="clear" w:color="000000" w:fill="FFFFFF"/>
            <w:noWrap/>
            <w:hideMark/>
          </w:tcPr>
          <w:p>
            <w:pPr>
              <w:rPr>
                <w:rFonts w:eastAsia="Times New Roman"/>
                <w:noProof/>
                <w:lang w:val="en-IE" w:eastAsia="en-IE"/>
              </w:rPr>
            </w:pPr>
            <w:r>
              <w:rPr>
                <w:rFonts w:eastAsia="Times New Roman"/>
                <w:noProof/>
                <w:lang w:val="en-IE" w:eastAsia="en-IE"/>
              </w:rPr>
              <w:t> </w:t>
            </w:r>
          </w:p>
        </w:tc>
        <w:tc>
          <w:tcPr>
            <w:tcW w:w="609"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609"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52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733"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r>
    </w:tbl>
    <w:p>
      <w:pPr>
        <w:spacing w:after="200" w:line="276" w:lineRule="auto"/>
        <w:rPr>
          <w:noProof/>
          <w:lang w:val="en-IE"/>
        </w:rPr>
      </w:pPr>
    </w:p>
    <w:p>
      <w:pPr>
        <w:spacing w:after="200" w:line="276" w:lineRule="auto"/>
        <w:rPr>
          <w:noProof/>
        </w:rPr>
      </w:pPr>
      <w:r>
        <w:rPr>
          <w:noProof/>
        </w:rPr>
        <w:br w:type="page"/>
      </w:r>
    </w:p>
    <w:p>
      <w:pPr>
        <w:pStyle w:val="ChapterHead"/>
        <w:jc w:val="both"/>
        <w:rPr>
          <w:b/>
          <w:noProof/>
        </w:rPr>
      </w:pPr>
      <w:bookmarkStart w:id="287" w:name="_Toc7008968"/>
      <w:bookmarkStart w:id="288" w:name="_Toc9008102"/>
      <w:bookmarkStart w:id="289" w:name="_Toc9008055"/>
      <w:bookmarkStart w:id="290" w:name="_Toc9348501"/>
      <w:bookmarkStart w:id="291" w:name="_Toc9607953"/>
      <w:bookmarkStart w:id="292" w:name="_Toc16000529"/>
      <w:r>
        <w:rPr>
          <w:b/>
          <w:noProof/>
        </w:rPr>
        <w:t>ANNUAL REPORT ON THE IMPLEMENTATION OF THE EU-COLOMBIA/ECUADOR/PERU TRADE AGREEMENT</w:t>
      </w:r>
      <w:bookmarkEnd w:id="287"/>
      <w:bookmarkEnd w:id="288"/>
      <w:bookmarkEnd w:id="289"/>
      <w:bookmarkEnd w:id="290"/>
      <w:bookmarkEnd w:id="291"/>
      <w:bookmarkEnd w:id="292"/>
    </w:p>
    <w:p>
      <w:pPr>
        <w:pStyle w:val="ManualHeading1"/>
      </w:pPr>
      <w:bookmarkStart w:id="293" w:name="_Toc7008969"/>
      <w:bookmarkStart w:id="294" w:name="_Toc9008103"/>
      <w:bookmarkStart w:id="295" w:name="_Toc9008056"/>
      <w:bookmarkStart w:id="296" w:name="_Toc9348502"/>
      <w:bookmarkStart w:id="297" w:name="_Toc9607954"/>
      <w:bookmarkStart w:id="298" w:name="_Toc16000530"/>
      <w:r>
        <w:t>1.</w:t>
      </w:r>
      <w:r>
        <w:tab/>
        <w:t>Introduction</w:t>
      </w:r>
      <w:bookmarkEnd w:id="293"/>
      <w:bookmarkEnd w:id="294"/>
      <w:bookmarkEnd w:id="295"/>
      <w:bookmarkEnd w:id="296"/>
      <w:bookmarkEnd w:id="297"/>
      <w:bookmarkEnd w:id="298"/>
    </w:p>
    <w:p>
      <w:pPr>
        <w:jc w:val="both"/>
        <w:rPr>
          <w:rFonts w:eastAsia="Calibri"/>
          <w:noProof/>
        </w:rPr>
      </w:pPr>
      <w:r>
        <w:rPr>
          <w:rFonts w:eastAsia="Calibri"/>
          <w:noProof/>
        </w:rPr>
        <w:t xml:space="preserve">2018 marked the </w:t>
      </w:r>
      <w:r>
        <w:rPr>
          <w:rFonts w:eastAsia="Calibri"/>
          <w:b/>
          <w:noProof/>
        </w:rPr>
        <w:t>fifth full year of implementation</w:t>
      </w:r>
      <w:r>
        <w:rPr>
          <w:rFonts w:eastAsia="Calibri"/>
          <w:noProof/>
        </w:rPr>
        <w:t xml:space="preserve"> of the Trade Agreement between the European Union and its Member States, of the one part, and </w:t>
      </w:r>
      <w:r>
        <w:rPr>
          <w:rFonts w:eastAsia="Calibri"/>
          <w:b/>
          <w:noProof/>
        </w:rPr>
        <w:t>Colombia and Peru</w:t>
      </w:r>
      <w:r>
        <w:rPr>
          <w:rFonts w:eastAsia="Calibri"/>
          <w:noProof/>
        </w:rPr>
        <w:t>, of the other part</w:t>
      </w:r>
      <w:r>
        <w:rPr>
          <w:noProof/>
          <w:vertAlign w:val="superscript"/>
        </w:rPr>
        <w:footnoteReference w:id="15"/>
      </w:r>
      <w:r>
        <w:rPr>
          <w:rFonts w:eastAsia="Calibri"/>
          <w:noProof/>
        </w:rPr>
        <w:t xml:space="preserve">, as amended by the Protocol of Accession of </w:t>
      </w:r>
      <w:r>
        <w:rPr>
          <w:rFonts w:eastAsia="Calibri"/>
          <w:b/>
          <w:noProof/>
        </w:rPr>
        <w:t>Ecuador</w:t>
      </w:r>
      <w:r>
        <w:rPr>
          <w:rFonts w:eastAsia="Calibri"/>
          <w:noProof/>
        </w:rPr>
        <w:t xml:space="preserve"> (‘the Agreement’). The Agreement has </w:t>
      </w:r>
      <w:r>
        <w:rPr>
          <w:rFonts w:eastAsia="Times New Roman"/>
          <w:noProof/>
        </w:rPr>
        <w:t xml:space="preserve">been provisionally applied with Peru since March 2013, with Colombia since August 2013, and with Ecuador </w:t>
      </w:r>
      <w:r>
        <w:rPr>
          <w:rFonts w:eastAsia="Calibri"/>
          <w:noProof/>
        </w:rPr>
        <w:t>since 1 January 2017. Ratification by Member States of both the Trade Agreement and the Protocol of Accession of Ecuador is ongoing</w:t>
      </w:r>
      <w:r>
        <w:rPr>
          <w:noProof/>
          <w:vertAlign w:val="superscript"/>
        </w:rPr>
        <w:footnoteReference w:id="16"/>
      </w:r>
      <w:r>
        <w:rPr>
          <w:rFonts w:eastAsia="Calibri"/>
          <w:noProof/>
        </w:rPr>
        <w:t xml:space="preserve">. </w:t>
      </w:r>
    </w:p>
    <w:p>
      <w:pPr>
        <w:jc w:val="both"/>
        <w:rPr>
          <w:rFonts w:eastAsia="Calibri"/>
          <w:noProof/>
        </w:rPr>
      </w:pPr>
    </w:p>
    <w:p>
      <w:pPr>
        <w:jc w:val="both"/>
        <w:rPr>
          <w:rFonts w:eastAsia="Times New Roman"/>
          <w:noProof/>
        </w:rPr>
      </w:pPr>
      <w:r>
        <w:rPr>
          <w:rFonts w:eastAsia="Times New Roman"/>
          <w:noProof/>
        </w:rPr>
        <w:t xml:space="preserve">The Agreement was also amended through </w:t>
      </w:r>
      <w:r>
        <w:rPr>
          <w:noProof/>
        </w:rPr>
        <w:t xml:space="preserve">the </w:t>
      </w:r>
      <w:r>
        <w:rPr>
          <w:b/>
          <w:noProof/>
        </w:rPr>
        <w:t>Protocol of Accession of Croatia</w:t>
      </w:r>
      <w:r>
        <w:rPr>
          <w:noProof/>
        </w:rPr>
        <w:t xml:space="preserve"> to the EU. After completion of the </w:t>
      </w:r>
      <w:r>
        <w:rPr>
          <w:rFonts w:eastAsia="Times New Roman"/>
          <w:noProof/>
        </w:rPr>
        <w:t xml:space="preserve">ratification procedure by Peru on 6 April 2017, this Protocol entered into force with Peru on 1 May 2017. The ratification process by Colombia is ongoing. </w:t>
      </w:r>
    </w:p>
    <w:p>
      <w:pPr>
        <w:jc w:val="both"/>
        <w:rPr>
          <w:rFonts w:eastAsia="Times New Roman"/>
          <w:noProof/>
        </w:rPr>
      </w:pPr>
    </w:p>
    <w:p>
      <w:pPr>
        <w:jc w:val="both"/>
        <w:rPr>
          <w:rFonts w:eastAsia="Calibri"/>
          <w:noProof/>
        </w:rPr>
      </w:pPr>
      <w:r>
        <w:rPr>
          <w:rFonts w:eastAsia="Calibri"/>
          <w:noProof/>
        </w:rPr>
        <w:t xml:space="preserve">This report shows that the </w:t>
      </w:r>
      <w:r>
        <w:rPr>
          <w:rFonts w:eastAsia="Calibri"/>
          <w:b/>
          <w:noProof/>
        </w:rPr>
        <w:t>results after almost six years of provisional application</w:t>
      </w:r>
      <w:r>
        <w:rPr>
          <w:rFonts w:eastAsia="Calibri"/>
          <w:noProof/>
        </w:rPr>
        <w:t xml:space="preserve"> in the case of Peru and Colombia, and almost three years in the case of Ecuador, remain </w:t>
      </w:r>
      <w:r>
        <w:rPr>
          <w:rFonts w:eastAsia="Calibri"/>
          <w:b/>
          <w:noProof/>
        </w:rPr>
        <w:t xml:space="preserve">positive, </w:t>
      </w:r>
      <w:r>
        <w:rPr>
          <w:rFonts w:eastAsia="Calibri"/>
          <w:noProof/>
        </w:rPr>
        <w:t>although</w:t>
      </w:r>
      <w:r>
        <w:rPr>
          <w:rFonts w:eastAsia="Calibri"/>
          <w:b/>
          <w:noProof/>
        </w:rPr>
        <w:t xml:space="preserve"> </w:t>
      </w:r>
      <w:r>
        <w:rPr>
          <w:rFonts w:eastAsia="Calibri"/>
          <w:noProof/>
        </w:rPr>
        <w:t xml:space="preserve">bilateral trade with Colombia and Peru in 2018 underwent a slight decrease after the rebound of 2017. The Agreement offers tariff-free access for virtually all industrial and fishery products from the three Andean countries, and substantial tariff preferences for the few agricultural products which were not fully liberalised, with very few exceptions. This improved market access, more predictable trade and investment relationship and the better rules have helped partner countries diversify trade and notably Andean countries’ exports of agri-food products. Regarding EU exports, several industrial sectors including pharmaceuticals, machinery and vehicles, have also strongly benefitted from the improved market access. </w:t>
      </w:r>
    </w:p>
    <w:p>
      <w:pPr>
        <w:jc w:val="both"/>
        <w:rPr>
          <w:rFonts w:eastAsia="Calibri"/>
          <w:noProof/>
        </w:rPr>
      </w:pPr>
    </w:p>
    <w:p>
      <w:pPr>
        <w:jc w:val="both"/>
        <w:rPr>
          <w:rFonts w:eastAsia="Calibri"/>
          <w:noProof/>
        </w:rPr>
      </w:pPr>
      <w:r>
        <w:rPr>
          <w:rFonts w:eastAsia="Calibri"/>
          <w:noProof/>
        </w:rPr>
        <w:t xml:space="preserve">The Parties are dedicating important resources to the implementation process through the work in the bodies under the Agreement, notably the Trade Committee and its eight specialised Sub-committees. The Trade Committee and its Sub-Committees have met on an annual basis since 2013.  Ecuador joined the institutions in 2017. The institutional structure of the Agreement is common and the Trade Committee and the Sub-committees take place in the presence of all Parties, i.e. between the EU and the three Andean partner countries. </w:t>
      </w:r>
    </w:p>
    <w:p>
      <w:pPr>
        <w:jc w:val="both"/>
        <w:rPr>
          <w:rFonts w:eastAsia="Calibri"/>
          <w:noProof/>
        </w:rPr>
      </w:pPr>
    </w:p>
    <w:p>
      <w:pPr>
        <w:jc w:val="both"/>
        <w:rPr>
          <w:rFonts w:eastAsia="Calibri"/>
          <w:i/>
          <w:noProof/>
        </w:rPr>
      </w:pPr>
      <w:r>
        <w:rPr>
          <w:rFonts w:eastAsia="Calibri"/>
          <w:noProof/>
        </w:rPr>
        <w:t>In December 2018, the annual meetings of the Trade Committee and eight Sub-committees met in Quito (Ecuador) (see below).</w:t>
      </w:r>
      <w:r>
        <w:rPr>
          <w:rFonts w:eastAsia="Calibri"/>
          <w:i/>
          <w:noProof/>
        </w:rPr>
        <w:t xml:space="preserve"> </w:t>
      </w:r>
    </w:p>
    <w:p>
      <w:pPr>
        <w:jc w:val="both"/>
        <w:rPr>
          <w:rFonts w:eastAsia="Calibri"/>
          <w:i/>
          <w:noProof/>
        </w:rPr>
      </w:pPr>
    </w:p>
    <w:p>
      <w:pPr>
        <w:jc w:val="both"/>
        <w:rPr>
          <w:noProof/>
        </w:rPr>
      </w:pPr>
      <w:r>
        <w:rPr>
          <w:noProof/>
        </w:rPr>
        <w:t xml:space="preserve">In accordance with Article 13 of </w:t>
      </w:r>
      <w:r>
        <w:rPr>
          <w:b/>
          <w:noProof/>
        </w:rPr>
        <w:t>Regulation (EU) No 19/2013 of the European Parliament and of the Council of 15 January 2013 implementing the bilateral safeguard clause</w:t>
      </w:r>
      <w:r>
        <w:rPr>
          <w:noProof/>
        </w:rPr>
        <w:t xml:space="preserve"> and the stabilisation mechanism for bananas of the Trade Agreement between the European Union and its Member States, of the one part, and Colombia and Peru, of the other part</w:t>
      </w:r>
      <w:r>
        <w:rPr>
          <w:noProof/>
          <w:vertAlign w:val="superscript"/>
        </w:rPr>
        <w:footnoteReference w:id="17"/>
      </w:r>
      <w:r>
        <w:rPr>
          <w:noProof/>
          <w:vertAlign w:val="superscript"/>
        </w:rPr>
        <w:t xml:space="preserve"> </w:t>
      </w:r>
      <w:r>
        <w:rPr>
          <w:noProof/>
        </w:rPr>
        <w:t xml:space="preserve">(‘Regulation’), the Commission committed to submit an annual report to the European Parliament and the Council on the application, implementation and fulfilment of obligations of the Agreement and the Regulation. This report responds to this requirement (see section 5 below). </w:t>
      </w:r>
    </w:p>
    <w:p>
      <w:pPr>
        <w:pStyle w:val="ManualHeading1"/>
      </w:pPr>
      <w:bookmarkStart w:id="299" w:name="_Toc7008970"/>
      <w:bookmarkStart w:id="300" w:name="_Toc9008104"/>
      <w:bookmarkStart w:id="301" w:name="_Toc9008057"/>
      <w:bookmarkStart w:id="302" w:name="_Toc9348503"/>
      <w:bookmarkStart w:id="303" w:name="_Toc9607955"/>
      <w:bookmarkStart w:id="304" w:name="_Toc16000531"/>
      <w:r>
        <w:t>2.</w:t>
      </w:r>
      <w:r>
        <w:tab/>
        <w:t>Evolution of trade</w:t>
      </w:r>
      <w:bookmarkEnd w:id="299"/>
      <w:bookmarkEnd w:id="300"/>
      <w:bookmarkEnd w:id="301"/>
      <w:bookmarkEnd w:id="302"/>
      <w:bookmarkEnd w:id="303"/>
      <w:bookmarkEnd w:id="304"/>
    </w:p>
    <w:p>
      <w:pPr>
        <w:pStyle w:val="Heading2"/>
        <w:ind w:left="0" w:firstLine="0"/>
        <w:rPr>
          <w:rFonts w:eastAsia="Times New Roman"/>
          <w:b w:val="0"/>
          <w:smallCaps/>
          <w:szCs w:val="24"/>
        </w:rPr>
      </w:pPr>
      <w:bookmarkStart w:id="305" w:name="_Toc7008971"/>
      <w:bookmarkStart w:id="306" w:name="_Toc9008105"/>
      <w:bookmarkStart w:id="307" w:name="_Toc9008058"/>
      <w:bookmarkStart w:id="308" w:name="_Toc9348504"/>
      <w:bookmarkStart w:id="309" w:name="_Toc9607956"/>
      <w:bookmarkStart w:id="310" w:name="_Toc16000532"/>
      <w:r>
        <w:rPr>
          <w:szCs w:val="24"/>
        </w:rPr>
        <w:t>2.1 Trade in Goods</w:t>
      </w:r>
      <w:bookmarkEnd w:id="305"/>
      <w:bookmarkEnd w:id="306"/>
      <w:bookmarkEnd w:id="307"/>
      <w:bookmarkEnd w:id="308"/>
      <w:bookmarkEnd w:id="309"/>
      <w:bookmarkEnd w:id="310"/>
    </w:p>
    <w:p>
      <w:pPr>
        <w:jc w:val="both"/>
        <w:rPr>
          <w:rFonts w:eastAsia="Times New Roman"/>
          <w:noProof/>
        </w:rPr>
      </w:pPr>
      <w:r>
        <w:rPr>
          <w:rFonts w:eastAsia="Times New Roman"/>
          <w:noProof/>
        </w:rPr>
        <w:t>The present section focuses on bilateral trade in goods as well as on Non-Agricultural Market Access (NAMA) products. As per the definition in the WTO Agreement on Agriculture, these non-agricultural products include industrial goods, manufactured goods, textiles, fuels and mining products, footwear, jewellery, forestry products, fish and fisheries, and chemicals.</w:t>
      </w:r>
    </w:p>
    <w:p>
      <w:pPr>
        <w:pStyle w:val="Heading3"/>
        <w:ind w:left="0" w:firstLine="0"/>
        <w:rPr>
          <w:noProof/>
          <w:szCs w:val="24"/>
        </w:rPr>
      </w:pPr>
      <w:bookmarkStart w:id="311" w:name="_Toc9008106"/>
      <w:bookmarkStart w:id="312" w:name="_Toc9008059"/>
      <w:bookmarkStart w:id="313" w:name="_Toc9348505"/>
      <w:bookmarkStart w:id="314" w:name="_Toc9607957"/>
      <w:bookmarkStart w:id="315" w:name="_Toc16000533"/>
      <w:bookmarkStart w:id="316" w:name="_Toc7008972"/>
      <w:r>
        <w:rPr>
          <w:noProof/>
          <w:szCs w:val="24"/>
        </w:rPr>
        <w:t>2.1.1 Overall evolution</w:t>
      </w:r>
      <w:bookmarkEnd w:id="311"/>
      <w:bookmarkEnd w:id="312"/>
      <w:bookmarkEnd w:id="313"/>
      <w:bookmarkEnd w:id="314"/>
      <w:bookmarkEnd w:id="315"/>
    </w:p>
    <w:p>
      <w:pPr>
        <w:jc w:val="both"/>
        <w:rPr>
          <w:b/>
          <w:noProof/>
          <w:u w:val="single"/>
        </w:rPr>
      </w:pPr>
      <w:r>
        <w:rPr>
          <w:b/>
          <w:noProof/>
          <w:u w:val="single"/>
        </w:rPr>
        <w:t>Colombia</w:t>
      </w:r>
    </w:p>
    <w:p>
      <w:pPr>
        <w:jc w:val="both"/>
        <w:rPr>
          <w:noProof/>
          <w:color w:val="000000" w:themeColor="text1"/>
        </w:rPr>
      </w:pPr>
    </w:p>
    <w:p>
      <w:pPr>
        <w:jc w:val="both"/>
        <w:rPr>
          <w:noProof/>
          <w:color w:val="000000" w:themeColor="text1"/>
        </w:rPr>
      </w:pPr>
      <w:r>
        <w:rPr>
          <w:noProof/>
          <w:color w:val="000000" w:themeColor="text1"/>
        </w:rPr>
        <w:t xml:space="preserve">In 2018, the EU has gone from Colombia´s second to third trading partner (14%), after the US (26%) and China (16%). In fact, bilateral trade between the EU and Colombia decreased by 4%. Colombian exports to the EU saw a 9% decline amidst falling global prices of coffee, a key export product. Compared to 2012 (year before the application of the Agreement), bilateral trade decreased by 22%, in line with the 22% decrease of Colombia’s total trade with the rest of the world over the same period. </w:t>
      </w:r>
    </w:p>
    <w:p>
      <w:pPr>
        <w:jc w:val="both"/>
        <w:rPr>
          <w:noProof/>
          <w:color w:val="000000" w:themeColor="text1"/>
        </w:rPr>
      </w:pPr>
    </w:p>
    <w:p>
      <w:pPr>
        <w:jc w:val="both"/>
        <w:rPr>
          <w:noProof/>
          <w:color w:val="000000" w:themeColor="text1"/>
        </w:rPr>
      </w:pPr>
      <w:r>
        <w:rPr>
          <w:noProof/>
          <w:color w:val="000000" w:themeColor="text1"/>
        </w:rPr>
        <w:t xml:space="preserve">In 2018, </w:t>
      </w:r>
      <w:r>
        <w:rPr>
          <w:b/>
          <w:noProof/>
          <w:color w:val="000000" w:themeColor="text1"/>
        </w:rPr>
        <w:t>bilateral trade amounted to €11 billion</w:t>
      </w:r>
      <w:r>
        <w:rPr>
          <w:noProof/>
          <w:color w:val="000000" w:themeColor="text1"/>
        </w:rPr>
        <w:t>, compared to €11.5 billion in 2017.</w:t>
      </w:r>
      <w:r>
        <w:rPr>
          <w:noProof/>
          <w:color w:val="0070C0"/>
        </w:rPr>
        <w:t xml:space="preserve"> </w:t>
      </w:r>
      <w:r>
        <w:rPr>
          <w:noProof/>
          <w:color w:val="000000" w:themeColor="text1"/>
        </w:rPr>
        <w:t xml:space="preserve">While historically, Colombia ran a trade surplus with the EU, this trend reversed since 2017 and the EU now posts a trade surplus of €925 million. </w:t>
      </w:r>
    </w:p>
    <w:p>
      <w:pPr>
        <w:jc w:val="both"/>
        <w:rPr>
          <w:noProof/>
          <w:color w:val="000000" w:themeColor="text1"/>
        </w:rPr>
      </w:pPr>
    </w:p>
    <w:p>
      <w:pPr>
        <w:jc w:val="both"/>
        <w:rPr>
          <w:noProof/>
          <w:color w:val="000000" w:themeColor="text1"/>
        </w:rPr>
      </w:pPr>
      <w:r>
        <w:rPr>
          <w:noProof/>
          <w:color w:val="000000" w:themeColor="text1"/>
          <w:u w:val="single"/>
        </w:rPr>
        <w:t>EU exports</w:t>
      </w:r>
      <w:r>
        <w:rPr>
          <w:noProof/>
          <w:color w:val="000000" w:themeColor="text1"/>
        </w:rPr>
        <w:t xml:space="preserve"> to Colombia increased by 1% in 2018 to €6 billion. The headings that recorded the largest increases were pharmaceutical products, vehicles, electrical machinery and base metals while exports of machinery products and aircrafts suffered the greatest declines. </w:t>
      </w:r>
    </w:p>
    <w:p>
      <w:pPr>
        <w:jc w:val="both"/>
        <w:rPr>
          <w:noProof/>
          <w:color w:val="000000" w:themeColor="text1"/>
        </w:rPr>
      </w:pPr>
    </w:p>
    <w:p>
      <w:pPr>
        <w:jc w:val="both"/>
        <w:rPr>
          <w:noProof/>
          <w:color w:val="000000" w:themeColor="text1"/>
        </w:rPr>
      </w:pPr>
      <w:r>
        <w:rPr>
          <w:noProof/>
          <w:color w:val="000000" w:themeColor="text1"/>
          <w:u w:val="single"/>
        </w:rPr>
        <w:t>EU imports</w:t>
      </w:r>
      <w:r>
        <w:rPr>
          <w:noProof/>
          <w:color w:val="000000" w:themeColor="text1"/>
        </w:rPr>
        <w:t xml:space="preserve"> from Colombia amounted to €5.1 billion in 2018, down from €5.6 billion in 2017, representing a 9% decrease. It is noteworthy that for the first time agricultural products represented the same share (43%) of total exports from Colombia as minerals. Overall, the export basket of Colombia to the EU is more diversified than Colombia's trade with China and the US, more dominated by coal and petroleum products. </w:t>
      </w:r>
    </w:p>
    <w:p>
      <w:pPr>
        <w:jc w:val="both"/>
        <w:rPr>
          <w:noProof/>
          <w:color w:val="000000" w:themeColor="text1"/>
        </w:rPr>
      </w:pPr>
    </w:p>
    <w:p>
      <w:pPr>
        <w:jc w:val="both"/>
        <w:rPr>
          <w:b/>
          <w:bCs/>
          <w:i/>
          <w:iCs/>
          <w:noProof/>
          <w:color w:val="000000" w:themeColor="text1"/>
        </w:rPr>
      </w:pPr>
      <w:r>
        <w:rPr>
          <w:b/>
          <w:bCs/>
          <w:i/>
          <w:iCs/>
          <w:noProof/>
          <w:color w:val="000000" w:themeColor="text1"/>
        </w:rPr>
        <w:t>EU-Colombia trade in non-agricultural products (NAMA)</w:t>
      </w:r>
    </w:p>
    <w:p>
      <w:pPr>
        <w:jc w:val="both"/>
        <w:rPr>
          <w:noProof/>
          <w:color w:val="000000" w:themeColor="text1"/>
          <w:u w:val="single"/>
        </w:rPr>
      </w:pPr>
    </w:p>
    <w:p>
      <w:pPr>
        <w:jc w:val="both"/>
        <w:rPr>
          <w:noProof/>
          <w:color w:val="000000" w:themeColor="text1"/>
        </w:rPr>
      </w:pPr>
      <w:r>
        <w:rPr>
          <w:noProof/>
          <w:color w:val="000000" w:themeColor="text1"/>
          <w:u w:val="single"/>
        </w:rPr>
        <w:t>EU exports</w:t>
      </w:r>
      <w:r>
        <w:rPr>
          <w:noProof/>
          <w:color w:val="000000" w:themeColor="text1"/>
        </w:rPr>
        <w:t xml:space="preserve"> to Colombia of NAMA products amounted to €5.6 billion in 2018, increasing by 1%. The most important categories in 2018 were: </w:t>
      </w:r>
    </w:p>
    <w:p>
      <w:pPr>
        <w:jc w:val="both"/>
        <w:rPr>
          <w:noProof/>
          <w:color w:val="000000" w:themeColor="text1"/>
        </w:rPr>
      </w:pPr>
    </w:p>
    <w:p>
      <w:pPr>
        <w:numPr>
          <w:ilvl w:val="0"/>
          <w:numId w:val="57"/>
        </w:numPr>
        <w:spacing w:after="240"/>
        <w:jc w:val="both"/>
        <w:rPr>
          <w:noProof/>
          <w:color w:val="000000" w:themeColor="text1"/>
        </w:rPr>
      </w:pPr>
      <w:r>
        <w:rPr>
          <w:noProof/>
          <w:color w:val="000000" w:themeColor="text1"/>
        </w:rPr>
        <w:t xml:space="preserve">Machinery and mechanical appliances (HS 84) represented the largest share of EU exports at 16%, amounting to €978 million despite suffering the largest drop in absolute terms, with a decrease of 17% compared to 2017. </w:t>
      </w:r>
    </w:p>
    <w:p>
      <w:pPr>
        <w:numPr>
          <w:ilvl w:val="0"/>
          <w:numId w:val="57"/>
        </w:numPr>
        <w:spacing w:after="240"/>
        <w:jc w:val="both"/>
        <w:rPr>
          <w:noProof/>
          <w:color w:val="000000" w:themeColor="text1"/>
        </w:rPr>
      </w:pPr>
      <w:r>
        <w:rPr>
          <w:noProof/>
          <w:color w:val="000000" w:themeColor="text1"/>
        </w:rPr>
        <w:t xml:space="preserve">Pharmaceutical products (HS 30), totalling €813 million, or 14% of EU exports, increased by 12%; </w:t>
      </w:r>
    </w:p>
    <w:p>
      <w:pPr>
        <w:numPr>
          <w:ilvl w:val="0"/>
          <w:numId w:val="57"/>
        </w:numPr>
        <w:spacing w:after="240"/>
        <w:jc w:val="both"/>
        <w:rPr>
          <w:noProof/>
          <w:color w:val="000000" w:themeColor="text1"/>
        </w:rPr>
      </w:pPr>
      <w:r>
        <w:rPr>
          <w:noProof/>
          <w:color w:val="000000" w:themeColor="text1"/>
        </w:rPr>
        <w:t>Motor vehicles (HS87), registered a 17% increase up to €556 million, now representing 9% of total EU exports.</w:t>
      </w:r>
    </w:p>
    <w:p>
      <w:pPr>
        <w:jc w:val="both"/>
        <w:rPr>
          <w:noProof/>
          <w:color w:val="000000" w:themeColor="text1"/>
        </w:rPr>
      </w:pPr>
      <w:r>
        <w:rPr>
          <w:noProof/>
          <w:color w:val="000000" w:themeColor="text1"/>
          <w:u w:val="single"/>
        </w:rPr>
        <w:t>EU imports</w:t>
      </w:r>
      <w:r>
        <w:rPr>
          <w:noProof/>
          <w:color w:val="000000" w:themeColor="text1"/>
        </w:rPr>
        <w:t xml:space="preserve"> from Colombia of NAMA products amounted to €2.9 billion in 2018, decreasing by 9% compared to the previous year. The main categories in 2018 were: </w:t>
      </w:r>
    </w:p>
    <w:p>
      <w:pPr>
        <w:jc w:val="both"/>
        <w:rPr>
          <w:noProof/>
          <w:color w:val="000000" w:themeColor="text1"/>
        </w:rPr>
      </w:pPr>
    </w:p>
    <w:p>
      <w:pPr>
        <w:numPr>
          <w:ilvl w:val="0"/>
          <w:numId w:val="57"/>
        </w:numPr>
        <w:spacing w:after="240"/>
        <w:jc w:val="both"/>
        <w:rPr>
          <w:noProof/>
          <w:color w:val="000000" w:themeColor="text1"/>
        </w:rPr>
      </w:pPr>
      <w:r>
        <w:rPr>
          <w:noProof/>
          <w:color w:val="000000" w:themeColor="text1"/>
        </w:rPr>
        <w:t xml:space="preserve">Minerals (HS 27), €2.1 billion, representing 43% of total EU imports from Colombia, versus 46% in 2017; </w:t>
      </w:r>
    </w:p>
    <w:p>
      <w:pPr>
        <w:numPr>
          <w:ilvl w:val="0"/>
          <w:numId w:val="57"/>
        </w:numPr>
        <w:spacing w:after="240"/>
        <w:jc w:val="both"/>
        <w:rPr>
          <w:noProof/>
          <w:color w:val="000000" w:themeColor="text1"/>
        </w:rPr>
      </w:pPr>
      <w:r>
        <w:rPr>
          <w:noProof/>
          <w:color w:val="000000" w:themeColor="text1"/>
        </w:rPr>
        <w:t xml:space="preserve">Precious stones and minerals (mainly emeralds and gold) (HS 71); increased by 171% compared to 2017, now representing €156 million, or 5% of total imports,  </w:t>
      </w:r>
    </w:p>
    <w:p>
      <w:pPr>
        <w:numPr>
          <w:ilvl w:val="0"/>
          <w:numId w:val="57"/>
        </w:numPr>
        <w:spacing w:after="240"/>
        <w:jc w:val="both"/>
        <w:rPr>
          <w:noProof/>
        </w:rPr>
      </w:pPr>
      <w:r>
        <w:rPr>
          <w:noProof/>
          <w:color w:val="000000" w:themeColor="text1"/>
        </w:rPr>
        <w:t>Base metals (HS 72 to 83) (of which mainly iron and steel) amounted to €99 million, representing 2% of EU imports, an increase of 3% compared to 2017.</w:t>
      </w:r>
      <w:r>
        <w:rPr>
          <w:noProof/>
          <w:color w:val="0070C0"/>
        </w:rPr>
        <w:t xml:space="preserve"> </w:t>
      </w:r>
    </w:p>
    <w:p>
      <w:pPr>
        <w:jc w:val="both"/>
        <w:rPr>
          <w:b/>
          <w:noProof/>
          <w:u w:val="single"/>
        </w:rPr>
      </w:pPr>
      <w:r>
        <w:rPr>
          <w:b/>
          <w:noProof/>
          <w:u w:val="single"/>
        </w:rPr>
        <w:t xml:space="preserve">Peru </w:t>
      </w:r>
    </w:p>
    <w:p>
      <w:pPr>
        <w:jc w:val="both"/>
        <w:rPr>
          <w:noProof/>
        </w:rPr>
      </w:pPr>
    </w:p>
    <w:p>
      <w:pPr>
        <w:jc w:val="both"/>
        <w:rPr>
          <w:noProof/>
        </w:rPr>
      </w:pPr>
      <w:r>
        <w:rPr>
          <w:noProof/>
        </w:rPr>
        <w:t xml:space="preserve">The EU is Peru’s third largest trading partner (14% of total Peruvian trade), after China (24%) and the US (19%). In 2018, </w:t>
      </w:r>
      <w:r>
        <w:rPr>
          <w:b/>
          <w:noProof/>
        </w:rPr>
        <w:t>bilateral trade with the EU amounted €9.9 billion</w:t>
      </w:r>
      <w:r>
        <w:rPr>
          <w:noProof/>
        </w:rPr>
        <w:t xml:space="preserve">, decreasing by 3% compared to 2017, while Peru’s overall trade with the rest of the world increased by 17% over the same period. The EU’s trade deficit increased from €2.1 billion to €2.4 billion. </w:t>
      </w:r>
    </w:p>
    <w:p>
      <w:pPr>
        <w:jc w:val="both"/>
        <w:rPr>
          <w:noProof/>
          <w:u w:val="single"/>
        </w:rPr>
      </w:pPr>
    </w:p>
    <w:p>
      <w:pPr>
        <w:jc w:val="both"/>
        <w:rPr>
          <w:noProof/>
        </w:rPr>
      </w:pPr>
      <w:r>
        <w:rPr>
          <w:noProof/>
          <w:u w:val="single"/>
        </w:rPr>
        <w:t>EU exports</w:t>
      </w:r>
      <w:r>
        <w:rPr>
          <w:noProof/>
        </w:rPr>
        <w:t xml:space="preserve"> to Peru amounted to €3.7 billion, an 8% decrease when compared to 2017.  93% of EU exports are industrial products, mostly machinery and appliances, chemical products and transport equipment. </w:t>
      </w:r>
    </w:p>
    <w:p>
      <w:pPr>
        <w:jc w:val="both"/>
        <w:rPr>
          <w:noProof/>
          <w:u w:val="single"/>
        </w:rPr>
      </w:pPr>
    </w:p>
    <w:p>
      <w:pPr>
        <w:jc w:val="both"/>
        <w:rPr>
          <w:noProof/>
        </w:rPr>
      </w:pPr>
      <w:r>
        <w:rPr>
          <w:noProof/>
          <w:u w:val="single"/>
        </w:rPr>
        <w:t>EU imports</w:t>
      </w:r>
      <w:r>
        <w:rPr>
          <w:noProof/>
        </w:rPr>
        <w:t xml:space="preserve"> from Peru remained stable when compared to 2017 (€6.2 billion), Peru increased its exports to the rest of the world by 23%. Key export items are ores, slag and ashes, minerals, fruits, coffee and fishery products. The share of agricultural products in imports from Peru into the EU continued to increase.</w:t>
      </w:r>
    </w:p>
    <w:p>
      <w:pPr>
        <w:jc w:val="both"/>
        <w:rPr>
          <w:noProof/>
        </w:rPr>
      </w:pPr>
    </w:p>
    <w:p>
      <w:pPr>
        <w:jc w:val="both"/>
        <w:rPr>
          <w:b/>
          <w:i/>
          <w:noProof/>
          <w:lang w:val="en-US"/>
        </w:rPr>
      </w:pPr>
      <w:r>
        <w:rPr>
          <w:b/>
          <w:i/>
          <w:noProof/>
          <w:lang w:val="en-US"/>
        </w:rPr>
        <w:t>EU-Peru trade in non-agricultural products (NAMA)</w:t>
      </w:r>
    </w:p>
    <w:p>
      <w:pPr>
        <w:jc w:val="both"/>
        <w:rPr>
          <w:b/>
          <w:noProof/>
        </w:rPr>
      </w:pPr>
    </w:p>
    <w:p>
      <w:pPr>
        <w:jc w:val="both"/>
        <w:rPr>
          <w:noProof/>
        </w:rPr>
      </w:pPr>
      <w:r>
        <w:rPr>
          <w:b/>
          <w:noProof/>
        </w:rPr>
        <w:t>EU exports to Peru</w:t>
      </w:r>
      <w:r>
        <w:rPr>
          <w:noProof/>
        </w:rPr>
        <w:t xml:space="preserve"> of non-agricultural products amounted to €3.47 billion in 2018, a 9% decrease (from €3.8 billion in 2017). The most important categories in 2018 were:</w:t>
      </w:r>
    </w:p>
    <w:p>
      <w:pPr>
        <w:jc w:val="both"/>
        <w:rPr>
          <w:noProof/>
        </w:rPr>
      </w:pPr>
    </w:p>
    <w:p>
      <w:pPr>
        <w:numPr>
          <w:ilvl w:val="0"/>
          <w:numId w:val="54"/>
        </w:numPr>
        <w:spacing w:after="240"/>
        <w:jc w:val="both"/>
        <w:rPr>
          <w:noProof/>
        </w:rPr>
      </w:pPr>
      <w:r>
        <w:rPr>
          <w:noProof/>
        </w:rPr>
        <w:t>Machinery, mechanical appliances (HS 84), amounting to €898 million representing 24% of total EU exports to Peru, with a 7% decrease compared to 2017;</w:t>
      </w:r>
    </w:p>
    <w:p>
      <w:pPr>
        <w:numPr>
          <w:ilvl w:val="0"/>
          <w:numId w:val="54"/>
        </w:numPr>
        <w:spacing w:after="240"/>
        <w:jc w:val="both"/>
        <w:rPr>
          <w:noProof/>
        </w:rPr>
      </w:pPr>
      <w:r>
        <w:rPr>
          <w:noProof/>
        </w:rPr>
        <w:t>Electrical machinery and equipment (HS 85), or €327 million, accounting for 9% of total EU exports to Peru, and with a 18% contraction compared to 2017;</w:t>
      </w:r>
    </w:p>
    <w:p>
      <w:pPr>
        <w:numPr>
          <w:ilvl w:val="0"/>
          <w:numId w:val="54"/>
        </w:numPr>
        <w:spacing w:after="240"/>
        <w:jc w:val="both"/>
        <w:rPr>
          <w:noProof/>
        </w:rPr>
      </w:pPr>
      <w:r>
        <w:rPr>
          <w:noProof/>
        </w:rPr>
        <w:t>Vehicles and parts (HS 80), worth €300 million or 8% of EU exports, decreasing by 1% compared to 2017;</w:t>
      </w:r>
    </w:p>
    <w:p>
      <w:pPr>
        <w:numPr>
          <w:ilvl w:val="0"/>
          <w:numId w:val="54"/>
        </w:numPr>
        <w:spacing w:after="240"/>
        <w:jc w:val="both"/>
        <w:rPr>
          <w:noProof/>
        </w:rPr>
      </w:pPr>
      <w:r>
        <w:rPr>
          <w:noProof/>
        </w:rPr>
        <w:t>Pharmaceutical products (HS30), amounting to €198 million, or 5% of EU exports, decreasing by -3% compared to 2017.</w:t>
      </w:r>
    </w:p>
    <w:p>
      <w:pPr>
        <w:jc w:val="both"/>
        <w:rPr>
          <w:noProof/>
        </w:rPr>
      </w:pPr>
      <w:r>
        <w:rPr>
          <w:b/>
          <w:noProof/>
        </w:rPr>
        <w:t>EU imports</w:t>
      </w:r>
      <w:r>
        <w:rPr>
          <w:noProof/>
        </w:rPr>
        <w:t xml:space="preserve"> from Peru of non-agricultural products also decreased by 4% amounting to €3.87 billion in 2018 (from €4.02 billion the previous year). The main categories in 2018 were:</w:t>
      </w:r>
    </w:p>
    <w:p>
      <w:pPr>
        <w:jc w:val="both"/>
        <w:rPr>
          <w:noProof/>
        </w:rPr>
      </w:pPr>
    </w:p>
    <w:p>
      <w:pPr>
        <w:numPr>
          <w:ilvl w:val="0"/>
          <w:numId w:val="54"/>
        </w:numPr>
        <w:spacing w:after="240"/>
        <w:jc w:val="both"/>
        <w:rPr>
          <w:noProof/>
        </w:rPr>
      </w:pPr>
      <w:r>
        <w:rPr>
          <w:noProof/>
        </w:rPr>
        <w:t>Ores (HS 26), amounting to €1.7 billion representing 27% of total EU imports from Peru, versus 30% in 2017, with a 10% decrease compared to 2017;</w:t>
      </w:r>
    </w:p>
    <w:p>
      <w:pPr>
        <w:numPr>
          <w:ilvl w:val="0"/>
          <w:numId w:val="54"/>
        </w:numPr>
        <w:spacing w:after="240"/>
        <w:jc w:val="both"/>
        <w:rPr>
          <w:noProof/>
        </w:rPr>
      </w:pPr>
      <w:r>
        <w:rPr>
          <w:noProof/>
        </w:rPr>
        <w:t>Mineral fuels (HS27) mainly natural gas, worth €496 million, representing 8% of EU imports, a 26% decrease of 26% compared to 2017;</w:t>
      </w:r>
    </w:p>
    <w:p>
      <w:pPr>
        <w:numPr>
          <w:ilvl w:val="0"/>
          <w:numId w:val="54"/>
        </w:numPr>
        <w:spacing w:after="240"/>
        <w:jc w:val="both"/>
        <w:rPr>
          <w:noProof/>
        </w:rPr>
      </w:pPr>
      <w:r>
        <w:rPr>
          <w:noProof/>
        </w:rPr>
        <w:t>Fish and crustaceans (HS 03), amounting to €308 million or 5% of EU imports, with a strong 18% increase compared to 2017.</w:t>
      </w:r>
    </w:p>
    <w:p>
      <w:pPr>
        <w:jc w:val="both"/>
        <w:rPr>
          <w:b/>
          <w:noProof/>
          <w:u w:val="single"/>
        </w:rPr>
      </w:pPr>
      <w:r>
        <w:rPr>
          <w:b/>
          <w:noProof/>
          <w:u w:val="single"/>
        </w:rPr>
        <w:t>Ecuador</w:t>
      </w:r>
    </w:p>
    <w:p>
      <w:pPr>
        <w:jc w:val="both"/>
        <w:rPr>
          <w:noProof/>
        </w:rPr>
      </w:pPr>
    </w:p>
    <w:p>
      <w:pPr>
        <w:jc w:val="both"/>
        <w:rPr>
          <w:noProof/>
        </w:rPr>
      </w:pPr>
      <w:r>
        <w:rPr>
          <w:noProof/>
        </w:rPr>
        <w:t xml:space="preserve">In 2018, the EU remained Ecuador´s second largest trading partner (14% of total Ecuador trade) after the US (27%) and ahead of China (12%). In 2018, </w:t>
      </w:r>
      <w:r>
        <w:rPr>
          <w:b/>
          <w:noProof/>
        </w:rPr>
        <w:t>bilateral trade amounted to €5.4 billion</w:t>
      </w:r>
      <w:r>
        <w:rPr>
          <w:noProof/>
        </w:rPr>
        <w:t xml:space="preserve">, a 3% increase compared to €5.2 billion in 2017, a much slower rate compared to the remarkable 20% growth registered in 2017, the first year of application of the Agreement. Ecuador’s trade with the rest of the world increased by 12% in 2018, compared to 16% in 2017. Several factors may explain these figures: i) a strong dollar reducing the competitiveness of Ecuadorian products in international markets; ii) a slowdown in Ecuador´s domestic consumption; and iii) a trade diversion towards Central American countries and China. While the EU has historically maintained a trade deficit with Ecuador, this deficit is getting progressively reduced. </w:t>
      </w:r>
    </w:p>
    <w:p>
      <w:pPr>
        <w:jc w:val="both"/>
        <w:rPr>
          <w:noProof/>
          <w:u w:val="single"/>
        </w:rPr>
      </w:pPr>
    </w:p>
    <w:p>
      <w:pPr>
        <w:jc w:val="both"/>
        <w:rPr>
          <w:noProof/>
        </w:rPr>
      </w:pPr>
      <w:r>
        <w:rPr>
          <w:noProof/>
          <w:u w:val="single"/>
        </w:rPr>
        <w:t>EU exports</w:t>
      </w:r>
      <w:r>
        <w:rPr>
          <w:noProof/>
        </w:rPr>
        <w:t xml:space="preserve"> to Ecuador increased by 6% year-on-year (2017: €2.2 billion; 2018: €2.3 billion) and concentrated on agricultural products and fishery products. </w:t>
      </w:r>
    </w:p>
    <w:p>
      <w:pPr>
        <w:jc w:val="both"/>
        <w:rPr>
          <w:noProof/>
          <w:u w:val="single"/>
        </w:rPr>
      </w:pPr>
    </w:p>
    <w:p>
      <w:pPr>
        <w:jc w:val="both"/>
        <w:rPr>
          <w:noProof/>
        </w:rPr>
      </w:pPr>
      <w:r>
        <w:rPr>
          <w:noProof/>
          <w:u w:val="single"/>
        </w:rPr>
        <w:t>EU imports</w:t>
      </w:r>
      <w:r>
        <w:rPr>
          <w:noProof/>
        </w:rPr>
        <w:t xml:space="preserve"> from Ecuador grew by 1% year-on-year (2017: €3 billion; 2018: €3 billion). Key categories were machinery and appliances, chemical products and mineral products.  </w:t>
      </w:r>
    </w:p>
    <w:p>
      <w:pPr>
        <w:jc w:val="both"/>
        <w:rPr>
          <w:b/>
          <w:i/>
          <w:noProof/>
        </w:rPr>
      </w:pPr>
    </w:p>
    <w:p>
      <w:pPr>
        <w:jc w:val="both"/>
        <w:rPr>
          <w:b/>
          <w:i/>
          <w:noProof/>
        </w:rPr>
      </w:pPr>
      <w:r>
        <w:rPr>
          <w:b/>
          <w:i/>
          <w:noProof/>
        </w:rPr>
        <w:t xml:space="preserve">EU-Ecuador trade in non-agricultural products (NAMA) </w:t>
      </w:r>
    </w:p>
    <w:p>
      <w:pPr>
        <w:jc w:val="both"/>
        <w:rPr>
          <w:noProof/>
          <w:u w:val="single"/>
        </w:rPr>
      </w:pPr>
    </w:p>
    <w:p>
      <w:pPr>
        <w:jc w:val="both"/>
        <w:rPr>
          <w:noProof/>
        </w:rPr>
      </w:pPr>
      <w:r>
        <w:rPr>
          <w:noProof/>
          <w:u w:val="single"/>
        </w:rPr>
        <w:t>EU exports</w:t>
      </w:r>
      <w:r>
        <w:rPr>
          <w:noProof/>
        </w:rPr>
        <w:t xml:space="preserve"> to Ecuador of NAMA products increased by 5% amounting €2.2 billion in 2018. The most important categories in 2018 were: </w:t>
      </w:r>
    </w:p>
    <w:p>
      <w:pPr>
        <w:jc w:val="both"/>
        <w:rPr>
          <w:noProof/>
        </w:rPr>
      </w:pPr>
    </w:p>
    <w:p>
      <w:pPr>
        <w:numPr>
          <w:ilvl w:val="0"/>
          <w:numId w:val="54"/>
        </w:numPr>
        <w:spacing w:after="240"/>
        <w:jc w:val="both"/>
        <w:rPr>
          <w:noProof/>
        </w:rPr>
      </w:pPr>
      <w:r>
        <w:rPr>
          <w:noProof/>
        </w:rPr>
        <w:t xml:space="preserve">Machinery and mechanical appliances (HS84), worth €425 million and accounting for 18% of total EU exports to Ecuador, shrunk by 3% compared to 2017; </w:t>
      </w:r>
    </w:p>
    <w:p>
      <w:pPr>
        <w:numPr>
          <w:ilvl w:val="0"/>
          <w:numId w:val="54"/>
        </w:numPr>
        <w:spacing w:after="240"/>
        <w:jc w:val="both"/>
        <w:rPr>
          <w:noProof/>
        </w:rPr>
      </w:pPr>
      <w:r>
        <w:rPr>
          <w:noProof/>
        </w:rPr>
        <w:t xml:space="preserve">Mineral fuels (HS 27), amounting to €350 million, or 15% of total EU exports, contracted by 11%; </w:t>
      </w:r>
    </w:p>
    <w:p>
      <w:pPr>
        <w:numPr>
          <w:ilvl w:val="0"/>
          <w:numId w:val="54"/>
        </w:numPr>
        <w:spacing w:after="240"/>
        <w:jc w:val="both"/>
        <w:rPr>
          <w:noProof/>
        </w:rPr>
      </w:pPr>
      <w:r>
        <w:rPr>
          <w:noProof/>
        </w:rPr>
        <w:t xml:space="preserve">Vehicles and parts (HS87), of a value of €171 million, or 7% of EU exports, grew by 70%; Railways and trams (HS86), of €15 million,  registering a 730% increase, as a consequence of works on the public transportation system (the metro of Quito, the tramway of Cuenca, and the cableway in Guayaquil). </w:t>
      </w:r>
    </w:p>
    <w:p>
      <w:pPr>
        <w:numPr>
          <w:ilvl w:val="0"/>
          <w:numId w:val="54"/>
        </w:numPr>
        <w:spacing w:after="240"/>
        <w:jc w:val="both"/>
        <w:rPr>
          <w:noProof/>
        </w:rPr>
      </w:pPr>
      <w:r>
        <w:rPr>
          <w:noProof/>
        </w:rPr>
        <w:t xml:space="preserve">Pharmaceutical products (HS 30), €166 million, or 7% of EU exports, grew by 6%; </w:t>
      </w:r>
    </w:p>
    <w:p>
      <w:pPr>
        <w:numPr>
          <w:ilvl w:val="0"/>
          <w:numId w:val="54"/>
        </w:numPr>
        <w:spacing w:after="240"/>
        <w:jc w:val="both"/>
        <w:rPr>
          <w:noProof/>
        </w:rPr>
      </w:pPr>
      <w:r>
        <w:rPr>
          <w:noProof/>
        </w:rPr>
        <w:t xml:space="preserve">Fishery products (HS03), worth €98 million accounting for 4% of EU total exports to Ecuador. </w:t>
      </w:r>
    </w:p>
    <w:p>
      <w:pPr>
        <w:jc w:val="both"/>
        <w:rPr>
          <w:noProof/>
        </w:rPr>
      </w:pPr>
      <w:r>
        <w:rPr>
          <w:noProof/>
          <w:u w:val="single"/>
        </w:rPr>
        <w:t xml:space="preserve">EU imports </w:t>
      </w:r>
      <w:r>
        <w:rPr>
          <w:noProof/>
        </w:rPr>
        <w:t>of NAMA products from Ecuador decreased by 2% amounting to €1.42 billion in 2018. The main categories in 2018 were:</w:t>
      </w:r>
    </w:p>
    <w:p>
      <w:pPr>
        <w:jc w:val="both"/>
        <w:rPr>
          <w:noProof/>
        </w:rPr>
      </w:pPr>
    </w:p>
    <w:p>
      <w:pPr>
        <w:numPr>
          <w:ilvl w:val="0"/>
          <w:numId w:val="54"/>
        </w:numPr>
        <w:spacing w:after="240"/>
        <w:jc w:val="both"/>
        <w:rPr>
          <w:b/>
          <w:noProof/>
          <w:u w:val="single"/>
        </w:rPr>
      </w:pPr>
      <w:r>
        <w:rPr>
          <w:noProof/>
        </w:rPr>
        <w:t xml:space="preserve">Fish and crustaceans (HS 03), amounted to €657 million, and accounted for 22% of total EU imports from Ecuador, shrunk by 3%; </w:t>
      </w:r>
    </w:p>
    <w:p>
      <w:pPr>
        <w:numPr>
          <w:ilvl w:val="0"/>
          <w:numId w:val="54"/>
        </w:numPr>
        <w:spacing w:after="240"/>
        <w:jc w:val="both"/>
        <w:rPr>
          <w:b/>
          <w:noProof/>
          <w:u w:val="single"/>
        </w:rPr>
      </w:pPr>
      <w:r>
        <w:rPr>
          <w:noProof/>
        </w:rPr>
        <w:t xml:space="preserve">Preparation of fish (tuna) (HS 16) worth €656 million, or 22% of total EU imports, shrunk by 2%; </w:t>
      </w:r>
    </w:p>
    <w:p>
      <w:pPr>
        <w:pStyle w:val="Heading3"/>
        <w:ind w:left="0" w:firstLine="0"/>
        <w:rPr>
          <w:noProof/>
          <w:szCs w:val="24"/>
        </w:rPr>
      </w:pPr>
      <w:bookmarkStart w:id="317" w:name="_Toc9008107"/>
      <w:bookmarkStart w:id="318" w:name="_Toc9008060"/>
      <w:bookmarkStart w:id="319" w:name="_Toc9348506"/>
      <w:bookmarkStart w:id="320" w:name="_Toc9607958"/>
      <w:bookmarkStart w:id="321" w:name="_Toc16000534"/>
      <w:r>
        <w:rPr>
          <w:noProof/>
          <w:szCs w:val="24"/>
        </w:rPr>
        <w:t>2.1.2 Trade in agricultural goods</w:t>
      </w:r>
      <w:bookmarkEnd w:id="316"/>
      <w:bookmarkEnd w:id="317"/>
      <w:bookmarkEnd w:id="318"/>
      <w:bookmarkEnd w:id="319"/>
      <w:bookmarkEnd w:id="320"/>
      <w:bookmarkEnd w:id="321"/>
    </w:p>
    <w:p>
      <w:pPr>
        <w:jc w:val="both"/>
        <w:rPr>
          <w:rFonts w:eastAsia="Times New Roman"/>
          <w:noProof/>
        </w:rPr>
      </w:pPr>
      <w:r>
        <w:rPr>
          <w:rFonts w:eastAsia="Times New Roman"/>
          <w:noProof/>
          <w:color w:val="000000"/>
          <w:lang w:val="en"/>
        </w:rPr>
        <w:t xml:space="preserve">This section focuses on agricultural products as defined by Article 2 of the WTO Agreement on Agriculture and as listed in Annex 1 of the same agreement. </w:t>
      </w:r>
    </w:p>
    <w:p>
      <w:pPr>
        <w:jc w:val="both"/>
        <w:rPr>
          <w:b/>
          <w:noProof/>
          <w:u w:val="single"/>
          <w:lang w:val="en-US"/>
        </w:rPr>
      </w:pPr>
    </w:p>
    <w:p>
      <w:pPr>
        <w:jc w:val="both"/>
        <w:rPr>
          <w:b/>
          <w:noProof/>
          <w:u w:val="single"/>
          <w:lang w:val="en-US"/>
        </w:rPr>
      </w:pPr>
      <w:r>
        <w:rPr>
          <w:b/>
          <w:noProof/>
          <w:u w:val="single"/>
          <w:lang w:val="en-US"/>
        </w:rPr>
        <w:t>Colombia</w:t>
      </w:r>
    </w:p>
    <w:p>
      <w:pPr>
        <w:jc w:val="both"/>
        <w:rPr>
          <w:noProof/>
          <w:color w:val="000000" w:themeColor="text1"/>
          <w:u w:val="single"/>
        </w:rPr>
      </w:pPr>
    </w:p>
    <w:p>
      <w:pPr>
        <w:jc w:val="both"/>
        <w:rPr>
          <w:noProof/>
          <w:color w:val="000000" w:themeColor="text1"/>
        </w:rPr>
      </w:pPr>
      <w:r>
        <w:rPr>
          <w:noProof/>
          <w:color w:val="000000" w:themeColor="text1"/>
          <w:u w:val="single"/>
        </w:rPr>
        <w:t>EU exports</w:t>
      </w:r>
      <w:r>
        <w:rPr>
          <w:noProof/>
          <w:color w:val="000000" w:themeColor="text1"/>
        </w:rPr>
        <w:t xml:space="preserve"> to Colombia of agricultural products increased by 7% in 2018, and were dominated by: </w:t>
      </w:r>
    </w:p>
    <w:p>
      <w:pPr>
        <w:jc w:val="both"/>
        <w:rPr>
          <w:noProof/>
          <w:color w:val="000000" w:themeColor="text1"/>
        </w:rPr>
      </w:pPr>
    </w:p>
    <w:p>
      <w:pPr>
        <w:numPr>
          <w:ilvl w:val="0"/>
          <w:numId w:val="57"/>
        </w:numPr>
        <w:spacing w:after="240"/>
        <w:jc w:val="both"/>
        <w:rPr>
          <w:noProof/>
          <w:color w:val="000000" w:themeColor="text1"/>
        </w:rPr>
      </w:pPr>
      <w:r>
        <w:rPr>
          <w:noProof/>
          <w:color w:val="000000" w:themeColor="text1"/>
        </w:rPr>
        <w:t xml:space="preserve">Beverages and spirits (HS22) at €91.4 million, or 21% of EU exports of agricultural products to Colombia; </w:t>
      </w:r>
    </w:p>
    <w:p>
      <w:pPr>
        <w:numPr>
          <w:ilvl w:val="0"/>
          <w:numId w:val="57"/>
        </w:numPr>
        <w:spacing w:after="240"/>
        <w:jc w:val="both"/>
        <w:rPr>
          <w:noProof/>
          <w:color w:val="000000" w:themeColor="text1"/>
        </w:rPr>
      </w:pPr>
      <w:r>
        <w:rPr>
          <w:noProof/>
          <w:color w:val="000000" w:themeColor="text1"/>
        </w:rPr>
        <w:t xml:space="preserve">Preparations of cereals, flour, starch (HS19) and preparation of vegetables, fruits, nuts or plants (HS20) account for 1% of agricultural exports each. </w:t>
      </w:r>
    </w:p>
    <w:p>
      <w:pPr>
        <w:numPr>
          <w:ilvl w:val="0"/>
          <w:numId w:val="57"/>
        </w:numPr>
        <w:spacing w:after="240"/>
        <w:jc w:val="both"/>
        <w:rPr>
          <w:noProof/>
          <w:color w:val="0070C0"/>
        </w:rPr>
      </w:pPr>
      <w:r>
        <w:rPr>
          <w:noProof/>
          <w:color w:val="000000" w:themeColor="text1"/>
        </w:rPr>
        <w:t xml:space="preserve">Animal and vegetable fats and oils (HS15) increased by 5%, representing 1% of EU agricultural exports. </w:t>
      </w:r>
    </w:p>
    <w:p>
      <w:pPr>
        <w:jc w:val="both"/>
        <w:rPr>
          <w:noProof/>
          <w:color w:val="000000" w:themeColor="text1"/>
        </w:rPr>
      </w:pPr>
      <w:r>
        <w:rPr>
          <w:noProof/>
          <w:color w:val="000000" w:themeColor="text1"/>
          <w:u w:val="single"/>
        </w:rPr>
        <w:t>EU imports</w:t>
      </w:r>
      <w:r>
        <w:rPr>
          <w:noProof/>
          <w:color w:val="000000" w:themeColor="text1"/>
        </w:rPr>
        <w:t xml:space="preserve"> of agricultural products from Colombia amounted to €2.2 billion, decreasing by 9% from 2017 to 2018. The most important categories in 2018 were: </w:t>
      </w:r>
    </w:p>
    <w:p>
      <w:pPr>
        <w:jc w:val="both"/>
        <w:rPr>
          <w:noProof/>
          <w:color w:val="000000" w:themeColor="text1"/>
        </w:rPr>
      </w:pPr>
    </w:p>
    <w:p>
      <w:pPr>
        <w:numPr>
          <w:ilvl w:val="0"/>
          <w:numId w:val="57"/>
        </w:numPr>
        <w:spacing w:after="240"/>
        <w:jc w:val="both"/>
        <w:rPr>
          <w:noProof/>
          <w:color w:val="000000" w:themeColor="text1"/>
        </w:rPr>
      </w:pPr>
      <w:r>
        <w:rPr>
          <w:noProof/>
          <w:color w:val="000000" w:themeColor="text1"/>
        </w:rPr>
        <w:t xml:space="preserve">Fruits (HS08), worth €1 billion, accounting for 20% of total EU imports from Ecuador, down by 5% when compared to 2017. Bananas represented 83% of all fruits exported, followed by avocados with 6%. From 2017 to 2018, there was a strong increase in exports of limes (78%), guavas, mangoes and mangosteens (31%) and oranges (19%); </w:t>
      </w:r>
    </w:p>
    <w:p>
      <w:pPr>
        <w:numPr>
          <w:ilvl w:val="0"/>
          <w:numId w:val="57"/>
        </w:numPr>
        <w:spacing w:after="240"/>
        <w:jc w:val="both"/>
        <w:rPr>
          <w:noProof/>
          <w:color w:val="000000" w:themeColor="text1"/>
        </w:rPr>
      </w:pPr>
      <w:r>
        <w:rPr>
          <w:noProof/>
          <w:color w:val="000000" w:themeColor="text1"/>
        </w:rPr>
        <w:t xml:space="preserve">Coffee (HS09), €491 million, decreased by 20%, represents 10% of EU imports; </w:t>
      </w:r>
    </w:p>
    <w:p>
      <w:pPr>
        <w:numPr>
          <w:ilvl w:val="0"/>
          <w:numId w:val="57"/>
        </w:numPr>
        <w:spacing w:after="240"/>
        <w:jc w:val="both"/>
        <w:rPr>
          <w:noProof/>
          <w:color w:val="000000" w:themeColor="text1"/>
        </w:rPr>
      </w:pPr>
      <w:r>
        <w:rPr>
          <w:noProof/>
          <w:color w:val="000000" w:themeColor="text1"/>
        </w:rPr>
        <w:t xml:space="preserve">Crude palm oil (HS151110) and crude palm kernel oil decreased by 15% and 5% respectively but still accounted for 5% and 1% of imports. </w:t>
      </w:r>
    </w:p>
    <w:p>
      <w:pPr>
        <w:jc w:val="both"/>
        <w:rPr>
          <w:noProof/>
          <w:color w:val="000000" w:themeColor="text1"/>
        </w:rPr>
      </w:pPr>
      <w:r>
        <w:rPr>
          <w:noProof/>
          <w:color w:val="000000" w:themeColor="text1"/>
        </w:rPr>
        <w:t xml:space="preserve">Total EU imports of agricultural products from Colombia have increased by 45% since 2012, and now account for </w:t>
      </w:r>
      <w:r>
        <w:rPr>
          <w:b/>
          <w:noProof/>
          <w:color w:val="000000" w:themeColor="text1"/>
        </w:rPr>
        <w:t>43% of Colombian exports to the EU, versus 18% in 2012.</w:t>
      </w:r>
    </w:p>
    <w:p>
      <w:pPr>
        <w:jc w:val="both"/>
        <w:rPr>
          <w:b/>
          <w:i/>
          <w:noProof/>
          <w:color w:val="000000" w:themeColor="text1"/>
        </w:rPr>
      </w:pPr>
    </w:p>
    <w:p>
      <w:pPr>
        <w:jc w:val="both"/>
        <w:rPr>
          <w:b/>
          <w:i/>
          <w:noProof/>
          <w:color w:val="000000" w:themeColor="text1"/>
        </w:rPr>
      </w:pPr>
      <w:r>
        <w:rPr>
          <w:b/>
          <w:i/>
          <w:noProof/>
          <w:color w:val="000000" w:themeColor="text1"/>
        </w:rPr>
        <w:t>Use of Tariff-rate quotas (TRQs)</w:t>
      </w:r>
    </w:p>
    <w:p>
      <w:pPr>
        <w:jc w:val="both"/>
        <w:rPr>
          <w:b/>
          <w:i/>
          <w:noProof/>
          <w:color w:val="000000" w:themeColor="text1"/>
        </w:rPr>
      </w:pPr>
    </w:p>
    <w:p>
      <w:pPr>
        <w:jc w:val="both"/>
        <w:rPr>
          <w:noProof/>
          <w:color w:val="000000" w:themeColor="text1"/>
        </w:rPr>
      </w:pPr>
      <w:r>
        <w:rPr>
          <w:noProof/>
          <w:color w:val="000000" w:themeColor="text1"/>
        </w:rPr>
        <w:t xml:space="preserve">The Agreement provides for Tariff Rate Quotas (TRQs) which grant the other party preferential tariff treatment up to the quota’s quantitative threshold, above which imports are subject to the applicable Most-Favoured Nation tariff. </w:t>
      </w:r>
    </w:p>
    <w:p>
      <w:pPr>
        <w:jc w:val="both"/>
        <w:rPr>
          <w:noProof/>
          <w:color w:val="000000" w:themeColor="text1"/>
        </w:rPr>
      </w:pPr>
    </w:p>
    <w:p>
      <w:pPr>
        <w:jc w:val="both"/>
        <w:rPr>
          <w:noProof/>
          <w:color w:val="000000" w:themeColor="text1"/>
        </w:rPr>
      </w:pPr>
      <w:r>
        <w:rPr>
          <w:noProof/>
          <w:color w:val="000000" w:themeColor="text1"/>
        </w:rPr>
        <w:t xml:space="preserve">Colombia’s use of the TRQ for cane sugar and chemically pure sucrose decreased to 64.8%. The TRQ for Rum was used for the first time in 2018. Other TRQs are hardly utilised or not utilised at all. </w:t>
      </w:r>
    </w:p>
    <w:p>
      <w:pPr>
        <w:jc w:val="both"/>
        <w:rPr>
          <w:noProof/>
          <w:color w:val="000000" w:themeColor="text1"/>
        </w:rPr>
      </w:pPr>
    </w:p>
    <w:p>
      <w:pPr>
        <w:keepNext/>
        <w:tabs>
          <w:tab w:val="left" w:pos="8844"/>
        </w:tabs>
        <w:jc w:val="both"/>
        <w:rPr>
          <w:b/>
          <w:bCs/>
          <w:noProof/>
          <w:color w:val="000000" w:themeColor="text1"/>
        </w:rPr>
      </w:pPr>
      <w:r>
        <w:rPr>
          <w:b/>
          <w:bCs/>
          <w:noProof/>
          <w:color w:val="000000" w:themeColor="text1"/>
        </w:rPr>
        <w:t>Rate of utilisation of EU TRQs by Colombia</w:t>
      </w: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5"/>
        <w:gridCol w:w="836"/>
        <w:gridCol w:w="836"/>
        <w:gridCol w:w="836"/>
        <w:gridCol w:w="836"/>
        <w:gridCol w:w="836"/>
        <w:gridCol w:w="836"/>
      </w:tblGrid>
      <w:tr>
        <w:trPr>
          <w:cantSplit/>
        </w:trPr>
        <w:tc>
          <w:tcPr>
            <w:tcW w:w="0" w:type="auto"/>
            <w:shd w:val="clear" w:color="auto" w:fill="auto"/>
            <w:vAlign w:val="center"/>
            <w:hideMark/>
          </w:tcPr>
          <w:p>
            <w:pPr>
              <w:keepNext/>
              <w:jc w:val="both"/>
              <w:rPr>
                <w:rFonts w:eastAsia="Times New Roman"/>
                <w:b/>
                <w:noProof/>
                <w:color w:val="FFFFFF"/>
                <w:lang w:eastAsia="en-GB"/>
              </w:rPr>
            </w:pPr>
          </w:p>
        </w:tc>
        <w:tc>
          <w:tcPr>
            <w:tcW w:w="0" w:type="auto"/>
            <w:shd w:val="clear" w:color="auto" w:fill="auto"/>
            <w:vAlign w:val="center"/>
          </w:tcPr>
          <w:p>
            <w:pPr>
              <w:keepNext/>
              <w:jc w:val="center"/>
              <w:rPr>
                <w:rFonts w:eastAsia="Times New Roman"/>
                <w:b/>
                <w:noProof/>
                <w:color w:val="000000"/>
                <w:lang w:eastAsia="en-GB"/>
              </w:rPr>
            </w:pPr>
            <w:r>
              <w:rPr>
                <w:rFonts w:eastAsia="Times New Roman"/>
                <w:b/>
                <w:noProof/>
                <w:color w:val="000000"/>
                <w:lang w:eastAsia="en-GB"/>
              </w:rPr>
              <w:t>2013</w:t>
            </w:r>
          </w:p>
        </w:tc>
        <w:tc>
          <w:tcPr>
            <w:tcW w:w="0" w:type="auto"/>
            <w:shd w:val="clear" w:color="auto" w:fill="auto"/>
            <w:vAlign w:val="center"/>
          </w:tcPr>
          <w:p>
            <w:pPr>
              <w:keepNext/>
              <w:jc w:val="center"/>
              <w:rPr>
                <w:rFonts w:eastAsia="Times New Roman"/>
                <w:b/>
                <w:noProof/>
                <w:color w:val="000000" w:themeColor="text1"/>
                <w:lang w:eastAsia="en-GB"/>
              </w:rPr>
            </w:pPr>
            <w:r>
              <w:rPr>
                <w:rFonts w:eastAsia="Times New Roman"/>
                <w:b/>
                <w:noProof/>
                <w:color w:val="000000" w:themeColor="text1"/>
                <w:lang w:eastAsia="en-GB"/>
              </w:rPr>
              <w:t>2014</w:t>
            </w:r>
          </w:p>
        </w:tc>
        <w:tc>
          <w:tcPr>
            <w:tcW w:w="0" w:type="auto"/>
            <w:shd w:val="clear" w:color="auto" w:fill="auto"/>
            <w:vAlign w:val="center"/>
          </w:tcPr>
          <w:p>
            <w:pPr>
              <w:keepNext/>
              <w:jc w:val="center"/>
              <w:rPr>
                <w:rFonts w:eastAsia="Times New Roman"/>
                <w:b/>
                <w:noProof/>
                <w:color w:val="000000" w:themeColor="text1"/>
                <w:lang w:eastAsia="en-GB"/>
              </w:rPr>
            </w:pPr>
            <w:r>
              <w:rPr>
                <w:rFonts w:eastAsia="Times New Roman"/>
                <w:b/>
                <w:noProof/>
                <w:color w:val="000000" w:themeColor="text1"/>
                <w:lang w:eastAsia="en-GB"/>
              </w:rPr>
              <w:t>2015</w:t>
            </w:r>
          </w:p>
        </w:tc>
        <w:tc>
          <w:tcPr>
            <w:tcW w:w="0" w:type="auto"/>
            <w:shd w:val="clear" w:color="auto" w:fill="auto"/>
            <w:vAlign w:val="center"/>
          </w:tcPr>
          <w:p>
            <w:pPr>
              <w:keepNext/>
              <w:jc w:val="center"/>
              <w:rPr>
                <w:rFonts w:eastAsia="Times New Roman"/>
                <w:b/>
                <w:noProof/>
                <w:color w:val="000000" w:themeColor="text1"/>
                <w:lang w:eastAsia="en-GB"/>
              </w:rPr>
            </w:pPr>
            <w:r>
              <w:rPr>
                <w:rFonts w:eastAsia="Times New Roman"/>
                <w:b/>
                <w:noProof/>
                <w:color w:val="000000" w:themeColor="text1"/>
                <w:lang w:eastAsia="en-GB"/>
              </w:rPr>
              <w:t>2016</w:t>
            </w:r>
          </w:p>
        </w:tc>
        <w:tc>
          <w:tcPr>
            <w:tcW w:w="0" w:type="auto"/>
            <w:shd w:val="clear" w:color="auto" w:fill="auto"/>
            <w:vAlign w:val="center"/>
          </w:tcPr>
          <w:p>
            <w:pPr>
              <w:keepNext/>
              <w:jc w:val="center"/>
              <w:rPr>
                <w:rFonts w:eastAsia="Times New Roman"/>
                <w:b/>
                <w:noProof/>
                <w:color w:val="000000" w:themeColor="text1"/>
                <w:lang w:eastAsia="en-GB"/>
              </w:rPr>
            </w:pPr>
            <w:r>
              <w:rPr>
                <w:rFonts w:eastAsia="Times New Roman"/>
                <w:b/>
                <w:noProof/>
                <w:color w:val="000000" w:themeColor="text1"/>
                <w:lang w:eastAsia="en-GB"/>
              </w:rPr>
              <w:t>2017</w:t>
            </w:r>
          </w:p>
        </w:tc>
        <w:tc>
          <w:tcPr>
            <w:tcW w:w="0" w:type="auto"/>
            <w:shd w:val="clear" w:color="auto" w:fill="auto"/>
            <w:vAlign w:val="center"/>
          </w:tcPr>
          <w:p>
            <w:pPr>
              <w:keepNext/>
              <w:jc w:val="center"/>
              <w:rPr>
                <w:rFonts w:eastAsia="Times New Roman"/>
                <w:b/>
                <w:noProof/>
                <w:color w:val="000000" w:themeColor="text1"/>
                <w:lang w:eastAsia="en-GB"/>
              </w:rPr>
            </w:pPr>
            <w:r>
              <w:rPr>
                <w:rFonts w:eastAsia="Times New Roman"/>
                <w:b/>
                <w:noProof/>
                <w:color w:val="000000" w:themeColor="text1"/>
                <w:lang w:eastAsia="en-GB"/>
              </w:rPr>
              <w:t>2018</w:t>
            </w:r>
          </w:p>
        </w:tc>
      </w:tr>
      <w:tr>
        <w:trPr>
          <w:cantSplit/>
        </w:trPr>
        <w:tc>
          <w:tcPr>
            <w:tcW w:w="0" w:type="auto"/>
            <w:shd w:val="clear" w:color="auto" w:fill="auto"/>
            <w:vAlign w:val="center"/>
            <w:hideMark/>
          </w:tcPr>
          <w:p>
            <w:pPr>
              <w:keepNext/>
              <w:jc w:val="both"/>
              <w:rPr>
                <w:rFonts w:eastAsia="Times New Roman"/>
                <w:noProof/>
                <w:color w:val="000000"/>
                <w:lang w:eastAsia="en-GB"/>
              </w:rPr>
            </w:pPr>
            <w:r>
              <w:rPr>
                <w:rFonts w:eastAsia="Times New Roman"/>
                <w:noProof/>
                <w:color w:val="000000"/>
                <w:lang w:eastAsia="en-GB"/>
              </w:rPr>
              <w:t>Cane sugar and chemically pure sucrose</w:t>
            </w:r>
          </w:p>
        </w:tc>
        <w:tc>
          <w:tcPr>
            <w:tcW w:w="0" w:type="auto"/>
            <w:shd w:val="clear" w:color="auto" w:fill="auto"/>
            <w:vAlign w:val="center"/>
            <w:hideMark/>
          </w:tcPr>
          <w:p>
            <w:pPr>
              <w:keepNext/>
              <w:jc w:val="right"/>
              <w:rPr>
                <w:rFonts w:eastAsia="Times New Roman"/>
                <w:noProof/>
                <w:color w:val="000000"/>
                <w:lang w:eastAsia="en-GB"/>
              </w:rPr>
            </w:pPr>
            <w:r>
              <w:rPr>
                <w:rFonts w:eastAsia="Times New Roman"/>
                <w:noProof/>
                <w:color w:val="000000"/>
                <w:lang w:eastAsia="en-GB"/>
              </w:rPr>
              <w:t>88.4%</w:t>
            </w:r>
          </w:p>
        </w:tc>
        <w:tc>
          <w:tcPr>
            <w:tcW w:w="0" w:type="auto"/>
            <w:shd w:val="clear" w:color="auto" w:fill="auto"/>
            <w:vAlign w:val="center"/>
            <w:hideMark/>
          </w:tcPr>
          <w:p>
            <w:pPr>
              <w:keepNext/>
              <w:jc w:val="right"/>
              <w:rPr>
                <w:rFonts w:eastAsia="Times New Roman"/>
                <w:noProof/>
                <w:color w:val="000000"/>
                <w:lang w:eastAsia="en-GB"/>
              </w:rPr>
            </w:pPr>
            <w:r>
              <w:rPr>
                <w:rFonts w:eastAsia="Times New Roman"/>
                <w:noProof/>
                <w:color w:val="000000"/>
                <w:lang w:eastAsia="en-GB"/>
              </w:rPr>
              <w:t>85.7%</w:t>
            </w:r>
          </w:p>
        </w:tc>
        <w:tc>
          <w:tcPr>
            <w:tcW w:w="0" w:type="auto"/>
            <w:shd w:val="clear" w:color="auto" w:fill="auto"/>
            <w:vAlign w:val="center"/>
            <w:hideMark/>
          </w:tcPr>
          <w:p>
            <w:pPr>
              <w:keepNext/>
              <w:jc w:val="right"/>
              <w:rPr>
                <w:rFonts w:eastAsia="Times New Roman"/>
                <w:noProof/>
                <w:color w:val="000000"/>
                <w:lang w:eastAsia="en-GB"/>
              </w:rPr>
            </w:pPr>
            <w:r>
              <w:rPr>
                <w:rFonts w:eastAsia="Times New Roman"/>
                <w:noProof/>
                <w:color w:val="000000"/>
                <w:lang w:eastAsia="en-GB"/>
              </w:rPr>
              <w:t>93.8%</w:t>
            </w:r>
          </w:p>
        </w:tc>
        <w:tc>
          <w:tcPr>
            <w:tcW w:w="0" w:type="auto"/>
            <w:shd w:val="clear" w:color="auto" w:fill="auto"/>
            <w:vAlign w:val="center"/>
            <w:hideMark/>
          </w:tcPr>
          <w:p>
            <w:pPr>
              <w:keepNext/>
              <w:jc w:val="right"/>
              <w:rPr>
                <w:rFonts w:eastAsia="Times New Roman"/>
                <w:noProof/>
                <w:color w:val="000000"/>
                <w:lang w:eastAsia="en-GB"/>
              </w:rPr>
            </w:pPr>
            <w:r>
              <w:rPr>
                <w:rFonts w:eastAsia="Times New Roman"/>
                <w:noProof/>
                <w:color w:val="000000"/>
                <w:lang w:eastAsia="en-GB"/>
              </w:rPr>
              <w:t>96.2%</w:t>
            </w:r>
          </w:p>
        </w:tc>
        <w:tc>
          <w:tcPr>
            <w:tcW w:w="0" w:type="auto"/>
            <w:shd w:val="clear" w:color="auto" w:fill="auto"/>
            <w:vAlign w:val="center"/>
            <w:hideMark/>
          </w:tcPr>
          <w:p>
            <w:pPr>
              <w:keepNext/>
              <w:jc w:val="right"/>
              <w:rPr>
                <w:rFonts w:eastAsia="Times New Roman"/>
                <w:noProof/>
                <w:color w:val="000000"/>
                <w:lang w:eastAsia="en-GB"/>
              </w:rPr>
            </w:pPr>
            <w:r>
              <w:rPr>
                <w:rFonts w:eastAsia="Times New Roman"/>
                <w:noProof/>
                <w:color w:val="000000"/>
                <w:lang w:eastAsia="en-GB"/>
              </w:rPr>
              <w:t>94.8%</w:t>
            </w:r>
          </w:p>
        </w:tc>
        <w:tc>
          <w:tcPr>
            <w:tcW w:w="0" w:type="auto"/>
            <w:shd w:val="clear" w:color="auto" w:fill="auto"/>
            <w:vAlign w:val="center"/>
            <w:hideMark/>
          </w:tcPr>
          <w:p>
            <w:pPr>
              <w:keepNext/>
              <w:jc w:val="right"/>
              <w:rPr>
                <w:rFonts w:eastAsia="Times New Roman"/>
                <w:noProof/>
                <w:color w:val="000000"/>
                <w:lang w:eastAsia="en-GB"/>
              </w:rPr>
            </w:pPr>
            <w:r>
              <w:rPr>
                <w:rFonts w:eastAsia="Times New Roman"/>
                <w:noProof/>
                <w:color w:val="000000"/>
                <w:lang w:eastAsia="en-GB"/>
              </w:rPr>
              <w:t>64.8%</w:t>
            </w:r>
          </w:p>
        </w:tc>
      </w:tr>
      <w:tr>
        <w:trPr>
          <w:cantSplit/>
        </w:trPr>
        <w:tc>
          <w:tcPr>
            <w:tcW w:w="0" w:type="auto"/>
            <w:shd w:val="clear" w:color="auto" w:fill="auto"/>
            <w:vAlign w:val="center"/>
            <w:hideMark/>
          </w:tcPr>
          <w:p>
            <w:pPr>
              <w:keepNext/>
              <w:jc w:val="both"/>
              <w:rPr>
                <w:rFonts w:eastAsia="Times New Roman"/>
                <w:noProof/>
                <w:color w:val="000000"/>
                <w:lang w:eastAsia="en-GB"/>
              </w:rPr>
            </w:pPr>
            <w:r>
              <w:rPr>
                <w:rFonts w:eastAsia="Times New Roman"/>
                <w:noProof/>
                <w:color w:val="000000"/>
                <w:lang w:eastAsia="en-GB"/>
              </w:rPr>
              <w:t>Sugar confectionery</w:t>
            </w:r>
          </w:p>
        </w:tc>
        <w:tc>
          <w:tcPr>
            <w:tcW w:w="0" w:type="auto"/>
            <w:shd w:val="clear" w:color="auto" w:fill="auto"/>
            <w:vAlign w:val="center"/>
            <w:hideMark/>
          </w:tcPr>
          <w:p>
            <w:pPr>
              <w:keepNext/>
              <w:jc w:val="right"/>
              <w:rPr>
                <w:rFonts w:eastAsia="Times New Roman"/>
                <w:noProof/>
                <w:color w:val="000000"/>
                <w:lang w:eastAsia="en-GB"/>
              </w:rPr>
            </w:pPr>
            <w:r>
              <w:rPr>
                <w:rFonts w:eastAsia="Times New Roman"/>
                <w:noProof/>
                <w:color w:val="000000"/>
                <w:lang w:eastAsia="en-GB"/>
              </w:rPr>
              <w:t>1.4%</w:t>
            </w:r>
          </w:p>
        </w:tc>
        <w:tc>
          <w:tcPr>
            <w:tcW w:w="0" w:type="auto"/>
            <w:shd w:val="clear" w:color="auto" w:fill="auto"/>
            <w:vAlign w:val="center"/>
            <w:hideMark/>
          </w:tcPr>
          <w:p>
            <w:pPr>
              <w:keepNext/>
              <w:jc w:val="right"/>
              <w:rPr>
                <w:rFonts w:eastAsia="Times New Roman"/>
                <w:noProof/>
                <w:color w:val="000000"/>
                <w:lang w:eastAsia="en-GB"/>
              </w:rPr>
            </w:pPr>
            <w:r>
              <w:rPr>
                <w:rFonts w:eastAsia="Times New Roman"/>
                <w:noProof/>
                <w:color w:val="000000"/>
                <w:lang w:eastAsia="en-GB"/>
              </w:rPr>
              <w:t>1.3%</w:t>
            </w:r>
          </w:p>
        </w:tc>
        <w:tc>
          <w:tcPr>
            <w:tcW w:w="0" w:type="auto"/>
            <w:shd w:val="clear" w:color="auto" w:fill="auto"/>
            <w:vAlign w:val="center"/>
            <w:hideMark/>
          </w:tcPr>
          <w:p>
            <w:pPr>
              <w:keepNext/>
              <w:jc w:val="right"/>
              <w:rPr>
                <w:rFonts w:eastAsia="Times New Roman"/>
                <w:noProof/>
                <w:color w:val="000000"/>
                <w:lang w:eastAsia="en-GB"/>
              </w:rPr>
            </w:pPr>
            <w:r>
              <w:rPr>
                <w:rFonts w:eastAsia="Times New Roman"/>
                <w:noProof/>
                <w:color w:val="000000"/>
                <w:lang w:eastAsia="en-GB"/>
              </w:rPr>
              <w:t>1.2%</w:t>
            </w:r>
          </w:p>
        </w:tc>
        <w:tc>
          <w:tcPr>
            <w:tcW w:w="0" w:type="auto"/>
            <w:shd w:val="clear" w:color="auto" w:fill="auto"/>
            <w:vAlign w:val="center"/>
            <w:hideMark/>
          </w:tcPr>
          <w:p>
            <w:pPr>
              <w:keepNext/>
              <w:jc w:val="right"/>
              <w:rPr>
                <w:rFonts w:eastAsia="Times New Roman"/>
                <w:noProof/>
                <w:color w:val="000000"/>
                <w:lang w:eastAsia="en-GB"/>
              </w:rPr>
            </w:pPr>
            <w:r>
              <w:rPr>
                <w:rFonts w:eastAsia="Times New Roman"/>
                <w:noProof/>
                <w:color w:val="000000"/>
                <w:lang w:eastAsia="en-GB"/>
              </w:rPr>
              <w:t>1.5%</w:t>
            </w:r>
          </w:p>
        </w:tc>
        <w:tc>
          <w:tcPr>
            <w:tcW w:w="0" w:type="auto"/>
            <w:shd w:val="clear" w:color="auto" w:fill="auto"/>
            <w:vAlign w:val="center"/>
            <w:hideMark/>
          </w:tcPr>
          <w:p>
            <w:pPr>
              <w:keepNext/>
              <w:jc w:val="right"/>
              <w:rPr>
                <w:rFonts w:eastAsia="Times New Roman"/>
                <w:noProof/>
                <w:color w:val="000000"/>
                <w:lang w:eastAsia="en-GB"/>
              </w:rPr>
            </w:pPr>
            <w:r>
              <w:rPr>
                <w:rFonts w:eastAsia="Times New Roman"/>
                <w:noProof/>
                <w:color w:val="000000"/>
                <w:lang w:eastAsia="en-GB"/>
              </w:rPr>
              <w:t>1.5%</w:t>
            </w:r>
          </w:p>
        </w:tc>
        <w:tc>
          <w:tcPr>
            <w:tcW w:w="0" w:type="auto"/>
            <w:shd w:val="clear" w:color="auto" w:fill="auto"/>
            <w:vAlign w:val="center"/>
            <w:hideMark/>
          </w:tcPr>
          <w:p>
            <w:pPr>
              <w:keepNext/>
              <w:jc w:val="right"/>
              <w:rPr>
                <w:rFonts w:eastAsia="Times New Roman"/>
                <w:noProof/>
                <w:color w:val="000000"/>
                <w:lang w:eastAsia="en-GB"/>
              </w:rPr>
            </w:pPr>
            <w:r>
              <w:rPr>
                <w:rFonts w:eastAsia="Times New Roman"/>
                <w:noProof/>
                <w:color w:val="000000"/>
                <w:lang w:eastAsia="en-GB"/>
              </w:rPr>
              <w:t>1.3%</w:t>
            </w:r>
          </w:p>
        </w:tc>
      </w:tr>
      <w:tr>
        <w:trPr>
          <w:cantSplit/>
        </w:trPr>
        <w:tc>
          <w:tcPr>
            <w:tcW w:w="0" w:type="auto"/>
            <w:shd w:val="clear" w:color="auto" w:fill="auto"/>
            <w:vAlign w:val="center"/>
            <w:hideMark/>
          </w:tcPr>
          <w:p>
            <w:pPr>
              <w:keepNext/>
              <w:jc w:val="both"/>
              <w:rPr>
                <w:rFonts w:eastAsia="Times New Roman"/>
                <w:noProof/>
                <w:color w:val="000000" w:themeColor="text1"/>
                <w:lang w:eastAsia="en-GB"/>
              </w:rPr>
            </w:pPr>
            <w:r>
              <w:rPr>
                <w:rFonts w:eastAsia="Times New Roman"/>
                <w:noProof/>
                <w:color w:val="000000" w:themeColor="text1"/>
                <w:lang w:eastAsia="en-GB"/>
              </w:rPr>
              <w:t>Rum in containers holding &gt; 2 litres</w:t>
            </w:r>
          </w:p>
        </w:tc>
        <w:tc>
          <w:tcPr>
            <w:tcW w:w="0" w:type="auto"/>
            <w:shd w:val="clear" w:color="auto" w:fill="auto"/>
            <w:vAlign w:val="center"/>
            <w:hideMark/>
          </w:tcPr>
          <w:p>
            <w:pPr>
              <w:keepNext/>
              <w:jc w:val="right"/>
              <w:rPr>
                <w:rFonts w:eastAsia="Times New Roman"/>
                <w:noProof/>
                <w:color w:val="000000" w:themeColor="text1"/>
                <w:lang w:eastAsia="en-GB"/>
              </w:rPr>
            </w:pPr>
            <w:r>
              <w:rPr>
                <w:rFonts w:eastAsia="Times New Roman"/>
                <w:noProof/>
                <w:color w:val="000000" w:themeColor="text1"/>
                <w:lang w:eastAsia="en-GB"/>
              </w:rPr>
              <w:t>0%</w:t>
            </w:r>
          </w:p>
        </w:tc>
        <w:tc>
          <w:tcPr>
            <w:tcW w:w="0" w:type="auto"/>
            <w:shd w:val="clear" w:color="auto" w:fill="auto"/>
            <w:vAlign w:val="center"/>
            <w:hideMark/>
          </w:tcPr>
          <w:p>
            <w:pPr>
              <w:keepNext/>
              <w:jc w:val="right"/>
              <w:rPr>
                <w:rFonts w:eastAsia="Times New Roman"/>
                <w:noProof/>
                <w:color w:val="000000" w:themeColor="text1"/>
                <w:lang w:eastAsia="en-GB"/>
              </w:rPr>
            </w:pPr>
            <w:r>
              <w:rPr>
                <w:rFonts w:eastAsia="Times New Roman"/>
                <w:noProof/>
                <w:color w:val="000000" w:themeColor="text1"/>
                <w:lang w:eastAsia="en-GB"/>
              </w:rPr>
              <w:t>0%</w:t>
            </w:r>
          </w:p>
        </w:tc>
        <w:tc>
          <w:tcPr>
            <w:tcW w:w="0" w:type="auto"/>
            <w:shd w:val="clear" w:color="auto" w:fill="auto"/>
            <w:vAlign w:val="center"/>
            <w:hideMark/>
          </w:tcPr>
          <w:p>
            <w:pPr>
              <w:keepNext/>
              <w:jc w:val="right"/>
              <w:rPr>
                <w:rFonts w:eastAsia="Times New Roman"/>
                <w:noProof/>
                <w:color w:val="000000" w:themeColor="text1"/>
                <w:lang w:eastAsia="en-GB"/>
              </w:rPr>
            </w:pPr>
            <w:r>
              <w:rPr>
                <w:rFonts w:eastAsia="Times New Roman"/>
                <w:noProof/>
                <w:color w:val="000000" w:themeColor="text1"/>
                <w:lang w:eastAsia="en-GB"/>
              </w:rPr>
              <w:t>0%</w:t>
            </w:r>
          </w:p>
        </w:tc>
        <w:tc>
          <w:tcPr>
            <w:tcW w:w="0" w:type="auto"/>
            <w:shd w:val="clear" w:color="auto" w:fill="auto"/>
            <w:vAlign w:val="center"/>
            <w:hideMark/>
          </w:tcPr>
          <w:p>
            <w:pPr>
              <w:keepNext/>
              <w:jc w:val="right"/>
              <w:rPr>
                <w:rFonts w:eastAsia="Times New Roman"/>
                <w:noProof/>
                <w:color w:val="000000" w:themeColor="text1"/>
                <w:lang w:eastAsia="en-GB"/>
              </w:rPr>
            </w:pPr>
            <w:r>
              <w:rPr>
                <w:rFonts w:eastAsia="Times New Roman"/>
                <w:noProof/>
                <w:color w:val="000000" w:themeColor="text1"/>
                <w:lang w:eastAsia="en-GB"/>
              </w:rPr>
              <w:t>0%</w:t>
            </w:r>
          </w:p>
        </w:tc>
        <w:tc>
          <w:tcPr>
            <w:tcW w:w="0" w:type="auto"/>
            <w:shd w:val="clear" w:color="auto" w:fill="auto"/>
            <w:vAlign w:val="center"/>
            <w:hideMark/>
          </w:tcPr>
          <w:p>
            <w:pPr>
              <w:keepNext/>
              <w:jc w:val="right"/>
              <w:rPr>
                <w:rFonts w:eastAsia="Times New Roman"/>
                <w:noProof/>
                <w:color w:val="000000" w:themeColor="text1"/>
                <w:lang w:eastAsia="en-GB"/>
              </w:rPr>
            </w:pPr>
            <w:r>
              <w:rPr>
                <w:rFonts w:eastAsia="Times New Roman"/>
                <w:noProof/>
                <w:color w:val="000000" w:themeColor="text1"/>
                <w:lang w:eastAsia="en-GB"/>
              </w:rPr>
              <w:t>0%</w:t>
            </w:r>
          </w:p>
        </w:tc>
        <w:tc>
          <w:tcPr>
            <w:tcW w:w="0" w:type="auto"/>
            <w:shd w:val="clear" w:color="auto" w:fill="auto"/>
            <w:vAlign w:val="center"/>
            <w:hideMark/>
          </w:tcPr>
          <w:p>
            <w:pPr>
              <w:keepNext/>
              <w:jc w:val="right"/>
              <w:rPr>
                <w:rFonts w:eastAsia="Times New Roman"/>
                <w:noProof/>
                <w:color w:val="000000" w:themeColor="text1"/>
                <w:lang w:eastAsia="en-GB"/>
              </w:rPr>
            </w:pPr>
            <w:r>
              <w:rPr>
                <w:rFonts w:eastAsia="Times New Roman"/>
                <w:noProof/>
                <w:color w:val="000000" w:themeColor="text1"/>
                <w:lang w:eastAsia="en-GB"/>
              </w:rPr>
              <w:t>58.8%</w:t>
            </w:r>
          </w:p>
        </w:tc>
      </w:tr>
    </w:tbl>
    <w:p>
      <w:pPr>
        <w:keepNext/>
        <w:jc w:val="both"/>
        <w:rPr>
          <w:i/>
          <w:noProof/>
          <w:color w:val="000000" w:themeColor="text1"/>
        </w:rPr>
      </w:pPr>
      <w:r>
        <w:rPr>
          <w:i/>
          <w:noProof/>
          <w:color w:val="000000" w:themeColor="text1"/>
        </w:rPr>
        <w:t>Source: TAXUD, Surveillance Database</w:t>
      </w:r>
    </w:p>
    <w:p>
      <w:pPr>
        <w:jc w:val="both"/>
        <w:rPr>
          <w:bCs/>
          <w:noProof/>
          <w:color w:val="000000" w:themeColor="text1"/>
        </w:rPr>
      </w:pPr>
    </w:p>
    <w:p>
      <w:pPr>
        <w:jc w:val="both"/>
        <w:rPr>
          <w:bCs/>
          <w:noProof/>
          <w:color w:val="000000" w:themeColor="text1"/>
        </w:rPr>
      </w:pPr>
      <w:r>
        <w:rPr>
          <w:bCs/>
          <w:noProof/>
          <w:color w:val="000000" w:themeColor="text1"/>
        </w:rPr>
        <w:t xml:space="preserve">The EU is fully using the TRQs established for mushrooms, milk and cream in powder and sweetcorn, to a somewhat lesser extent the TRQs on preparations for infant use (almost fully used) and ice cream, which experienced a substantial increase through a better implementation of the Agreement. The TRQ for yogurt has experienced a sharp decrease after two years being almost fully used, while the one for cheese has increased although it remains low (13.4%).  The EU barely uses its TRQ on sugar confectionery (less than 5% in 2018). </w:t>
      </w:r>
    </w:p>
    <w:p>
      <w:pPr>
        <w:jc w:val="both"/>
        <w:rPr>
          <w:bCs/>
          <w:noProof/>
          <w:color w:val="000000" w:themeColor="text1"/>
        </w:rPr>
      </w:pPr>
    </w:p>
    <w:p>
      <w:pPr>
        <w:rPr>
          <w:b/>
          <w:bCs/>
          <w:noProof/>
          <w:color w:val="000000" w:themeColor="text1"/>
        </w:rPr>
      </w:pPr>
      <w:r>
        <w:rPr>
          <w:b/>
          <w:bCs/>
          <w:noProof/>
          <w:color w:val="000000" w:themeColor="text1"/>
        </w:rPr>
        <w:t>Rate of utilisation of Colombia TRQs by the EU</w:t>
      </w:r>
    </w:p>
    <w:tbl>
      <w:tblPr>
        <w:tblStyle w:val="TableGrid"/>
        <w:tblW w:w="0" w:type="auto"/>
        <w:tblLook w:val="04A0" w:firstRow="1" w:lastRow="0" w:firstColumn="1" w:lastColumn="0" w:noHBand="0" w:noVBand="1"/>
      </w:tblPr>
      <w:tblGrid>
        <w:gridCol w:w="2827"/>
        <w:gridCol w:w="814"/>
        <w:gridCol w:w="814"/>
        <w:gridCol w:w="814"/>
        <w:gridCol w:w="814"/>
        <w:gridCol w:w="814"/>
        <w:gridCol w:w="814"/>
      </w:tblGrid>
      <w:tr>
        <w:tc>
          <w:tcPr>
            <w:tcW w:w="0" w:type="auto"/>
          </w:tcPr>
          <w:p>
            <w:pPr>
              <w:rPr>
                <w:noProof/>
                <w:color w:val="000000" w:themeColor="text1"/>
              </w:rPr>
            </w:pPr>
          </w:p>
        </w:tc>
        <w:tc>
          <w:tcPr>
            <w:tcW w:w="0" w:type="auto"/>
          </w:tcPr>
          <w:p>
            <w:pPr>
              <w:autoSpaceDE w:val="0"/>
              <w:autoSpaceDN w:val="0"/>
              <w:adjustRightInd w:val="0"/>
              <w:jc w:val="center"/>
              <w:rPr>
                <w:b/>
                <w:noProof/>
                <w:color w:val="000000" w:themeColor="text1"/>
              </w:rPr>
            </w:pPr>
            <w:r>
              <w:rPr>
                <w:b/>
                <w:noProof/>
                <w:color w:val="000000" w:themeColor="text1"/>
              </w:rPr>
              <w:t xml:space="preserve">2013 </w:t>
            </w:r>
          </w:p>
        </w:tc>
        <w:tc>
          <w:tcPr>
            <w:tcW w:w="0" w:type="auto"/>
          </w:tcPr>
          <w:p>
            <w:pPr>
              <w:autoSpaceDE w:val="0"/>
              <w:autoSpaceDN w:val="0"/>
              <w:adjustRightInd w:val="0"/>
              <w:jc w:val="center"/>
              <w:rPr>
                <w:noProof/>
                <w:color w:val="000000" w:themeColor="text1"/>
              </w:rPr>
            </w:pPr>
            <w:r>
              <w:rPr>
                <w:b/>
                <w:noProof/>
                <w:color w:val="000000" w:themeColor="text1"/>
              </w:rPr>
              <w:t>2014</w:t>
            </w:r>
          </w:p>
        </w:tc>
        <w:tc>
          <w:tcPr>
            <w:tcW w:w="0" w:type="auto"/>
          </w:tcPr>
          <w:p>
            <w:pPr>
              <w:autoSpaceDE w:val="0"/>
              <w:autoSpaceDN w:val="0"/>
              <w:adjustRightInd w:val="0"/>
              <w:jc w:val="center"/>
              <w:rPr>
                <w:noProof/>
                <w:color w:val="000000" w:themeColor="text1"/>
              </w:rPr>
            </w:pPr>
            <w:r>
              <w:rPr>
                <w:b/>
                <w:noProof/>
                <w:color w:val="000000" w:themeColor="text1"/>
              </w:rPr>
              <w:t>2015</w:t>
            </w:r>
          </w:p>
        </w:tc>
        <w:tc>
          <w:tcPr>
            <w:tcW w:w="0" w:type="auto"/>
          </w:tcPr>
          <w:p>
            <w:pPr>
              <w:autoSpaceDE w:val="0"/>
              <w:autoSpaceDN w:val="0"/>
              <w:adjustRightInd w:val="0"/>
              <w:jc w:val="center"/>
              <w:rPr>
                <w:noProof/>
                <w:color w:val="000000" w:themeColor="text1"/>
              </w:rPr>
            </w:pPr>
            <w:r>
              <w:rPr>
                <w:b/>
                <w:noProof/>
                <w:color w:val="000000" w:themeColor="text1"/>
              </w:rPr>
              <w:t>2016</w:t>
            </w:r>
          </w:p>
        </w:tc>
        <w:tc>
          <w:tcPr>
            <w:tcW w:w="0" w:type="auto"/>
          </w:tcPr>
          <w:p>
            <w:pPr>
              <w:autoSpaceDE w:val="0"/>
              <w:autoSpaceDN w:val="0"/>
              <w:adjustRightInd w:val="0"/>
              <w:jc w:val="center"/>
              <w:rPr>
                <w:noProof/>
                <w:color w:val="000000" w:themeColor="text1"/>
              </w:rPr>
            </w:pPr>
            <w:r>
              <w:rPr>
                <w:b/>
                <w:noProof/>
                <w:color w:val="000000" w:themeColor="text1"/>
              </w:rPr>
              <w:t>2017</w:t>
            </w:r>
          </w:p>
        </w:tc>
        <w:tc>
          <w:tcPr>
            <w:tcW w:w="0" w:type="auto"/>
          </w:tcPr>
          <w:p>
            <w:pPr>
              <w:autoSpaceDE w:val="0"/>
              <w:autoSpaceDN w:val="0"/>
              <w:adjustRightInd w:val="0"/>
              <w:jc w:val="center"/>
              <w:rPr>
                <w:noProof/>
                <w:color w:val="000000" w:themeColor="text1"/>
              </w:rPr>
            </w:pPr>
            <w:r>
              <w:rPr>
                <w:b/>
                <w:noProof/>
                <w:color w:val="000000" w:themeColor="text1"/>
              </w:rPr>
              <w:t>2018</w:t>
            </w:r>
          </w:p>
        </w:tc>
      </w:tr>
      <w:tr>
        <w:tc>
          <w:tcPr>
            <w:tcW w:w="0" w:type="auto"/>
            <w:vAlign w:val="center"/>
          </w:tcPr>
          <w:p>
            <w:pPr>
              <w:rPr>
                <w:noProof/>
                <w:color w:val="000000" w:themeColor="text1"/>
              </w:rPr>
            </w:pPr>
            <w:r>
              <w:rPr>
                <w:noProof/>
                <w:color w:val="000000" w:themeColor="text1"/>
              </w:rPr>
              <w:t>Mushrooms</w:t>
            </w:r>
          </w:p>
        </w:tc>
        <w:tc>
          <w:tcPr>
            <w:tcW w:w="0" w:type="auto"/>
            <w:vAlign w:val="center"/>
          </w:tcPr>
          <w:p>
            <w:pPr>
              <w:autoSpaceDE w:val="0"/>
              <w:autoSpaceDN w:val="0"/>
              <w:adjustRightInd w:val="0"/>
              <w:jc w:val="right"/>
              <w:rPr>
                <w:noProof/>
                <w:color w:val="000000" w:themeColor="text1"/>
              </w:rPr>
            </w:pPr>
            <w:r>
              <w:rPr>
                <w:noProof/>
                <w:color w:val="000000" w:themeColor="text1"/>
              </w:rPr>
              <w:t>1.6%</w:t>
            </w:r>
          </w:p>
        </w:tc>
        <w:tc>
          <w:tcPr>
            <w:tcW w:w="0" w:type="auto"/>
            <w:vAlign w:val="center"/>
          </w:tcPr>
          <w:p>
            <w:pPr>
              <w:autoSpaceDE w:val="0"/>
              <w:autoSpaceDN w:val="0"/>
              <w:adjustRightInd w:val="0"/>
              <w:jc w:val="right"/>
              <w:rPr>
                <w:noProof/>
                <w:color w:val="000000" w:themeColor="text1"/>
              </w:rPr>
            </w:pPr>
            <w:r>
              <w:rPr>
                <w:noProof/>
                <w:color w:val="000000" w:themeColor="text1"/>
              </w:rPr>
              <w:t xml:space="preserve">5% </w:t>
            </w:r>
          </w:p>
        </w:tc>
        <w:tc>
          <w:tcPr>
            <w:tcW w:w="0" w:type="auto"/>
            <w:vAlign w:val="center"/>
          </w:tcPr>
          <w:p>
            <w:pPr>
              <w:autoSpaceDE w:val="0"/>
              <w:autoSpaceDN w:val="0"/>
              <w:adjustRightInd w:val="0"/>
              <w:jc w:val="right"/>
              <w:rPr>
                <w:noProof/>
                <w:color w:val="000000" w:themeColor="text1"/>
              </w:rPr>
            </w:pPr>
            <w:r>
              <w:rPr>
                <w:noProof/>
                <w:color w:val="000000" w:themeColor="text1"/>
              </w:rPr>
              <w:t xml:space="preserve">100% </w:t>
            </w:r>
          </w:p>
        </w:tc>
        <w:tc>
          <w:tcPr>
            <w:tcW w:w="0" w:type="auto"/>
            <w:vAlign w:val="center"/>
          </w:tcPr>
          <w:p>
            <w:pPr>
              <w:autoSpaceDE w:val="0"/>
              <w:autoSpaceDN w:val="0"/>
              <w:adjustRightInd w:val="0"/>
              <w:jc w:val="right"/>
              <w:rPr>
                <w:noProof/>
                <w:color w:val="000000" w:themeColor="text1"/>
              </w:rPr>
            </w:pPr>
            <w:r>
              <w:rPr>
                <w:noProof/>
                <w:color w:val="000000" w:themeColor="text1"/>
              </w:rPr>
              <w:t xml:space="preserve">100% </w:t>
            </w:r>
          </w:p>
        </w:tc>
        <w:tc>
          <w:tcPr>
            <w:tcW w:w="0" w:type="auto"/>
            <w:vAlign w:val="center"/>
          </w:tcPr>
          <w:p>
            <w:pPr>
              <w:autoSpaceDE w:val="0"/>
              <w:autoSpaceDN w:val="0"/>
              <w:adjustRightInd w:val="0"/>
              <w:jc w:val="right"/>
              <w:rPr>
                <w:noProof/>
                <w:color w:val="000000" w:themeColor="text1"/>
              </w:rPr>
            </w:pPr>
            <w:r>
              <w:rPr>
                <w:noProof/>
                <w:color w:val="000000" w:themeColor="text1"/>
              </w:rPr>
              <w:t xml:space="preserve">100% </w:t>
            </w:r>
          </w:p>
        </w:tc>
        <w:tc>
          <w:tcPr>
            <w:tcW w:w="0" w:type="auto"/>
            <w:vAlign w:val="center"/>
          </w:tcPr>
          <w:p>
            <w:pPr>
              <w:autoSpaceDE w:val="0"/>
              <w:autoSpaceDN w:val="0"/>
              <w:adjustRightInd w:val="0"/>
              <w:jc w:val="right"/>
              <w:rPr>
                <w:noProof/>
                <w:color w:val="000000" w:themeColor="text1"/>
              </w:rPr>
            </w:pPr>
            <w:r>
              <w:rPr>
                <w:noProof/>
                <w:color w:val="000000" w:themeColor="text1"/>
              </w:rPr>
              <w:t>100%</w:t>
            </w:r>
          </w:p>
        </w:tc>
      </w:tr>
      <w:tr>
        <w:tc>
          <w:tcPr>
            <w:tcW w:w="0" w:type="auto"/>
            <w:vAlign w:val="center"/>
          </w:tcPr>
          <w:p>
            <w:pPr>
              <w:rPr>
                <w:noProof/>
                <w:color w:val="000000" w:themeColor="text1"/>
              </w:rPr>
            </w:pPr>
            <w:r>
              <w:rPr>
                <w:noProof/>
                <w:color w:val="000000" w:themeColor="text1"/>
              </w:rPr>
              <w:t>Milk and cream in powder</w:t>
            </w:r>
          </w:p>
        </w:tc>
        <w:tc>
          <w:tcPr>
            <w:tcW w:w="0" w:type="auto"/>
            <w:vAlign w:val="center"/>
          </w:tcPr>
          <w:p>
            <w:pPr>
              <w:autoSpaceDE w:val="0"/>
              <w:autoSpaceDN w:val="0"/>
              <w:adjustRightInd w:val="0"/>
              <w:jc w:val="right"/>
              <w:rPr>
                <w:noProof/>
                <w:color w:val="000000" w:themeColor="text1"/>
              </w:rPr>
            </w:pPr>
            <w:r>
              <w:rPr>
                <w:noProof/>
                <w:color w:val="000000" w:themeColor="text1"/>
              </w:rPr>
              <w:t>0%</w:t>
            </w:r>
          </w:p>
        </w:tc>
        <w:tc>
          <w:tcPr>
            <w:tcW w:w="0" w:type="auto"/>
            <w:vAlign w:val="center"/>
          </w:tcPr>
          <w:p>
            <w:pPr>
              <w:autoSpaceDE w:val="0"/>
              <w:autoSpaceDN w:val="0"/>
              <w:adjustRightInd w:val="0"/>
              <w:jc w:val="right"/>
              <w:rPr>
                <w:noProof/>
                <w:color w:val="000000" w:themeColor="text1"/>
              </w:rPr>
            </w:pPr>
            <w:r>
              <w:rPr>
                <w:noProof/>
                <w:color w:val="000000" w:themeColor="text1"/>
              </w:rPr>
              <w:t xml:space="preserve">34.9% </w:t>
            </w:r>
          </w:p>
        </w:tc>
        <w:tc>
          <w:tcPr>
            <w:tcW w:w="0" w:type="auto"/>
            <w:vAlign w:val="center"/>
          </w:tcPr>
          <w:p>
            <w:pPr>
              <w:autoSpaceDE w:val="0"/>
              <w:autoSpaceDN w:val="0"/>
              <w:adjustRightInd w:val="0"/>
              <w:jc w:val="right"/>
              <w:rPr>
                <w:noProof/>
                <w:color w:val="000000" w:themeColor="text1"/>
              </w:rPr>
            </w:pPr>
            <w:r>
              <w:rPr>
                <w:noProof/>
                <w:color w:val="000000" w:themeColor="text1"/>
              </w:rPr>
              <w:t xml:space="preserve">100% </w:t>
            </w:r>
          </w:p>
        </w:tc>
        <w:tc>
          <w:tcPr>
            <w:tcW w:w="0" w:type="auto"/>
            <w:vAlign w:val="center"/>
          </w:tcPr>
          <w:p>
            <w:pPr>
              <w:autoSpaceDE w:val="0"/>
              <w:autoSpaceDN w:val="0"/>
              <w:adjustRightInd w:val="0"/>
              <w:jc w:val="right"/>
              <w:rPr>
                <w:noProof/>
                <w:color w:val="000000" w:themeColor="text1"/>
              </w:rPr>
            </w:pPr>
            <w:r>
              <w:rPr>
                <w:noProof/>
                <w:color w:val="000000" w:themeColor="text1"/>
              </w:rPr>
              <w:t xml:space="preserve">100% </w:t>
            </w:r>
          </w:p>
        </w:tc>
        <w:tc>
          <w:tcPr>
            <w:tcW w:w="0" w:type="auto"/>
            <w:vAlign w:val="center"/>
          </w:tcPr>
          <w:p>
            <w:pPr>
              <w:autoSpaceDE w:val="0"/>
              <w:autoSpaceDN w:val="0"/>
              <w:adjustRightInd w:val="0"/>
              <w:jc w:val="right"/>
              <w:rPr>
                <w:noProof/>
                <w:color w:val="000000" w:themeColor="text1"/>
              </w:rPr>
            </w:pPr>
            <w:r>
              <w:rPr>
                <w:noProof/>
                <w:color w:val="000000" w:themeColor="text1"/>
              </w:rPr>
              <w:t xml:space="preserve">82.5% </w:t>
            </w:r>
          </w:p>
        </w:tc>
        <w:tc>
          <w:tcPr>
            <w:tcW w:w="0" w:type="auto"/>
            <w:vAlign w:val="center"/>
          </w:tcPr>
          <w:p>
            <w:pPr>
              <w:autoSpaceDE w:val="0"/>
              <w:autoSpaceDN w:val="0"/>
              <w:adjustRightInd w:val="0"/>
              <w:jc w:val="right"/>
              <w:rPr>
                <w:noProof/>
                <w:color w:val="000000" w:themeColor="text1"/>
              </w:rPr>
            </w:pPr>
            <w:r>
              <w:rPr>
                <w:noProof/>
                <w:color w:val="000000" w:themeColor="text1"/>
              </w:rPr>
              <w:t>100%</w:t>
            </w:r>
          </w:p>
        </w:tc>
      </w:tr>
      <w:tr>
        <w:tc>
          <w:tcPr>
            <w:tcW w:w="0" w:type="auto"/>
            <w:vAlign w:val="center"/>
          </w:tcPr>
          <w:p>
            <w:pPr>
              <w:rPr>
                <w:noProof/>
                <w:color w:val="000000" w:themeColor="text1"/>
              </w:rPr>
            </w:pPr>
            <w:r>
              <w:rPr>
                <w:noProof/>
                <w:color w:val="000000" w:themeColor="text1"/>
              </w:rPr>
              <w:t>Whey</w:t>
            </w:r>
          </w:p>
        </w:tc>
        <w:tc>
          <w:tcPr>
            <w:tcW w:w="0" w:type="auto"/>
            <w:vAlign w:val="center"/>
          </w:tcPr>
          <w:p>
            <w:pPr>
              <w:autoSpaceDE w:val="0"/>
              <w:autoSpaceDN w:val="0"/>
              <w:adjustRightInd w:val="0"/>
              <w:jc w:val="right"/>
              <w:rPr>
                <w:noProof/>
                <w:color w:val="000000" w:themeColor="text1"/>
              </w:rPr>
            </w:pPr>
            <w:r>
              <w:rPr>
                <w:noProof/>
                <w:color w:val="000000" w:themeColor="text1"/>
              </w:rPr>
              <w:t>57.6%</w:t>
            </w:r>
          </w:p>
        </w:tc>
        <w:tc>
          <w:tcPr>
            <w:tcW w:w="0" w:type="auto"/>
            <w:vAlign w:val="center"/>
          </w:tcPr>
          <w:p>
            <w:pPr>
              <w:autoSpaceDE w:val="0"/>
              <w:autoSpaceDN w:val="0"/>
              <w:adjustRightInd w:val="0"/>
              <w:jc w:val="right"/>
              <w:rPr>
                <w:noProof/>
                <w:color w:val="000000" w:themeColor="text1"/>
              </w:rPr>
            </w:pPr>
            <w:r>
              <w:rPr>
                <w:noProof/>
                <w:color w:val="000000" w:themeColor="text1"/>
              </w:rPr>
              <w:t xml:space="preserve">50% </w:t>
            </w:r>
          </w:p>
        </w:tc>
        <w:tc>
          <w:tcPr>
            <w:tcW w:w="0" w:type="auto"/>
            <w:vAlign w:val="center"/>
          </w:tcPr>
          <w:p>
            <w:pPr>
              <w:autoSpaceDE w:val="0"/>
              <w:autoSpaceDN w:val="0"/>
              <w:adjustRightInd w:val="0"/>
              <w:jc w:val="right"/>
              <w:rPr>
                <w:noProof/>
                <w:color w:val="000000" w:themeColor="text1"/>
              </w:rPr>
            </w:pPr>
            <w:r>
              <w:rPr>
                <w:noProof/>
                <w:color w:val="000000" w:themeColor="text1"/>
              </w:rPr>
              <w:t xml:space="preserve">92.9% </w:t>
            </w:r>
          </w:p>
        </w:tc>
        <w:tc>
          <w:tcPr>
            <w:tcW w:w="0" w:type="auto"/>
            <w:gridSpan w:val="3"/>
            <w:vAlign w:val="center"/>
          </w:tcPr>
          <w:p>
            <w:pPr>
              <w:autoSpaceDE w:val="0"/>
              <w:autoSpaceDN w:val="0"/>
              <w:adjustRightInd w:val="0"/>
              <w:jc w:val="center"/>
              <w:rPr>
                <w:noProof/>
                <w:color w:val="000000" w:themeColor="text1"/>
              </w:rPr>
            </w:pPr>
            <w:r>
              <w:rPr>
                <w:noProof/>
                <w:color w:val="000000" w:themeColor="text1"/>
              </w:rPr>
              <w:t>No more TRQ</w:t>
            </w:r>
          </w:p>
        </w:tc>
      </w:tr>
      <w:tr>
        <w:tc>
          <w:tcPr>
            <w:tcW w:w="0" w:type="auto"/>
            <w:vAlign w:val="center"/>
          </w:tcPr>
          <w:p>
            <w:pPr>
              <w:rPr>
                <w:noProof/>
                <w:color w:val="000000" w:themeColor="text1"/>
              </w:rPr>
            </w:pPr>
            <w:r>
              <w:rPr>
                <w:noProof/>
                <w:color w:val="000000" w:themeColor="text1"/>
              </w:rPr>
              <w:t>Preparations for infant use</w:t>
            </w:r>
          </w:p>
        </w:tc>
        <w:tc>
          <w:tcPr>
            <w:tcW w:w="0" w:type="auto"/>
            <w:vAlign w:val="center"/>
          </w:tcPr>
          <w:p>
            <w:pPr>
              <w:autoSpaceDE w:val="0"/>
              <w:autoSpaceDN w:val="0"/>
              <w:adjustRightInd w:val="0"/>
              <w:jc w:val="right"/>
              <w:rPr>
                <w:noProof/>
                <w:color w:val="000000" w:themeColor="text1"/>
              </w:rPr>
            </w:pPr>
            <w:r>
              <w:rPr>
                <w:noProof/>
                <w:color w:val="000000" w:themeColor="text1"/>
              </w:rPr>
              <w:t>40.4%</w:t>
            </w:r>
          </w:p>
        </w:tc>
        <w:tc>
          <w:tcPr>
            <w:tcW w:w="0" w:type="auto"/>
            <w:vAlign w:val="center"/>
          </w:tcPr>
          <w:p>
            <w:pPr>
              <w:autoSpaceDE w:val="0"/>
              <w:autoSpaceDN w:val="0"/>
              <w:adjustRightInd w:val="0"/>
              <w:jc w:val="right"/>
              <w:rPr>
                <w:noProof/>
                <w:color w:val="000000" w:themeColor="text1"/>
              </w:rPr>
            </w:pPr>
            <w:r>
              <w:rPr>
                <w:noProof/>
                <w:color w:val="000000" w:themeColor="text1"/>
              </w:rPr>
              <w:t xml:space="preserve">67.5% </w:t>
            </w:r>
          </w:p>
        </w:tc>
        <w:tc>
          <w:tcPr>
            <w:tcW w:w="0" w:type="auto"/>
            <w:vAlign w:val="center"/>
          </w:tcPr>
          <w:p>
            <w:pPr>
              <w:autoSpaceDE w:val="0"/>
              <w:autoSpaceDN w:val="0"/>
              <w:adjustRightInd w:val="0"/>
              <w:jc w:val="right"/>
              <w:rPr>
                <w:noProof/>
                <w:color w:val="000000" w:themeColor="text1"/>
              </w:rPr>
            </w:pPr>
            <w:r>
              <w:rPr>
                <w:noProof/>
                <w:color w:val="000000" w:themeColor="text1"/>
              </w:rPr>
              <w:t xml:space="preserve">99.1% </w:t>
            </w:r>
          </w:p>
        </w:tc>
        <w:tc>
          <w:tcPr>
            <w:tcW w:w="0" w:type="auto"/>
            <w:vAlign w:val="center"/>
          </w:tcPr>
          <w:p>
            <w:pPr>
              <w:autoSpaceDE w:val="0"/>
              <w:autoSpaceDN w:val="0"/>
              <w:adjustRightInd w:val="0"/>
              <w:jc w:val="right"/>
              <w:rPr>
                <w:noProof/>
                <w:color w:val="000000" w:themeColor="text1"/>
              </w:rPr>
            </w:pPr>
            <w:r>
              <w:rPr>
                <w:noProof/>
                <w:color w:val="000000" w:themeColor="text1"/>
              </w:rPr>
              <w:t xml:space="preserve">100% </w:t>
            </w:r>
          </w:p>
        </w:tc>
        <w:tc>
          <w:tcPr>
            <w:tcW w:w="0" w:type="auto"/>
            <w:vAlign w:val="center"/>
          </w:tcPr>
          <w:p>
            <w:pPr>
              <w:autoSpaceDE w:val="0"/>
              <w:autoSpaceDN w:val="0"/>
              <w:adjustRightInd w:val="0"/>
              <w:jc w:val="right"/>
              <w:rPr>
                <w:noProof/>
                <w:color w:val="000000" w:themeColor="text1"/>
              </w:rPr>
            </w:pPr>
            <w:r>
              <w:rPr>
                <w:noProof/>
                <w:color w:val="000000" w:themeColor="text1"/>
              </w:rPr>
              <w:t xml:space="preserve">100% </w:t>
            </w:r>
          </w:p>
        </w:tc>
        <w:tc>
          <w:tcPr>
            <w:tcW w:w="0" w:type="auto"/>
            <w:vAlign w:val="center"/>
          </w:tcPr>
          <w:p>
            <w:pPr>
              <w:autoSpaceDE w:val="0"/>
              <w:autoSpaceDN w:val="0"/>
              <w:adjustRightInd w:val="0"/>
              <w:jc w:val="right"/>
              <w:rPr>
                <w:noProof/>
                <w:color w:val="000000" w:themeColor="text1"/>
              </w:rPr>
            </w:pPr>
            <w:r>
              <w:rPr>
                <w:noProof/>
                <w:color w:val="000000" w:themeColor="text1"/>
              </w:rPr>
              <w:t>99%</w:t>
            </w:r>
          </w:p>
        </w:tc>
      </w:tr>
      <w:tr>
        <w:tc>
          <w:tcPr>
            <w:tcW w:w="0" w:type="auto"/>
            <w:vAlign w:val="center"/>
          </w:tcPr>
          <w:p>
            <w:pPr>
              <w:rPr>
                <w:noProof/>
                <w:color w:val="000000" w:themeColor="text1"/>
              </w:rPr>
            </w:pPr>
            <w:r>
              <w:rPr>
                <w:noProof/>
                <w:color w:val="000000" w:themeColor="text1"/>
              </w:rPr>
              <w:t>Yogurt</w:t>
            </w:r>
          </w:p>
        </w:tc>
        <w:tc>
          <w:tcPr>
            <w:tcW w:w="0" w:type="auto"/>
            <w:vAlign w:val="center"/>
          </w:tcPr>
          <w:p>
            <w:pPr>
              <w:autoSpaceDE w:val="0"/>
              <w:autoSpaceDN w:val="0"/>
              <w:adjustRightInd w:val="0"/>
              <w:jc w:val="right"/>
              <w:rPr>
                <w:noProof/>
                <w:color w:val="000000" w:themeColor="text1"/>
              </w:rPr>
            </w:pPr>
            <w:r>
              <w:rPr>
                <w:noProof/>
                <w:color w:val="000000" w:themeColor="text1"/>
              </w:rPr>
              <w:t>0%</w:t>
            </w:r>
          </w:p>
        </w:tc>
        <w:tc>
          <w:tcPr>
            <w:tcW w:w="0" w:type="auto"/>
            <w:vAlign w:val="center"/>
          </w:tcPr>
          <w:p>
            <w:pPr>
              <w:autoSpaceDE w:val="0"/>
              <w:autoSpaceDN w:val="0"/>
              <w:adjustRightInd w:val="0"/>
              <w:jc w:val="right"/>
              <w:rPr>
                <w:noProof/>
                <w:color w:val="000000" w:themeColor="text1"/>
              </w:rPr>
            </w:pPr>
            <w:r>
              <w:rPr>
                <w:noProof/>
                <w:color w:val="000000" w:themeColor="text1"/>
              </w:rPr>
              <w:t xml:space="preserve">0.5% </w:t>
            </w:r>
          </w:p>
        </w:tc>
        <w:tc>
          <w:tcPr>
            <w:tcW w:w="0" w:type="auto"/>
            <w:vAlign w:val="center"/>
          </w:tcPr>
          <w:p>
            <w:pPr>
              <w:autoSpaceDE w:val="0"/>
              <w:autoSpaceDN w:val="0"/>
              <w:adjustRightInd w:val="0"/>
              <w:jc w:val="right"/>
              <w:rPr>
                <w:noProof/>
                <w:color w:val="000000" w:themeColor="text1"/>
              </w:rPr>
            </w:pPr>
            <w:r>
              <w:rPr>
                <w:noProof/>
                <w:color w:val="000000" w:themeColor="text1"/>
              </w:rPr>
              <w:t xml:space="preserve">0.8% </w:t>
            </w:r>
          </w:p>
        </w:tc>
        <w:tc>
          <w:tcPr>
            <w:tcW w:w="0" w:type="auto"/>
            <w:vAlign w:val="center"/>
          </w:tcPr>
          <w:p>
            <w:pPr>
              <w:autoSpaceDE w:val="0"/>
              <w:autoSpaceDN w:val="0"/>
              <w:adjustRightInd w:val="0"/>
              <w:jc w:val="right"/>
              <w:rPr>
                <w:noProof/>
                <w:color w:val="000000" w:themeColor="text1"/>
              </w:rPr>
            </w:pPr>
            <w:r>
              <w:rPr>
                <w:noProof/>
                <w:color w:val="000000" w:themeColor="text1"/>
              </w:rPr>
              <w:t xml:space="preserve">100% </w:t>
            </w:r>
          </w:p>
        </w:tc>
        <w:tc>
          <w:tcPr>
            <w:tcW w:w="0" w:type="auto"/>
            <w:vAlign w:val="center"/>
          </w:tcPr>
          <w:p>
            <w:pPr>
              <w:autoSpaceDE w:val="0"/>
              <w:autoSpaceDN w:val="0"/>
              <w:adjustRightInd w:val="0"/>
              <w:jc w:val="right"/>
              <w:rPr>
                <w:noProof/>
                <w:color w:val="000000" w:themeColor="text1"/>
              </w:rPr>
            </w:pPr>
            <w:r>
              <w:rPr>
                <w:noProof/>
                <w:color w:val="000000" w:themeColor="text1"/>
              </w:rPr>
              <w:t xml:space="preserve">99% </w:t>
            </w:r>
          </w:p>
        </w:tc>
        <w:tc>
          <w:tcPr>
            <w:tcW w:w="0" w:type="auto"/>
            <w:vAlign w:val="center"/>
          </w:tcPr>
          <w:p>
            <w:pPr>
              <w:autoSpaceDE w:val="0"/>
              <w:autoSpaceDN w:val="0"/>
              <w:adjustRightInd w:val="0"/>
              <w:jc w:val="right"/>
              <w:rPr>
                <w:noProof/>
                <w:color w:val="000000" w:themeColor="text1"/>
              </w:rPr>
            </w:pPr>
            <w:r>
              <w:rPr>
                <w:noProof/>
                <w:color w:val="000000" w:themeColor="text1"/>
              </w:rPr>
              <w:t>17.4%</w:t>
            </w:r>
          </w:p>
        </w:tc>
      </w:tr>
      <w:tr>
        <w:tc>
          <w:tcPr>
            <w:tcW w:w="0" w:type="auto"/>
            <w:vAlign w:val="center"/>
          </w:tcPr>
          <w:p>
            <w:pPr>
              <w:rPr>
                <w:noProof/>
                <w:color w:val="000000" w:themeColor="text1"/>
              </w:rPr>
            </w:pPr>
            <w:r>
              <w:rPr>
                <w:noProof/>
                <w:color w:val="000000" w:themeColor="text1"/>
              </w:rPr>
              <w:t>Sweetcorn</w:t>
            </w:r>
          </w:p>
        </w:tc>
        <w:tc>
          <w:tcPr>
            <w:tcW w:w="0" w:type="auto"/>
            <w:vAlign w:val="center"/>
          </w:tcPr>
          <w:p>
            <w:pPr>
              <w:autoSpaceDE w:val="0"/>
              <w:autoSpaceDN w:val="0"/>
              <w:adjustRightInd w:val="0"/>
              <w:jc w:val="right"/>
              <w:rPr>
                <w:noProof/>
                <w:color w:val="000000" w:themeColor="text1"/>
              </w:rPr>
            </w:pPr>
            <w:r>
              <w:rPr>
                <w:noProof/>
                <w:color w:val="000000" w:themeColor="text1"/>
              </w:rPr>
              <w:t>0.4%</w:t>
            </w:r>
          </w:p>
        </w:tc>
        <w:tc>
          <w:tcPr>
            <w:tcW w:w="0" w:type="auto"/>
            <w:vAlign w:val="center"/>
          </w:tcPr>
          <w:p>
            <w:pPr>
              <w:autoSpaceDE w:val="0"/>
              <w:autoSpaceDN w:val="0"/>
              <w:adjustRightInd w:val="0"/>
              <w:jc w:val="right"/>
              <w:rPr>
                <w:noProof/>
                <w:color w:val="000000" w:themeColor="text1"/>
              </w:rPr>
            </w:pPr>
            <w:r>
              <w:rPr>
                <w:noProof/>
                <w:color w:val="000000" w:themeColor="text1"/>
              </w:rPr>
              <w:t xml:space="preserve">54.2% </w:t>
            </w:r>
          </w:p>
        </w:tc>
        <w:tc>
          <w:tcPr>
            <w:tcW w:w="0" w:type="auto"/>
            <w:vAlign w:val="center"/>
          </w:tcPr>
          <w:p>
            <w:pPr>
              <w:autoSpaceDE w:val="0"/>
              <w:autoSpaceDN w:val="0"/>
              <w:adjustRightInd w:val="0"/>
              <w:jc w:val="right"/>
              <w:rPr>
                <w:noProof/>
                <w:color w:val="000000" w:themeColor="text1"/>
              </w:rPr>
            </w:pPr>
            <w:r>
              <w:rPr>
                <w:noProof/>
                <w:color w:val="000000" w:themeColor="text1"/>
              </w:rPr>
              <w:t xml:space="preserve">100% </w:t>
            </w:r>
          </w:p>
        </w:tc>
        <w:tc>
          <w:tcPr>
            <w:tcW w:w="0" w:type="auto"/>
            <w:vAlign w:val="center"/>
          </w:tcPr>
          <w:p>
            <w:pPr>
              <w:autoSpaceDE w:val="0"/>
              <w:autoSpaceDN w:val="0"/>
              <w:adjustRightInd w:val="0"/>
              <w:jc w:val="right"/>
              <w:rPr>
                <w:noProof/>
                <w:color w:val="000000" w:themeColor="text1"/>
              </w:rPr>
            </w:pPr>
            <w:r>
              <w:rPr>
                <w:noProof/>
                <w:color w:val="000000" w:themeColor="text1"/>
              </w:rPr>
              <w:t xml:space="preserve">100% </w:t>
            </w:r>
          </w:p>
        </w:tc>
        <w:tc>
          <w:tcPr>
            <w:tcW w:w="0" w:type="auto"/>
            <w:vAlign w:val="center"/>
          </w:tcPr>
          <w:p>
            <w:pPr>
              <w:autoSpaceDE w:val="0"/>
              <w:autoSpaceDN w:val="0"/>
              <w:adjustRightInd w:val="0"/>
              <w:jc w:val="right"/>
              <w:rPr>
                <w:noProof/>
                <w:color w:val="000000" w:themeColor="text1"/>
              </w:rPr>
            </w:pPr>
            <w:r>
              <w:rPr>
                <w:noProof/>
                <w:color w:val="000000" w:themeColor="text1"/>
              </w:rPr>
              <w:t xml:space="preserve">100% </w:t>
            </w:r>
          </w:p>
        </w:tc>
        <w:tc>
          <w:tcPr>
            <w:tcW w:w="0" w:type="auto"/>
            <w:vAlign w:val="center"/>
          </w:tcPr>
          <w:p>
            <w:pPr>
              <w:autoSpaceDE w:val="0"/>
              <w:autoSpaceDN w:val="0"/>
              <w:adjustRightInd w:val="0"/>
              <w:jc w:val="right"/>
              <w:rPr>
                <w:noProof/>
                <w:color w:val="000000" w:themeColor="text1"/>
              </w:rPr>
            </w:pPr>
            <w:r>
              <w:rPr>
                <w:noProof/>
                <w:color w:val="000000" w:themeColor="text1"/>
              </w:rPr>
              <w:t>100%</w:t>
            </w:r>
          </w:p>
        </w:tc>
      </w:tr>
      <w:tr>
        <w:tc>
          <w:tcPr>
            <w:tcW w:w="0" w:type="auto"/>
            <w:vAlign w:val="center"/>
          </w:tcPr>
          <w:p>
            <w:pPr>
              <w:rPr>
                <w:noProof/>
                <w:color w:val="000000" w:themeColor="text1"/>
              </w:rPr>
            </w:pPr>
            <w:r>
              <w:rPr>
                <w:noProof/>
                <w:color w:val="000000" w:themeColor="text1"/>
              </w:rPr>
              <w:t>Ice cream</w:t>
            </w:r>
          </w:p>
        </w:tc>
        <w:tc>
          <w:tcPr>
            <w:tcW w:w="0" w:type="auto"/>
            <w:vAlign w:val="center"/>
          </w:tcPr>
          <w:p>
            <w:pPr>
              <w:autoSpaceDE w:val="0"/>
              <w:autoSpaceDN w:val="0"/>
              <w:adjustRightInd w:val="0"/>
              <w:jc w:val="right"/>
              <w:rPr>
                <w:noProof/>
                <w:color w:val="000000" w:themeColor="text1"/>
              </w:rPr>
            </w:pPr>
            <w:r>
              <w:rPr>
                <w:noProof/>
                <w:color w:val="000000" w:themeColor="text1"/>
              </w:rPr>
              <w:t>5.3%</w:t>
            </w:r>
          </w:p>
        </w:tc>
        <w:tc>
          <w:tcPr>
            <w:tcW w:w="0" w:type="auto"/>
            <w:vAlign w:val="center"/>
          </w:tcPr>
          <w:p>
            <w:pPr>
              <w:autoSpaceDE w:val="0"/>
              <w:autoSpaceDN w:val="0"/>
              <w:adjustRightInd w:val="0"/>
              <w:jc w:val="right"/>
              <w:rPr>
                <w:noProof/>
                <w:color w:val="000000" w:themeColor="text1"/>
              </w:rPr>
            </w:pPr>
            <w:r>
              <w:rPr>
                <w:noProof/>
                <w:color w:val="000000" w:themeColor="text1"/>
              </w:rPr>
              <w:t xml:space="preserve">13.4% </w:t>
            </w:r>
          </w:p>
        </w:tc>
        <w:tc>
          <w:tcPr>
            <w:tcW w:w="0" w:type="auto"/>
            <w:vAlign w:val="center"/>
          </w:tcPr>
          <w:p>
            <w:pPr>
              <w:autoSpaceDE w:val="0"/>
              <w:autoSpaceDN w:val="0"/>
              <w:adjustRightInd w:val="0"/>
              <w:jc w:val="right"/>
              <w:rPr>
                <w:noProof/>
                <w:color w:val="000000" w:themeColor="text1"/>
              </w:rPr>
            </w:pPr>
            <w:r>
              <w:rPr>
                <w:noProof/>
                <w:color w:val="000000" w:themeColor="text1"/>
              </w:rPr>
              <w:t xml:space="preserve">7.4% </w:t>
            </w:r>
          </w:p>
        </w:tc>
        <w:tc>
          <w:tcPr>
            <w:tcW w:w="0" w:type="auto"/>
            <w:vAlign w:val="center"/>
          </w:tcPr>
          <w:p>
            <w:pPr>
              <w:autoSpaceDE w:val="0"/>
              <w:autoSpaceDN w:val="0"/>
              <w:adjustRightInd w:val="0"/>
              <w:jc w:val="right"/>
              <w:rPr>
                <w:noProof/>
                <w:color w:val="000000" w:themeColor="text1"/>
              </w:rPr>
            </w:pPr>
            <w:r>
              <w:rPr>
                <w:noProof/>
                <w:color w:val="000000" w:themeColor="text1"/>
              </w:rPr>
              <w:t xml:space="preserve">25.9% </w:t>
            </w:r>
          </w:p>
        </w:tc>
        <w:tc>
          <w:tcPr>
            <w:tcW w:w="0" w:type="auto"/>
            <w:vAlign w:val="center"/>
          </w:tcPr>
          <w:p>
            <w:pPr>
              <w:autoSpaceDE w:val="0"/>
              <w:autoSpaceDN w:val="0"/>
              <w:adjustRightInd w:val="0"/>
              <w:jc w:val="right"/>
              <w:rPr>
                <w:noProof/>
                <w:color w:val="000000" w:themeColor="text1"/>
              </w:rPr>
            </w:pPr>
            <w:r>
              <w:rPr>
                <w:noProof/>
                <w:color w:val="000000" w:themeColor="text1"/>
              </w:rPr>
              <w:t xml:space="preserve">45.7% </w:t>
            </w:r>
          </w:p>
        </w:tc>
        <w:tc>
          <w:tcPr>
            <w:tcW w:w="0" w:type="auto"/>
            <w:vAlign w:val="center"/>
          </w:tcPr>
          <w:p>
            <w:pPr>
              <w:autoSpaceDE w:val="0"/>
              <w:autoSpaceDN w:val="0"/>
              <w:adjustRightInd w:val="0"/>
              <w:jc w:val="right"/>
              <w:rPr>
                <w:noProof/>
                <w:color w:val="000000" w:themeColor="text1"/>
              </w:rPr>
            </w:pPr>
            <w:r>
              <w:rPr>
                <w:noProof/>
                <w:color w:val="000000" w:themeColor="text1"/>
              </w:rPr>
              <w:t>87%</w:t>
            </w:r>
          </w:p>
        </w:tc>
      </w:tr>
      <w:tr>
        <w:tc>
          <w:tcPr>
            <w:tcW w:w="0" w:type="auto"/>
            <w:vAlign w:val="center"/>
          </w:tcPr>
          <w:p>
            <w:pPr>
              <w:rPr>
                <w:noProof/>
                <w:color w:val="000000" w:themeColor="text1"/>
              </w:rPr>
            </w:pPr>
            <w:r>
              <w:rPr>
                <w:noProof/>
                <w:color w:val="000000" w:themeColor="text1"/>
              </w:rPr>
              <w:t>Cheese</w:t>
            </w:r>
          </w:p>
        </w:tc>
        <w:tc>
          <w:tcPr>
            <w:tcW w:w="0" w:type="auto"/>
            <w:vAlign w:val="center"/>
          </w:tcPr>
          <w:p>
            <w:pPr>
              <w:autoSpaceDE w:val="0"/>
              <w:autoSpaceDN w:val="0"/>
              <w:adjustRightInd w:val="0"/>
              <w:jc w:val="right"/>
              <w:rPr>
                <w:noProof/>
                <w:color w:val="000000" w:themeColor="text1"/>
              </w:rPr>
            </w:pPr>
            <w:r>
              <w:rPr>
                <w:noProof/>
                <w:color w:val="000000" w:themeColor="text1"/>
              </w:rPr>
              <w:t>9%</w:t>
            </w:r>
          </w:p>
        </w:tc>
        <w:tc>
          <w:tcPr>
            <w:tcW w:w="0" w:type="auto"/>
            <w:vAlign w:val="center"/>
          </w:tcPr>
          <w:p>
            <w:pPr>
              <w:autoSpaceDE w:val="0"/>
              <w:autoSpaceDN w:val="0"/>
              <w:adjustRightInd w:val="0"/>
              <w:jc w:val="right"/>
              <w:rPr>
                <w:noProof/>
                <w:color w:val="000000" w:themeColor="text1"/>
              </w:rPr>
            </w:pPr>
            <w:r>
              <w:rPr>
                <w:noProof/>
                <w:color w:val="000000" w:themeColor="text1"/>
              </w:rPr>
              <w:t xml:space="preserve">8% </w:t>
            </w:r>
          </w:p>
        </w:tc>
        <w:tc>
          <w:tcPr>
            <w:tcW w:w="0" w:type="auto"/>
            <w:vAlign w:val="center"/>
          </w:tcPr>
          <w:p>
            <w:pPr>
              <w:autoSpaceDE w:val="0"/>
              <w:autoSpaceDN w:val="0"/>
              <w:adjustRightInd w:val="0"/>
              <w:jc w:val="right"/>
              <w:rPr>
                <w:noProof/>
                <w:color w:val="000000" w:themeColor="text1"/>
              </w:rPr>
            </w:pPr>
            <w:r>
              <w:rPr>
                <w:noProof/>
                <w:color w:val="000000" w:themeColor="text1"/>
              </w:rPr>
              <w:t xml:space="preserve">8.2% </w:t>
            </w:r>
          </w:p>
        </w:tc>
        <w:tc>
          <w:tcPr>
            <w:tcW w:w="0" w:type="auto"/>
            <w:vAlign w:val="center"/>
          </w:tcPr>
          <w:p>
            <w:pPr>
              <w:autoSpaceDE w:val="0"/>
              <w:autoSpaceDN w:val="0"/>
              <w:adjustRightInd w:val="0"/>
              <w:jc w:val="right"/>
              <w:rPr>
                <w:noProof/>
                <w:color w:val="000000" w:themeColor="text1"/>
              </w:rPr>
            </w:pPr>
            <w:r>
              <w:rPr>
                <w:noProof/>
                <w:color w:val="000000" w:themeColor="text1"/>
              </w:rPr>
              <w:t xml:space="preserve">7.9% </w:t>
            </w:r>
          </w:p>
        </w:tc>
        <w:tc>
          <w:tcPr>
            <w:tcW w:w="0" w:type="auto"/>
            <w:vAlign w:val="center"/>
          </w:tcPr>
          <w:p>
            <w:pPr>
              <w:autoSpaceDE w:val="0"/>
              <w:autoSpaceDN w:val="0"/>
              <w:adjustRightInd w:val="0"/>
              <w:jc w:val="right"/>
              <w:rPr>
                <w:noProof/>
                <w:color w:val="000000" w:themeColor="text1"/>
              </w:rPr>
            </w:pPr>
            <w:r>
              <w:rPr>
                <w:noProof/>
                <w:color w:val="000000" w:themeColor="text1"/>
              </w:rPr>
              <w:t xml:space="preserve">3.1% </w:t>
            </w:r>
          </w:p>
        </w:tc>
        <w:tc>
          <w:tcPr>
            <w:tcW w:w="0" w:type="auto"/>
            <w:vAlign w:val="center"/>
          </w:tcPr>
          <w:p>
            <w:pPr>
              <w:autoSpaceDE w:val="0"/>
              <w:autoSpaceDN w:val="0"/>
              <w:adjustRightInd w:val="0"/>
              <w:jc w:val="right"/>
              <w:rPr>
                <w:noProof/>
                <w:color w:val="000000" w:themeColor="text1"/>
              </w:rPr>
            </w:pPr>
            <w:r>
              <w:rPr>
                <w:noProof/>
                <w:color w:val="000000" w:themeColor="text1"/>
              </w:rPr>
              <w:t>13.4%</w:t>
            </w:r>
          </w:p>
        </w:tc>
      </w:tr>
      <w:tr>
        <w:tc>
          <w:tcPr>
            <w:tcW w:w="0" w:type="auto"/>
            <w:vAlign w:val="center"/>
          </w:tcPr>
          <w:p>
            <w:pPr>
              <w:rPr>
                <w:noProof/>
                <w:color w:val="000000" w:themeColor="text1"/>
              </w:rPr>
            </w:pPr>
            <w:r>
              <w:rPr>
                <w:noProof/>
                <w:color w:val="000000" w:themeColor="text1"/>
              </w:rPr>
              <w:t>Sugar confectionary</w:t>
            </w:r>
          </w:p>
        </w:tc>
        <w:tc>
          <w:tcPr>
            <w:tcW w:w="0" w:type="auto"/>
            <w:vAlign w:val="center"/>
          </w:tcPr>
          <w:p>
            <w:pPr>
              <w:autoSpaceDE w:val="0"/>
              <w:autoSpaceDN w:val="0"/>
              <w:adjustRightInd w:val="0"/>
              <w:jc w:val="right"/>
              <w:rPr>
                <w:noProof/>
                <w:color w:val="000000" w:themeColor="text1"/>
              </w:rPr>
            </w:pPr>
            <w:r>
              <w:rPr>
                <w:noProof/>
                <w:color w:val="000000" w:themeColor="text1"/>
              </w:rPr>
              <w:t>1.8%</w:t>
            </w:r>
          </w:p>
        </w:tc>
        <w:tc>
          <w:tcPr>
            <w:tcW w:w="0" w:type="auto"/>
            <w:vAlign w:val="center"/>
          </w:tcPr>
          <w:p>
            <w:pPr>
              <w:autoSpaceDE w:val="0"/>
              <w:autoSpaceDN w:val="0"/>
              <w:adjustRightInd w:val="0"/>
              <w:jc w:val="right"/>
              <w:rPr>
                <w:noProof/>
                <w:color w:val="000000" w:themeColor="text1"/>
              </w:rPr>
            </w:pPr>
            <w:r>
              <w:rPr>
                <w:noProof/>
                <w:color w:val="000000" w:themeColor="text1"/>
              </w:rPr>
              <w:t xml:space="preserve">3.4% </w:t>
            </w:r>
          </w:p>
        </w:tc>
        <w:tc>
          <w:tcPr>
            <w:tcW w:w="0" w:type="auto"/>
            <w:vAlign w:val="center"/>
          </w:tcPr>
          <w:p>
            <w:pPr>
              <w:autoSpaceDE w:val="0"/>
              <w:autoSpaceDN w:val="0"/>
              <w:adjustRightInd w:val="0"/>
              <w:jc w:val="right"/>
              <w:rPr>
                <w:noProof/>
                <w:color w:val="000000" w:themeColor="text1"/>
              </w:rPr>
            </w:pPr>
            <w:r>
              <w:rPr>
                <w:noProof/>
                <w:color w:val="000000" w:themeColor="text1"/>
              </w:rPr>
              <w:t xml:space="preserve">3.1% </w:t>
            </w:r>
          </w:p>
        </w:tc>
        <w:tc>
          <w:tcPr>
            <w:tcW w:w="0" w:type="auto"/>
            <w:vAlign w:val="center"/>
          </w:tcPr>
          <w:p>
            <w:pPr>
              <w:autoSpaceDE w:val="0"/>
              <w:autoSpaceDN w:val="0"/>
              <w:adjustRightInd w:val="0"/>
              <w:jc w:val="right"/>
              <w:rPr>
                <w:noProof/>
                <w:color w:val="000000" w:themeColor="text1"/>
              </w:rPr>
            </w:pPr>
            <w:r>
              <w:rPr>
                <w:noProof/>
                <w:color w:val="000000" w:themeColor="text1"/>
              </w:rPr>
              <w:t xml:space="preserve">3.8% </w:t>
            </w:r>
          </w:p>
        </w:tc>
        <w:tc>
          <w:tcPr>
            <w:tcW w:w="0" w:type="auto"/>
            <w:vAlign w:val="center"/>
          </w:tcPr>
          <w:p>
            <w:pPr>
              <w:autoSpaceDE w:val="0"/>
              <w:autoSpaceDN w:val="0"/>
              <w:adjustRightInd w:val="0"/>
              <w:jc w:val="right"/>
              <w:rPr>
                <w:noProof/>
                <w:color w:val="000000" w:themeColor="text1"/>
              </w:rPr>
            </w:pPr>
            <w:r>
              <w:rPr>
                <w:noProof/>
                <w:color w:val="000000" w:themeColor="text1"/>
              </w:rPr>
              <w:t xml:space="preserve">3.9% </w:t>
            </w:r>
          </w:p>
        </w:tc>
        <w:tc>
          <w:tcPr>
            <w:tcW w:w="0" w:type="auto"/>
            <w:vAlign w:val="center"/>
          </w:tcPr>
          <w:p>
            <w:pPr>
              <w:autoSpaceDE w:val="0"/>
              <w:autoSpaceDN w:val="0"/>
              <w:adjustRightInd w:val="0"/>
              <w:jc w:val="right"/>
              <w:rPr>
                <w:noProof/>
                <w:color w:val="000000" w:themeColor="text1"/>
              </w:rPr>
            </w:pPr>
            <w:r>
              <w:rPr>
                <w:noProof/>
                <w:color w:val="000000" w:themeColor="text1"/>
              </w:rPr>
              <w:t>4.7%</w:t>
            </w:r>
          </w:p>
        </w:tc>
      </w:tr>
    </w:tbl>
    <w:p>
      <w:pPr>
        <w:jc w:val="both"/>
        <w:rPr>
          <w:i/>
          <w:noProof/>
          <w:color w:val="000000" w:themeColor="text1"/>
          <w:lang w:val="es-ES_tradnl"/>
        </w:rPr>
      </w:pPr>
      <w:r>
        <w:rPr>
          <w:i/>
          <w:noProof/>
          <w:color w:val="000000" w:themeColor="text1"/>
          <w:lang w:val="es-ES_tradnl"/>
        </w:rPr>
        <w:t>Source: DIAN (Dirección de Impuestos y Aduanas nacionales)</w:t>
      </w:r>
    </w:p>
    <w:p>
      <w:pPr>
        <w:jc w:val="both"/>
        <w:rPr>
          <w:b/>
          <w:noProof/>
          <w:u w:val="single"/>
          <w:lang w:val="fr-BE"/>
        </w:rPr>
      </w:pPr>
    </w:p>
    <w:p>
      <w:pPr>
        <w:jc w:val="both"/>
        <w:rPr>
          <w:b/>
          <w:noProof/>
          <w:u w:val="single"/>
          <w:lang w:val="en-US"/>
        </w:rPr>
      </w:pPr>
      <w:r>
        <w:rPr>
          <w:b/>
          <w:noProof/>
          <w:u w:val="single"/>
          <w:lang w:val="en-US"/>
        </w:rPr>
        <w:t xml:space="preserve">Peru </w:t>
      </w:r>
    </w:p>
    <w:p>
      <w:pPr>
        <w:jc w:val="both"/>
        <w:rPr>
          <w:noProof/>
          <w:u w:val="single"/>
        </w:rPr>
      </w:pPr>
    </w:p>
    <w:p>
      <w:pPr>
        <w:jc w:val="both"/>
        <w:rPr>
          <w:noProof/>
        </w:rPr>
      </w:pPr>
      <w:r>
        <w:rPr>
          <w:noProof/>
          <w:u w:val="single"/>
        </w:rPr>
        <w:t>EU exports</w:t>
      </w:r>
      <w:r>
        <w:rPr>
          <w:noProof/>
        </w:rPr>
        <w:t xml:space="preserve"> to Peru of agricultural products in 2018 increased by 1% compared to 2017. The most important categories in 2018 were:</w:t>
      </w:r>
    </w:p>
    <w:p>
      <w:pPr>
        <w:jc w:val="both"/>
        <w:rPr>
          <w:noProof/>
        </w:rPr>
      </w:pPr>
    </w:p>
    <w:p>
      <w:pPr>
        <w:numPr>
          <w:ilvl w:val="0"/>
          <w:numId w:val="57"/>
        </w:numPr>
        <w:spacing w:after="240"/>
        <w:jc w:val="both"/>
        <w:rPr>
          <w:noProof/>
          <w:color w:val="000000" w:themeColor="text1"/>
        </w:rPr>
      </w:pPr>
      <w:r>
        <w:rPr>
          <w:noProof/>
          <w:color w:val="000000" w:themeColor="text1"/>
        </w:rPr>
        <w:t>Beverages and spirits (HS22), accounting for 23% of total EU exports of agricultural products to Peru have decreased by -6% compared to 2017;</w:t>
      </w:r>
    </w:p>
    <w:p>
      <w:pPr>
        <w:numPr>
          <w:ilvl w:val="0"/>
          <w:numId w:val="57"/>
        </w:numPr>
        <w:spacing w:after="240"/>
        <w:jc w:val="both"/>
        <w:rPr>
          <w:noProof/>
          <w:color w:val="000000" w:themeColor="text1"/>
        </w:rPr>
      </w:pPr>
      <w:r>
        <w:rPr>
          <w:noProof/>
          <w:color w:val="000000" w:themeColor="text1"/>
        </w:rPr>
        <w:t>Preparations of vegetables (HS20), representing 11% of total EU exports of agricultural products to Peru decreased by -8% compared to 2017;</w:t>
      </w:r>
    </w:p>
    <w:p>
      <w:pPr>
        <w:numPr>
          <w:ilvl w:val="0"/>
          <w:numId w:val="57"/>
        </w:numPr>
        <w:spacing w:after="240"/>
        <w:jc w:val="both"/>
        <w:rPr>
          <w:noProof/>
          <w:color w:val="000000" w:themeColor="text1"/>
        </w:rPr>
      </w:pPr>
      <w:r>
        <w:rPr>
          <w:noProof/>
          <w:color w:val="000000" w:themeColor="text1"/>
        </w:rPr>
        <w:t>Dairy products (HS04), posting a strong 26% increase compared to 2017 thanks to the introduction of a harmonized import certificate in 2017. Dairy exports represent 11% of total EU exports of agricultural products to Peru.</w:t>
      </w:r>
    </w:p>
    <w:p>
      <w:pPr>
        <w:jc w:val="both"/>
        <w:rPr>
          <w:noProof/>
        </w:rPr>
      </w:pPr>
      <w:r>
        <w:rPr>
          <w:noProof/>
          <w:u w:val="single"/>
        </w:rPr>
        <w:t>EU imports</w:t>
      </w:r>
      <w:r>
        <w:rPr>
          <w:noProof/>
        </w:rPr>
        <w:t xml:space="preserve"> of agricultural products from Peru increased by 6% from 2017 to 2018. The most important categories in 2018 were:</w:t>
      </w:r>
    </w:p>
    <w:p>
      <w:pPr>
        <w:jc w:val="both"/>
        <w:rPr>
          <w:noProof/>
        </w:rPr>
      </w:pPr>
    </w:p>
    <w:p>
      <w:pPr>
        <w:numPr>
          <w:ilvl w:val="0"/>
          <w:numId w:val="57"/>
        </w:numPr>
        <w:spacing w:after="240"/>
        <w:jc w:val="both"/>
        <w:rPr>
          <w:noProof/>
          <w:color w:val="000000" w:themeColor="text1"/>
        </w:rPr>
      </w:pPr>
      <w:r>
        <w:rPr>
          <w:noProof/>
          <w:color w:val="000000" w:themeColor="text1"/>
        </w:rPr>
        <w:t>Fruits (HS08), accounted for 52% of total EU imports of Peruvian agricultural products , up 17% compared to 2017; avocados accounted for 32% of all fruits exported, a remained equal compared to 2017, followed by fresh grapes representing 20% (+68%), mangos 14% (+10%), fresh blackberries 12% (+59%) and fresh bananas 8% (+10%);</w:t>
      </w:r>
    </w:p>
    <w:p>
      <w:pPr>
        <w:numPr>
          <w:ilvl w:val="0"/>
          <w:numId w:val="57"/>
        </w:numPr>
        <w:spacing w:after="240"/>
        <w:jc w:val="both"/>
        <w:rPr>
          <w:noProof/>
          <w:color w:val="000000" w:themeColor="text1"/>
        </w:rPr>
      </w:pPr>
      <w:r>
        <w:rPr>
          <w:noProof/>
          <w:color w:val="000000" w:themeColor="text1"/>
        </w:rPr>
        <w:t>Coffee (HS09) represents 16% of total EU imports of agriculture products from Peru decreasing by 9.6% from 2017.</w:t>
      </w:r>
    </w:p>
    <w:p>
      <w:pPr>
        <w:numPr>
          <w:ilvl w:val="0"/>
          <w:numId w:val="57"/>
        </w:numPr>
        <w:spacing w:after="240"/>
        <w:jc w:val="both"/>
        <w:rPr>
          <w:noProof/>
          <w:color w:val="000000" w:themeColor="text1"/>
        </w:rPr>
      </w:pPr>
      <w:r>
        <w:rPr>
          <w:noProof/>
          <w:color w:val="000000" w:themeColor="text1"/>
        </w:rPr>
        <w:t xml:space="preserve">Edible vegetables which account for 9% of total of agriculture products from Peru raised by 6% between 2017 and 2018  </w:t>
      </w:r>
    </w:p>
    <w:p>
      <w:pPr>
        <w:jc w:val="both"/>
        <w:rPr>
          <w:noProof/>
        </w:rPr>
      </w:pPr>
      <w:r>
        <w:rPr>
          <w:noProof/>
        </w:rPr>
        <w:t xml:space="preserve">Total EU imports of agricultural products from Peru increased by 49% since 2012, and now account for </w:t>
      </w:r>
      <w:r>
        <w:rPr>
          <w:b/>
          <w:noProof/>
        </w:rPr>
        <w:t>37% of Peruvian exports to the EU, versus 24% in 2012</w:t>
      </w:r>
      <w:r>
        <w:rPr>
          <w:noProof/>
        </w:rPr>
        <w:t>.</w:t>
      </w:r>
    </w:p>
    <w:p>
      <w:pPr>
        <w:jc w:val="both"/>
        <w:rPr>
          <w:b/>
          <w:i/>
          <w:noProof/>
        </w:rPr>
      </w:pPr>
    </w:p>
    <w:p>
      <w:pPr>
        <w:jc w:val="both"/>
        <w:rPr>
          <w:b/>
          <w:i/>
          <w:noProof/>
        </w:rPr>
      </w:pPr>
      <w:r>
        <w:rPr>
          <w:b/>
          <w:i/>
          <w:noProof/>
        </w:rPr>
        <w:t>Use of Tariff-rate quotas</w:t>
      </w:r>
    </w:p>
    <w:p>
      <w:pPr>
        <w:jc w:val="both"/>
        <w:rPr>
          <w:noProof/>
        </w:rPr>
      </w:pPr>
    </w:p>
    <w:p>
      <w:pPr>
        <w:jc w:val="both"/>
        <w:rPr>
          <w:noProof/>
        </w:rPr>
      </w:pPr>
      <w:r>
        <w:rPr>
          <w:noProof/>
        </w:rPr>
        <w:t>Sweetcorn is the only product under TRQ where Peru has reached almost 100% utilisation rate in 2018, maintaining a positive trend since the date of application of the Agreement. Quota utilisation of both cane sugar and garlic has steeply dropped in 2018. Peru is starting to take advantage of the TRQ on maize (corn). Other TRQs have very low utilisation rate. The quotas for the other 11 products have not been utilised at all since the date of application of the Agreement.</w:t>
      </w:r>
    </w:p>
    <w:p>
      <w:pPr>
        <w:jc w:val="both"/>
        <w:rPr>
          <w:b/>
          <w:noProof/>
        </w:rPr>
      </w:pPr>
    </w:p>
    <w:p>
      <w:pPr>
        <w:jc w:val="both"/>
        <w:rPr>
          <w:b/>
          <w:noProof/>
        </w:rPr>
      </w:pPr>
      <w:r>
        <w:rPr>
          <w:b/>
          <w:noProof/>
        </w:rPr>
        <w:t xml:space="preserve">Rate of utilisation of EU TRQs by Peru </w:t>
      </w:r>
    </w:p>
    <w:tbl>
      <w:tblPr>
        <w:tblW w:w="7600" w:type="dxa"/>
        <w:tblInd w:w="80" w:type="dxa"/>
        <w:tblCellMar>
          <w:left w:w="70" w:type="dxa"/>
          <w:right w:w="70" w:type="dxa"/>
        </w:tblCellMar>
        <w:tblLook w:val="04A0" w:firstRow="1" w:lastRow="0" w:firstColumn="1" w:lastColumn="0" w:noHBand="0" w:noVBand="1"/>
      </w:tblPr>
      <w:tblGrid>
        <w:gridCol w:w="1980"/>
        <w:gridCol w:w="820"/>
        <w:gridCol w:w="960"/>
        <w:gridCol w:w="960"/>
        <w:gridCol w:w="960"/>
        <w:gridCol w:w="960"/>
        <w:gridCol w:w="960"/>
      </w:tblGrid>
      <w:tr>
        <w:tc>
          <w:tcPr>
            <w:tcW w:w="19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pPr>
              <w:rPr>
                <w:rFonts w:eastAsia="Times New Roman"/>
                <w:noProof/>
                <w:color w:val="000000"/>
                <w:lang w:val="en-US" w:eastAsia="fr-BE"/>
              </w:rPr>
            </w:pPr>
            <w:r>
              <w:rPr>
                <w:rFonts w:eastAsia="Times New Roman"/>
                <w:noProof/>
                <w:color w:val="000000"/>
                <w:lang w:val="en-US" w:eastAsia="fr-BE"/>
              </w:rPr>
              <w:t> </w:t>
            </w:r>
          </w:p>
        </w:tc>
        <w:tc>
          <w:tcPr>
            <w:tcW w:w="820" w:type="dxa"/>
            <w:tcBorders>
              <w:top w:val="single" w:sz="8" w:space="0" w:color="auto"/>
              <w:left w:val="nil"/>
              <w:bottom w:val="single" w:sz="4" w:space="0" w:color="auto"/>
              <w:right w:val="single" w:sz="4" w:space="0" w:color="auto"/>
            </w:tcBorders>
            <w:shd w:val="clear" w:color="auto" w:fill="auto"/>
            <w:noWrap/>
            <w:vAlign w:val="bottom"/>
            <w:hideMark/>
          </w:tcPr>
          <w:p>
            <w:pPr>
              <w:jc w:val="center"/>
              <w:rPr>
                <w:rFonts w:eastAsia="Times New Roman"/>
                <w:b/>
                <w:noProof/>
                <w:color w:val="000000"/>
                <w:lang w:eastAsia="fr-BE"/>
              </w:rPr>
            </w:pPr>
            <w:r>
              <w:rPr>
                <w:rFonts w:eastAsia="Times New Roman"/>
                <w:b/>
                <w:noProof/>
                <w:color w:val="000000"/>
                <w:lang w:eastAsia="fr-BE"/>
              </w:rPr>
              <w:t>2013</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pPr>
              <w:jc w:val="center"/>
              <w:rPr>
                <w:rFonts w:eastAsia="Times New Roman"/>
                <w:b/>
                <w:noProof/>
                <w:color w:val="000000"/>
                <w:lang w:eastAsia="fr-BE"/>
              </w:rPr>
            </w:pPr>
            <w:r>
              <w:rPr>
                <w:rFonts w:eastAsia="Times New Roman"/>
                <w:b/>
                <w:noProof/>
                <w:color w:val="000000"/>
                <w:lang w:eastAsia="fr-BE"/>
              </w:rPr>
              <w:t>2014</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pPr>
              <w:jc w:val="center"/>
              <w:rPr>
                <w:rFonts w:eastAsia="Times New Roman"/>
                <w:b/>
                <w:noProof/>
                <w:color w:val="000000"/>
                <w:lang w:eastAsia="fr-BE"/>
              </w:rPr>
            </w:pPr>
            <w:r>
              <w:rPr>
                <w:rFonts w:eastAsia="Times New Roman"/>
                <w:b/>
                <w:noProof/>
                <w:color w:val="000000"/>
                <w:lang w:eastAsia="fr-BE"/>
              </w:rPr>
              <w:t>2015</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pPr>
              <w:jc w:val="center"/>
              <w:rPr>
                <w:rFonts w:eastAsia="Times New Roman"/>
                <w:b/>
                <w:noProof/>
                <w:color w:val="000000"/>
                <w:lang w:eastAsia="fr-BE"/>
              </w:rPr>
            </w:pPr>
            <w:r>
              <w:rPr>
                <w:rFonts w:eastAsia="Times New Roman"/>
                <w:b/>
                <w:noProof/>
                <w:color w:val="000000"/>
                <w:lang w:eastAsia="fr-BE"/>
              </w:rPr>
              <w:t>2016</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pPr>
              <w:jc w:val="center"/>
              <w:rPr>
                <w:rFonts w:eastAsia="Times New Roman"/>
                <w:b/>
                <w:noProof/>
                <w:color w:val="000000"/>
                <w:lang w:eastAsia="fr-BE"/>
              </w:rPr>
            </w:pPr>
            <w:r>
              <w:rPr>
                <w:rFonts w:eastAsia="Times New Roman"/>
                <w:b/>
                <w:noProof/>
                <w:color w:val="000000"/>
                <w:lang w:eastAsia="fr-BE"/>
              </w:rPr>
              <w:t>2017</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pPr>
              <w:jc w:val="center"/>
              <w:rPr>
                <w:rFonts w:eastAsia="Times New Roman"/>
                <w:b/>
                <w:noProof/>
                <w:color w:val="000000"/>
                <w:lang w:eastAsia="fr-BE"/>
              </w:rPr>
            </w:pPr>
            <w:r>
              <w:rPr>
                <w:rFonts w:eastAsia="Times New Roman"/>
                <w:b/>
                <w:noProof/>
                <w:color w:val="000000"/>
                <w:lang w:eastAsia="fr-BE"/>
              </w:rPr>
              <w:t>2018</w:t>
            </w:r>
          </w:p>
        </w:tc>
      </w:tr>
      <w:tr>
        <w:tc>
          <w:tcPr>
            <w:tcW w:w="1980" w:type="dxa"/>
            <w:tcBorders>
              <w:top w:val="nil"/>
              <w:left w:val="single" w:sz="8" w:space="0" w:color="auto"/>
              <w:bottom w:val="single" w:sz="4" w:space="0" w:color="auto"/>
              <w:right w:val="single" w:sz="4" w:space="0" w:color="auto"/>
            </w:tcBorders>
            <w:shd w:val="clear" w:color="auto" w:fill="auto"/>
            <w:noWrap/>
            <w:vAlign w:val="bottom"/>
            <w:hideMark/>
          </w:tcPr>
          <w:p>
            <w:pPr>
              <w:rPr>
                <w:rFonts w:eastAsia="Times New Roman"/>
                <w:noProof/>
                <w:color w:val="000000"/>
                <w:lang w:eastAsia="fr-BE"/>
              </w:rPr>
            </w:pPr>
            <w:r>
              <w:rPr>
                <w:rFonts w:eastAsia="Times New Roman"/>
                <w:noProof/>
                <w:color w:val="000000"/>
                <w:lang w:eastAsia="fr-BE"/>
              </w:rPr>
              <w:t>Cane sugar</w:t>
            </w:r>
          </w:p>
        </w:tc>
        <w:tc>
          <w:tcPr>
            <w:tcW w:w="82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100%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100%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3,5%</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99,9%</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100%</w:t>
            </w:r>
          </w:p>
        </w:tc>
        <w:tc>
          <w:tcPr>
            <w:tcW w:w="960" w:type="dxa"/>
            <w:tcBorders>
              <w:top w:val="nil"/>
              <w:left w:val="nil"/>
              <w:bottom w:val="single" w:sz="4" w:space="0" w:color="auto"/>
              <w:right w:val="single" w:sz="8"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9,2%</w:t>
            </w:r>
          </w:p>
        </w:tc>
      </w:tr>
      <w:tr>
        <w:tc>
          <w:tcPr>
            <w:tcW w:w="1980" w:type="dxa"/>
            <w:tcBorders>
              <w:top w:val="nil"/>
              <w:left w:val="single" w:sz="8" w:space="0" w:color="auto"/>
              <w:bottom w:val="single" w:sz="4" w:space="0" w:color="auto"/>
              <w:right w:val="single" w:sz="4" w:space="0" w:color="auto"/>
            </w:tcBorders>
            <w:shd w:val="clear" w:color="auto" w:fill="auto"/>
            <w:noWrap/>
            <w:vAlign w:val="bottom"/>
            <w:hideMark/>
          </w:tcPr>
          <w:p>
            <w:pPr>
              <w:rPr>
                <w:rFonts w:eastAsia="Times New Roman"/>
                <w:noProof/>
                <w:color w:val="000000"/>
                <w:lang w:eastAsia="fr-BE"/>
              </w:rPr>
            </w:pPr>
            <w:r>
              <w:rPr>
                <w:rFonts w:eastAsia="Times New Roman"/>
                <w:noProof/>
                <w:color w:val="000000"/>
                <w:lang w:eastAsia="fr-BE"/>
              </w:rPr>
              <w:t>Sweetcorn</w:t>
            </w:r>
          </w:p>
        </w:tc>
        <w:tc>
          <w:tcPr>
            <w:tcW w:w="82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21%</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76%</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83,2%</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87,3%</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95,7%</w:t>
            </w:r>
          </w:p>
        </w:tc>
        <w:tc>
          <w:tcPr>
            <w:tcW w:w="960" w:type="dxa"/>
            <w:tcBorders>
              <w:top w:val="nil"/>
              <w:left w:val="nil"/>
              <w:bottom w:val="single" w:sz="4" w:space="0" w:color="auto"/>
              <w:right w:val="single" w:sz="8"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97,7%</w:t>
            </w:r>
          </w:p>
        </w:tc>
      </w:tr>
      <w:tr>
        <w:tc>
          <w:tcPr>
            <w:tcW w:w="1980" w:type="dxa"/>
            <w:tcBorders>
              <w:top w:val="nil"/>
              <w:left w:val="single" w:sz="8" w:space="0" w:color="auto"/>
              <w:bottom w:val="single" w:sz="4" w:space="0" w:color="auto"/>
              <w:right w:val="single" w:sz="4" w:space="0" w:color="auto"/>
            </w:tcBorders>
            <w:shd w:val="clear" w:color="auto" w:fill="auto"/>
            <w:noWrap/>
            <w:vAlign w:val="bottom"/>
            <w:hideMark/>
          </w:tcPr>
          <w:p>
            <w:pPr>
              <w:rPr>
                <w:rFonts w:eastAsia="Times New Roman"/>
                <w:noProof/>
                <w:color w:val="000000"/>
                <w:lang w:eastAsia="fr-BE"/>
              </w:rPr>
            </w:pPr>
            <w:r>
              <w:rPr>
                <w:rFonts w:eastAsia="Times New Roman"/>
                <w:noProof/>
                <w:color w:val="000000"/>
                <w:lang w:eastAsia="fr-BE"/>
              </w:rPr>
              <w:t>Garlic</w:t>
            </w:r>
          </w:p>
        </w:tc>
        <w:tc>
          <w:tcPr>
            <w:tcW w:w="82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2,4%</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53,8%</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54,2%</w:t>
            </w:r>
          </w:p>
        </w:tc>
        <w:tc>
          <w:tcPr>
            <w:tcW w:w="960" w:type="dxa"/>
            <w:tcBorders>
              <w:top w:val="nil"/>
              <w:left w:val="nil"/>
              <w:bottom w:val="single" w:sz="4" w:space="0" w:color="auto"/>
              <w:right w:val="single" w:sz="8"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0%</w:t>
            </w:r>
          </w:p>
        </w:tc>
      </w:tr>
      <w:tr>
        <w:tc>
          <w:tcPr>
            <w:tcW w:w="1980" w:type="dxa"/>
            <w:tcBorders>
              <w:top w:val="nil"/>
              <w:left w:val="single" w:sz="8" w:space="0" w:color="auto"/>
              <w:bottom w:val="single" w:sz="4" w:space="0" w:color="auto"/>
              <w:right w:val="single" w:sz="4" w:space="0" w:color="auto"/>
            </w:tcBorders>
            <w:shd w:val="clear" w:color="auto" w:fill="auto"/>
            <w:noWrap/>
            <w:vAlign w:val="bottom"/>
            <w:hideMark/>
          </w:tcPr>
          <w:p>
            <w:pPr>
              <w:rPr>
                <w:rFonts w:eastAsia="Times New Roman"/>
                <w:noProof/>
                <w:color w:val="000000"/>
                <w:lang w:eastAsia="fr-BE"/>
              </w:rPr>
            </w:pPr>
            <w:r>
              <w:rPr>
                <w:rFonts w:eastAsia="Times New Roman"/>
                <w:noProof/>
                <w:color w:val="000000"/>
                <w:lang w:eastAsia="fr-BE"/>
              </w:rPr>
              <w:t>Rum</w:t>
            </w:r>
          </w:p>
        </w:tc>
        <w:tc>
          <w:tcPr>
            <w:tcW w:w="82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0,0%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7%</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0%</w:t>
            </w:r>
          </w:p>
        </w:tc>
        <w:tc>
          <w:tcPr>
            <w:tcW w:w="960" w:type="dxa"/>
            <w:tcBorders>
              <w:top w:val="nil"/>
              <w:left w:val="nil"/>
              <w:bottom w:val="single" w:sz="4" w:space="0" w:color="auto"/>
              <w:right w:val="single" w:sz="8"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5,7%</w:t>
            </w:r>
          </w:p>
        </w:tc>
      </w:tr>
      <w:tr>
        <w:tc>
          <w:tcPr>
            <w:tcW w:w="1980" w:type="dxa"/>
            <w:tcBorders>
              <w:top w:val="nil"/>
              <w:left w:val="single" w:sz="8" w:space="0" w:color="auto"/>
              <w:bottom w:val="single" w:sz="4" w:space="0" w:color="auto"/>
              <w:right w:val="single" w:sz="4" w:space="0" w:color="auto"/>
            </w:tcBorders>
            <w:shd w:val="clear" w:color="auto" w:fill="auto"/>
            <w:noWrap/>
            <w:vAlign w:val="bottom"/>
            <w:hideMark/>
          </w:tcPr>
          <w:p>
            <w:pPr>
              <w:rPr>
                <w:rFonts w:eastAsia="Times New Roman"/>
                <w:noProof/>
                <w:color w:val="000000"/>
                <w:lang w:eastAsia="fr-BE"/>
              </w:rPr>
            </w:pPr>
            <w:r>
              <w:rPr>
                <w:rFonts w:eastAsia="Times New Roman"/>
                <w:noProof/>
                <w:color w:val="000000"/>
                <w:lang w:eastAsia="fr-BE"/>
              </w:rPr>
              <w:t>Maize (Corn)</w:t>
            </w:r>
          </w:p>
        </w:tc>
        <w:tc>
          <w:tcPr>
            <w:tcW w:w="82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0,7%</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2,9%</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1,8%</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6,1%</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13,1%</w:t>
            </w:r>
          </w:p>
        </w:tc>
        <w:tc>
          <w:tcPr>
            <w:tcW w:w="960" w:type="dxa"/>
            <w:tcBorders>
              <w:top w:val="nil"/>
              <w:left w:val="nil"/>
              <w:bottom w:val="single" w:sz="4" w:space="0" w:color="auto"/>
              <w:right w:val="single" w:sz="8"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15,5%</w:t>
            </w:r>
          </w:p>
        </w:tc>
      </w:tr>
      <w:tr>
        <w:tc>
          <w:tcPr>
            <w:tcW w:w="1980" w:type="dxa"/>
            <w:tcBorders>
              <w:top w:val="nil"/>
              <w:left w:val="single" w:sz="8" w:space="0" w:color="auto"/>
              <w:bottom w:val="single" w:sz="4" w:space="0" w:color="auto"/>
              <w:right w:val="single" w:sz="4" w:space="0" w:color="auto"/>
            </w:tcBorders>
            <w:shd w:val="clear" w:color="auto" w:fill="auto"/>
            <w:noWrap/>
            <w:vAlign w:val="bottom"/>
            <w:hideMark/>
          </w:tcPr>
          <w:p>
            <w:pPr>
              <w:rPr>
                <w:rFonts w:eastAsia="Times New Roman"/>
                <w:noProof/>
                <w:color w:val="000000"/>
                <w:lang w:eastAsia="fr-BE"/>
              </w:rPr>
            </w:pPr>
            <w:r>
              <w:rPr>
                <w:rFonts w:eastAsia="Times New Roman"/>
                <w:noProof/>
                <w:color w:val="000000"/>
                <w:lang w:eastAsia="fr-BE"/>
              </w:rPr>
              <w:t>Sugar confectionery</w:t>
            </w:r>
          </w:p>
        </w:tc>
        <w:tc>
          <w:tcPr>
            <w:tcW w:w="82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0,02%</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0,01%</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0,2%</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0,1%</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0,3%</w:t>
            </w:r>
          </w:p>
        </w:tc>
        <w:tc>
          <w:tcPr>
            <w:tcW w:w="960" w:type="dxa"/>
            <w:tcBorders>
              <w:top w:val="nil"/>
              <w:left w:val="nil"/>
              <w:bottom w:val="single" w:sz="4" w:space="0" w:color="auto"/>
              <w:right w:val="single" w:sz="8"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0,02%</w:t>
            </w:r>
          </w:p>
        </w:tc>
      </w:tr>
      <w:tr>
        <w:tc>
          <w:tcPr>
            <w:tcW w:w="1980" w:type="dxa"/>
            <w:tcBorders>
              <w:top w:val="nil"/>
              <w:left w:val="single" w:sz="8" w:space="0" w:color="auto"/>
              <w:bottom w:val="single" w:sz="8" w:space="0" w:color="auto"/>
              <w:right w:val="single" w:sz="4" w:space="0" w:color="auto"/>
            </w:tcBorders>
            <w:shd w:val="clear" w:color="auto" w:fill="auto"/>
            <w:noWrap/>
            <w:vAlign w:val="bottom"/>
            <w:hideMark/>
          </w:tcPr>
          <w:p>
            <w:pPr>
              <w:rPr>
                <w:rFonts w:eastAsia="Times New Roman"/>
                <w:noProof/>
                <w:color w:val="000000"/>
                <w:lang w:eastAsia="fr-BE"/>
              </w:rPr>
            </w:pPr>
            <w:r>
              <w:rPr>
                <w:rFonts w:eastAsia="Times New Roman"/>
                <w:noProof/>
                <w:color w:val="000000"/>
                <w:lang w:eastAsia="fr-BE"/>
              </w:rPr>
              <w:t>Rice</w:t>
            </w:r>
          </w:p>
        </w:tc>
        <w:tc>
          <w:tcPr>
            <w:tcW w:w="820" w:type="dxa"/>
            <w:tcBorders>
              <w:top w:val="nil"/>
              <w:left w:val="nil"/>
              <w:bottom w:val="single" w:sz="8"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0%</w:t>
            </w:r>
          </w:p>
        </w:tc>
        <w:tc>
          <w:tcPr>
            <w:tcW w:w="960" w:type="dxa"/>
            <w:tcBorders>
              <w:top w:val="nil"/>
              <w:left w:val="nil"/>
              <w:bottom w:val="single" w:sz="8"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0%</w:t>
            </w:r>
          </w:p>
        </w:tc>
        <w:tc>
          <w:tcPr>
            <w:tcW w:w="960" w:type="dxa"/>
            <w:tcBorders>
              <w:top w:val="nil"/>
              <w:left w:val="nil"/>
              <w:bottom w:val="single" w:sz="8"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0%</w:t>
            </w:r>
          </w:p>
        </w:tc>
        <w:tc>
          <w:tcPr>
            <w:tcW w:w="960" w:type="dxa"/>
            <w:tcBorders>
              <w:top w:val="nil"/>
              <w:left w:val="nil"/>
              <w:bottom w:val="single" w:sz="8"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0%</w:t>
            </w:r>
          </w:p>
        </w:tc>
        <w:tc>
          <w:tcPr>
            <w:tcW w:w="960" w:type="dxa"/>
            <w:tcBorders>
              <w:top w:val="nil"/>
              <w:left w:val="nil"/>
              <w:bottom w:val="single" w:sz="8"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0%</w:t>
            </w:r>
          </w:p>
        </w:tc>
        <w:tc>
          <w:tcPr>
            <w:tcW w:w="960" w:type="dxa"/>
            <w:tcBorders>
              <w:top w:val="nil"/>
              <w:left w:val="nil"/>
              <w:bottom w:val="single" w:sz="8" w:space="0" w:color="auto"/>
              <w:right w:val="single" w:sz="8"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0,04%</w:t>
            </w:r>
          </w:p>
        </w:tc>
      </w:tr>
    </w:tbl>
    <w:p>
      <w:pPr>
        <w:jc w:val="both"/>
        <w:rPr>
          <w:i/>
          <w:noProof/>
          <w:lang w:val="fr-BE"/>
        </w:rPr>
      </w:pPr>
      <w:r>
        <w:rPr>
          <w:i/>
          <w:noProof/>
        </w:rPr>
        <w:t>Source: TAXUD, Surveillance Database</w:t>
      </w:r>
      <w:r>
        <w:rPr>
          <w:i/>
          <w:noProof/>
          <w:lang w:val="fr-BE"/>
        </w:rPr>
        <w:t xml:space="preserve"> </w:t>
      </w:r>
    </w:p>
    <w:p>
      <w:pPr>
        <w:jc w:val="both"/>
        <w:rPr>
          <w:noProof/>
          <w:lang w:val="fr-BE"/>
        </w:rPr>
      </w:pPr>
    </w:p>
    <w:p>
      <w:pPr>
        <w:jc w:val="both"/>
        <w:rPr>
          <w:noProof/>
        </w:rPr>
      </w:pPr>
      <w:r>
        <w:rPr>
          <w:noProof/>
        </w:rPr>
        <w:t>The EU is fully using the TRQ established by Peru for milk powder and almost fully for ice cream and butter thanks to the harmonized certificate for dairy products. Good progress for rum. Other TRQs are barely used.</w:t>
      </w:r>
    </w:p>
    <w:p>
      <w:pPr>
        <w:jc w:val="both"/>
        <w:rPr>
          <w:noProof/>
        </w:rPr>
      </w:pPr>
    </w:p>
    <w:p>
      <w:pPr>
        <w:keepNext/>
        <w:jc w:val="both"/>
        <w:rPr>
          <w:b/>
          <w:noProof/>
        </w:rPr>
      </w:pPr>
      <w:r>
        <w:rPr>
          <w:b/>
          <w:noProof/>
        </w:rPr>
        <w:t xml:space="preserve">Rate of utilisation of Peru TRQs by the EU </w:t>
      </w:r>
    </w:p>
    <w:tbl>
      <w:tblPr>
        <w:tblW w:w="7600" w:type="dxa"/>
        <w:tblInd w:w="80" w:type="dxa"/>
        <w:tblCellMar>
          <w:left w:w="70" w:type="dxa"/>
          <w:right w:w="70" w:type="dxa"/>
        </w:tblCellMar>
        <w:tblLook w:val="04A0" w:firstRow="1" w:lastRow="0" w:firstColumn="1" w:lastColumn="0" w:noHBand="0" w:noVBand="1"/>
      </w:tblPr>
      <w:tblGrid>
        <w:gridCol w:w="1980"/>
        <w:gridCol w:w="820"/>
        <w:gridCol w:w="960"/>
        <w:gridCol w:w="960"/>
        <w:gridCol w:w="960"/>
        <w:gridCol w:w="960"/>
        <w:gridCol w:w="960"/>
      </w:tblGrid>
      <w:tr>
        <w:tc>
          <w:tcPr>
            <w:tcW w:w="19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pPr>
              <w:keepNext/>
              <w:rPr>
                <w:rFonts w:eastAsia="Times New Roman"/>
                <w:noProof/>
                <w:color w:val="000000"/>
                <w:lang w:val="en-US" w:eastAsia="fr-BE"/>
              </w:rPr>
            </w:pPr>
            <w:r>
              <w:rPr>
                <w:rFonts w:eastAsia="Times New Roman"/>
                <w:noProof/>
                <w:color w:val="000000"/>
                <w:lang w:val="en-US" w:eastAsia="fr-BE"/>
              </w:rPr>
              <w:t> </w:t>
            </w:r>
          </w:p>
        </w:tc>
        <w:tc>
          <w:tcPr>
            <w:tcW w:w="820" w:type="dxa"/>
            <w:tcBorders>
              <w:top w:val="single" w:sz="8" w:space="0" w:color="auto"/>
              <w:left w:val="nil"/>
              <w:bottom w:val="single" w:sz="4" w:space="0" w:color="auto"/>
              <w:right w:val="single" w:sz="4" w:space="0" w:color="auto"/>
            </w:tcBorders>
            <w:shd w:val="clear" w:color="auto" w:fill="auto"/>
            <w:noWrap/>
            <w:vAlign w:val="bottom"/>
            <w:hideMark/>
          </w:tcPr>
          <w:p>
            <w:pPr>
              <w:keepNext/>
              <w:jc w:val="center"/>
              <w:rPr>
                <w:rFonts w:eastAsia="Times New Roman"/>
                <w:b/>
                <w:noProof/>
                <w:color w:val="000000"/>
                <w:lang w:eastAsia="fr-BE"/>
              </w:rPr>
            </w:pPr>
            <w:r>
              <w:rPr>
                <w:rFonts w:eastAsia="Times New Roman"/>
                <w:b/>
                <w:noProof/>
                <w:color w:val="000000"/>
                <w:lang w:eastAsia="fr-BE"/>
              </w:rPr>
              <w:t>2013</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pPr>
              <w:keepNext/>
              <w:jc w:val="center"/>
              <w:rPr>
                <w:rFonts w:eastAsia="Times New Roman"/>
                <w:b/>
                <w:noProof/>
                <w:color w:val="000000"/>
                <w:lang w:eastAsia="fr-BE"/>
              </w:rPr>
            </w:pPr>
            <w:r>
              <w:rPr>
                <w:rFonts w:eastAsia="Times New Roman"/>
                <w:b/>
                <w:noProof/>
                <w:color w:val="000000"/>
                <w:lang w:eastAsia="fr-BE"/>
              </w:rPr>
              <w:t>2014</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pPr>
              <w:keepNext/>
              <w:jc w:val="center"/>
              <w:rPr>
                <w:rFonts w:eastAsia="Times New Roman"/>
                <w:b/>
                <w:noProof/>
                <w:color w:val="000000"/>
                <w:lang w:eastAsia="fr-BE"/>
              </w:rPr>
            </w:pPr>
            <w:r>
              <w:rPr>
                <w:rFonts w:eastAsia="Times New Roman"/>
                <w:b/>
                <w:noProof/>
                <w:color w:val="000000"/>
                <w:lang w:eastAsia="fr-BE"/>
              </w:rPr>
              <w:t>2015</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pPr>
              <w:keepNext/>
              <w:jc w:val="center"/>
              <w:rPr>
                <w:rFonts w:eastAsia="Times New Roman"/>
                <w:b/>
                <w:noProof/>
                <w:color w:val="000000"/>
                <w:lang w:eastAsia="fr-BE"/>
              </w:rPr>
            </w:pPr>
            <w:r>
              <w:rPr>
                <w:rFonts w:eastAsia="Times New Roman"/>
                <w:b/>
                <w:noProof/>
                <w:color w:val="000000"/>
                <w:lang w:eastAsia="fr-BE"/>
              </w:rPr>
              <w:t>2016</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pPr>
              <w:keepNext/>
              <w:jc w:val="center"/>
              <w:rPr>
                <w:rFonts w:eastAsia="Times New Roman"/>
                <w:b/>
                <w:noProof/>
                <w:color w:val="000000"/>
                <w:lang w:eastAsia="fr-BE"/>
              </w:rPr>
            </w:pPr>
            <w:r>
              <w:rPr>
                <w:rFonts w:eastAsia="Times New Roman"/>
                <w:b/>
                <w:noProof/>
                <w:color w:val="000000"/>
                <w:lang w:eastAsia="fr-BE"/>
              </w:rPr>
              <w:t>2017</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pPr>
              <w:keepNext/>
              <w:jc w:val="center"/>
              <w:rPr>
                <w:rFonts w:eastAsia="Times New Roman"/>
                <w:b/>
                <w:noProof/>
                <w:color w:val="000000"/>
                <w:lang w:eastAsia="fr-BE"/>
              </w:rPr>
            </w:pPr>
            <w:r>
              <w:rPr>
                <w:rFonts w:eastAsia="Times New Roman"/>
                <w:b/>
                <w:noProof/>
                <w:color w:val="000000"/>
                <w:lang w:eastAsia="fr-BE"/>
              </w:rPr>
              <w:t>2018</w:t>
            </w:r>
          </w:p>
        </w:tc>
      </w:tr>
      <w:tr>
        <w:tc>
          <w:tcPr>
            <w:tcW w:w="1980" w:type="dxa"/>
            <w:tcBorders>
              <w:top w:val="nil"/>
              <w:left w:val="single" w:sz="8" w:space="0" w:color="auto"/>
              <w:bottom w:val="single" w:sz="4" w:space="0" w:color="auto"/>
              <w:right w:val="single" w:sz="4" w:space="0" w:color="auto"/>
            </w:tcBorders>
            <w:shd w:val="clear" w:color="auto" w:fill="auto"/>
            <w:noWrap/>
            <w:vAlign w:val="bottom"/>
            <w:hideMark/>
          </w:tcPr>
          <w:p>
            <w:pPr>
              <w:rPr>
                <w:rFonts w:eastAsia="Times New Roman"/>
                <w:noProof/>
                <w:color w:val="000000"/>
                <w:lang w:eastAsia="fr-BE"/>
              </w:rPr>
            </w:pPr>
            <w:r>
              <w:rPr>
                <w:rFonts w:eastAsia="Times New Roman"/>
                <w:noProof/>
                <w:color w:val="000000"/>
                <w:lang w:eastAsia="fr-BE"/>
              </w:rPr>
              <w:t>Butter</w:t>
            </w:r>
          </w:p>
        </w:tc>
        <w:tc>
          <w:tcPr>
            <w:tcW w:w="82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96%</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100%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82%</w:t>
            </w:r>
          </w:p>
        </w:tc>
        <w:tc>
          <w:tcPr>
            <w:tcW w:w="960" w:type="dxa"/>
            <w:tcBorders>
              <w:top w:val="nil"/>
              <w:left w:val="nil"/>
              <w:bottom w:val="single" w:sz="4" w:space="0" w:color="auto"/>
              <w:right w:val="single" w:sz="8"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100%</w:t>
            </w:r>
          </w:p>
        </w:tc>
      </w:tr>
      <w:tr>
        <w:tc>
          <w:tcPr>
            <w:tcW w:w="1980" w:type="dxa"/>
            <w:tcBorders>
              <w:top w:val="nil"/>
              <w:left w:val="single" w:sz="8" w:space="0" w:color="auto"/>
              <w:bottom w:val="single" w:sz="4" w:space="0" w:color="auto"/>
              <w:right w:val="single" w:sz="4" w:space="0" w:color="auto"/>
            </w:tcBorders>
            <w:shd w:val="clear" w:color="auto" w:fill="auto"/>
            <w:noWrap/>
            <w:vAlign w:val="bottom"/>
            <w:hideMark/>
          </w:tcPr>
          <w:p>
            <w:pPr>
              <w:rPr>
                <w:rFonts w:eastAsia="Times New Roman"/>
                <w:noProof/>
                <w:color w:val="000000"/>
                <w:lang w:eastAsia="fr-BE"/>
              </w:rPr>
            </w:pPr>
            <w:r>
              <w:rPr>
                <w:rFonts w:eastAsia="Times New Roman"/>
                <w:noProof/>
                <w:color w:val="000000"/>
                <w:lang w:eastAsia="fr-BE"/>
              </w:rPr>
              <w:t>Cheese</w:t>
            </w:r>
          </w:p>
        </w:tc>
        <w:tc>
          <w:tcPr>
            <w:tcW w:w="82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4,3%</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5,4%</w:t>
            </w:r>
          </w:p>
        </w:tc>
        <w:tc>
          <w:tcPr>
            <w:tcW w:w="960" w:type="dxa"/>
            <w:tcBorders>
              <w:top w:val="nil"/>
              <w:left w:val="nil"/>
              <w:bottom w:val="single" w:sz="4" w:space="0" w:color="auto"/>
              <w:right w:val="single" w:sz="8"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5%</w:t>
            </w:r>
          </w:p>
        </w:tc>
      </w:tr>
      <w:tr>
        <w:tc>
          <w:tcPr>
            <w:tcW w:w="1980" w:type="dxa"/>
            <w:tcBorders>
              <w:top w:val="nil"/>
              <w:left w:val="single" w:sz="8" w:space="0" w:color="auto"/>
              <w:bottom w:val="single" w:sz="4" w:space="0" w:color="auto"/>
              <w:right w:val="single" w:sz="4" w:space="0" w:color="auto"/>
            </w:tcBorders>
            <w:shd w:val="clear" w:color="auto" w:fill="auto"/>
            <w:noWrap/>
            <w:vAlign w:val="bottom"/>
            <w:hideMark/>
          </w:tcPr>
          <w:p>
            <w:pPr>
              <w:rPr>
                <w:rFonts w:eastAsia="Times New Roman"/>
                <w:noProof/>
                <w:color w:val="000000"/>
                <w:lang w:eastAsia="fr-BE"/>
              </w:rPr>
            </w:pPr>
            <w:r>
              <w:rPr>
                <w:rFonts w:eastAsia="Times New Roman"/>
                <w:noProof/>
                <w:color w:val="000000"/>
                <w:lang w:eastAsia="fr-BE"/>
              </w:rPr>
              <w:t>Ice cream</w:t>
            </w:r>
          </w:p>
        </w:tc>
        <w:tc>
          <w:tcPr>
            <w:tcW w:w="82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59%</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89,6%</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98,5%</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95,6%</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94,2%</w:t>
            </w:r>
          </w:p>
        </w:tc>
        <w:tc>
          <w:tcPr>
            <w:tcW w:w="960" w:type="dxa"/>
            <w:tcBorders>
              <w:top w:val="nil"/>
              <w:left w:val="nil"/>
              <w:bottom w:val="single" w:sz="4" w:space="0" w:color="auto"/>
              <w:right w:val="single" w:sz="8"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100%</w:t>
            </w:r>
          </w:p>
        </w:tc>
      </w:tr>
      <w:tr>
        <w:tc>
          <w:tcPr>
            <w:tcW w:w="1980" w:type="dxa"/>
            <w:tcBorders>
              <w:top w:val="nil"/>
              <w:left w:val="single" w:sz="8" w:space="0" w:color="auto"/>
              <w:bottom w:val="single" w:sz="4" w:space="0" w:color="auto"/>
              <w:right w:val="single" w:sz="4" w:space="0" w:color="auto"/>
            </w:tcBorders>
            <w:shd w:val="clear" w:color="auto" w:fill="auto"/>
            <w:noWrap/>
            <w:vAlign w:val="bottom"/>
            <w:hideMark/>
          </w:tcPr>
          <w:p>
            <w:pPr>
              <w:rPr>
                <w:rFonts w:eastAsia="Times New Roman"/>
                <w:noProof/>
                <w:color w:val="000000"/>
                <w:lang w:eastAsia="fr-BE"/>
              </w:rPr>
            </w:pPr>
            <w:r>
              <w:rPr>
                <w:rFonts w:eastAsia="Times New Roman"/>
                <w:noProof/>
                <w:color w:val="000000"/>
                <w:lang w:eastAsia="fr-BE"/>
              </w:rPr>
              <w:t>Milk powder</w:t>
            </w:r>
          </w:p>
        </w:tc>
        <w:tc>
          <w:tcPr>
            <w:tcW w:w="82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4,1%</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99,7%</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100%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100%</w:t>
            </w:r>
          </w:p>
        </w:tc>
        <w:tc>
          <w:tcPr>
            <w:tcW w:w="960" w:type="dxa"/>
            <w:tcBorders>
              <w:top w:val="nil"/>
              <w:left w:val="nil"/>
              <w:bottom w:val="single" w:sz="4" w:space="0" w:color="auto"/>
              <w:right w:val="single" w:sz="8"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100%</w:t>
            </w:r>
          </w:p>
        </w:tc>
      </w:tr>
      <w:tr>
        <w:tc>
          <w:tcPr>
            <w:tcW w:w="1980" w:type="dxa"/>
            <w:tcBorders>
              <w:top w:val="nil"/>
              <w:left w:val="single" w:sz="8" w:space="0" w:color="auto"/>
              <w:bottom w:val="single" w:sz="4" w:space="0" w:color="auto"/>
              <w:right w:val="single" w:sz="4" w:space="0" w:color="auto"/>
            </w:tcBorders>
            <w:shd w:val="clear" w:color="auto" w:fill="auto"/>
            <w:noWrap/>
            <w:vAlign w:val="bottom"/>
            <w:hideMark/>
          </w:tcPr>
          <w:p>
            <w:pPr>
              <w:rPr>
                <w:rFonts w:eastAsia="Times New Roman"/>
                <w:noProof/>
                <w:color w:val="000000"/>
                <w:lang w:eastAsia="fr-BE"/>
              </w:rPr>
            </w:pPr>
            <w:r>
              <w:rPr>
                <w:rFonts w:eastAsia="Times New Roman"/>
                <w:noProof/>
                <w:color w:val="000000"/>
                <w:lang w:eastAsia="fr-BE"/>
              </w:rPr>
              <w:t>Milk for babies</w:t>
            </w:r>
          </w:p>
        </w:tc>
        <w:tc>
          <w:tcPr>
            <w:tcW w:w="82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29,9%</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0,0%</w:t>
            </w:r>
          </w:p>
        </w:tc>
        <w:tc>
          <w:tcPr>
            <w:tcW w:w="960" w:type="dxa"/>
            <w:tcBorders>
              <w:top w:val="nil"/>
              <w:left w:val="nil"/>
              <w:bottom w:val="single" w:sz="4" w:space="0" w:color="auto"/>
              <w:right w:val="single" w:sz="8"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0%</w:t>
            </w:r>
          </w:p>
        </w:tc>
      </w:tr>
      <w:tr>
        <w:tc>
          <w:tcPr>
            <w:tcW w:w="1980" w:type="dxa"/>
            <w:tcBorders>
              <w:top w:val="nil"/>
              <w:left w:val="single" w:sz="8" w:space="0" w:color="auto"/>
              <w:bottom w:val="single" w:sz="4" w:space="0" w:color="auto"/>
              <w:right w:val="single" w:sz="4" w:space="0" w:color="auto"/>
            </w:tcBorders>
            <w:shd w:val="clear" w:color="auto" w:fill="auto"/>
            <w:noWrap/>
            <w:vAlign w:val="bottom"/>
            <w:hideMark/>
          </w:tcPr>
          <w:p>
            <w:pPr>
              <w:rPr>
                <w:rFonts w:eastAsia="Times New Roman"/>
                <w:noProof/>
                <w:color w:val="000000"/>
                <w:lang w:eastAsia="fr-BE"/>
              </w:rPr>
            </w:pPr>
            <w:r>
              <w:rPr>
                <w:rFonts w:eastAsia="Times New Roman"/>
                <w:noProof/>
                <w:color w:val="000000"/>
                <w:lang w:eastAsia="fr-BE"/>
              </w:rPr>
              <w:t>Sugar confectionery</w:t>
            </w:r>
          </w:p>
        </w:tc>
        <w:tc>
          <w:tcPr>
            <w:tcW w:w="82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0,1%</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2,2%</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3,4%</w:t>
            </w:r>
          </w:p>
        </w:tc>
        <w:tc>
          <w:tcPr>
            <w:tcW w:w="960" w:type="dxa"/>
            <w:tcBorders>
              <w:top w:val="nil"/>
              <w:left w:val="nil"/>
              <w:bottom w:val="single" w:sz="4" w:space="0" w:color="auto"/>
              <w:right w:val="single" w:sz="8"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2%</w:t>
            </w:r>
          </w:p>
        </w:tc>
      </w:tr>
      <w:tr>
        <w:tc>
          <w:tcPr>
            <w:tcW w:w="1980" w:type="dxa"/>
            <w:tcBorders>
              <w:top w:val="nil"/>
              <w:left w:val="single" w:sz="8" w:space="0" w:color="auto"/>
              <w:bottom w:val="single" w:sz="4" w:space="0" w:color="auto"/>
              <w:right w:val="single" w:sz="4" w:space="0" w:color="auto"/>
            </w:tcBorders>
            <w:shd w:val="clear" w:color="auto" w:fill="auto"/>
            <w:noWrap/>
            <w:vAlign w:val="bottom"/>
            <w:hideMark/>
          </w:tcPr>
          <w:p>
            <w:pPr>
              <w:rPr>
                <w:rFonts w:eastAsia="Times New Roman"/>
                <w:noProof/>
                <w:color w:val="000000"/>
                <w:lang w:eastAsia="fr-BE"/>
              </w:rPr>
            </w:pPr>
            <w:r>
              <w:rPr>
                <w:rFonts w:eastAsia="Times New Roman"/>
                <w:noProof/>
                <w:color w:val="000000"/>
                <w:lang w:eastAsia="fr-BE"/>
              </w:rPr>
              <w:t>Sugar</w:t>
            </w:r>
          </w:p>
        </w:tc>
        <w:tc>
          <w:tcPr>
            <w:tcW w:w="82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themeColor="text1"/>
                <w:lang w:eastAsia="fr-BE"/>
              </w:rPr>
            </w:pPr>
            <w:r>
              <w:rPr>
                <w:rFonts w:eastAsia="Times New Roman"/>
                <w:noProof/>
                <w:color w:val="000000" w:themeColor="text1"/>
                <w:lang w:eastAsia="fr-BE"/>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themeColor="text1"/>
                <w:lang w:eastAsia="fr-BE"/>
              </w:rPr>
            </w:pPr>
            <w:r>
              <w:rPr>
                <w:rFonts w:eastAsia="Times New Roman"/>
                <w:noProof/>
                <w:color w:val="000000" w:themeColor="text1"/>
                <w:lang w:eastAsia="fr-BE"/>
              </w:rPr>
              <w:t>0%</w:t>
            </w:r>
          </w:p>
        </w:tc>
        <w:tc>
          <w:tcPr>
            <w:tcW w:w="960" w:type="dxa"/>
            <w:tcBorders>
              <w:top w:val="nil"/>
              <w:left w:val="nil"/>
              <w:bottom w:val="single" w:sz="4" w:space="0" w:color="auto"/>
              <w:right w:val="single" w:sz="4" w:space="0" w:color="auto"/>
            </w:tcBorders>
            <w:shd w:val="clear" w:color="auto" w:fill="auto"/>
            <w:noWrap/>
            <w:vAlign w:val="bottom"/>
            <w:hideMark/>
          </w:tcPr>
          <w:p>
            <w:pPr>
              <w:jc w:val="center"/>
              <w:rPr>
                <w:rFonts w:eastAsia="Times New Roman"/>
                <w:noProof/>
                <w:color w:val="000000" w:themeColor="text1"/>
                <w:lang w:eastAsia="fr-BE"/>
              </w:rPr>
            </w:pPr>
            <w:r>
              <w:rPr>
                <w:rFonts w:eastAsia="Times New Roman"/>
                <w:noProof/>
                <w:color w:val="000000" w:themeColor="text1"/>
                <w:lang w:eastAsia="fr-BE"/>
              </w:rPr>
              <w:t>0%</w:t>
            </w:r>
          </w:p>
        </w:tc>
        <w:tc>
          <w:tcPr>
            <w:tcW w:w="960" w:type="dxa"/>
            <w:tcBorders>
              <w:top w:val="nil"/>
              <w:left w:val="nil"/>
              <w:bottom w:val="single" w:sz="4" w:space="0" w:color="auto"/>
              <w:right w:val="single" w:sz="8"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0%</w:t>
            </w:r>
          </w:p>
        </w:tc>
      </w:tr>
      <w:tr>
        <w:tc>
          <w:tcPr>
            <w:tcW w:w="1980" w:type="dxa"/>
            <w:tcBorders>
              <w:top w:val="nil"/>
              <w:left w:val="single" w:sz="8" w:space="0" w:color="auto"/>
              <w:bottom w:val="single" w:sz="8" w:space="0" w:color="auto"/>
              <w:right w:val="single" w:sz="4" w:space="0" w:color="auto"/>
            </w:tcBorders>
            <w:shd w:val="clear" w:color="auto" w:fill="auto"/>
            <w:noWrap/>
            <w:vAlign w:val="bottom"/>
            <w:hideMark/>
          </w:tcPr>
          <w:p>
            <w:pPr>
              <w:rPr>
                <w:rFonts w:eastAsia="Times New Roman"/>
                <w:noProof/>
                <w:color w:val="000000"/>
                <w:lang w:eastAsia="fr-BE"/>
              </w:rPr>
            </w:pPr>
            <w:r>
              <w:rPr>
                <w:rFonts w:eastAsia="Times New Roman"/>
                <w:noProof/>
                <w:color w:val="000000"/>
                <w:lang w:eastAsia="fr-BE"/>
              </w:rPr>
              <w:t>Rum</w:t>
            </w:r>
          </w:p>
        </w:tc>
        <w:tc>
          <w:tcPr>
            <w:tcW w:w="820" w:type="dxa"/>
            <w:tcBorders>
              <w:top w:val="nil"/>
              <w:left w:val="nil"/>
              <w:bottom w:val="single" w:sz="8"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4%</w:t>
            </w:r>
          </w:p>
        </w:tc>
        <w:tc>
          <w:tcPr>
            <w:tcW w:w="960" w:type="dxa"/>
            <w:tcBorders>
              <w:top w:val="nil"/>
              <w:left w:val="nil"/>
              <w:bottom w:val="single" w:sz="8"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0%</w:t>
            </w:r>
          </w:p>
        </w:tc>
        <w:tc>
          <w:tcPr>
            <w:tcW w:w="960" w:type="dxa"/>
            <w:tcBorders>
              <w:top w:val="nil"/>
              <w:left w:val="nil"/>
              <w:bottom w:val="single" w:sz="8"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3,5%</w:t>
            </w:r>
          </w:p>
        </w:tc>
        <w:tc>
          <w:tcPr>
            <w:tcW w:w="960" w:type="dxa"/>
            <w:tcBorders>
              <w:top w:val="nil"/>
              <w:left w:val="nil"/>
              <w:bottom w:val="single" w:sz="8"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5,8%</w:t>
            </w:r>
          </w:p>
        </w:tc>
        <w:tc>
          <w:tcPr>
            <w:tcW w:w="960" w:type="dxa"/>
            <w:tcBorders>
              <w:top w:val="nil"/>
              <w:left w:val="nil"/>
              <w:bottom w:val="single" w:sz="8" w:space="0" w:color="auto"/>
              <w:right w:val="single" w:sz="4"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4,2%</w:t>
            </w:r>
          </w:p>
        </w:tc>
        <w:tc>
          <w:tcPr>
            <w:tcW w:w="960" w:type="dxa"/>
            <w:tcBorders>
              <w:top w:val="nil"/>
              <w:left w:val="nil"/>
              <w:bottom w:val="single" w:sz="8" w:space="0" w:color="auto"/>
              <w:right w:val="single" w:sz="8" w:space="0" w:color="auto"/>
            </w:tcBorders>
            <w:shd w:val="clear" w:color="auto" w:fill="auto"/>
            <w:noWrap/>
            <w:vAlign w:val="bottom"/>
            <w:hideMark/>
          </w:tcPr>
          <w:p>
            <w:pPr>
              <w:jc w:val="center"/>
              <w:rPr>
                <w:rFonts w:eastAsia="Times New Roman"/>
                <w:noProof/>
                <w:color w:val="000000"/>
                <w:lang w:eastAsia="fr-BE"/>
              </w:rPr>
            </w:pPr>
            <w:r>
              <w:rPr>
                <w:rFonts w:eastAsia="Times New Roman"/>
                <w:noProof/>
                <w:color w:val="000000"/>
                <w:lang w:eastAsia="fr-BE"/>
              </w:rPr>
              <w:t>27%</w:t>
            </w:r>
          </w:p>
        </w:tc>
      </w:tr>
    </w:tbl>
    <w:p>
      <w:pPr>
        <w:jc w:val="both"/>
        <w:rPr>
          <w:b/>
          <w:i/>
          <w:noProof/>
          <w:u w:val="single"/>
          <w:lang w:val="es-ES_tradnl"/>
        </w:rPr>
      </w:pPr>
      <w:r>
        <w:rPr>
          <w:i/>
          <w:noProof/>
          <w:lang w:val="es-ES_tradnl" w:eastAsia="es-ES"/>
        </w:rPr>
        <w:t>Source: SUNAT (Superintendencia Nacional de Aduanas y de Administracion Tributaria)</w:t>
      </w:r>
    </w:p>
    <w:p>
      <w:pPr>
        <w:jc w:val="both"/>
        <w:rPr>
          <w:b/>
          <w:noProof/>
          <w:u w:val="single"/>
          <w:lang w:val="fr-BE"/>
        </w:rPr>
      </w:pPr>
    </w:p>
    <w:p>
      <w:pPr>
        <w:jc w:val="both"/>
        <w:rPr>
          <w:b/>
          <w:noProof/>
          <w:u w:val="single"/>
          <w:lang w:val="en-US"/>
        </w:rPr>
      </w:pPr>
      <w:r>
        <w:rPr>
          <w:b/>
          <w:noProof/>
          <w:u w:val="single"/>
          <w:lang w:val="en-US"/>
        </w:rPr>
        <w:t>Ecuador</w:t>
      </w:r>
    </w:p>
    <w:p>
      <w:pPr>
        <w:jc w:val="both"/>
        <w:rPr>
          <w:b/>
          <w:noProof/>
          <w:u w:val="single"/>
          <w:lang w:val="en-US"/>
        </w:rPr>
      </w:pPr>
    </w:p>
    <w:p>
      <w:pPr>
        <w:tabs>
          <w:tab w:val="left" w:pos="567"/>
        </w:tabs>
        <w:jc w:val="both"/>
        <w:rPr>
          <w:noProof/>
        </w:rPr>
      </w:pPr>
      <w:r>
        <w:rPr>
          <w:noProof/>
          <w:u w:val="single"/>
        </w:rPr>
        <w:t>EU exports</w:t>
      </w:r>
      <w:r>
        <w:rPr>
          <w:noProof/>
        </w:rPr>
        <w:t xml:space="preserve"> of agricultural products to Ecuador amounted to €157 million in 2018, a 29% increase compared to 2017, although the SPS chapter has not been fully implemented and some obstacles still persist. Agricultural products represented 7% of total EU exports to Ecuador. The most important categories in 2018 were:</w:t>
      </w:r>
    </w:p>
    <w:p>
      <w:pPr>
        <w:tabs>
          <w:tab w:val="left" w:pos="567"/>
        </w:tabs>
        <w:jc w:val="both"/>
        <w:rPr>
          <w:noProof/>
        </w:rPr>
      </w:pPr>
    </w:p>
    <w:p>
      <w:pPr>
        <w:numPr>
          <w:ilvl w:val="0"/>
          <w:numId w:val="55"/>
        </w:numPr>
        <w:spacing w:after="240"/>
        <w:jc w:val="both"/>
        <w:rPr>
          <w:rFonts w:eastAsia="Times New Roman"/>
          <w:noProof/>
          <w:color w:val="000000"/>
          <w:lang w:val="en-US" w:eastAsia="es-EC"/>
        </w:rPr>
      </w:pPr>
      <w:r>
        <w:rPr>
          <w:rFonts w:eastAsia="Times New Roman"/>
          <w:noProof/>
          <w:color w:val="000000"/>
          <w:lang w:val="en-US" w:eastAsia="es-EC"/>
        </w:rPr>
        <w:t>Beverages and spirits (HS22) amounting €36 million, growing by 102%, representing 23% of total EU agricultural exports, but 2% of total EU exports;</w:t>
      </w:r>
    </w:p>
    <w:p>
      <w:pPr>
        <w:numPr>
          <w:ilvl w:val="0"/>
          <w:numId w:val="55"/>
        </w:numPr>
        <w:spacing w:after="240"/>
        <w:jc w:val="both"/>
        <w:rPr>
          <w:rFonts w:eastAsia="Times New Roman"/>
          <w:noProof/>
          <w:color w:val="000000"/>
          <w:lang w:val="en-US" w:eastAsia="es-EC"/>
        </w:rPr>
      </w:pPr>
      <w:r>
        <w:rPr>
          <w:rFonts w:eastAsia="Times New Roman"/>
          <w:noProof/>
          <w:color w:val="000000"/>
          <w:lang w:val="en-US" w:eastAsia="es-EC"/>
        </w:rPr>
        <w:t>Miscellaneous edible preparations (HS21), worth €25 million, a 29% increase compared to 2017, and 16% of EU agricultural exports;</w:t>
      </w:r>
    </w:p>
    <w:p>
      <w:pPr>
        <w:numPr>
          <w:ilvl w:val="0"/>
          <w:numId w:val="55"/>
        </w:numPr>
        <w:spacing w:after="240"/>
        <w:jc w:val="both"/>
        <w:rPr>
          <w:rFonts w:eastAsia="Times New Roman"/>
          <w:noProof/>
          <w:color w:val="000000"/>
          <w:lang w:val="en-US" w:eastAsia="es-EC"/>
        </w:rPr>
      </w:pPr>
      <w:r>
        <w:rPr>
          <w:rFonts w:eastAsia="Times New Roman"/>
          <w:noProof/>
          <w:color w:val="000000"/>
          <w:lang w:val="en-US" w:eastAsia="es-EC"/>
        </w:rPr>
        <w:t>Residues and waste from food industry (HS23) increased by 23%, representing 11% of EU agricultural exports.</w:t>
      </w:r>
    </w:p>
    <w:p>
      <w:pPr>
        <w:tabs>
          <w:tab w:val="left" w:pos="567"/>
        </w:tabs>
        <w:jc w:val="both"/>
        <w:rPr>
          <w:noProof/>
        </w:rPr>
      </w:pPr>
      <w:r>
        <w:rPr>
          <w:noProof/>
          <w:u w:val="single"/>
        </w:rPr>
        <w:t>EU imports</w:t>
      </w:r>
      <w:r>
        <w:rPr>
          <w:noProof/>
        </w:rPr>
        <w:t xml:space="preserve"> of agricultural products from Ecuador increased by 2% in 2018, reaching a total of €1.61 billion. EU continues to be Ecuador´s prime market for non-oil exports. Agricultural products represented 53% of total EU imports from Ecuador. The most important categories in 2018 were:</w:t>
      </w:r>
    </w:p>
    <w:p>
      <w:pPr>
        <w:tabs>
          <w:tab w:val="left" w:pos="567"/>
        </w:tabs>
        <w:jc w:val="both"/>
        <w:rPr>
          <w:noProof/>
        </w:rPr>
      </w:pPr>
    </w:p>
    <w:p>
      <w:pPr>
        <w:numPr>
          <w:ilvl w:val="0"/>
          <w:numId w:val="56"/>
        </w:numPr>
        <w:tabs>
          <w:tab w:val="left" w:pos="567"/>
        </w:tabs>
        <w:spacing w:after="240"/>
        <w:ind w:left="567" w:hanging="207"/>
        <w:jc w:val="both"/>
        <w:rPr>
          <w:noProof/>
        </w:rPr>
      </w:pPr>
      <w:r>
        <w:rPr>
          <w:noProof/>
        </w:rPr>
        <w:t xml:space="preserve">Fruits (HS08), accounting for €1 billion or 64% of total EU imports of AMA (a 9% increase compared to 2017) and 34% of total EU imports from Ecuador. Bananas accounted for 94% of fruit imports (+10% in 2018 compared to 2017). Fresh tamarinds grew by 19%, fresh plantains and dried bananas by 10% and 15% respectively, while fresh pineapples and frozen fruit both decreased by 17%. </w:t>
      </w:r>
    </w:p>
    <w:p>
      <w:pPr>
        <w:numPr>
          <w:ilvl w:val="0"/>
          <w:numId w:val="56"/>
        </w:numPr>
        <w:tabs>
          <w:tab w:val="left" w:pos="567"/>
        </w:tabs>
        <w:spacing w:after="240"/>
        <w:ind w:left="567" w:hanging="207"/>
        <w:jc w:val="both"/>
        <w:rPr>
          <w:noProof/>
        </w:rPr>
      </w:pPr>
      <w:r>
        <w:rPr>
          <w:noProof/>
        </w:rPr>
        <w:t>Live trees and other plants, mainly fresh cut flowers (HS06) accounting for 13% of total AMA imports, increased by 11% compared to 2017.</w:t>
      </w:r>
    </w:p>
    <w:p>
      <w:pPr>
        <w:numPr>
          <w:ilvl w:val="0"/>
          <w:numId w:val="56"/>
        </w:numPr>
        <w:tabs>
          <w:tab w:val="left" w:pos="567"/>
        </w:tabs>
        <w:spacing w:after="240"/>
        <w:ind w:left="567" w:hanging="207"/>
        <w:jc w:val="both"/>
        <w:rPr>
          <w:noProof/>
        </w:rPr>
      </w:pPr>
      <w:r>
        <w:rPr>
          <w:noProof/>
        </w:rPr>
        <w:t xml:space="preserve">Cocoa and cocoa preparations (HS18), accounting for 10% of EU agricultural imports (and 5% of total Ecuador’s exports to the EU), shrunk by 13% compared to 2017. </w:t>
      </w:r>
    </w:p>
    <w:p>
      <w:pPr>
        <w:tabs>
          <w:tab w:val="left" w:pos="567"/>
        </w:tabs>
        <w:jc w:val="both"/>
        <w:rPr>
          <w:b/>
          <w:i/>
          <w:noProof/>
        </w:rPr>
      </w:pPr>
    </w:p>
    <w:p>
      <w:pPr>
        <w:tabs>
          <w:tab w:val="left" w:pos="567"/>
        </w:tabs>
        <w:jc w:val="both"/>
        <w:rPr>
          <w:b/>
          <w:i/>
          <w:noProof/>
        </w:rPr>
      </w:pPr>
      <w:r>
        <w:rPr>
          <w:b/>
          <w:i/>
          <w:noProof/>
        </w:rPr>
        <w:t xml:space="preserve">Use of Tariff Rate Quotas (TRQs) </w:t>
      </w:r>
    </w:p>
    <w:p>
      <w:pPr>
        <w:tabs>
          <w:tab w:val="left" w:pos="567"/>
        </w:tabs>
        <w:jc w:val="both"/>
        <w:rPr>
          <w:b/>
          <w:i/>
          <w:noProof/>
        </w:rPr>
      </w:pPr>
    </w:p>
    <w:p>
      <w:pPr>
        <w:tabs>
          <w:tab w:val="left" w:pos="567"/>
        </w:tabs>
        <w:jc w:val="both"/>
        <w:rPr>
          <w:noProof/>
        </w:rPr>
      </w:pPr>
      <w:r>
        <w:rPr>
          <w:noProof/>
        </w:rPr>
        <w:t xml:space="preserve">Ecuador´s use of the TRQs is progressively increasing in some categories of products. </w:t>
      </w:r>
    </w:p>
    <w:p>
      <w:pPr>
        <w:tabs>
          <w:tab w:val="left" w:pos="567"/>
        </w:tabs>
        <w:jc w:val="both"/>
        <w:rPr>
          <w:noProof/>
        </w:rPr>
      </w:pPr>
    </w:p>
    <w:p>
      <w:pPr>
        <w:tabs>
          <w:tab w:val="left" w:pos="567"/>
        </w:tabs>
        <w:jc w:val="both"/>
        <w:rPr>
          <w:noProof/>
        </w:rPr>
      </w:pPr>
      <w:r>
        <w:rPr>
          <w:rFonts w:eastAsia="Times New Roman"/>
          <w:b/>
          <w:bCs/>
          <w:noProof/>
          <w:color w:val="000000"/>
          <w:lang w:eastAsia="en-GB"/>
        </w:rPr>
        <w:t>Rate of utilization of EU TRQs by Ecuador</w:t>
      </w:r>
    </w:p>
    <w:tbl>
      <w:tblPr>
        <w:tblStyle w:val="TableGrid"/>
        <w:tblW w:w="0" w:type="auto"/>
        <w:tblLook w:val="04A0" w:firstRow="1" w:lastRow="0" w:firstColumn="1" w:lastColumn="0" w:noHBand="0" w:noVBand="1"/>
      </w:tblPr>
      <w:tblGrid>
        <w:gridCol w:w="5727"/>
        <w:gridCol w:w="895"/>
        <w:gridCol w:w="895"/>
      </w:tblGrid>
      <w:tr>
        <w:tc>
          <w:tcPr>
            <w:tcW w:w="5727" w:type="dxa"/>
          </w:tcPr>
          <w:p>
            <w:pPr>
              <w:tabs>
                <w:tab w:val="left" w:pos="567"/>
              </w:tabs>
              <w:jc w:val="both"/>
              <w:rPr>
                <w:noProof/>
              </w:rPr>
            </w:pPr>
          </w:p>
        </w:tc>
        <w:tc>
          <w:tcPr>
            <w:tcW w:w="895" w:type="dxa"/>
          </w:tcPr>
          <w:p>
            <w:pPr>
              <w:tabs>
                <w:tab w:val="left" w:pos="567"/>
              </w:tabs>
              <w:jc w:val="center"/>
              <w:rPr>
                <w:b/>
                <w:noProof/>
              </w:rPr>
            </w:pPr>
            <w:r>
              <w:rPr>
                <w:b/>
                <w:noProof/>
              </w:rPr>
              <w:t>2017</w:t>
            </w:r>
          </w:p>
        </w:tc>
        <w:tc>
          <w:tcPr>
            <w:tcW w:w="895" w:type="dxa"/>
          </w:tcPr>
          <w:p>
            <w:pPr>
              <w:tabs>
                <w:tab w:val="left" w:pos="567"/>
              </w:tabs>
              <w:jc w:val="center"/>
              <w:rPr>
                <w:b/>
                <w:noProof/>
              </w:rPr>
            </w:pPr>
            <w:r>
              <w:rPr>
                <w:b/>
                <w:noProof/>
              </w:rPr>
              <w:t>2018</w:t>
            </w:r>
          </w:p>
        </w:tc>
      </w:tr>
      <w:tr>
        <w:tc>
          <w:tcPr>
            <w:tcW w:w="5727" w:type="dxa"/>
          </w:tcPr>
          <w:p>
            <w:pPr>
              <w:tabs>
                <w:tab w:val="left" w:pos="567"/>
              </w:tabs>
              <w:jc w:val="both"/>
              <w:rPr>
                <w:noProof/>
              </w:rPr>
            </w:pPr>
            <w:r>
              <w:rPr>
                <w:noProof/>
              </w:rPr>
              <w:t>Sweet corn, uncooked, or cooked</w:t>
            </w:r>
          </w:p>
        </w:tc>
        <w:tc>
          <w:tcPr>
            <w:tcW w:w="895" w:type="dxa"/>
          </w:tcPr>
          <w:p>
            <w:pPr>
              <w:tabs>
                <w:tab w:val="left" w:pos="567"/>
              </w:tabs>
              <w:jc w:val="right"/>
              <w:rPr>
                <w:noProof/>
              </w:rPr>
            </w:pPr>
            <w:r>
              <w:rPr>
                <w:noProof/>
              </w:rPr>
              <w:t>3.3%</w:t>
            </w:r>
          </w:p>
        </w:tc>
        <w:tc>
          <w:tcPr>
            <w:tcW w:w="895" w:type="dxa"/>
          </w:tcPr>
          <w:p>
            <w:pPr>
              <w:tabs>
                <w:tab w:val="left" w:pos="567"/>
              </w:tabs>
              <w:jc w:val="right"/>
              <w:rPr>
                <w:noProof/>
              </w:rPr>
            </w:pPr>
            <w:r>
              <w:rPr>
                <w:noProof/>
              </w:rPr>
              <w:t>9.5%</w:t>
            </w:r>
          </w:p>
        </w:tc>
      </w:tr>
      <w:tr>
        <w:tc>
          <w:tcPr>
            <w:tcW w:w="5727" w:type="dxa"/>
          </w:tcPr>
          <w:p>
            <w:pPr>
              <w:tabs>
                <w:tab w:val="left" w:pos="567"/>
              </w:tabs>
              <w:jc w:val="both"/>
              <w:rPr>
                <w:noProof/>
              </w:rPr>
            </w:pPr>
            <w:r>
              <w:rPr>
                <w:noProof/>
              </w:rPr>
              <w:t>Sweet corn provisionally preserved</w:t>
            </w:r>
          </w:p>
        </w:tc>
        <w:tc>
          <w:tcPr>
            <w:tcW w:w="895" w:type="dxa"/>
          </w:tcPr>
          <w:p>
            <w:pPr>
              <w:tabs>
                <w:tab w:val="left" w:pos="567"/>
              </w:tabs>
              <w:jc w:val="right"/>
              <w:rPr>
                <w:noProof/>
              </w:rPr>
            </w:pPr>
            <w:r>
              <w:rPr>
                <w:noProof/>
              </w:rPr>
              <w:t>-</w:t>
            </w:r>
          </w:p>
        </w:tc>
        <w:tc>
          <w:tcPr>
            <w:tcW w:w="895" w:type="dxa"/>
          </w:tcPr>
          <w:p>
            <w:pPr>
              <w:tabs>
                <w:tab w:val="left" w:pos="567"/>
              </w:tabs>
              <w:jc w:val="right"/>
              <w:rPr>
                <w:noProof/>
              </w:rPr>
            </w:pPr>
            <w:r>
              <w:rPr>
                <w:noProof/>
              </w:rPr>
              <w:t>0.7%</w:t>
            </w:r>
          </w:p>
        </w:tc>
      </w:tr>
      <w:tr>
        <w:tc>
          <w:tcPr>
            <w:tcW w:w="5727" w:type="dxa"/>
          </w:tcPr>
          <w:p>
            <w:pPr>
              <w:tabs>
                <w:tab w:val="left" w:pos="567"/>
              </w:tabs>
              <w:jc w:val="both"/>
              <w:rPr>
                <w:noProof/>
              </w:rPr>
            </w:pPr>
            <w:r>
              <w:rPr>
                <w:noProof/>
              </w:rPr>
              <w:t>Rice</w:t>
            </w:r>
          </w:p>
        </w:tc>
        <w:tc>
          <w:tcPr>
            <w:tcW w:w="895" w:type="dxa"/>
          </w:tcPr>
          <w:p>
            <w:pPr>
              <w:tabs>
                <w:tab w:val="left" w:pos="567"/>
              </w:tabs>
              <w:jc w:val="right"/>
              <w:rPr>
                <w:noProof/>
              </w:rPr>
            </w:pPr>
            <w:r>
              <w:rPr>
                <w:noProof/>
              </w:rPr>
              <w:t>0.01%</w:t>
            </w:r>
          </w:p>
        </w:tc>
        <w:tc>
          <w:tcPr>
            <w:tcW w:w="895" w:type="dxa"/>
          </w:tcPr>
          <w:p>
            <w:pPr>
              <w:tabs>
                <w:tab w:val="left" w:pos="567"/>
              </w:tabs>
              <w:jc w:val="right"/>
              <w:rPr>
                <w:noProof/>
              </w:rPr>
            </w:pPr>
            <w:r>
              <w:rPr>
                <w:noProof/>
              </w:rPr>
              <w:t>0.3%</w:t>
            </w:r>
          </w:p>
        </w:tc>
      </w:tr>
      <w:tr>
        <w:tc>
          <w:tcPr>
            <w:tcW w:w="5727" w:type="dxa"/>
          </w:tcPr>
          <w:p>
            <w:pPr>
              <w:tabs>
                <w:tab w:val="left" w:pos="567"/>
              </w:tabs>
              <w:jc w:val="both"/>
              <w:rPr>
                <w:noProof/>
              </w:rPr>
            </w:pPr>
            <w:r>
              <w:rPr>
                <w:noProof/>
              </w:rPr>
              <w:t>Raw cane sugar not containing added flavouring or colouring</w:t>
            </w:r>
          </w:p>
        </w:tc>
        <w:tc>
          <w:tcPr>
            <w:tcW w:w="895" w:type="dxa"/>
          </w:tcPr>
          <w:p>
            <w:pPr>
              <w:tabs>
                <w:tab w:val="left" w:pos="567"/>
              </w:tabs>
              <w:jc w:val="right"/>
              <w:rPr>
                <w:noProof/>
              </w:rPr>
            </w:pPr>
            <w:r>
              <w:rPr>
                <w:noProof/>
              </w:rPr>
              <w:t>4.3%</w:t>
            </w:r>
          </w:p>
        </w:tc>
        <w:tc>
          <w:tcPr>
            <w:tcW w:w="895" w:type="dxa"/>
          </w:tcPr>
          <w:p>
            <w:pPr>
              <w:tabs>
                <w:tab w:val="left" w:pos="567"/>
              </w:tabs>
              <w:jc w:val="right"/>
              <w:rPr>
                <w:noProof/>
              </w:rPr>
            </w:pPr>
            <w:r>
              <w:rPr>
                <w:noProof/>
              </w:rPr>
              <w:t>8.3%</w:t>
            </w:r>
          </w:p>
        </w:tc>
      </w:tr>
      <w:tr>
        <w:tc>
          <w:tcPr>
            <w:tcW w:w="5727" w:type="dxa"/>
          </w:tcPr>
          <w:p>
            <w:pPr>
              <w:tabs>
                <w:tab w:val="left" w:pos="567"/>
              </w:tabs>
              <w:jc w:val="both"/>
              <w:rPr>
                <w:noProof/>
              </w:rPr>
            </w:pPr>
            <w:r>
              <w:rPr>
                <w:noProof/>
              </w:rPr>
              <w:t>Sugar and sugar products</w:t>
            </w:r>
          </w:p>
        </w:tc>
        <w:tc>
          <w:tcPr>
            <w:tcW w:w="895" w:type="dxa"/>
          </w:tcPr>
          <w:p>
            <w:pPr>
              <w:tabs>
                <w:tab w:val="left" w:pos="567"/>
              </w:tabs>
              <w:jc w:val="right"/>
              <w:rPr>
                <w:noProof/>
              </w:rPr>
            </w:pPr>
            <w:r>
              <w:rPr>
                <w:noProof/>
              </w:rPr>
              <w:t>1.6%</w:t>
            </w:r>
          </w:p>
        </w:tc>
        <w:tc>
          <w:tcPr>
            <w:tcW w:w="895" w:type="dxa"/>
          </w:tcPr>
          <w:p>
            <w:pPr>
              <w:tabs>
                <w:tab w:val="left" w:pos="567"/>
              </w:tabs>
              <w:jc w:val="right"/>
              <w:rPr>
                <w:noProof/>
              </w:rPr>
            </w:pPr>
            <w:r>
              <w:rPr>
                <w:noProof/>
              </w:rPr>
              <w:t>0.6%</w:t>
            </w:r>
          </w:p>
        </w:tc>
      </w:tr>
    </w:tbl>
    <w:p>
      <w:pPr>
        <w:jc w:val="both"/>
        <w:rPr>
          <w:i/>
          <w:noProof/>
        </w:rPr>
      </w:pPr>
      <w:r>
        <w:rPr>
          <w:i/>
          <w:noProof/>
        </w:rPr>
        <w:t xml:space="preserve">Source: TAXUD, Surveillance Database </w:t>
      </w:r>
    </w:p>
    <w:p>
      <w:pPr>
        <w:jc w:val="both"/>
        <w:rPr>
          <w:noProof/>
        </w:rPr>
      </w:pPr>
    </w:p>
    <w:p>
      <w:pPr>
        <w:tabs>
          <w:tab w:val="left" w:pos="567"/>
        </w:tabs>
        <w:jc w:val="both"/>
        <w:rPr>
          <w:noProof/>
        </w:rPr>
      </w:pPr>
      <w:r>
        <w:rPr>
          <w:noProof/>
        </w:rPr>
        <w:t>In 2018, the EU use of TRQs established for dairy products (powder milk, butter milk serum, whey) has almost tripled compared to the first year of FTA implementation. Other products where</w:t>
      </w:r>
      <w:r>
        <w:rPr>
          <w:bCs/>
          <w:noProof/>
          <w:color w:val="000000"/>
          <w:lang w:eastAsia="en-GB"/>
        </w:rPr>
        <w:t xml:space="preserve"> significant increases were registered are pro</w:t>
      </w:r>
      <w:r>
        <w:rPr>
          <w:noProof/>
        </w:rPr>
        <w:t xml:space="preserve">cessed sweet corn and pork products (10 and 14% increase respectively). </w:t>
      </w:r>
    </w:p>
    <w:p>
      <w:pPr>
        <w:tabs>
          <w:tab w:val="left" w:pos="567"/>
        </w:tabs>
        <w:jc w:val="both"/>
        <w:rPr>
          <w:noProof/>
        </w:rPr>
      </w:pPr>
    </w:p>
    <w:p>
      <w:pPr>
        <w:tabs>
          <w:tab w:val="left" w:pos="567"/>
        </w:tabs>
        <w:jc w:val="both"/>
        <w:rPr>
          <w:noProof/>
        </w:rPr>
      </w:pPr>
      <w:r>
        <w:rPr>
          <w:noProof/>
        </w:rPr>
        <w:t>A complex TRQ management system set out by the Ecuadorian authorities together with a slow process of registration of sanitary and phytosanitary conditions of Member States and EU establishments may explain the low TRQ use by the EU.</w:t>
      </w:r>
    </w:p>
    <w:p>
      <w:pPr>
        <w:jc w:val="both"/>
        <w:rPr>
          <w:b/>
          <w:noProof/>
        </w:rPr>
      </w:pPr>
    </w:p>
    <w:p>
      <w:pPr>
        <w:jc w:val="both"/>
        <w:rPr>
          <w:b/>
          <w:i/>
          <w:noProof/>
        </w:rPr>
      </w:pPr>
      <w:r>
        <w:rPr>
          <w:b/>
          <w:bCs/>
          <w:noProof/>
          <w:color w:val="000000"/>
          <w:lang w:eastAsia="en-GB"/>
        </w:rPr>
        <w:t>Rate of utilization of Ecuador TRQs by the EU</w:t>
      </w:r>
    </w:p>
    <w:tbl>
      <w:tblPr>
        <w:tblW w:w="0" w:type="auto"/>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295"/>
        <w:gridCol w:w="1073"/>
        <w:gridCol w:w="1134"/>
      </w:tblGrid>
      <w:tr>
        <w:tc>
          <w:tcPr>
            <w:tcW w:w="5295" w:type="dxa"/>
            <w:shd w:val="clear" w:color="auto" w:fill="auto"/>
            <w:tcMar>
              <w:top w:w="0" w:type="dxa"/>
              <w:left w:w="108" w:type="dxa"/>
              <w:bottom w:w="0" w:type="dxa"/>
              <w:right w:w="108" w:type="dxa"/>
            </w:tcMar>
            <w:vAlign w:val="center"/>
            <w:hideMark/>
          </w:tcPr>
          <w:p>
            <w:pPr>
              <w:jc w:val="both"/>
              <w:rPr>
                <w:b/>
                <w:noProof/>
                <w:color w:val="000000"/>
                <w:lang w:eastAsia="en-GB"/>
              </w:rPr>
            </w:pPr>
          </w:p>
        </w:tc>
        <w:tc>
          <w:tcPr>
            <w:tcW w:w="1073" w:type="dxa"/>
            <w:shd w:val="clear" w:color="auto" w:fill="auto"/>
            <w:tcMar>
              <w:top w:w="0" w:type="dxa"/>
              <w:left w:w="108" w:type="dxa"/>
              <w:bottom w:w="0" w:type="dxa"/>
              <w:right w:w="108" w:type="dxa"/>
            </w:tcMar>
            <w:vAlign w:val="center"/>
            <w:hideMark/>
          </w:tcPr>
          <w:p>
            <w:pPr>
              <w:jc w:val="center"/>
              <w:rPr>
                <w:b/>
                <w:noProof/>
                <w:color w:val="000000"/>
                <w:lang w:eastAsia="en-GB"/>
              </w:rPr>
            </w:pPr>
            <w:r>
              <w:rPr>
                <w:b/>
                <w:noProof/>
                <w:color w:val="000000"/>
                <w:lang w:eastAsia="en-GB"/>
              </w:rPr>
              <w:t>2017</w:t>
            </w:r>
          </w:p>
        </w:tc>
        <w:tc>
          <w:tcPr>
            <w:tcW w:w="1134" w:type="dxa"/>
            <w:shd w:val="clear" w:color="auto" w:fill="auto"/>
            <w:tcMar>
              <w:top w:w="0" w:type="dxa"/>
              <w:left w:w="108" w:type="dxa"/>
              <w:bottom w:w="0" w:type="dxa"/>
              <w:right w:w="108" w:type="dxa"/>
            </w:tcMar>
            <w:vAlign w:val="center"/>
            <w:hideMark/>
          </w:tcPr>
          <w:p>
            <w:pPr>
              <w:jc w:val="center"/>
              <w:rPr>
                <w:b/>
                <w:noProof/>
                <w:color w:val="000000"/>
                <w:lang w:eastAsia="en-GB"/>
              </w:rPr>
            </w:pPr>
            <w:r>
              <w:rPr>
                <w:b/>
                <w:noProof/>
                <w:color w:val="000000"/>
                <w:lang w:eastAsia="en-GB"/>
              </w:rPr>
              <w:t>2018</w:t>
            </w:r>
          </w:p>
        </w:tc>
      </w:tr>
      <w:tr>
        <w:tc>
          <w:tcPr>
            <w:tcW w:w="5295" w:type="dxa"/>
            <w:shd w:val="clear" w:color="auto" w:fill="auto"/>
            <w:tcMar>
              <w:top w:w="0" w:type="dxa"/>
              <w:left w:w="108" w:type="dxa"/>
              <w:bottom w:w="0" w:type="dxa"/>
              <w:right w:w="108" w:type="dxa"/>
            </w:tcMar>
            <w:vAlign w:val="center"/>
            <w:hideMark/>
          </w:tcPr>
          <w:p>
            <w:pPr>
              <w:jc w:val="both"/>
              <w:rPr>
                <w:noProof/>
                <w:color w:val="000000" w:themeColor="text1"/>
                <w:lang w:eastAsia="en-GB"/>
              </w:rPr>
            </w:pPr>
            <w:r>
              <w:rPr>
                <w:noProof/>
                <w:color w:val="000000" w:themeColor="text1"/>
                <w:lang w:eastAsia="en-GB"/>
              </w:rPr>
              <w:t>Preparations for animal feeding</w:t>
            </w:r>
          </w:p>
        </w:tc>
        <w:tc>
          <w:tcPr>
            <w:tcW w:w="1073" w:type="dxa"/>
            <w:shd w:val="clear" w:color="auto" w:fill="auto"/>
            <w:tcMar>
              <w:top w:w="0" w:type="dxa"/>
              <w:left w:w="108" w:type="dxa"/>
              <w:bottom w:w="0" w:type="dxa"/>
              <w:right w:w="108" w:type="dxa"/>
            </w:tcMar>
            <w:vAlign w:val="center"/>
            <w:hideMark/>
          </w:tcPr>
          <w:p>
            <w:pPr>
              <w:jc w:val="right"/>
              <w:rPr>
                <w:noProof/>
                <w:color w:val="000000" w:themeColor="text1"/>
                <w:lang w:eastAsia="en-GB"/>
              </w:rPr>
            </w:pPr>
            <w:r>
              <w:rPr>
                <w:noProof/>
                <w:color w:val="000000" w:themeColor="text1"/>
                <w:lang w:eastAsia="en-GB"/>
              </w:rPr>
              <w:t>6.1%</w:t>
            </w:r>
          </w:p>
        </w:tc>
        <w:tc>
          <w:tcPr>
            <w:tcW w:w="1134" w:type="dxa"/>
            <w:shd w:val="clear" w:color="auto" w:fill="auto"/>
            <w:tcMar>
              <w:top w:w="0" w:type="dxa"/>
              <w:left w:w="108" w:type="dxa"/>
              <w:bottom w:w="0" w:type="dxa"/>
              <w:right w:w="108" w:type="dxa"/>
            </w:tcMar>
            <w:vAlign w:val="center"/>
            <w:hideMark/>
          </w:tcPr>
          <w:p>
            <w:pPr>
              <w:jc w:val="right"/>
              <w:rPr>
                <w:noProof/>
                <w:color w:val="000000" w:themeColor="text1"/>
                <w:lang w:eastAsia="en-GB"/>
              </w:rPr>
            </w:pPr>
            <w:r>
              <w:rPr>
                <w:noProof/>
                <w:color w:val="000000" w:themeColor="text1"/>
                <w:lang w:eastAsia="en-GB"/>
              </w:rPr>
              <w:t>8.1%</w:t>
            </w:r>
          </w:p>
        </w:tc>
      </w:tr>
      <w:tr>
        <w:tc>
          <w:tcPr>
            <w:tcW w:w="5295" w:type="dxa"/>
            <w:shd w:val="clear" w:color="auto" w:fill="auto"/>
            <w:tcMar>
              <w:top w:w="0" w:type="dxa"/>
              <w:left w:w="108" w:type="dxa"/>
              <w:bottom w:w="0" w:type="dxa"/>
              <w:right w:w="108" w:type="dxa"/>
            </w:tcMar>
            <w:vAlign w:val="center"/>
            <w:hideMark/>
          </w:tcPr>
          <w:p>
            <w:pPr>
              <w:jc w:val="both"/>
              <w:rPr>
                <w:noProof/>
                <w:color w:val="000000" w:themeColor="text1"/>
                <w:lang w:eastAsia="en-GB"/>
              </w:rPr>
            </w:pPr>
            <w:r>
              <w:rPr>
                <w:noProof/>
                <w:color w:val="000000" w:themeColor="text1"/>
                <w:lang w:eastAsia="en-GB"/>
              </w:rPr>
              <w:t>Preparations for animal feeding</w:t>
            </w:r>
          </w:p>
        </w:tc>
        <w:tc>
          <w:tcPr>
            <w:tcW w:w="1073" w:type="dxa"/>
            <w:shd w:val="clear" w:color="auto" w:fill="auto"/>
            <w:tcMar>
              <w:top w:w="0" w:type="dxa"/>
              <w:left w:w="108" w:type="dxa"/>
              <w:bottom w:w="0" w:type="dxa"/>
              <w:right w:w="108" w:type="dxa"/>
            </w:tcMar>
            <w:vAlign w:val="center"/>
            <w:hideMark/>
          </w:tcPr>
          <w:p>
            <w:pPr>
              <w:jc w:val="right"/>
              <w:rPr>
                <w:noProof/>
                <w:color w:val="000000" w:themeColor="text1"/>
                <w:lang w:eastAsia="en-GB"/>
              </w:rPr>
            </w:pPr>
            <w:r>
              <w:rPr>
                <w:noProof/>
                <w:color w:val="000000" w:themeColor="text1"/>
                <w:lang w:eastAsia="en-GB"/>
              </w:rPr>
              <w:t>0%</w:t>
            </w:r>
          </w:p>
        </w:tc>
        <w:tc>
          <w:tcPr>
            <w:tcW w:w="1134" w:type="dxa"/>
            <w:shd w:val="clear" w:color="auto" w:fill="auto"/>
            <w:tcMar>
              <w:top w:w="0" w:type="dxa"/>
              <w:left w:w="108" w:type="dxa"/>
              <w:bottom w:w="0" w:type="dxa"/>
              <w:right w:w="108" w:type="dxa"/>
            </w:tcMar>
            <w:vAlign w:val="center"/>
            <w:hideMark/>
          </w:tcPr>
          <w:p>
            <w:pPr>
              <w:jc w:val="right"/>
              <w:rPr>
                <w:noProof/>
                <w:color w:val="000000" w:themeColor="text1"/>
                <w:lang w:eastAsia="en-GB"/>
              </w:rPr>
            </w:pPr>
            <w:r>
              <w:rPr>
                <w:noProof/>
                <w:color w:val="000000" w:themeColor="text1"/>
                <w:lang w:eastAsia="en-GB"/>
              </w:rPr>
              <w:t>2.7%</w:t>
            </w:r>
          </w:p>
        </w:tc>
      </w:tr>
      <w:tr>
        <w:tc>
          <w:tcPr>
            <w:tcW w:w="5295" w:type="dxa"/>
            <w:shd w:val="clear" w:color="auto" w:fill="auto"/>
            <w:noWrap/>
            <w:tcMar>
              <w:top w:w="0" w:type="dxa"/>
              <w:left w:w="108" w:type="dxa"/>
              <w:bottom w:w="0" w:type="dxa"/>
              <w:right w:w="108" w:type="dxa"/>
            </w:tcMar>
            <w:vAlign w:val="center"/>
            <w:hideMark/>
          </w:tcPr>
          <w:p>
            <w:pPr>
              <w:jc w:val="both"/>
              <w:rPr>
                <w:noProof/>
                <w:color w:val="000000" w:themeColor="text1"/>
                <w:lang w:eastAsia="en-GB"/>
              </w:rPr>
            </w:pPr>
            <w:r>
              <w:rPr>
                <w:noProof/>
                <w:color w:val="000000" w:themeColor="text1"/>
                <w:lang w:eastAsia="en-GB"/>
              </w:rPr>
              <w:t>Bovine guts</w:t>
            </w:r>
          </w:p>
        </w:tc>
        <w:tc>
          <w:tcPr>
            <w:tcW w:w="1073" w:type="dxa"/>
            <w:shd w:val="clear" w:color="auto" w:fill="auto"/>
            <w:tcMar>
              <w:top w:w="0" w:type="dxa"/>
              <w:left w:w="108" w:type="dxa"/>
              <w:bottom w:w="0" w:type="dxa"/>
              <w:right w:w="108" w:type="dxa"/>
            </w:tcMar>
            <w:vAlign w:val="center"/>
            <w:hideMark/>
          </w:tcPr>
          <w:p>
            <w:pPr>
              <w:jc w:val="right"/>
              <w:rPr>
                <w:noProof/>
                <w:color w:val="000000" w:themeColor="text1"/>
                <w:lang w:eastAsia="en-GB"/>
              </w:rPr>
            </w:pPr>
            <w:r>
              <w:rPr>
                <w:noProof/>
                <w:color w:val="000000" w:themeColor="text1"/>
                <w:lang w:eastAsia="en-GB"/>
              </w:rPr>
              <w:t>0%</w:t>
            </w:r>
          </w:p>
        </w:tc>
        <w:tc>
          <w:tcPr>
            <w:tcW w:w="1134" w:type="dxa"/>
            <w:shd w:val="clear" w:color="auto" w:fill="auto"/>
            <w:tcMar>
              <w:top w:w="0" w:type="dxa"/>
              <w:left w:w="108" w:type="dxa"/>
              <w:bottom w:w="0" w:type="dxa"/>
              <w:right w:w="108" w:type="dxa"/>
            </w:tcMar>
            <w:vAlign w:val="center"/>
            <w:hideMark/>
          </w:tcPr>
          <w:p>
            <w:pPr>
              <w:jc w:val="right"/>
              <w:rPr>
                <w:noProof/>
                <w:color w:val="000000" w:themeColor="text1"/>
                <w:lang w:eastAsia="en-GB"/>
              </w:rPr>
            </w:pPr>
            <w:r>
              <w:rPr>
                <w:noProof/>
                <w:color w:val="000000" w:themeColor="text1"/>
                <w:lang w:eastAsia="en-GB"/>
              </w:rPr>
              <w:t>0%</w:t>
            </w:r>
          </w:p>
        </w:tc>
      </w:tr>
      <w:tr>
        <w:tc>
          <w:tcPr>
            <w:tcW w:w="5295" w:type="dxa"/>
            <w:shd w:val="clear" w:color="auto" w:fill="auto"/>
            <w:tcMar>
              <w:top w:w="0" w:type="dxa"/>
              <w:left w:w="108" w:type="dxa"/>
              <w:bottom w:w="0" w:type="dxa"/>
              <w:right w:w="108" w:type="dxa"/>
            </w:tcMar>
            <w:vAlign w:val="center"/>
            <w:hideMark/>
          </w:tcPr>
          <w:p>
            <w:pPr>
              <w:jc w:val="both"/>
              <w:rPr>
                <w:noProof/>
                <w:color w:val="000000" w:themeColor="text1"/>
                <w:lang w:eastAsia="en-GB"/>
              </w:rPr>
            </w:pPr>
            <w:r>
              <w:rPr>
                <w:noProof/>
                <w:color w:val="000000" w:themeColor="text1"/>
                <w:lang w:eastAsia="en-GB"/>
              </w:rPr>
              <w:t>Dairy products: Powder milk, butter milk serum, whey</w:t>
            </w:r>
          </w:p>
        </w:tc>
        <w:tc>
          <w:tcPr>
            <w:tcW w:w="1073" w:type="dxa"/>
            <w:shd w:val="clear" w:color="auto" w:fill="auto"/>
            <w:tcMar>
              <w:top w:w="0" w:type="dxa"/>
              <w:left w:w="108" w:type="dxa"/>
              <w:bottom w:w="0" w:type="dxa"/>
              <w:right w:w="108" w:type="dxa"/>
            </w:tcMar>
            <w:vAlign w:val="center"/>
            <w:hideMark/>
          </w:tcPr>
          <w:p>
            <w:pPr>
              <w:jc w:val="right"/>
              <w:rPr>
                <w:noProof/>
                <w:color w:val="000000" w:themeColor="text1"/>
                <w:lang w:eastAsia="en-GB"/>
              </w:rPr>
            </w:pPr>
            <w:r>
              <w:rPr>
                <w:noProof/>
                <w:color w:val="000000" w:themeColor="text1"/>
                <w:lang w:eastAsia="en-GB"/>
              </w:rPr>
              <w:t>12.5%</w:t>
            </w:r>
          </w:p>
        </w:tc>
        <w:tc>
          <w:tcPr>
            <w:tcW w:w="1134" w:type="dxa"/>
            <w:shd w:val="clear" w:color="auto" w:fill="auto"/>
            <w:tcMar>
              <w:top w:w="0" w:type="dxa"/>
              <w:left w:w="108" w:type="dxa"/>
              <w:bottom w:w="0" w:type="dxa"/>
              <w:right w:w="108" w:type="dxa"/>
            </w:tcMar>
            <w:vAlign w:val="center"/>
            <w:hideMark/>
          </w:tcPr>
          <w:p>
            <w:pPr>
              <w:jc w:val="right"/>
              <w:rPr>
                <w:noProof/>
                <w:color w:val="000000" w:themeColor="text1"/>
                <w:lang w:eastAsia="en-GB"/>
              </w:rPr>
            </w:pPr>
            <w:r>
              <w:rPr>
                <w:noProof/>
                <w:color w:val="000000" w:themeColor="text1"/>
                <w:lang w:eastAsia="en-GB"/>
              </w:rPr>
              <w:t>35.7%</w:t>
            </w:r>
          </w:p>
        </w:tc>
      </w:tr>
      <w:tr>
        <w:tc>
          <w:tcPr>
            <w:tcW w:w="5295" w:type="dxa"/>
            <w:shd w:val="clear" w:color="auto" w:fill="auto"/>
            <w:tcMar>
              <w:top w:w="0" w:type="dxa"/>
              <w:left w:w="108" w:type="dxa"/>
              <w:bottom w:w="0" w:type="dxa"/>
              <w:right w:w="108" w:type="dxa"/>
            </w:tcMar>
            <w:vAlign w:val="center"/>
            <w:hideMark/>
          </w:tcPr>
          <w:p>
            <w:pPr>
              <w:jc w:val="both"/>
              <w:rPr>
                <w:noProof/>
                <w:color w:val="000000" w:themeColor="text1"/>
                <w:lang w:eastAsia="en-GB"/>
              </w:rPr>
            </w:pPr>
            <w:r>
              <w:rPr>
                <w:noProof/>
                <w:color w:val="000000" w:themeColor="text1"/>
                <w:lang w:eastAsia="en-GB"/>
              </w:rPr>
              <w:t xml:space="preserve">Dairy products: Evaporated milk, condensed milk  </w:t>
            </w:r>
          </w:p>
        </w:tc>
        <w:tc>
          <w:tcPr>
            <w:tcW w:w="1073" w:type="dxa"/>
            <w:shd w:val="clear" w:color="auto" w:fill="auto"/>
            <w:tcMar>
              <w:top w:w="0" w:type="dxa"/>
              <w:left w:w="108" w:type="dxa"/>
              <w:bottom w:w="0" w:type="dxa"/>
              <w:right w:w="108" w:type="dxa"/>
            </w:tcMar>
            <w:vAlign w:val="center"/>
            <w:hideMark/>
          </w:tcPr>
          <w:p>
            <w:pPr>
              <w:jc w:val="right"/>
              <w:rPr>
                <w:noProof/>
                <w:color w:val="000000" w:themeColor="text1"/>
                <w:lang w:eastAsia="en-GB"/>
              </w:rPr>
            </w:pPr>
            <w:r>
              <w:rPr>
                <w:noProof/>
                <w:color w:val="000000" w:themeColor="text1"/>
                <w:lang w:eastAsia="en-GB"/>
              </w:rPr>
              <w:t>1.0%</w:t>
            </w:r>
          </w:p>
        </w:tc>
        <w:tc>
          <w:tcPr>
            <w:tcW w:w="1134" w:type="dxa"/>
            <w:shd w:val="clear" w:color="auto" w:fill="auto"/>
            <w:tcMar>
              <w:top w:w="0" w:type="dxa"/>
              <w:left w:w="108" w:type="dxa"/>
              <w:bottom w:w="0" w:type="dxa"/>
              <w:right w:w="108" w:type="dxa"/>
            </w:tcMar>
            <w:vAlign w:val="center"/>
            <w:hideMark/>
          </w:tcPr>
          <w:p>
            <w:pPr>
              <w:jc w:val="right"/>
              <w:rPr>
                <w:noProof/>
                <w:color w:val="000000" w:themeColor="text1"/>
                <w:lang w:eastAsia="en-GB"/>
              </w:rPr>
            </w:pPr>
            <w:r>
              <w:rPr>
                <w:noProof/>
                <w:color w:val="000000" w:themeColor="text1"/>
                <w:lang w:eastAsia="en-GB"/>
              </w:rPr>
              <w:t>3.0%</w:t>
            </w:r>
          </w:p>
        </w:tc>
      </w:tr>
      <w:tr>
        <w:tc>
          <w:tcPr>
            <w:tcW w:w="5295" w:type="dxa"/>
            <w:shd w:val="clear" w:color="auto" w:fill="auto"/>
            <w:tcMar>
              <w:top w:w="0" w:type="dxa"/>
              <w:left w:w="108" w:type="dxa"/>
              <w:bottom w:w="0" w:type="dxa"/>
              <w:right w:w="108" w:type="dxa"/>
            </w:tcMar>
            <w:hideMark/>
          </w:tcPr>
          <w:p>
            <w:pPr>
              <w:jc w:val="both"/>
              <w:rPr>
                <w:noProof/>
                <w:color w:val="000000" w:themeColor="text1"/>
                <w:lang w:eastAsia="en-GB"/>
              </w:rPr>
            </w:pPr>
            <w:r>
              <w:rPr>
                <w:noProof/>
                <w:color w:val="000000" w:themeColor="text1"/>
                <w:lang w:eastAsia="en-GB"/>
              </w:rPr>
              <w:t>Diary products: Yoghourt, cheeses: grated or powdered, melted, others</w:t>
            </w:r>
          </w:p>
        </w:tc>
        <w:tc>
          <w:tcPr>
            <w:tcW w:w="1073" w:type="dxa"/>
            <w:shd w:val="clear" w:color="auto" w:fill="auto"/>
            <w:tcMar>
              <w:top w:w="0" w:type="dxa"/>
              <w:left w:w="108" w:type="dxa"/>
              <w:bottom w:w="0" w:type="dxa"/>
              <w:right w:w="108" w:type="dxa"/>
            </w:tcMar>
            <w:hideMark/>
          </w:tcPr>
          <w:p>
            <w:pPr>
              <w:jc w:val="right"/>
              <w:rPr>
                <w:noProof/>
                <w:color w:val="000000" w:themeColor="text1"/>
                <w:lang w:eastAsia="en-GB"/>
              </w:rPr>
            </w:pPr>
            <w:r>
              <w:rPr>
                <w:noProof/>
                <w:color w:val="000000" w:themeColor="text1"/>
                <w:lang w:eastAsia="en-GB"/>
              </w:rPr>
              <w:t>2.7%</w:t>
            </w:r>
          </w:p>
        </w:tc>
        <w:tc>
          <w:tcPr>
            <w:tcW w:w="1134" w:type="dxa"/>
            <w:shd w:val="clear" w:color="auto" w:fill="auto"/>
            <w:tcMar>
              <w:top w:w="0" w:type="dxa"/>
              <w:left w:w="108" w:type="dxa"/>
              <w:bottom w:w="0" w:type="dxa"/>
              <w:right w:w="108" w:type="dxa"/>
            </w:tcMar>
            <w:hideMark/>
          </w:tcPr>
          <w:p>
            <w:pPr>
              <w:jc w:val="right"/>
              <w:rPr>
                <w:noProof/>
                <w:color w:val="000000" w:themeColor="text1"/>
                <w:lang w:eastAsia="en-GB"/>
              </w:rPr>
            </w:pPr>
            <w:r>
              <w:rPr>
                <w:noProof/>
                <w:color w:val="000000" w:themeColor="text1"/>
                <w:lang w:eastAsia="en-GB"/>
              </w:rPr>
              <w:t>19.0%</w:t>
            </w:r>
          </w:p>
        </w:tc>
      </w:tr>
      <w:tr>
        <w:tc>
          <w:tcPr>
            <w:tcW w:w="5295" w:type="dxa"/>
            <w:shd w:val="clear" w:color="auto" w:fill="auto"/>
            <w:tcMar>
              <w:top w:w="0" w:type="dxa"/>
              <w:left w:w="108" w:type="dxa"/>
              <w:bottom w:w="0" w:type="dxa"/>
              <w:right w:w="108" w:type="dxa"/>
            </w:tcMar>
            <w:hideMark/>
          </w:tcPr>
          <w:p>
            <w:pPr>
              <w:jc w:val="both"/>
              <w:rPr>
                <w:noProof/>
                <w:color w:val="000000" w:themeColor="text1"/>
                <w:lang w:eastAsia="en-GB"/>
              </w:rPr>
            </w:pPr>
            <w:r>
              <w:rPr>
                <w:noProof/>
                <w:color w:val="000000" w:themeColor="text1"/>
                <w:lang w:eastAsia="en-GB"/>
              </w:rPr>
              <w:t>Dairy products: Blue-veined cheese, mature cheese</w:t>
            </w:r>
          </w:p>
        </w:tc>
        <w:tc>
          <w:tcPr>
            <w:tcW w:w="1073" w:type="dxa"/>
            <w:shd w:val="clear" w:color="auto" w:fill="auto"/>
            <w:tcMar>
              <w:top w:w="0" w:type="dxa"/>
              <w:left w:w="108" w:type="dxa"/>
              <w:bottom w:w="0" w:type="dxa"/>
              <w:right w:w="108" w:type="dxa"/>
            </w:tcMar>
            <w:hideMark/>
          </w:tcPr>
          <w:p>
            <w:pPr>
              <w:jc w:val="right"/>
              <w:rPr>
                <w:noProof/>
                <w:color w:val="000000" w:themeColor="text1"/>
                <w:lang w:eastAsia="en-GB"/>
              </w:rPr>
            </w:pPr>
            <w:r>
              <w:rPr>
                <w:noProof/>
                <w:color w:val="000000" w:themeColor="text1"/>
                <w:lang w:eastAsia="en-GB"/>
              </w:rPr>
              <w:t>3.9%</w:t>
            </w:r>
          </w:p>
        </w:tc>
        <w:tc>
          <w:tcPr>
            <w:tcW w:w="1134" w:type="dxa"/>
            <w:shd w:val="clear" w:color="auto" w:fill="auto"/>
            <w:tcMar>
              <w:top w:w="0" w:type="dxa"/>
              <w:left w:w="108" w:type="dxa"/>
              <w:bottom w:w="0" w:type="dxa"/>
              <w:right w:w="108" w:type="dxa"/>
            </w:tcMar>
            <w:hideMark/>
          </w:tcPr>
          <w:p>
            <w:pPr>
              <w:jc w:val="right"/>
              <w:rPr>
                <w:noProof/>
                <w:color w:val="000000" w:themeColor="text1"/>
                <w:lang w:eastAsia="en-GB"/>
              </w:rPr>
            </w:pPr>
            <w:r>
              <w:rPr>
                <w:noProof/>
                <w:color w:val="000000" w:themeColor="text1"/>
                <w:lang w:eastAsia="en-GB"/>
              </w:rPr>
              <w:t>7.0%</w:t>
            </w:r>
          </w:p>
        </w:tc>
      </w:tr>
      <w:tr>
        <w:tc>
          <w:tcPr>
            <w:tcW w:w="5295" w:type="dxa"/>
            <w:shd w:val="clear" w:color="auto" w:fill="auto"/>
            <w:tcMar>
              <w:top w:w="0" w:type="dxa"/>
              <w:left w:w="108" w:type="dxa"/>
              <w:bottom w:w="0" w:type="dxa"/>
              <w:right w:w="108" w:type="dxa"/>
            </w:tcMar>
            <w:hideMark/>
          </w:tcPr>
          <w:p>
            <w:pPr>
              <w:jc w:val="both"/>
              <w:rPr>
                <w:noProof/>
                <w:color w:val="000000" w:themeColor="text1"/>
                <w:lang w:eastAsia="en-GB"/>
              </w:rPr>
            </w:pPr>
            <w:r>
              <w:rPr>
                <w:noProof/>
                <w:color w:val="000000" w:themeColor="text1"/>
                <w:lang w:eastAsia="en-GB"/>
              </w:rPr>
              <w:t>Fresh sweet corn: Sweet corn, fresh, refrigerated</w:t>
            </w:r>
          </w:p>
        </w:tc>
        <w:tc>
          <w:tcPr>
            <w:tcW w:w="1073" w:type="dxa"/>
            <w:shd w:val="clear" w:color="auto" w:fill="auto"/>
            <w:tcMar>
              <w:top w:w="0" w:type="dxa"/>
              <w:left w:w="108" w:type="dxa"/>
              <w:bottom w:w="0" w:type="dxa"/>
              <w:right w:w="108" w:type="dxa"/>
            </w:tcMar>
            <w:hideMark/>
          </w:tcPr>
          <w:p>
            <w:pPr>
              <w:jc w:val="right"/>
              <w:rPr>
                <w:noProof/>
                <w:color w:val="000000" w:themeColor="text1"/>
                <w:lang w:eastAsia="en-GB"/>
              </w:rPr>
            </w:pPr>
          </w:p>
        </w:tc>
        <w:tc>
          <w:tcPr>
            <w:tcW w:w="1134" w:type="dxa"/>
            <w:shd w:val="clear" w:color="auto" w:fill="auto"/>
            <w:tcMar>
              <w:top w:w="0" w:type="dxa"/>
              <w:left w:w="108" w:type="dxa"/>
              <w:bottom w:w="0" w:type="dxa"/>
              <w:right w:w="108" w:type="dxa"/>
            </w:tcMar>
            <w:hideMark/>
          </w:tcPr>
          <w:p>
            <w:pPr>
              <w:jc w:val="right"/>
              <w:rPr>
                <w:noProof/>
                <w:color w:val="000000" w:themeColor="text1"/>
                <w:lang w:eastAsia="en-GB"/>
              </w:rPr>
            </w:pPr>
          </w:p>
        </w:tc>
      </w:tr>
      <w:tr>
        <w:tc>
          <w:tcPr>
            <w:tcW w:w="5295" w:type="dxa"/>
            <w:shd w:val="clear" w:color="auto" w:fill="auto"/>
            <w:tcMar>
              <w:top w:w="0" w:type="dxa"/>
              <w:left w:w="108" w:type="dxa"/>
              <w:bottom w:w="0" w:type="dxa"/>
              <w:right w:w="108" w:type="dxa"/>
            </w:tcMar>
            <w:hideMark/>
          </w:tcPr>
          <w:p>
            <w:pPr>
              <w:jc w:val="both"/>
              <w:rPr>
                <w:noProof/>
                <w:color w:val="000000" w:themeColor="text1"/>
                <w:lang w:eastAsia="en-GB"/>
              </w:rPr>
            </w:pPr>
            <w:r>
              <w:rPr>
                <w:noProof/>
                <w:color w:val="000000" w:themeColor="text1"/>
                <w:lang w:eastAsia="en-GB"/>
              </w:rPr>
              <w:t>Processed sweet corn: Sweet corn: frozen, canned</w:t>
            </w:r>
          </w:p>
        </w:tc>
        <w:tc>
          <w:tcPr>
            <w:tcW w:w="1073" w:type="dxa"/>
            <w:shd w:val="clear" w:color="auto" w:fill="auto"/>
            <w:tcMar>
              <w:top w:w="0" w:type="dxa"/>
              <w:left w:w="108" w:type="dxa"/>
              <w:bottom w:w="0" w:type="dxa"/>
              <w:right w:w="108" w:type="dxa"/>
            </w:tcMar>
            <w:hideMark/>
          </w:tcPr>
          <w:p>
            <w:pPr>
              <w:jc w:val="right"/>
              <w:rPr>
                <w:noProof/>
                <w:color w:val="000000" w:themeColor="text1"/>
                <w:lang w:eastAsia="en-GB"/>
              </w:rPr>
            </w:pPr>
            <w:r>
              <w:rPr>
                <w:noProof/>
                <w:color w:val="000000" w:themeColor="text1"/>
                <w:lang w:eastAsia="en-GB"/>
              </w:rPr>
              <w:t>21.9%</w:t>
            </w:r>
          </w:p>
        </w:tc>
        <w:tc>
          <w:tcPr>
            <w:tcW w:w="1134" w:type="dxa"/>
            <w:shd w:val="clear" w:color="auto" w:fill="auto"/>
            <w:tcMar>
              <w:top w:w="0" w:type="dxa"/>
              <w:left w:w="108" w:type="dxa"/>
              <w:bottom w:w="0" w:type="dxa"/>
              <w:right w:w="108" w:type="dxa"/>
            </w:tcMar>
            <w:hideMark/>
          </w:tcPr>
          <w:p>
            <w:pPr>
              <w:jc w:val="right"/>
              <w:rPr>
                <w:noProof/>
                <w:color w:val="000000" w:themeColor="text1"/>
                <w:lang w:eastAsia="en-GB"/>
              </w:rPr>
            </w:pPr>
            <w:r>
              <w:rPr>
                <w:noProof/>
                <w:color w:val="000000" w:themeColor="text1"/>
                <w:lang w:eastAsia="en-GB"/>
              </w:rPr>
              <w:t>32.8%</w:t>
            </w:r>
          </w:p>
        </w:tc>
      </w:tr>
      <w:tr>
        <w:tc>
          <w:tcPr>
            <w:tcW w:w="5295" w:type="dxa"/>
            <w:shd w:val="clear" w:color="auto" w:fill="auto"/>
            <w:tcMar>
              <w:top w:w="0" w:type="dxa"/>
              <w:left w:w="108" w:type="dxa"/>
              <w:bottom w:w="0" w:type="dxa"/>
              <w:right w:w="108" w:type="dxa"/>
            </w:tcMar>
            <w:hideMark/>
          </w:tcPr>
          <w:p>
            <w:pPr>
              <w:jc w:val="both"/>
              <w:rPr>
                <w:noProof/>
                <w:color w:val="000000" w:themeColor="text1"/>
                <w:lang w:eastAsia="en-GB"/>
              </w:rPr>
            </w:pPr>
            <w:r>
              <w:rPr>
                <w:noProof/>
                <w:color w:val="000000" w:themeColor="text1"/>
                <w:lang w:eastAsia="en-GB"/>
              </w:rPr>
              <w:t>Swine products: cured ham, bellies (streaky) sausages and similar meat products</w:t>
            </w:r>
          </w:p>
        </w:tc>
        <w:tc>
          <w:tcPr>
            <w:tcW w:w="1073" w:type="dxa"/>
            <w:shd w:val="clear" w:color="auto" w:fill="auto"/>
            <w:tcMar>
              <w:top w:w="0" w:type="dxa"/>
              <w:left w:w="108" w:type="dxa"/>
              <w:bottom w:w="0" w:type="dxa"/>
              <w:right w:w="108" w:type="dxa"/>
            </w:tcMar>
            <w:hideMark/>
          </w:tcPr>
          <w:p>
            <w:pPr>
              <w:jc w:val="right"/>
              <w:rPr>
                <w:noProof/>
                <w:color w:val="000000" w:themeColor="text1"/>
                <w:lang w:eastAsia="en-GB"/>
              </w:rPr>
            </w:pPr>
            <w:r>
              <w:rPr>
                <w:noProof/>
                <w:color w:val="000000" w:themeColor="text1"/>
                <w:lang w:eastAsia="en-GB"/>
              </w:rPr>
              <w:t>5.7%</w:t>
            </w:r>
          </w:p>
        </w:tc>
        <w:tc>
          <w:tcPr>
            <w:tcW w:w="1134" w:type="dxa"/>
            <w:shd w:val="clear" w:color="auto" w:fill="auto"/>
            <w:tcMar>
              <w:top w:w="0" w:type="dxa"/>
              <w:left w:w="108" w:type="dxa"/>
              <w:bottom w:w="0" w:type="dxa"/>
              <w:right w:w="108" w:type="dxa"/>
            </w:tcMar>
            <w:hideMark/>
          </w:tcPr>
          <w:p>
            <w:pPr>
              <w:jc w:val="right"/>
              <w:rPr>
                <w:noProof/>
                <w:color w:val="000000" w:themeColor="text1"/>
                <w:lang w:eastAsia="en-GB"/>
              </w:rPr>
            </w:pPr>
            <w:r>
              <w:rPr>
                <w:noProof/>
                <w:color w:val="000000" w:themeColor="text1"/>
                <w:lang w:eastAsia="en-GB"/>
              </w:rPr>
              <w:t>18.9%</w:t>
            </w:r>
          </w:p>
        </w:tc>
      </w:tr>
      <w:tr>
        <w:tc>
          <w:tcPr>
            <w:tcW w:w="5295" w:type="dxa"/>
            <w:shd w:val="clear" w:color="auto" w:fill="auto"/>
            <w:tcMar>
              <w:top w:w="0" w:type="dxa"/>
              <w:left w:w="108" w:type="dxa"/>
              <w:bottom w:w="0" w:type="dxa"/>
              <w:right w:w="108" w:type="dxa"/>
            </w:tcMar>
            <w:hideMark/>
          </w:tcPr>
          <w:p>
            <w:pPr>
              <w:jc w:val="both"/>
              <w:rPr>
                <w:noProof/>
                <w:color w:val="000000" w:themeColor="text1"/>
                <w:lang w:eastAsia="en-GB"/>
              </w:rPr>
            </w:pPr>
            <w:r>
              <w:rPr>
                <w:noProof/>
                <w:color w:val="000000" w:themeColor="text1"/>
                <w:lang w:eastAsia="en-GB"/>
              </w:rPr>
              <w:t>Frozen potatoes</w:t>
            </w:r>
          </w:p>
        </w:tc>
        <w:tc>
          <w:tcPr>
            <w:tcW w:w="1073" w:type="dxa"/>
            <w:shd w:val="clear" w:color="auto" w:fill="auto"/>
            <w:tcMar>
              <w:top w:w="0" w:type="dxa"/>
              <w:left w:w="108" w:type="dxa"/>
              <w:bottom w:w="0" w:type="dxa"/>
              <w:right w:w="108" w:type="dxa"/>
            </w:tcMar>
            <w:hideMark/>
          </w:tcPr>
          <w:p>
            <w:pPr>
              <w:jc w:val="right"/>
              <w:rPr>
                <w:noProof/>
                <w:color w:val="000000" w:themeColor="text1"/>
                <w:lang w:eastAsia="en-GB"/>
              </w:rPr>
            </w:pPr>
            <w:r>
              <w:rPr>
                <w:noProof/>
                <w:color w:val="000000" w:themeColor="text1"/>
                <w:lang w:eastAsia="en-GB"/>
              </w:rPr>
              <w:t>0%</w:t>
            </w:r>
          </w:p>
        </w:tc>
        <w:tc>
          <w:tcPr>
            <w:tcW w:w="1134" w:type="dxa"/>
            <w:shd w:val="clear" w:color="auto" w:fill="auto"/>
            <w:tcMar>
              <w:top w:w="0" w:type="dxa"/>
              <w:left w:w="108" w:type="dxa"/>
              <w:bottom w:w="0" w:type="dxa"/>
              <w:right w:w="108" w:type="dxa"/>
            </w:tcMar>
            <w:hideMark/>
          </w:tcPr>
          <w:p>
            <w:pPr>
              <w:jc w:val="right"/>
              <w:rPr>
                <w:noProof/>
                <w:color w:val="000000" w:themeColor="text1"/>
                <w:lang w:eastAsia="en-GB"/>
              </w:rPr>
            </w:pPr>
            <w:r>
              <w:rPr>
                <w:noProof/>
                <w:color w:val="000000" w:themeColor="text1"/>
                <w:lang w:eastAsia="en-GB"/>
              </w:rPr>
              <w:t>1.9%</w:t>
            </w:r>
          </w:p>
        </w:tc>
      </w:tr>
      <w:tr>
        <w:tc>
          <w:tcPr>
            <w:tcW w:w="5295" w:type="dxa"/>
            <w:shd w:val="clear" w:color="auto" w:fill="auto"/>
            <w:tcMar>
              <w:top w:w="0" w:type="dxa"/>
              <w:left w:w="108" w:type="dxa"/>
              <w:bottom w:w="0" w:type="dxa"/>
              <w:right w:w="108" w:type="dxa"/>
            </w:tcMar>
            <w:hideMark/>
          </w:tcPr>
          <w:p>
            <w:pPr>
              <w:jc w:val="both"/>
              <w:rPr>
                <w:noProof/>
                <w:color w:val="000000" w:themeColor="text1"/>
                <w:lang w:eastAsia="en-GB"/>
              </w:rPr>
            </w:pPr>
            <w:r>
              <w:rPr>
                <w:noProof/>
                <w:color w:val="000000" w:themeColor="text1"/>
                <w:lang w:eastAsia="en-GB"/>
              </w:rPr>
              <w:t>Confectionary product (high sugar content): Juices, chocolate, coffee, tea and others</w:t>
            </w:r>
          </w:p>
        </w:tc>
        <w:tc>
          <w:tcPr>
            <w:tcW w:w="1073" w:type="dxa"/>
            <w:shd w:val="clear" w:color="auto" w:fill="auto"/>
            <w:tcMar>
              <w:top w:w="0" w:type="dxa"/>
              <w:left w:w="108" w:type="dxa"/>
              <w:bottom w:w="0" w:type="dxa"/>
              <w:right w:w="108" w:type="dxa"/>
            </w:tcMar>
            <w:hideMark/>
          </w:tcPr>
          <w:p>
            <w:pPr>
              <w:jc w:val="right"/>
              <w:rPr>
                <w:noProof/>
                <w:color w:val="000000" w:themeColor="text1"/>
                <w:lang w:eastAsia="en-GB"/>
              </w:rPr>
            </w:pPr>
            <w:r>
              <w:rPr>
                <w:noProof/>
                <w:color w:val="000000" w:themeColor="text1"/>
                <w:lang w:eastAsia="en-GB"/>
              </w:rPr>
              <w:t>0.9%</w:t>
            </w:r>
          </w:p>
        </w:tc>
        <w:tc>
          <w:tcPr>
            <w:tcW w:w="1134" w:type="dxa"/>
            <w:shd w:val="clear" w:color="auto" w:fill="auto"/>
            <w:tcMar>
              <w:top w:w="0" w:type="dxa"/>
              <w:left w:w="108" w:type="dxa"/>
              <w:bottom w:w="0" w:type="dxa"/>
              <w:right w:w="108" w:type="dxa"/>
            </w:tcMar>
            <w:hideMark/>
          </w:tcPr>
          <w:p>
            <w:pPr>
              <w:jc w:val="right"/>
              <w:rPr>
                <w:noProof/>
                <w:color w:val="000000" w:themeColor="text1"/>
                <w:lang w:eastAsia="en-GB"/>
              </w:rPr>
            </w:pPr>
            <w:r>
              <w:rPr>
                <w:noProof/>
                <w:color w:val="000000" w:themeColor="text1"/>
                <w:lang w:eastAsia="en-GB"/>
              </w:rPr>
              <w:t>0%</w:t>
            </w:r>
          </w:p>
        </w:tc>
      </w:tr>
    </w:tbl>
    <w:p>
      <w:pPr>
        <w:jc w:val="both"/>
        <w:rPr>
          <w:i/>
          <w:noProof/>
        </w:rPr>
      </w:pPr>
      <w:r>
        <w:rPr>
          <w:i/>
          <w:noProof/>
        </w:rPr>
        <w:t xml:space="preserve">Source:  Ministry of Agriculture and Livestock </w:t>
      </w:r>
    </w:p>
    <w:p>
      <w:pPr>
        <w:rPr>
          <w:b/>
          <w:i/>
          <w:noProof/>
        </w:rPr>
      </w:pPr>
    </w:p>
    <w:p>
      <w:pPr>
        <w:rPr>
          <w:b/>
          <w:i/>
          <w:noProof/>
        </w:rPr>
      </w:pPr>
      <w:r>
        <w:rPr>
          <w:b/>
          <w:i/>
          <w:noProof/>
        </w:rPr>
        <w:t xml:space="preserve">Preference Utilization Rate (PUR) </w:t>
      </w:r>
    </w:p>
    <w:p>
      <w:pPr>
        <w:jc w:val="both"/>
        <w:rPr>
          <w:noProof/>
          <w:color w:val="000000" w:themeColor="text1"/>
        </w:rPr>
      </w:pPr>
    </w:p>
    <w:p>
      <w:pPr>
        <w:jc w:val="both"/>
        <w:rPr>
          <w:noProof/>
          <w:color w:val="000000" w:themeColor="text1"/>
        </w:rPr>
      </w:pPr>
      <w:r>
        <w:rPr>
          <w:noProof/>
          <w:color w:val="000000" w:themeColor="text1"/>
        </w:rPr>
        <w:t xml:space="preserve">In the context of the Sub-committee on Market Access, the Parties agreed in 2015 to exchange data on PUR on an annual basis. During the annual meeting that took place in December 2018 in Quito, the EU stressed the need to have reliable data to get a better overview of the effects of the Agreement and to explore means to assist economic operators, in particular SMEs, to make better use of the opportunities. </w:t>
      </w:r>
    </w:p>
    <w:p>
      <w:pPr>
        <w:pStyle w:val="Heading2"/>
        <w:ind w:left="0" w:firstLine="0"/>
        <w:rPr>
          <w:rFonts w:eastAsia="Times New Roman"/>
          <w:b w:val="0"/>
          <w:smallCaps/>
          <w:szCs w:val="24"/>
        </w:rPr>
      </w:pPr>
      <w:bookmarkStart w:id="322" w:name="_Toc7008973"/>
      <w:bookmarkStart w:id="323" w:name="_Toc9008108"/>
      <w:bookmarkStart w:id="324" w:name="_Toc9008061"/>
      <w:bookmarkStart w:id="325" w:name="_Toc9348507"/>
      <w:bookmarkStart w:id="326" w:name="_Toc9607959"/>
      <w:bookmarkStart w:id="327" w:name="_Toc16000535"/>
      <w:r>
        <w:rPr>
          <w:szCs w:val="24"/>
        </w:rPr>
        <w:t>2.2 Trade in Services and development of investment</w:t>
      </w:r>
      <w:bookmarkEnd w:id="322"/>
      <w:bookmarkEnd w:id="323"/>
      <w:bookmarkEnd w:id="324"/>
      <w:bookmarkEnd w:id="325"/>
      <w:bookmarkEnd w:id="326"/>
      <w:bookmarkEnd w:id="327"/>
    </w:p>
    <w:p>
      <w:pPr>
        <w:pStyle w:val="Heading3"/>
        <w:ind w:left="0" w:firstLine="0"/>
        <w:rPr>
          <w:i w:val="0"/>
          <w:noProof/>
          <w:szCs w:val="24"/>
          <w:lang w:val="en-US"/>
        </w:rPr>
      </w:pPr>
      <w:bookmarkStart w:id="328" w:name="_Toc7008974"/>
      <w:bookmarkStart w:id="329" w:name="_Toc9008109"/>
      <w:bookmarkStart w:id="330" w:name="_Toc9008062"/>
      <w:bookmarkStart w:id="331" w:name="_Toc9348508"/>
      <w:bookmarkStart w:id="332" w:name="_Toc9607960"/>
      <w:bookmarkStart w:id="333" w:name="_Toc16000536"/>
      <w:r>
        <w:rPr>
          <w:noProof/>
          <w:szCs w:val="24"/>
          <w:lang w:val="en-US"/>
        </w:rPr>
        <w:t>2.2.1 Trade in Services</w:t>
      </w:r>
      <w:bookmarkEnd w:id="328"/>
      <w:bookmarkEnd w:id="329"/>
      <w:bookmarkEnd w:id="330"/>
      <w:bookmarkEnd w:id="331"/>
      <w:bookmarkEnd w:id="332"/>
      <w:bookmarkEnd w:id="333"/>
    </w:p>
    <w:p>
      <w:pPr>
        <w:jc w:val="both"/>
        <w:rPr>
          <w:b/>
          <w:noProof/>
          <w:u w:val="single"/>
          <w:lang w:val="en-US"/>
        </w:rPr>
      </w:pPr>
      <w:r>
        <w:rPr>
          <w:b/>
          <w:noProof/>
          <w:u w:val="single"/>
          <w:lang w:val="en-US"/>
        </w:rPr>
        <w:t>Colombia</w:t>
      </w:r>
    </w:p>
    <w:p>
      <w:pPr>
        <w:jc w:val="both"/>
        <w:rPr>
          <w:b/>
          <w:noProof/>
          <w:u w:val="single"/>
          <w:lang w:val="en-US"/>
        </w:rPr>
      </w:pPr>
    </w:p>
    <w:p>
      <w:pPr>
        <w:jc w:val="both"/>
        <w:rPr>
          <w:noProof/>
          <w:color w:val="000000" w:themeColor="text1"/>
        </w:rPr>
      </w:pPr>
      <w:r>
        <w:rPr>
          <w:noProof/>
          <w:color w:val="000000" w:themeColor="text1"/>
        </w:rPr>
        <w:t xml:space="preserve">Bilateral trade in services between the EU and </w:t>
      </w:r>
      <w:r>
        <w:rPr>
          <w:bCs/>
          <w:noProof/>
          <w:color w:val="000000" w:themeColor="text1"/>
        </w:rPr>
        <w:t xml:space="preserve">Colombia </w:t>
      </w:r>
      <w:r>
        <w:rPr>
          <w:noProof/>
          <w:color w:val="000000" w:themeColor="text1"/>
        </w:rPr>
        <w:t>increased by 22% in 2017 compared to 2016, totalling €5.4 billion.</w:t>
      </w:r>
      <w:r>
        <w:rPr>
          <w:noProof/>
          <w:color w:val="0070C0"/>
        </w:rPr>
        <w:t xml:space="preserve"> </w:t>
      </w:r>
      <w:r>
        <w:rPr>
          <w:noProof/>
          <w:color w:val="000000" w:themeColor="text1"/>
        </w:rPr>
        <w:t xml:space="preserve">Both EU exports and Colombian exports increased during this period of time by 26% and 13% respectively. </w:t>
      </w:r>
    </w:p>
    <w:p>
      <w:pPr>
        <w:jc w:val="both"/>
        <w:rPr>
          <w:noProof/>
          <w:color w:val="000000" w:themeColor="text1"/>
        </w:rPr>
      </w:pPr>
    </w:p>
    <w:p>
      <w:pPr>
        <w:jc w:val="both"/>
        <w:rPr>
          <w:noProof/>
          <w:color w:val="000000" w:themeColor="text1"/>
        </w:rPr>
      </w:pPr>
      <w:r>
        <w:rPr>
          <w:noProof/>
          <w:color w:val="000000" w:themeColor="text1"/>
        </w:rPr>
        <w:t xml:space="preserve">According to Colombian statistics (DANE), the EU’s share in Colombia’s total trade in services represented 16% in 2018. Key EU exports of services are travel, IT and passenger air transport. </w:t>
      </w:r>
    </w:p>
    <w:p>
      <w:pPr>
        <w:keepNext/>
        <w:spacing w:before="240"/>
        <w:jc w:val="both"/>
        <w:rPr>
          <w:b/>
          <w:noProof/>
          <w:u w:val="single"/>
          <w:lang w:val="en-US"/>
        </w:rPr>
      </w:pPr>
      <w:r>
        <w:rPr>
          <w:b/>
          <w:noProof/>
          <w:u w:val="single"/>
          <w:lang w:val="en-US"/>
        </w:rPr>
        <w:t xml:space="preserve">Peru </w:t>
      </w:r>
    </w:p>
    <w:p>
      <w:pPr>
        <w:keepNext/>
        <w:jc w:val="both"/>
        <w:rPr>
          <w:noProof/>
        </w:rPr>
      </w:pPr>
    </w:p>
    <w:p>
      <w:pPr>
        <w:keepNext/>
        <w:jc w:val="both"/>
        <w:rPr>
          <w:noProof/>
        </w:rPr>
      </w:pPr>
      <w:r>
        <w:rPr>
          <w:noProof/>
        </w:rPr>
        <w:t xml:space="preserve">In 2017, EU-Peru bilateral trade in services amounted to €3 billion. </w:t>
      </w:r>
      <w:r>
        <w:rPr>
          <w:noProof/>
          <w:color w:val="000000" w:themeColor="text1"/>
        </w:rPr>
        <w:t xml:space="preserve">Both EU exports (€1.9 billion) and Peruvian exports (€1.1 billion) increased </w:t>
      </w:r>
      <w:r>
        <w:rPr>
          <w:noProof/>
        </w:rPr>
        <w:t>year-on-year</w:t>
      </w:r>
      <w:r>
        <w:rPr>
          <w:noProof/>
          <w:color w:val="000000" w:themeColor="text1"/>
        </w:rPr>
        <w:t xml:space="preserve"> by 21% and 13% respectively. </w:t>
      </w:r>
      <w:r>
        <w:rPr>
          <w:noProof/>
        </w:rPr>
        <w:t xml:space="preserve">Balance remains positive for the EU.  </w:t>
      </w:r>
    </w:p>
    <w:p>
      <w:pPr>
        <w:jc w:val="both"/>
        <w:rPr>
          <w:b/>
          <w:noProof/>
          <w:u w:val="single"/>
          <w:lang w:val="en-US"/>
        </w:rPr>
      </w:pPr>
    </w:p>
    <w:p>
      <w:pPr>
        <w:jc w:val="both"/>
        <w:rPr>
          <w:b/>
          <w:noProof/>
          <w:u w:val="single"/>
          <w:lang w:val="en-US"/>
        </w:rPr>
      </w:pPr>
      <w:r>
        <w:rPr>
          <w:b/>
          <w:noProof/>
          <w:u w:val="single"/>
          <w:lang w:val="en-US"/>
        </w:rPr>
        <w:t>Ecuador</w:t>
      </w:r>
    </w:p>
    <w:p>
      <w:pPr>
        <w:tabs>
          <w:tab w:val="left" w:pos="567"/>
        </w:tabs>
        <w:jc w:val="both"/>
        <w:rPr>
          <w:noProof/>
        </w:rPr>
      </w:pPr>
    </w:p>
    <w:p>
      <w:pPr>
        <w:tabs>
          <w:tab w:val="left" w:pos="567"/>
        </w:tabs>
        <w:jc w:val="both"/>
        <w:rPr>
          <w:noProof/>
        </w:rPr>
      </w:pPr>
      <w:r>
        <w:rPr>
          <w:noProof/>
        </w:rPr>
        <w:t xml:space="preserve">In 2017, bilateral trade in services between the EU and Ecuador increased by 11% year-on-year to amount to €1.6 billion. </w:t>
      </w:r>
      <w:r>
        <w:rPr>
          <w:noProof/>
          <w:color w:val="000000" w:themeColor="text1"/>
        </w:rPr>
        <w:t xml:space="preserve">EU exports amounted to €1 billion, increasing by 4% </w:t>
      </w:r>
      <w:r>
        <w:rPr>
          <w:noProof/>
        </w:rPr>
        <w:t>year-on-year.</w:t>
      </w:r>
      <w:r>
        <w:rPr>
          <w:noProof/>
          <w:color w:val="000000" w:themeColor="text1"/>
        </w:rPr>
        <w:t xml:space="preserve"> Ecuadorian exports of services (€582 million) experienced a 27% growth. </w:t>
      </w:r>
      <w:r>
        <w:rPr>
          <w:noProof/>
        </w:rPr>
        <w:t xml:space="preserve">The EU maintains a surplus in trade in services in 2017 although this surplus has shrunk by 15%. According to Ecuador’s Central Bank data, the EU share in Ecuador´s total trade in services represented 35%. </w:t>
      </w:r>
    </w:p>
    <w:p>
      <w:pPr>
        <w:pStyle w:val="Heading3"/>
        <w:ind w:left="0" w:firstLine="0"/>
        <w:rPr>
          <w:noProof/>
          <w:szCs w:val="24"/>
        </w:rPr>
      </w:pPr>
      <w:bookmarkStart w:id="334" w:name="_Toc7008975"/>
      <w:bookmarkStart w:id="335" w:name="_Toc9008110"/>
      <w:bookmarkStart w:id="336" w:name="_Toc9008063"/>
      <w:bookmarkStart w:id="337" w:name="_Toc9348509"/>
      <w:bookmarkStart w:id="338" w:name="_Toc9607961"/>
      <w:bookmarkStart w:id="339" w:name="_Toc16000537"/>
      <w:r>
        <w:rPr>
          <w:noProof/>
          <w:szCs w:val="24"/>
        </w:rPr>
        <w:t>2.2.2 Foreign Direct investment (FDIs)</w:t>
      </w:r>
      <w:bookmarkEnd w:id="334"/>
      <w:bookmarkEnd w:id="335"/>
      <w:bookmarkEnd w:id="336"/>
      <w:bookmarkEnd w:id="337"/>
      <w:bookmarkEnd w:id="338"/>
      <w:bookmarkEnd w:id="339"/>
    </w:p>
    <w:p>
      <w:pPr>
        <w:jc w:val="both"/>
        <w:rPr>
          <w:b/>
          <w:noProof/>
          <w:u w:val="single"/>
          <w:lang w:val="en-US"/>
        </w:rPr>
      </w:pPr>
      <w:r>
        <w:rPr>
          <w:b/>
          <w:noProof/>
          <w:u w:val="single"/>
          <w:lang w:val="en-US"/>
        </w:rPr>
        <w:t>Colombia</w:t>
      </w:r>
    </w:p>
    <w:p>
      <w:pPr>
        <w:jc w:val="both"/>
        <w:rPr>
          <w:b/>
          <w:noProof/>
          <w:u w:val="single"/>
          <w:lang w:val="en-US"/>
        </w:rPr>
      </w:pPr>
    </w:p>
    <w:p>
      <w:pPr>
        <w:jc w:val="both"/>
        <w:rPr>
          <w:noProof/>
          <w:color w:val="000000" w:themeColor="text1"/>
        </w:rPr>
      </w:pPr>
      <w:r>
        <w:rPr>
          <w:noProof/>
          <w:color w:val="000000" w:themeColor="text1"/>
        </w:rPr>
        <w:t xml:space="preserve">For the fourth year in a row, the EU was the </w:t>
      </w:r>
      <w:r>
        <w:rPr>
          <w:b/>
          <w:bCs/>
          <w:noProof/>
          <w:color w:val="000000" w:themeColor="text1"/>
        </w:rPr>
        <w:t>first foreign investor in Colombia</w:t>
      </w:r>
      <w:r>
        <w:rPr>
          <w:noProof/>
          <w:color w:val="000000" w:themeColor="text1"/>
        </w:rPr>
        <w:t>, totalling €15 billion of Foreign Direct Investment (FDI) stocks in 2017.</w:t>
      </w:r>
      <w:r>
        <w:rPr>
          <w:noProof/>
          <w:color w:val="0070C0"/>
        </w:rPr>
        <w:t xml:space="preserve"> </w:t>
      </w:r>
      <w:r>
        <w:rPr>
          <w:noProof/>
          <w:color w:val="000000" w:themeColor="text1"/>
        </w:rPr>
        <w:t>According to Colombian statistics, EU FDI accounted for 39% of the total FDI inflows to Colombia in 2018. Colombian FDI stocks in the EU increased by 33% since 2016, totalling €4.6 billion in 2017,</w:t>
      </w:r>
      <w:r>
        <w:rPr>
          <w:noProof/>
          <w:color w:val="0070C0"/>
        </w:rPr>
        <w:t xml:space="preserve"> </w:t>
      </w:r>
      <w:r>
        <w:rPr>
          <w:noProof/>
          <w:color w:val="000000" w:themeColor="text1"/>
        </w:rPr>
        <w:t xml:space="preserve">and according to Colombian statistics, 31% of its outward flows went to the EU in 2018. </w:t>
      </w:r>
    </w:p>
    <w:p>
      <w:pPr>
        <w:jc w:val="both"/>
        <w:rPr>
          <w:noProof/>
          <w:color w:val="000000" w:themeColor="text1"/>
        </w:rPr>
      </w:pPr>
    </w:p>
    <w:p>
      <w:pPr>
        <w:jc w:val="both"/>
        <w:rPr>
          <w:b/>
          <w:noProof/>
          <w:u w:val="single"/>
        </w:rPr>
      </w:pPr>
      <w:r>
        <w:rPr>
          <w:b/>
          <w:noProof/>
          <w:u w:val="single"/>
        </w:rPr>
        <w:t xml:space="preserve">Peru </w:t>
      </w:r>
    </w:p>
    <w:p>
      <w:pPr>
        <w:jc w:val="both"/>
        <w:rPr>
          <w:noProof/>
        </w:rPr>
      </w:pPr>
    </w:p>
    <w:p>
      <w:pPr>
        <w:jc w:val="both"/>
        <w:rPr>
          <w:noProof/>
        </w:rPr>
      </w:pPr>
      <w:r>
        <w:rPr>
          <w:noProof/>
        </w:rPr>
        <w:t xml:space="preserve">The EU is according to Peruvian statistics the </w:t>
      </w:r>
      <w:r>
        <w:rPr>
          <w:b/>
          <w:noProof/>
        </w:rPr>
        <w:t>first foreign investor in Peru</w:t>
      </w:r>
      <w:r>
        <w:rPr>
          <w:noProof/>
        </w:rPr>
        <w:t xml:space="preserve">. EU FDI stocks in Peru slightly decreased (-1%) between 2016 and 2017, totalling €16.6 billion in 2017. Between 2013 and 2014 total EU FDI stocks in Peru increased by 74%. </w:t>
      </w:r>
    </w:p>
    <w:p>
      <w:pPr>
        <w:jc w:val="both"/>
        <w:rPr>
          <w:noProof/>
        </w:rPr>
      </w:pPr>
    </w:p>
    <w:p>
      <w:pPr>
        <w:jc w:val="both"/>
        <w:rPr>
          <w:noProof/>
        </w:rPr>
      </w:pPr>
      <w:r>
        <w:rPr>
          <w:noProof/>
        </w:rPr>
        <w:t xml:space="preserve">Peru’s FDI stocks in the EU increased by 21% compared to 2016 totalling €3.4 billion in 2017. </w:t>
      </w:r>
    </w:p>
    <w:p>
      <w:pPr>
        <w:jc w:val="both"/>
        <w:rPr>
          <w:b/>
          <w:noProof/>
          <w:u w:val="single"/>
        </w:rPr>
      </w:pPr>
    </w:p>
    <w:p>
      <w:pPr>
        <w:jc w:val="both"/>
        <w:rPr>
          <w:b/>
          <w:noProof/>
          <w:u w:val="single"/>
        </w:rPr>
      </w:pPr>
      <w:r>
        <w:rPr>
          <w:b/>
          <w:noProof/>
          <w:u w:val="single"/>
        </w:rPr>
        <w:t>Ecuador</w:t>
      </w:r>
    </w:p>
    <w:p>
      <w:pPr>
        <w:jc w:val="both"/>
        <w:rPr>
          <w:b/>
          <w:noProof/>
        </w:rPr>
      </w:pPr>
    </w:p>
    <w:p>
      <w:pPr>
        <w:jc w:val="both"/>
        <w:rPr>
          <w:noProof/>
        </w:rPr>
      </w:pPr>
      <w:r>
        <w:rPr>
          <w:noProof/>
        </w:rPr>
        <w:t xml:space="preserve">In 2017, EU FDI stocks have remained constant at €5.12 billion compared to 2016. According to Ecuador´s Central Bank statistics, in 2017, the EU was the first foreign investor, accounting for 32% of total FDI inflows into Ecuador.  </w:t>
      </w:r>
    </w:p>
    <w:p>
      <w:pPr>
        <w:pStyle w:val="ManualHeading1"/>
      </w:pPr>
      <w:bookmarkStart w:id="340" w:name="_Toc8833468"/>
      <w:bookmarkStart w:id="341" w:name="_Toc8835295"/>
      <w:bookmarkStart w:id="342" w:name="_Toc8833925"/>
      <w:bookmarkStart w:id="343" w:name="_Toc8909388"/>
      <w:bookmarkStart w:id="344" w:name="_Toc8910600"/>
      <w:bookmarkStart w:id="345" w:name="_Toc8911637"/>
      <w:bookmarkStart w:id="346" w:name="_Toc8974435"/>
      <w:bookmarkStart w:id="347" w:name="_Toc9008111"/>
      <w:bookmarkStart w:id="348" w:name="_Toc9008064"/>
      <w:bookmarkStart w:id="349" w:name="_Toc9348510"/>
      <w:bookmarkStart w:id="350" w:name="_Toc9607962"/>
      <w:bookmarkStart w:id="351" w:name="_Toc16000538"/>
      <w:r>
        <w:t>3</w:t>
      </w:r>
      <w:r>
        <w:tab/>
        <w:t>Activities of the implementation bodies</w:t>
      </w:r>
      <w:bookmarkEnd w:id="340"/>
      <w:bookmarkEnd w:id="341"/>
      <w:bookmarkEnd w:id="342"/>
      <w:bookmarkEnd w:id="343"/>
      <w:bookmarkEnd w:id="344"/>
      <w:bookmarkEnd w:id="345"/>
      <w:bookmarkEnd w:id="346"/>
      <w:bookmarkEnd w:id="347"/>
      <w:bookmarkEnd w:id="348"/>
      <w:bookmarkEnd w:id="349"/>
      <w:bookmarkEnd w:id="350"/>
      <w:bookmarkEnd w:id="351"/>
    </w:p>
    <w:p>
      <w:pPr>
        <w:jc w:val="both"/>
        <w:rPr>
          <w:rFonts w:eastAsia="Times New Roman"/>
          <w:noProof/>
        </w:rPr>
      </w:pPr>
      <w:bookmarkStart w:id="352" w:name="_Toc9008112"/>
      <w:bookmarkStart w:id="353" w:name="_Toc9008065"/>
      <w:bookmarkStart w:id="354" w:name="_Toc9348511"/>
      <w:r>
        <w:rPr>
          <w:rFonts w:eastAsia="Times New Roman"/>
          <w:noProof/>
        </w:rPr>
        <w:t xml:space="preserve">The fifth meeting of the </w:t>
      </w:r>
      <w:r>
        <w:rPr>
          <w:rFonts w:eastAsia="Times New Roman"/>
          <w:b/>
          <w:noProof/>
        </w:rPr>
        <w:t>Trade Committee</w:t>
      </w:r>
      <w:r>
        <w:rPr>
          <w:rFonts w:eastAsia="Times New Roman"/>
          <w:noProof/>
        </w:rPr>
        <w:t xml:space="preserve"> took place on 13 and 14 December 2018 in Quito (Ecuador). It was preceded between 29 November and 12 December 2018 by meetings of all </w:t>
      </w:r>
      <w:r>
        <w:rPr>
          <w:rFonts w:eastAsia="Times New Roman"/>
          <w:b/>
          <w:noProof/>
        </w:rPr>
        <w:t>8 Sub-committees</w:t>
      </w:r>
      <w:r>
        <w:rPr>
          <w:rFonts w:eastAsia="Times New Roman"/>
          <w:noProof/>
        </w:rPr>
        <w:t xml:space="preserve"> under the Agreement. </w:t>
      </w:r>
    </w:p>
    <w:p>
      <w:pPr>
        <w:keepNext/>
        <w:spacing w:before="360"/>
        <w:jc w:val="both"/>
        <w:outlineLvl w:val="3"/>
        <w:rPr>
          <w:rFonts w:eastAsia="Calibri"/>
          <w:b/>
          <w:i/>
          <w:noProof/>
        </w:rPr>
      </w:pPr>
      <w:r>
        <w:rPr>
          <w:rFonts w:eastAsia="Calibri"/>
          <w:b/>
          <w:i/>
          <w:noProof/>
        </w:rPr>
        <w:t xml:space="preserve">Trade Committee </w:t>
      </w:r>
    </w:p>
    <w:p>
      <w:pPr>
        <w:keepNext/>
        <w:jc w:val="both"/>
        <w:rPr>
          <w:noProof/>
        </w:rPr>
      </w:pPr>
    </w:p>
    <w:p>
      <w:pPr>
        <w:keepNext/>
        <w:jc w:val="both"/>
        <w:rPr>
          <w:noProof/>
        </w:rPr>
      </w:pPr>
      <w:r>
        <w:rPr>
          <w:noProof/>
        </w:rPr>
        <w:t xml:space="preserve">The EU and Colombia signed a Decision to include nine new Colombian geographic indications (GIs) to the </w:t>
      </w:r>
      <w:hyperlink r:id="rId27" w:history="1">
        <w:r>
          <w:rPr>
            <w:rStyle w:val="Hyperlink"/>
            <w:noProof/>
          </w:rPr>
          <w:t>Annex of the Trade Agreement</w:t>
        </w:r>
      </w:hyperlink>
      <w:r>
        <w:rPr>
          <w:noProof/>
        </w:rPr>
        <w:t>. This is the first time since the provisional application of the Agreement.</w:t>
      </w:r>
    </w:p>
    <w:p>
      <w:pPr>
        <w:jc w:val="both"/>
        <w:rPr>
          <w:noProof/>
        </w:rPr>
      </w:pPr>
    </w:p>
    <w:p>
      <w:pPr>
        <w:jc w:val="both"/>
        <w:rPr>
          <w:rFonts w:eastAsia="Times New Roman"/>
          <w:noProof/>
          <w:color w:val="000000"/>
        </w:rPr>
      </w:pPr>
      <w:r>
        <w:rPr>
          <w:noProof/>
        </w:rPr>
        <w:t xml:space="preserve">The Trade Committee was able to take stock of progress achieved in the eight Sub-committees. The EU reiterated some of its main concerns, notably: with </w:t>
      </w:r>
      <w:r>
        <w:rPr>
          <w:b/>
          <w:noProof/>
        </w:rPr>
        <w:t>Colombia</w:t>
      </w:r>
      <w:r>
        <w:rPr>
          <w:noProof/>
        </w:rPr>
        <w:t xml:space="preserve">, the imposition of anti-dumping duties against frozen potatoes from Belgium, Germany and the Netherlands, </w:t>
      </w:r>
      <w:r>
        <w:rPr>
          <w:rFonts w:eastAsia="Times New Roman"/>
          <w:noProof/>
          <w:color w:val="000000"/>
        </w:rPr>
        <w:t xml:space="preserve">the </w:t>
      </w:r>
      <w:r>
        <w:rPr>
          <w:rFonts w:eastAsia="Times New Roman"/>
          <w:i/>
          <w:noProof/>
          <w:color w:val="000000"/>
        </w:rPr>
        <w:t>de facto</w:t>
      </w:r>
      <w:r>
        <w:rPr>
          <w:rFonts w:eastAsia="Times New Roman"/>
          <w:noProof/>
          <w:color w:val="000000"/>
        </w:rPr>
        <w:t xml:space="preserve"> lack of access to sub-central entities despite the signature of the Decision of the Trade Committee in 2017, the backtracking on truck scrappage policy with the six-month extension of its elimination, and discriminatory measures on alcoholic beverages (beers and spirits); with </w:t>
      </w:r>
      <w:r>
        <w:rPr>
          <w:rFonts w:eastAsia="Times New Roman"/>
          <w:b/>
          <w:noProof/>
          <w:color w:val="000000"/>
        </w:rPr>
        <w:t>Peru</w:t>
      </w:r>
      <w:r>
        <w:rPr>
          <w:rFonts w:eastAsia="Times New Roman"/>
          <w:noProof/>
          <w:color w:val="000000"/>
        </w:rPr>
        <w:t xml:space="preserve">, the </w:t>
      </w:r>
      <w:r>
        <w:rPr>
          <w:noProof/>
        </w:rPr>
        <w:t xml:space="preserve">continued discrimination of imported spirits in Peru, the lack of enforcement for EU GIs and cumbersome procedures to facilitate </w:t>
      </w:r>
      <w:r>
        <w:rPr>
          <w:rFonts w:eastAsia="Times New Roman"/>
          <w:noProof/>
          <w:color w:val="000000"/>
        </w:rPr>
        <w:t>imports of medical devices and medicines from the EU</w:t>
      </w:r>
      <w:r>
        <w:rPr>
          <w:noProof/>
        </w:rPr>
        <w:t xml:space="preserve">; with </w:t>
      </w:r>
      <w:r>
        <w:rPr>
          <w:b/>
          <w:noProof/>
        </w:rPr>
        <w:t>Ecuador</w:t>
      </w:r>
      <w:r>
        <w:rPr>
          <w:noProof/>
        </w:rPr>
        <w:t xml:space="preserve">, </w:t>
      </w:r>
      <w:r>
        <w:rPr>
          <w:rFonts w:eastAsia="Times New Roman"/>
          <w:noProof/>
          <w:color w:val="000000"/>
        </w:rPr>
        <w:t xml:space="preserve">the discriminatory treatment for imported alcoholic beverages, and trade-restrictive management of tariff-rate quotas (TRQs). </w:t>
      </w:r>
    </w:p>
    <w:p>
      <w:pPr>
        <w:jc w:val="both"/>
        <w:rPr>
          <w:rFonts w:eastAsia="Times New Roman"/>
          <w:noProof/>
          <w:color w:val="000000"/>
        </w:rPr>
      </w:pPr>
    </w:p>
    <w:p>
      <w:pPr>
        <w:jc w:val="both"/>
        <w:rPr>
          <w:rFonts w:eastAsia="Times New Roman"/>
          <w:noProof/>
          <w:color w:val="000000"/>
        </w:rPr>
      </w:pPr>
      <w:r>
        <w:rPr>
          <w:rFonts w:eastAsia="Times New Roman"/>
          <w:noProof/>
          <w:color w:val="000000"/>
        </w:rPr>
        <w:t xml:space="preserve">The EU also expressed concerns on slow progress on </w:t>
      </w:r>
      <w:r>
        <w:rPr>
          <w:rFonts w:eastAsia="Times New Roman"/>
          <w:b/>
          <w:noProof/>
          <w:color w:val="000000"/>
        </w:rPr>
        <w:t xml:space="preserve">SPS matters </w:t>
      </w:r>
      <w:r>
        <w:rPr>
          <w:rFonts w:eastAsia="Times New Roman"/>
          <w:noProof/>
          <w:color w:val="000000"/>
        </w:rPr>
        <w:t>with the three countries</w:t>
      </w:r>
      <w:r>
        <w:rPr>
          <w:rFonts w:eastAsia="Times New Roman"/>
          <w:b/>
          <w:noProof/>
          <w:color w:val="000000"/>
        </w:rPr>
        <w:t>,</w:t>
      </w:r>
      <w:r>
        <w:rPr>
          <w:rFonts w:eastAsia="Times New Roman"/>
          <w:noProof/>
          <w:color w:val="000000"/>
        </w:rPr>
        <w:t xml:space="preserve"> notably </w:t>
      </w:r>
      <w:r>
        <w:rPr>
          <w:noProof/>
        </w:rPr>
        <w:t xml:space="preserve">on the approval of harmonised procedures (certificates and prelisting) or long delays or deviations from international standards attributed to Community of Andean Nations legislation and procedures. </w:t>
      </w:r>
      <w:r>
        <w:rPr>
          <w:rFonts w:eastAsia="Times New Roman"/>
          <w:noProof/>
          <w:color w:val="000000"/>
        </w:rPr>
        <w:t>The EU called specifically upon Colombia to progress or lift trade restrictions imposed on Belgium over outbreaks of African Swine Fever in wild boars.</w:t>
      </w:r>
    </w:p>
    <w:p>
      <w:pPr>
        <w:jc w:val="both"/>
        <w:rPr>
          <w:rFonts w:eastAsia="Times New Roman"/>
          <w:noProof/>
          <w:color w:val="000000"/>
        </w:rPr>
      </w:pPr>
    </w:p>
    <w:p>
      <w:pPr>
        <w:jc w:val="both"/>
        <w:rPr>
          <w:noProof/>
        </w:rPr>
      </w:pPr>
      <w:r>
        <w:rPr>
          <w:noProof/>
        </w:rPr>
        <w:t xml:space="preserve">The EU called for more constructive engagement from the three Andean countries to change their provisions defining </w:t>
      </w:r>
      <w:r>
        <w:rPr>
          <w:b/>
          <w:noProof/>
        </w:rPr>
        <w:t>direct transport</w:t>
      </w:r>
      <w:r>
        <w:rPr>
          <w:noProof/>
        </w:rPr>
        <w:t xml:space="preserve"> to allow for the splitting of consignments for products transiting a third country. </w:t>
      </w:r>
    </w:p>
    <w:p>
      <w:pPr>
        <w:jc w:val="both"/>
        <w:rPr>
          <w:noProof/>
        </w:rPr>
      </w:pPr>
    </w:p>
    <w:p>
      <w:pPr>
        <w:jc w:val="both"/>
        <w:rPr>
          <w:rFonts w:eastAsia="Times New Roman"/>
          <w:noProof/>
          <w:color w:val="000000"/>
        </w:rPr>
      </w:pPr>
      <w:r>
        <w:rPr>
          <w:b/>
          <w:noProof/>
        </w:rPr>
        <w:t>Colombia, Peru and Ecuador</w:t>
      </w:r>
      <w:r>
        <w:rPr>
          <w:noProof/>
        </w:rPr>
        <w:t xml:space="preserve"> raised concerns about the potential impact of some EU </w:t>
      </w:r>
      <w:r>
        <w:rPr>
          <w:b/>
          <w:noProof/>
        </w:rPr>
        <w:t>SPS measures</w:t>
      </w:r>
      <w:r>
        <w:rPr>
          <w:noProof/>
        </w:rPr>
        <w:t xml:space="preserve"> on their exports of agricultural products. They also showed interest to examine in 2019 the </w:t>
      </w:r>
      <w:r>
        <w:rPr>
          <w:rFonts w:eastAsia="Times New Roman"/>
          <w:noProof/>
          <w:color w:val="000000"/>
        </w:rPr>
        <w:t>improvement of tariff liberalisation for bananas pursuant to the clause in the agreement.</w:t>
      </w:r>
      <w:r>
        <w:rPr>
          <w:noProof/>
        </w:rPr>
        <w:t xml:space="preserve"> They </w:t>
      </w:r>
      <w:r>
        <w:rPr>
          <w:rFonts w:eastAsia="Times New Roman"/>
          <w:noProof/>
          <w:color w:val="000000"/>
        </w:rPr>
        <w:t xml:space="preserve">expressed concerns about the recent increase of the autonomous TRQs for tuna and shrimps, which they consider to erode their preferences. </w:t>
      </w:r>
      <w:r>
        <w:rPr>
          <w:noProof/>
        </w:rPr>
        <w:t xml:space="preserve">Colombia and Ecuador </w:t>
      </w:r>
      <w:r>
        <w:rPr>
          <w:rFonts w:eastAsia="Times New Roman"/>
          <w:noProof/>
          <w:color w:val="000000"/>
        </w:rPr>
        <w:t xml:space="preserve">conveyed their preoccupations about EU legislative activities that they consider may affect their exports of palm oil to the EU.  </w:t>
      </w:r>
    </w:p>
    <w:p>
      <w:pPr>
        <w:jc w:val="both"/>
        <w:rPr>
          <w:noProof/>
        </w:rPr>
      </w:pPr>
    </w:p>
    <w:p>
      <w:pPr>
        <w:jc w:val="both"/>
        <w:rPr>
          <w:noProof/>
        </w:rPr>
      </w:pPr>
      <w:r>
        <w:rPr>
          <w:noProof/>
          <w:lang w:val="en-US"/>
        </w:rPr>
        <w:t xml:space="preserve">The EU gave an update on the state of ratification process in EU Member States of both the Agreement and the Protocol of Accession of Ecuador. Colombia informed about the ratification process regarding the Protocol to the Agreement to take account of the accession of the Republic of Croatia to the European Union. </w:t>
      </w:r>
    </w:p>
    <w:p>
      <w:pPr>
        <w:keepNext/>
        <w:spacing w:before="360"/>
        <w:jc w:val="both"/>
        <w:outlineLvl w:val="3"/>
        <w:rPr>
          <w:rFonts w:eastAsia="Calibri"/>
          <w:b/>
          <w:i/>
          <w:noProof/>
        </w:rPr>
      </w:pPr>
      <w:r>
        <w:rPr>
          <w:rFonts w:eastAsia="Calibri"/>
          <w:b/>
          <w:i/>
          <w:noProof/>
        </w:rPr>
        <w:t xml:space="preserve">Sub-Committee on Customs, Trade Facilitation and Rules of Origin </w:t>
      </w:r>
    </w:p>
    <w:p>
      <w:pPr>
        <w:jc w:val="both"/>
        <w:rPr>
          <w:noProof/>
          <w:lang w:val="en-US"/>
        </w:rPr>
      </w:pPr>
      <w:r>
        <w:rPr>
          <w:noProof/>
          <w:lang w:val="en-US"/>
        </w:rPr>
        <w:br/>
        <w:t xml:space="preserve">The two main issues discussed were the following: </w:t>
      </w:r>
    </w:p>
    <w:p>
      <w:pPr>
        <w:jc w:val="both"/>
        <w:rPr>
          <w:noProof/>
          <w:lang w:val="en-US"/>
        </w:rPr>
      </w:pPr>
    </w:p>
    <w:p>
      <w:pPr>
        <w:jc w:val="both"/>
        <w:rPr>
          <w:noProof/>
          <w:lang w:val="en-US"/>
        </w:rPr>
      </w:pPr>
      <w:r>
        <w:rPr>
          <w:noProof/>
          <w:lang w:val="en-US"/>
        </w:rPr>
        <w:t>The EU raised the update of the rule on Direct Transport with a view to allowing the splitting of consignments for originating goods transiting regional transport hubs in third countries. Unfortunately, no agreement could be reached on moving forward on this point.</w:t>
      </w:r>
    </w:p>
    <w:p>
      <w:pPr>
        <w:jc w:val="both"/>
        <w:rPr>
          <w:noProof/>
          <w:lang w:val="en-US"/>
        </w:rPr>
      </w:pPr>
    </w:p>
    <w:p>
      <w:pPr>
        <w:jc w:val="both"/>
        <w:rPr>
          <w:noProof/>
          <w:lang w:val="en-US"/>
        </w:rPr>
      </w:pPr>
      <w:r>
        <w:rPr>
          <w:noProof/>
          <w:lang w:val="en-US"/>
        </w:rPr>
        <w:t>For regional cumulation between the Andean countries and Central America, the parties discussed the requirement for adequate customs cooperation agreements. The two regions are in the process of finalising a region to region agreement to re-establish the agreement that existed under the Generalised System of Preference (GSP).</w:t>
      </w:r>
    </w:p>
    <w:p>
      <w:pPr>
        <w:keepNext/>
        <w:spacing w:before="360"/>
        <w:jc w:val="both"/>
        <w:outlineLvl w:val="3"/>
        <w:rPr>
          <w:rFonts w:eastAsia="Calibri"/>
          <w:b/>
          <w:i/>
          <w:noProof/>
        </w:rPr>
      </w:pPr>
      <w:r>
        <w:rPr>
          <w:rFonts w:eastAsia="Calibri"/>
          <w:b/>
          <w:i/>
          <w:noProof/>
        </w:rPr>
        <w:t>Sub-Committee on Government Procurement</w:t>
      </w:r>
    </w:p>
    <w:p>
      <w:pPr>
        <w:jc w:val="both"/>
        <w:rPr>
          <w:noProof/>
        </w:rPr>
      </w:pPr>
    </w:p>
    <w:p>
      <w:pPr>
        <w:jc w:val="both"/>
        <w:rPr>
          <w:noProof/>
          <w:color w:val="000000" w:themeColor="text1"/>
        </w:rPr>
      </w:pPr>
      <w:r>
        <w:rPr>
          <w:noProof/>
        </w:rPr>
        <w:t xml:space="preserve">The EU raised concerns on the interpretation by </w:t>
      </w:r>
      <w:r>
        <w:rPr>
          <w:b/>
          <w:noProof/>
        </w:rPr>
        <w:t>Colombia</w:t>
      </w:r>
      <w:r>
        <w:rPr>
          <w:noProof/>
        </w:rPr>
        <w:t xml:space="preserve"> of the Decision 1/2017 of the Trade Committee adopted in November 2017 on the coverage by </w:t>
      </w:r>
      <w:r>
        <w:rPr>
          <w:noProof/>
          <w:color w:val="000000" w:themeColor="text1"/>
        </w:rPr>
        <w:t xml:space="preserve">Colombia of some government procurement contracts at municipal level. As a result of Colombia’s interpretation of the exemption related to sub-central contracting entities with industrial and commercial character, EU companies are not granted national treatment in public procurement procedures in those contracts. This impacted the EU participation in major infrastructure projects in Colombia such as metros and hospitals and </w:t>
      </w:r>
      <w:r>
        <w:rPr>
          <w:rFonts w:eastAsia="Times New Roman"/>
          <w:noProof/>
          <w:color w:val="000000"/>
        </w:rPr>
        <w:t>pressed Colombia to find a solution to remedy the situation and meet the legitimate EU expectations.</w:t>
      </w:r>
      <w:r>
        <w:rPr>
          <w:noProof/>
          <w:color w:val="000000" w:themeColor="text1"/>
        </w:rPr>
        <w:t xml:space="preserve"> Colombia and the EU agreed to work towards a mutually agreeable solution on this issue.</w:t>
      </w:r>
    </w:p>
    <w:p>
      <w:pPr>
        <w:jc w:val="both"/>
        <w:rPr>
          <w:noProof/>
        </w:rPr>
      </w:pPr>
    </w:p>
    <w:p>
      <w:pPr>
        <w:jc w:val="both"/>
        <w:rPr>
          <w:rFonts w:eastAsia="Calibri"/>
          <w:b/>
          <w:i/>
          <w:noProof/>
          <w:lang w:val="en-IE"/>
        </w:rPr>
      </w:pPr>
      <w:r>
        <w:rPr>
          <w:noProof/>
        </w:rPr>
        <w:t>The Andean countries expressed their interest in exchanging information on the functioning of the EU public procurement platform SIMAP-TED, in order to facilitate the identification of business opportunities for Andean economic operators in the EU public procurement market.</w:t>
      </w:r>
    </w:p>
    <w:p>
      <w:pPr>
        <w:keepNext/>
        <w:spacing w:before="360"/>
        <w:jc w:val="both"/>
        <w:outlineLvl w:val="3"/>
        <w:rPr>
          <w:rFonts w:eastAsia="Calibri"/>
          <w:b/>
          <w:i/>
          <w:noProof/>
        </w:rPr>
      </w:pPr>
      <w:r>
        <w:rPr>
          <w:rFonts w:eastAsia="Calibri"/>
          <w:b/>
          <w:i/>
          <w:noProof/>
        </w:rPr>
        <w:t>Sub-Committee on Technical Barriers to Trade (TBT)</w:t>
      </w:r>
    </w:p>
    <w:p>
      <w:pPr>
        <w:jc w:val="both"/>
        <w:rPr>
          <w:noProof/>
          <w:color w:val="000000" w:themeColor="text1"/>
        </w:rPr>
      </w:pPr>
    </w:p>
    <w:p>
      <w:pPr>
        <w:jc w:val="both"/>
        <w:rPr>
          <w:noProof/>
          <w:color w:val="000000" w:themeColor="text1"/>
        </w:rPr>
      </w:pPr>
      <w:r>
        <w:rPr>
          <w:noProof/>
          <w:color w:val="000000" w:themeColor="text1"/>
        </w:rPr>
        <w:t xml:space="preserve">With regard to </w:t>
      </w:r>
      <w:r>
        <w:rPr>
          <w:b/>
          <w:noProof/>
          <w:color w:val="000000" w:themeColor="text1"/>
        </w:rPr>
        <w:t>Peru</w:t>
      </w:r>
      <w:r>
        <w:rPr>
          <w:noProof/>
          <w:color w:val="000000" w:themeColor="text1"/>
        </w:rPr>
        <w:t xml:space="preserve">, the EU reiterated its concerns about the lack of recognition by Peru of all Member States as having ‘strong health monitoring’ (“Alta Vigilancia Sanitaria”), as it facilitates the recognition of their certification for pharmaceutical and medical devices products to be exported to Peru. </w:t>
      </w:r>
    </w:p>
    <w:p>
      <w:pPr>
        <w:jc w:val="both"/>
        <w:rPr>
          <w:noProof/>
          <w:color w:val="000000" w:themeColor="text1"/>
        </w:rPr>
      </w:pPr>
    </w:p>
    <w:p>
      <w:pPr>
        <w:jc w:val="both"/>
        <w:rPr>
          <w:rFonts w:eastAsia="Calibri"/>
          <w:b/>
          <w:i/>
          <w:noProof/>
          <w:color w:val="000000" w:themeColor="text1"/>
        </w:rPr>
      </w:pPr>
      <w:r>
        <w:rPr>
          <w:noProof/>
          <w:color w:val="000000" w:themeColor="text1"/>
        </w:rPr>
        <w:t>Colombia, Ecuador and Peru expressed their concerns as regards EU legislation on endocrine disruptors. Colombia and Ecuador raised concerns about EU legislation on renewable energy that, in their view, may have a negative impact on their exports of palm oil to the EU.</w:t>
      </w:r>
    </w:p>
    <w:p>
      <w:pPr>
        <w:keepNext/>
        <w:spacing w:before="360"/>
        <w:jc w:val="both"/>
        <w:outlineLvl w:val="3"/>
        <w:rPr>
          <w:rFonts w:eastAsia="Calibri"/>
          <w:b/>
          <w:i/>
          <w:noProof/>
        </w:rPr>
      </w:pPr>
      <w:r>
        <w:rPr>
          <w:rFonts w:eastAsia="Calibri"/>
          <w:b/>
          <w:i/>
          <w:noProof/>
        </w:rPr>
        <w:t>Sub-Committee on Sanitary and Phytosanitary matters (SPS)</w:t>
      </w:r>
    </w:p>
    <w:p>
      <w:pPr>
        <w:jc w:val="both"/>
        <w:rPr>
          <w:noProof/>
        </w:rPr>
      </w:pPr>
    </w:p>
    <w:p>
      <w:pPr>
        <w:jc w:val="both"/>
        <w:rPr>
          <w:noProof/>
        </w:rPr>
      </w:pPr>
      <w:r>
        <w:rPr>
          <w:noProof/>
        </w:rPr>
        <w:t>For the EU, the main offensive points were to make progress on the approval of harmonised certificates, to obtain the lifting or progress concerning trade restrictions imposed by Colombia on Belgium over outbreaks of African Swine Fever in wild boars, and ensuring that the Agreement’s provisions on communication, emergency measures and regionalization for animal diseases are respected.</w:t>
      </w:r>
    </w:p>
    <w:p>
      <w:pPr>
        <w:jc w:val="both"/>
        <w:rPr>
          <w:noProof/>
        </w:rPr>
      </w:pPr>
    </w:p>
    <w:p>
      <w:pPr>
        <w:jc w:val="both"/>
        <w:rPr>
          <w:noProof/>
        </w:rPr>
      </w:pPr>
      <w:r>
        <w:rPr>
          <w:noProof/>
        </w:rPr>
        <w:t xml:space="preserve">The EU also pushed for progress on several market access applications, for which Colombia, Ecuador and Peru refer to SPS legislation (or procedures) at Community of Andean Nations (CAN) level to justify long delays or deviations from international standards. While respecting the role of CAN, the EU insisted that the provisions of the Agreement and international standards must be complied with. </w:t>
      </w:r>
    </w:p>
    <w:p>
      <w:pPr>
        <w:jc w:val="both"/>
        <w:rPr>
          <w:noProof/>
        </w:rPr>
      </w:pPr>
    </w:p>
    <w:p>
      <w:pPr>
        <w:jc w:val="both"/>
        <w:rPr>
          <w:noProof/>
        </w:rPr>
      </w:pPr>
      <w:r>
        <w:rPr>
          <w:noProof/>
        </w:rPr>
        <w:t>Peru, Colombia and Ecuador reiterated their concerns on issues already raised bilaterally or multilaterally in other fora (for example, Codex, WTO SPS Committee, etc.), in particular the EU measures for maximum levels of cadmium in some cocoa-based products (e.g. chocolates), the ongoing revision of the maximum residue limits (MRLs) for some pesticides, the legislative framework on endocrine disruptors and the approval procedure for novel food.</w:t>
      </w:r>
    </w:p>
    <w:p>
      <w:pPr>
        <w:jc w:val="both"/>
        <w:rPr>
          <w:noProof/>
        </w:rPr>
      </w:pPr>
      <w:r>
        <w:rPr>
          <w:noProof/>
        </w:rPr>
        <w:t>Both sides agreed on an agenda and actions plans for the main points. Finally, the Andean countries presented several requests for technical assistance.</w:t>
      </w:r>
    </w:p>
    <w:p>
      <w:pPr>
        <w:keepNext/>
        <w:spacing w:before="360"/>
        <w:jc w:val="both"/>
        <w:outlineLvl w:val="3"/>
        <w:rPr>
          <w:rFonts w:eastAsia="Calibri"/>
          <w:b/>
          <w:i/>
          <w:noProof/>
        </w:rPr>
      </w:pPr>
      <w:r>
        <w:rPr>
          <w:rFonts w:eastAsia="Calibri"/>
          <w:b/>
          <w:i/>
          <w:noProof/>
        </w:rPr>
        <w:t>Agricultural Sub-Committee</w:t>
      </w:r>
    </w:p>
    <w:p>
      <w:pPr>
        <w:jc w:val="both"/>
        <w:rPr>
          <w:noProof/>
        </w:rPr>
      </w:pPr>
    </w:p>
    <w:p>
      <w:pPr>
        <w:jc w:val="both"/>
        <w:rPr>
          <w:noProof/>
        </w:rPr>
      </w:pPr>
      <w:r>
        <w:rPr>
          <w:noProof/>
        </w:rPr>
        <w:t>The Parties exchanged information on the trade flows in agri-food trade (including the use of preferences and of tariff-rate quotas) and on the implementation of the Banana Stabilisation Mechanism.</w:t>
      </w:r>
    </w:p>
    <w:p>
      <w:pPr>
        <w:jc w:val="both"/>
        <w:rPr>
          <w:noProof/>
        </w:rPr>
      </w:pPr>
    </w:p>
    <w:p>
      <w:pPr>
        <w:jc w:val="both"/>
        <w:rPr>
          <w:noProof/>
        </w:rPr>
      </w:pPr>
      <w:r>
        <w:rPr>
          <w:noProof/>
        </w:rPr>
        <w:t xml:space="preserve">Concerning </w:t>
      </w:r>
      <w:r>
        <w:rPr>
          <w:b/>
          <w:noProof/>
        </w:rPr>
        <w:t>Colombia</w:t>
      </w:r>
      <w:r>
        <w:rPr>
          <w:noProof/>
        </w:rPr>
        <w:t xml:space="preserve">, the EU expressed concerns on the methodology for the calculation of retail prices on alcoholic beverages, as well as about a new certification of Good Manufacturing Practices, which - if adopted - could impose additional requirements affecting EU exports. With </w:t>
      </w:r>
      <w:r>
        <w:rPr>
          <w:b/>
          <w:noProof/>
        </w:rPr>
        <w:t>Ecuador</w:t>
      </w:r>
      <w:r>
        <w:rPr>
          <w:noProof/>
        </w:rPr>
        <w:t xml:space="preserve">, the EU raised concerns about the system in place for granting import licences and the administration of tariff-rate quotas. With </w:t>
      </w:r>
      <w:r>
        <w:rPr>
          <w:b/>
          <w:noProof/>
        </w:rPr>
        <w:t>Peru</w:t>
      </w:r>
      <w:r>
        <w:rPr>
          <w:noProof/>
        </w:rPr>
        <w:t xml:space="preserve">, the EU raised concerns on the longstanding tax discrimination against spirits aggravated and invited Peru to take appropriate action. </w:t>
      </w:r>
    </w:p>
    <w:p>
      <w:pPr>
        <w:jc w:val="both"/>
        <w:rPr>
          <w:noProof/>
        </w:rPr>
      </w:pPr>
    </w:p>
    <w:p>
      <w:pPr>
        <w:jc w:val="both"/>
        <w:rPr>
          <w:noProof/>
        </w:rPr>
      </w:pPr>
      <w:r>
        <w:rPr>
          <w:b/>
          <w:noProof/>
        </w:rPr>
        <w:t>Colombia and Ecuador</w:t>
      </w:r>
      <w:r>
        <w:rPr>
          <w:noProof/>
        </w:rPr>
        <w:t xml:space="preserve"> expressed concerns on legislative developments in the EU that may affect their exports of palm oil as well as concerning production of cacao and coffee. They also reiterated their interest to negotiate with the EU bilateral agreements on organic production.</w:t>
      </w:r>
    </w:p>
    <w:p>
      <w:pPr>
        <w:keepNext/>
        <w:spacing w:before="360"/>
        <w:jc w:val="both"/>
        <w:outlineLvl w:val="3"/>
        <w:rPr>
          <w:rFonts w:eastAsia="Calibri"/>
          <w:b/>
          <w:i/>
          <w:noProof/>
        </w:rPr>
      </w:pPr>
      <w:r>
        <w:rPr>
          <w:rFonts w:eastAsia="Calibri"/>
          <w:b/>
          <w:i/>
          <w:noProof/>
        </w:rPr>
        <w:t>Sub-Committee on Intellectual Property Rights</w:t>
      </w:r>
    </w:p>
    <w:p>
      <w:pPr>
        <w:jc w:val="both"/>
        <w:rPr>
          <w:rFonts w:eastAsia="Times New Roman"/>
          <w:noProof/>
        </w:rPr>
      </w:pPr>
    </w:p>
    <w:p>
      <w:pPr>
        <w:jc w:val="both"/>
        <w:rPr>
          <w:rFonts w:eastAsia="Times New Roman"/>
          <w:noProof/>
        </w:rPr>
      </w:pPr>
      <w:r>
        <w:rPr>
          <w:rFonts w:eastAsia="Times New Roman"/>
          <w:noProof/>
        </w:rPr>
        <w:t xml:space="preserve">Regarding Geographical Indications (GIs), the Parties addressed specific issues regarding on-going investigations launched by Colombia on the usurpation of certain EU cheese GIs, as well as effective action needed on Peru’s side to protect a number of EU GIs suffering from usurpation. The request for corrections to the names of certain EU GIs already recognised in Peru was also discussed, as well as a case of alleged usurpation of an EU GI in Ecuador. Peru referred to the protection of “Pisco” in the EU in relation to registration of trademarks. </w:t>
      </w:r>
    </w:p>
    <w:p>
      <w:pPr>
        <w:jc w:val="both"/>
        <w:rPr>
          <w:rFonts w:eastAsia="Times New Roman"/>
          <w:noProof/>
        </w:rPr>
      </w:pPr>
    </w:p>
    <w:p>
      <w:pPr>
        <w:jc w:val="both"/>
        <w:rPr>
          <w:noProof/>
        </w:rPr>
      </w:pPr>
      <w:r>
        <w:rPr>
          <w:noProof/>
        </w:rPr>
        <w:t xml:space="preserve">The EU informed of work concluded for the protection of nine additional Colombian GIs, and on-going work concerning the recognition of additional GIs from Colombia, Ecuador and Peru. The Parties also exchanged information concerning non-agricultural GIs in their respective markets. </w:t>
      </w:r>
    </w:p>
    <w:p>
      <w:pPr>
        <w:jc w:val="both"/>
        <w:rPr>
          <w:noProof/>
        </w:rPr>
      </w:pPr>
    </w:p>
    <w:p>
      <w:pPr>
        <w:jc w:val="both"/>
        <w:rPr>
          <w:noProof/>
        </w:rPr>
      </w:pPr>
      <w:r>
        <w:rPr>
          <w:noProof/>
        </w:rPr>
        <w:t xml:space="preserve">Other issues discussed included the overall enforcement of intellectual property rights (IPR), including on-line and at the border, patentability issues in Colombia and Ecuador, as well as the protection of regulatory data submitted for marketing authorisations of pharmaceuticals and agro-chemicals. Copyright and related rights in the framework of revised legislation (Colombia) or implementing regulations (Ecuador) were also addressed, as well as the importance of effective protection of plant variety rights in Ecuador. </w:t>
      </w:r>
    </w:p>
    <w:p>
      <w:pPr>
        <w:jc w:val="both"/>
        <w:rPr>
          <w:noProof/>
        </w:rPr>
      </w:pPr>
    </w:p>
    <w:p>
      <w:pPr>
        <w:jc w:val="both"/>
        <w:rPr>
          <w:noProof/>
        </w:rPr>
      </w:pPr>
      <w:r>
        <w:rPr>
          <w:noProof/>
        </w:rPr>
        <w:t>Cooperation projects were discussed in the context of activities already implemented by the IP Key Latin America Programme, and future possible activities aimed at supporting the implementation of IPR commitments in the Trade Agreement.</w:t>
      </w:r>
    </w:p>
    <w:p>
      <w:pPr>
        <w:jc w:val="both"/>
        <w:rPr>
          <w:noProof/>
        </w:rPr>
      </w:pPr>
    </w:p>
    <w:p>
      <w:pPr>
        <w:keepNext/>
        <w:spacing w:before="360"/>
        <w:jc w:val="both"/>
        <w:outlineLvl w:val="3"/>
        <w:rPr>
          <w:rFonts w:eastAsia="Calibri"/>
          <w:b/>
          <w:i/>
          <w:noProof/>
        </w:rPr>
      </w:pPr>
      <w:r>
        <w:rPr>
          <w:rFonts w:eastAsia="Calibri"/>
          <w:b/>
          <w:i/>
          <w:noProof/>
        </w:rPr>
        <w:t>Market Access Sub-Committee</w:t>
      </w:r>
    </w:p>
    <w:p>
      <w:pPr>
        <w:keepNext/>
        <w:jc w:val="both"/>
        <w:rPr>
          <w:noProof/>
        </w:rPr>
      </w:pPr>
    </w:p>
    <w:p>
      <w:pPr>
        <w:keepNext/>
        <w:jc w:val="both"/>
        <w:rPr>
          <w:noProof/>
        </w:rPr>
      </w:pPr>
      <w:r>
        <w:rPr>
          <w:noProof/>
        </w:rPr>
        <w:t xml:space="preserve">The Parties exchanged statistics on trade flows, including the use of preferences and tariff rates quotas. </w:t>
      </w:r>
    </w:p>
    <w:p>
      <w:pPr>
        <w:jc w:val="both"/>
        <w:rPr>
          <w:noProof/>
        </w:rPr>
      </w:pPr>
    </w:p>
    <w:p>
      <w:pPr>
        <w:jc w:val="both"/>
        <w:rPr>
          <w:noProof/>
        </w:rPr>
      </w:pPr>
      <w:r>
        <w:rPr>
          <w:noProof/>
        </w:rPr>
        <w:t xml:space="preserve">With </w:t>
      </w:r>
      <w:r>
        <w:rPr>
          <w:b/>
          <w:noProof/>
        </w:rPr>
        <w:t>Colombia</w:t>
      </w:r>
      <w:r>
        <w:rPr>
          <w:noProof/>
        </w:rPr>
        <w:t xml:space="preserve">, the EU raised its concerns regarding the decision in November 2018 to impose anti-dumping duties against EU frozen potatoes, the extension by six months of the elimination of the truck scrappage policy, discrimination against imported beers in some departments, the implementation of the spirits law. On anti-dumping, Colombia mentioned the possibility for the EU to request an administrative review of the decision. With </w:t>
      </w:r>
      <w:r>
        <w:rPr>
          <w:b/>
          <w:noProof/>
        </w:rPr>
        <w:t>Ecuador</w:t>
      </w:r>
      <w:r>
        <w:rPr>
          <w:noProof/>
        </w:rPr>
        <w:t xml:space="preserve">, discussions focused on discriminatory treatment against imported spirits, where Ecuador indicated that it would need an additional 6 to 12-month period to remove the discrimination. </w:t>
      </w:r>
    </w:p>
    <w:p>
      <w:pPr>
        <w:jc w:val="both"/>
        <w:rPr>
          <w:noProof/>
        </w:rPr>
      </w:pPr>
    </w:p>
    <w:p>
      <w:pPr>
        <w:jc w:val="both"/>
        <w:rPr>
          <w:noProof/>
        </w:rPr>
      </w:pPr>
      <w:r>
        <w:rPr>
          <w:b/>
          <w:noProof/>
        </w:rPr>
        <w:t>Colombia, Ecuador and Peru</w:t>
      </w:r>
      <w:r>
        <w:rPr>
          <w:noProof/>
        </w:rPr>
        <w:t xml:space="preserve"> referred to the clause in the Agreement to examine in 2019 a possible improvement of tariff liberalisation for bananas. They also expressed concerns about the recent increase of the EU autonomous TRQs for tuna and shrimps, which they consider may erode their preferences.</w:t>
      </w:r>
    </w:p>
    <w:p>
      <w:pPr>
        <w:pStyle w:val="ManualHeading1"/>
      </w:pPr>
      <w:bookmarkStart w:id="355" w:name="_Toc8833469"/>
      <w:bookmarkStart w:id="356" w:name="_Toc8835296"/>
      <w:bookmarkStart w:id="357" w:name="_Toc8833926"/>
      <w:bookmarkStart w:id="358" w:name="_Toc8909389"/>
      <w:bookmarkStart w:id="359" w:name="_Toc8910601"/>
      <w:bookmarkStart w:id="360" w:name="_Toc8911638"/>
      <w:bookmarkStart w:id="361" w:name="_Toc8974436"/>
      <w:bookmarkStart w:id="362" w:name="_Toc9008113"/>
      <w:bookmarkStart w:id="363" w:name="_Toc9008066"/>
      <w:bookmarkStart w:id="364" w:name="_Toc9348512"/>
      <w:bookmarkStart w:id="365" w:name="_Toc9607963"/>
      <w:bookmarkStart w:id="366" w:name="_Toc16000539"/>
      <w:bookmarkEnd w:id="352"/>
      <w:bookmarkEnd w:id="353"/>
      <w:bookmarkEnd w:id="354"/>
      <w:r>
        <w:t>4.</w:t>
      </w:r>
      <w:r>
        <w:tab/>
        <w:t>Implementation of the provisions on trade and sustainable development</w:t>
      </w:r>
      <w:bookmarkEnd w:id="355"/>
      <w:bookmarkEnd w:id="356"/>
      <w:bookmarkEnd w:id="357"/>
      <w:bookmarkEnd w:id="358"/>
      <w:bookmarkEnd w:id="359"/>
      <w:bookmarkEnd w:id="360"/>
      <w:bookmarkEnd w:id="361"/>
      <w:bookmarkEnd w:id="362"/>
      <w:bookmarkEnd w:id="363"/>
      <w:bookmarkEnd w:id="364"/>
      <w:bookmarkEnd w:id="365"/>
      <w:bookmarkEnd w:id="366"/>
    </w:p>
    <w:p>
      <w:pPr>
        <w:jc w:val="both"/>
        <w:rPr>
          <w:noProof/>
          <w:lang w:val="en-US"/>
        </w:rPr>
      </w:pPr>
      <w:r>
        <w:rPr>
          <w:noProof/>
          <w:lang w:val="en-US"/>
        </w:rPr>
        <w:t xml:space="preserve">The fifth meeting of the Sub-committee on Trade and Sustainable Development (TSD) reviewed the progress made during a year of stepped-up engagement on TSD issues, which was accompanied by regular exchanges between the Parties.    </w:t>
      </w:r>
    </w:p>
    <w:p>
      <w:pPr>
        <w:jc w:val="both"/>
        <w:rPr>
          <w:noProof/>
          <w:lang w:val="en-US"/>
        </w:rPr>
      </w:pPr>
    </w:p>
    <w:p>
      <w:pPr>
        <w:jc w:val="both"/>
        <w:rPr>
          <w:noProof/>
          <w:lang w:val="en-US"/>
        </w:rPr>
      </w:pPr>
      <w:r>
        <w:rPr>
          <w:noProof/>
          <w:lang w:val="en-US"/>
        </w:rPr>
        <w:t xml:space="preserve">The intense </w:t>
      </w:r>
      <w:r>
        <w:rPr>
          <w:b/>
          <w:noProof/>
          <w:lang w:val="en-US"/>
        </w:rPr>
        <w:t>engagement with Peru</w:t>
      </w:r>
      <w:r>
        <w:rPr>
          <w:noProof/>
          <w:lang w:val="en-US"/>
        </w:rPr>
        <w:t xml:space="preserve"> reflects the more assertive EU stance on enforcing TSD commitments,</w:t>
      </w:r>
      <w:r>
        <w:rPr>
          <w:noProof/>
        </w:rPr>
        <w:t xml:space="preserve"> in line with the European Commission’s </w:t>
      </w:r>
      <w:hyperlink r:id="rId28" w:history="1">
        <w:r>
          <w:rPr>
            <w:rFonts w:eastAsia="Times New Roman"/>
            <w:noProof/>
            <w:color w:val="0563C1"/>
            <w:u w:val="single"/>
            <w:lang w:eastAsia="en-GB"/>
          </w:rPr>
          <w:t>15-point action plan</w:t>
        </w:r>
      </w:hyperlink>
      <w:r>
        <w:rPr>
          <w:noProof/>
        </w:rPr>
        <w:t xml:space="preserve"> to improve implementation of TSD chapters</w:t>
      </w:r>
      <w:r>
        <w:rPr>
          <w:noProof/>
          <w:lang w:val="en-US"/>
        </w:rPr>
        <w:t xml:space="preserve">. In her letter of July 2018 to Peru’s Trade Minister Rogers Valencia Commissioner Malmström expressed EU’s concerns regarding the implementation by Peru of some of the commitments undertaken in the TSD chapter. These concerns related to the right on freedom of association and collective bargaining (notably for workers in particular sectors including textiles and agriculture), the high levels of child labour  and informality as well as weak capacity of labour inspection. The letter also signaled the need to sustain environmental protection levels and highlighted the insufficient civil society consultation on labour and environmental issues related to the implementation of the TSD chapter. The submission filed with the European Commission by a group of civil society organisations in October 2017 also raised some of these issues. </w:t>
      </w:r>
    </w:p>
    <w:p>
      <w:pPr>
        <w:jc w:val="both"/>
        <w:rPr>
          <w:noProof/>
          <w:lang w:val="en-US"/>
        </w:rPr>
      </w:pPr>
    </w:p>
    <w:p>
      <w:pPr>
        <w:jc w:val="both"/>
        <w:rPr>
          <w:noProof/>
          <w:lang w:val="en-US"/>
        </w:rPr>
      </w:pPr>
      <w:r>
        <w:rPr>
          <w:noProof/>
          <w:lang w:val="en-US"/>
        </w:rPr>
        <w:t xml:space="preserve">Following this letter, the EU and Peru engaged in more sustained contacts aiming to renew the impetus on the implementation of the TSD chapter, which included a technical mission of the Commission’s services to Lima in October 2018. Throughout the process, the Commission maintained a regular dialogue with civil society organisations, including the social partners. </w:t>
      </w:r>
    </w:p>
    <w:p>
      <w:pPr>
        <w:jc w:val="both"/>
        <w:rPr>
          <w:noProof/>
          <w:lang w:val="en-US"/>
        </w:rPr>
      </w:pPr>
    </w:p>
    <w:p>
      <w:pPr>
        <w:jc w:val="both"/>
        <w:rPr>
          <w:noProof/>
          <w:lang w:val="en-US"/>
        </w:rPr>
      </w:pPr>
      <w:r>
        <w:rPr>
          <w:noProof/>
          <w:lang w:val="en-US"/>
        </w:rPr>
        <w:t xml:space="preserve">The result of this engagement is reflected in the minutes of the TSD Sub-committee meeting that are available on the </w:t>
      </w:r>
      <w:hyperlink r:id="rId29" w:history="1">
        <w:r>
          <w:rPr>
            <w:rStyle w:val="Hyperlink"/>
            <w:noProof/>
            <w:lang w:val="en-US"/>
          </w:rPr>
          <w:t>Commission’s website</w:t>
        </w:r>
      </w:hyperlink>
      <w:r>
        <w:rPr>
          <w:noProof/>
          <w:lang w:val="en-US"/>
        </w:rPr>
        <w:t>. Peru reiterated its commitment to the full implementation of the TSD chapter and listed the main policy initiatives already in place (or in preparation) to address the substantive challenges identified, while acknowledging that efforts needed to continue to ensure the commitments are met. Peru also agreed to be proactive in using the domestic mechanisms it chose to rely on to engage civil society on TSD-related issues.</w:t>
      </w:r>
    </w:p>
    <w:p>
      <w:pPr>
        <w:jc w:val="both"/>
        <w:rPr>
          <w:noProof/>
          <w:lang w:val="en-US"/>
        </w:rPr>
      </w:pPr>
    </w:p>
    <w:p>
      <w:pPr>
        <w:jc w:val="both"/>
        <w:rPr>
          <w:noProof/>
          <w:lang w:val="en-US"/>
        </w:rPr>
      </w:pPr>
      <w:r>
        <w:rPr>
          <w:noProof/>
          <w:lang w:val="en-US"/>
        </w:rPr>
        <w:t xml:space="preserve">Furthermore, the TSD Sub-committee meeting reviewed progress made by Colombia and Ecuador in the implementation of the TSD chapter. On </w:t>
      </w:r>
      <w:r>
        <w:rPr>
          <w:b/>
          <w:noProof/>
          <w:lang w:val="en-US"/>
        </w:rPr>
        <w:t>labour</w:t>
      </w:r>
      <w:r>
        <w:rPr>
          <w:noProof/>
          <w:lang w:val="en-US"/>
        </w:rPr>
        <w:t xml:space="preserve">, </w:t>
      </w:r>
      <w:r>
        <w:rPr>
          <w:b/>
          <w:noProof/>
          <w:lang w:val="en-US"/>
        </w:rPr>
        <w:t>Colombia</w:t>
      </w:r>
      <w:r>
        <w:rPr>
          <w:noProof/>
          <w:lang w:val="en-US"/>
        </w:rPr>
        <w:t xml:space="preserve"> made advances notably through the implementation of initiatives to reduce labour informality and child labour. These included the national network of labour formalisation and the revision of the list of hazardous occupations. However, the persistence of cases of violence against trade union leaders remains concerning. In </w:t>
      </w:r>
      <w:r>
        <w:rPr>
          <w:b/>
          <w:noProof/>
          <w:lang w:val="en-US"/>
        </w:rPr>
        <w:t>Ecuador</w:t>
      </w:r>
      <w:r>
        <w:rPr>
          <w:noProof/>
          <w:lang w:val="en-US"/>
        </w:rPr>
        <w:t>, the right to freedom of association also continues to be a concern as well as labour informality. Both countries need to intensify efforts to strengthen labour inspection. The EU also encouraged all parties to ratify the 2014 Protocol to the ILO Forced Labour Convention.</w:t>
      </w:r>
    </w:p>
    <w:p>
      <w:pPr>
        <w:jc w:val="both"/>
        <w:rPr>
          <w:noProof/>
          <w:lang w:val="en-US"/>
        </w:rPr>
      </w:pPr>
    </w:p>
    <w:p>
      <w:pPr>
        <w:jc w:val="both"/>
        <w:rPr>
          <w:noProof/>
          <w:lang w:val="en-US"/>
        </w:rPr>
      </w:pPr>
      <w:r>
        <w:rPr>
          <w:noProof/>
          <w:lang w:val="en-US"/>
        </w:rPr>
        <w:t xml:space="preserve">On </w:t>
      </w:r>
      <w:r>
        <w:rPr>
          <w:b/>
          <w:noProof/>
          <w:lang w:val="en-US"/>
        </w:rPr>
        <w:t>environment</w:t>
      </w:r>
      <w:r>
        <w:rPr>
          <w:noProof/>
          <w:lang w:val="en-US"/>
        </w:rPr>
        <w:t xml:space="preserve">, </w:t>
      </w:r>
      <w:r>
        <w:rPr>
          <w:b/>
          <w:noProof/>
          <w:lang w:val="en-US"/>
        </w:rPr>
        <w:t>Colombia and Ecuador</w:t>
      </w:r>
      <w:r>
        <w:rPr>
          <w:noProof/>
          <w:lang w:val="en-US"/>
        </w:rPr>
        <w:t xml:space="preserve"> continued to put in place initiatives to address deforestation and implement the Convention on International Trade in Endangered Species of Wild Fauna and Flora (CITES). Colombia also adopted a national strategy for circular economy and a programme to support green business. The fight against the use of mercury in mining and industrial activities remains a main challenge for the country. </w:t>
      </w:r>
      <w:r>
        <w:rPr>
          <w:b/>
          <w:noProof/>
          <w:lang w:val="en-US"/>
        </w:rPr>
        <w:t>Ecuador</w:t>
      </w:r>
      <w:r>
        <w:rPr>
          <w:noProof/>
          <w:lang w:val="en-US"/>
        </w:rPr>
        <w:t xml:space="preserve"> also made noteworthy advances by ratifying the Nagoya Protocol of the Convention of Biological Diversity in December 2017. In April 2018, the country adopted the Organic Environmental Code. The fight against illegal mining remains a concern as well as Ecuador’s compliance with its commitments on illegal, unreported and unregulated fishing.</w:t>
      </w:r>
    </w:p>
    <w:p>
      <w:pPr>
        <w:jc w:val="both"/>
        <w:rPr>
          <w:noProof/>
          <w:lang w:val="en-US"/>
        </w:rPr>
      </w:pPr>
    </w:p>
    <w:p>
      <w:pPr>
        <w:jc w:val="both"/>
        <w:rPr>
          <w:noProof/>
          <w:lang w:val="en-US"/>
        </w:rPr>
      </w:pPr>
      <w:r>
        <w:rPr>
          <w:noProof/>
          <w:lang w:val="en-US"/>
        </w:rPr>
        <w:t xml:space="preserve">There was good progress in the </w:t>
      </w:r>
      <w:r>
        <w:rPr>
          <w:b/>
          <w:noProof/>
          <w:lang w:val="en-US"/>
        </w:rPr>
        <w:t>involvement of civil society</w:t>
      </w:r>
      <w:r>
        <w:rPr>
          <w:noProof/>
          <w:lang w:val="en-US"/>
        </w:rPr>
        <w:t xml:space="preserve"> in accompanying the implementation of the TSD chapter. The EU domestic advisory group (DAG) met regularly throughout 2018 to discuss issues of relevance to the TSD chapter. In Colombia, the dedicated consultative group continued to be consolidated. In Ecuador, the government organised a consultation process with civil society that led to the setting up of a dedicated consultative group for TSD issues in December 2018. Peru committed to make a more proactive use of its domestic consultative mechanisms. In line with Article 282 of the Agreement, the Sub-committee on TSD organised an open session on 12 December 2018 in Quito. </w:t>
      </w:r>
    </w:p>
    <w:p>
      <w:pPr>
        <w:jc w:val="both"/>
        <w:rPr>
          <w:noProof/>
          <w:lang w:val="en-US"/>
        </w:rPr>
      </w:pPr>
    </w:p>
    <w:p>
      <w:pPr>
        <w:jc w:val="both"/>
        <w:rPr>
          <w:noProof/>
          <w:lang w:val="en-US"/>
        </w:rPr>
      </w:pPr>
      <w:r>
        <w:rPr>
          <w:noProof/>
          <w:lang w:val="en-US"/>
        </w:rPr>
        <w:t xml:space="preserve">The Parties made progress with </w:t>
      </w:r>
      <w:r>
        <w:rPr>
          <w:b/>
          <w:noProof/>
          <w:lang w:val="en-US"/>
        </w:rPr>
        <w:t>cooperation activities</w:t>
      </w:r>
      <w:r>
        <w:rPr>
          <w:noProof/>
          <w:lang w:val="en-US"/>
        </w:rPr>
        <w:t xml:space="preserve">. In Colombia, two workshops were organised in March 2018: one on the use of mercury for gold extraction and one on responsible mining. The implementation of a new EU-financed project led by the ILO to strengthen labour inspection in agricultural areas started in January 2019. With Ecuador cooperation initiatives mostly focused on assisting the early phase of TSD implementation. These included the drafting of a TSD implementation handbook in partnership with Sweden. With Peru, a regional workshop on circular economy was organised in Lima in September 2018. </w:t>
      </w:r>
    </w:p>
    <w:p>
      <w:pPr>
        <w:jc w:val="both"/>
        <w:rPr>
          <w:noProof/>
          <w:lang w:val="en-US"/>
        </w:rPr>
      </w:pPr>
    </w:p>
    <w:p>
      <w:pPr>
        <w:jc w:val="both"/>
        <w:rPr>
          <w:noProof/>
          <w:lang w:val="en-US"/>
        </w:rPr>
      </w:pPr>
      <w:r>
        <w:rPr>
          <w:noProof/>
        </w:rPr>
        <w:t xml:space="preserve">The </w:t>
      </w:r>
      <w:r>
        <w:rPr>
          <w:noProof/>
          <w:color w:val="000000"/>
        </w:rPr>
        <w:t>positive momentum achieved with all three partner countries will allow further engagement to continue</w:t>
      </w:r>
      <w:r>
        <w:rPr>
          <w:noProof/>
        </w:rPr>
        <w:t xml:space="preserve">. It also reflects the more assertive and focused efforts by the EU, grounded on a closer partnership with EU Member States and the ILO and on the greater involvement of civil society, in accordance with the </w:t>
      </w:r>
      <w:hyperlink r:id="rId30" w:history="1">
        <w:r>
          <w:rPr>
            <w:rFonts w:eastAsia="Times New Roman"/>
            <w:noProof/>
            <w:color w:val="0563C1"/>
            <w:u w:val="single"/>
            <w:lang w:eastAsia="en-GB"/>
          </w:rPr>
          <w:t>15-point action plan</w:t>
        </w:r>
      </w:hyperlink>
      <w:r>
        <w:rPr>
          <w:noProof/>
        </w:rPr>
        <w:t xml:space="preserve">. </w:t>
      </w:r>
    </w:p>
    <w:p>
      <w:pPr>
        <w:pStyle w:val="ManualHeading1"/>
      </w:pPr>
      <w:bookmarkStart w:id="367" w:name="_Toc8833471"/>
      <w:bookmarkStart w:id="368" w:name="_Toc8835298"/>
      <w:bookmarkStart w:id="369" w:name="_Toc8833928"/>
      <w:bookmarkStart w:id="370" w:name="_Toc8909391"/>
      <w:bookmarkStart w:id="371" w:name="_Toc8910603"/>
      <w:bookmarkStart w:id="372" w:name="_Toc8911640"/>
      <w:bookmarkStart w:id="373" w:name="_Toc8974438"/>
      <w:bookmarkStart w:id="374" w:name="_Toc9008114"/>
      <w:bookmarkStart w:id="375" w:name="_Toc9008067"/>
      <w:bookmarkStart w:id="376" w:name="_Toc9348513"/>
      <w:bookmarkStart w:id="377" w:name="_Toc9607964"/>
      <w:bookmarkStart w:id="378" w:name="_Toc16000540"/>
      <w:r>
        <w:t>5.</w:t>
      </w:r>
      <w:r>
        <w:tab/>
        <w:t>Specific areas subject to reporting or monitoring</w:t>
      </w:r>
      <w:bookmarkEnd w:id="367"/>
      <w:bookmarkEnd w:id="368"/>
      <w:bookmarkEnd w:id="369"/>
      <w:bookmarkEnd w:id="370"/>
      <w:bookmarkEnd w:id="371"/>
      <w:bookmarkEnd w:id="372"/>
      <w:bookmarkEnd w:id="373"/>
      <w:bookmarkEnd w:id="374"/>
      <w:bookmarkEnd w:id="375"/>
      <w:bookmarkEnd w:id="376"/>
      <w:bookmarkEnd w:id="377"/>
      <w:bookmarkEnd w:id="378"/>
    </w:p>
    <w:p>
      <w:pPr>
        <w:jc w:val="both"/>
        <w:rPr>
          <w:noProof/>
        </w:rPr>
      </w:pPr>
      <w:r>
        <w:rPr>
          <w:noProof/>
        </w:rPr>
        <w:t xml:space="preserve">The Agreement provides a preferential customs duty on bananas under heading 0803.00.19 (fresh bananas), progressively reduced since the date of provisional application of the Agreement until the year 2020 (following a schedule indicated in a tariff reduction table). This special treatment is linked to a ‘stabilisation clause’ that sets out an annual trigger volume for imports from each Andean country during the transition period. </w:t>
      </w:r>
    </w:p>
    <w:p>
      <w:pPr>
        <w:jc w:val="both"/>
        <w:rPr>
          <w:noProof/>
        </w:rPr>
      </w:pPr>
    </w:p>
    <w:p>
      <w:pPr>
        <w:jc w:val="both"/>
        <w:rPr>
          <w:noProof/>
        </w:rPr>
      </w:pPr>
      <w:r>
        <w:rPr>
          <w:noProof/>
        </w:rPr>
        <w:t>Article 15 of Regulation (EU) No 19/2013</w:t>
      </w:r>
      <w:r>
        <w:rPr>
          <w:noProof/>
          <w:vertAlign w:val="superscript"/>
        </w:rPr>
        <w:footnoteReference w:id="18"/>
      </w:r>
      <w:r>
        <w:rPr>
          <w:noProof/>
        </w:rPr>
        <w:t xml:space="preserve"> provides for the stabilisation mechanism. When the annual trigger volume of imports per country as set in the Agreement is met, the Commission examines the impact of these imports on the situation of the Union market for bananas and take a decision to either temporarily suspend the preferential customs duty or determine that such suspension is not appropriate. The stabilisation mechanism shall apply until 31 December 2019. </w:t>
      </w:r>
    </w:p>
    <w:p>
      <w:pPr>
        <w:jc w:val="both"/>
        <w:rPr>
          <w:noProof/>
        </w:rPr>
      </w:pPr>
    </w:p>
    <w:p>
      <w:pPr>
        <w:jc w:val="both"/>
        <w:rPr>
          <w:noProof/>
        </w:rPr>
      </w:pPr>
      <w:r>
        <w:rPr>
          <w:noProof/>
        </w:rPr>
        <w:t>In this context and in accordance with Articles 3 and 13 of Regulation 19/2013, the Commission has been monitoring the evolution of imports of fresh bananas from Colombia, Peru and Ecuador.</w:t>
      </w:r>
    </w:p>
    <w:p>
      <w:pPr>
        <w:jc w:val="both"/>
        <w:rPr>
          <w:noProof/>
        </w:rPr>
      </w:pPr>
    </w:p>
    <w:p>
      <w:pPr>
        <w:jc w:val="both"/>
        <w:rPr>
          <w:i/>
          <w:noProof/>
        </w:rPr>
      </w:pPr>
      <w:r>
        <w:rPr>
          <w:i/>
          <w:noProof/>
        </w:rPr>
        <w:t>2018 imports of fresh bananas from Colombia, Ecuador and Peru</w:t>
      </w:r>
    </w:p>
    <w:tbl>
      <w:tblPr>
        <w:tblW w:w="6400" w:type="dxa"/>
        <w:tblInd w:w="108" w:type="dxa"/>
        <w:tblLook w:val="04A0" w:firstRow="1" w:lastRow="0" w:firstColumn="1" w:lastColumn="0" w:noHBand="0" w:noVBand="1"/>
      </w:tblPr>
      <w:tblGrid>
        <w:gridCol w:w="1900"/>
        <w:gridCol w:w="1600"/>
        <w:gridCol w:w="1700"/>
        <w:gridCol w:w="1200"/>
      </w:tblGrid>
      <w:tr>
        <w:trPr>
          <w:trHeight w:val="300"/>
        </w:trPr>
        <w:tc>
          <w:tcPr>
            <w:tcW w:w="1900" w:type="dxa"/>
            <w:tcBorders>
              <w:top w:val="single" w:sz="4" w:space="0" w:color="000000"/>
              <w:left w:val="nil"/>
              <w:bottom w:val="single" w:sz="4" w:space="0" w:color="000000"/>
              <w:right w:val="nil"/>
            </w:tcBorders>
            <w:shd w:val="clear" w:color="auto" w:fill="auto"/>
            <w:noWrap/>
            <w:vAlign w:val="bottom"/>
            <w:hideMark/>
          </w:tcPr>
          <w:p>
            <w:pPr>
              <w:rPr>
                <w:rFonts w:ascii="Calibri" w:eastAsia="Times New Roman" w:hAnsi="Calibri" w:cs="Calibri"/>
                <w:b/>
                <w:bCs/>
                <w:noProof/>
                <w:color w:val="000000"/>
                <w:sz w:val="22"/>
                <w:szCs w:val="22"/>
                <w:lang w:val="en-IE" w:eastAsia="en-IE"/>
              </w:rPr>
            </w:pPr>
            <w:r>
              <w:rPr>
                <w:rFonts w:ascii="Calibri" w:eastAsia="Times New Roman" w:hAnsi="Calibri" w:cs="Calibri"/>
                <w:b/>
                <w:bCs/>
                <w:noProof/>
                <w:color w:val="000000"/>
                <w:sz w:val="22"/>
                <w:szCs w:val="22"/>
                <w:lang w:val="en-IE" w:eastAsia="en-IE"/>
              </w:rPr>
              <w:t>Country</w:t>
            </w:r>
          </w:p>
        </w:tc>
        <w:tc>
          <w:tcPr>
            <w:tcW w:w="1600" w:type="dxa"/>
            <w:tcBorders>
              <w:top w:val="single" w:sz="4" w:space="0" w:color="000000"/>
              <w:left w:val="nil"/>
              <w:bottom w:val="single" w:sz="4" w:space="0" w:color="000000"/>
              <w:right w:val="nil"/>
            </w:tcBorders>
            <w:shd w:val="clear" w:color="auto" w:fill="auto"/>
            <w:noWrap/>
            <w:vAlign w:val="bottom"/>
            <w:hideMark/>
          </w:tcPr>
          <w:p>
            <w:pPr>
              <w:rPr>
                <w:rFonts w:ascii="Calibri" w:eastAsia="Times New Roman" w:hAnsi="Calibri" w:cs="Calibri"/>
                <w:b/>
                <w:bCs/>
                <w:noProof/>
                <w:color w:val="000000"/>
                <w:sz w:val="22"/>
                <w:szCs w:val="22"/>
                <w:lang w:val="en-IE" w:eastAsia="en-IE"/>
              </w:rPr>
            </w:pPr>
            <w:r>
              <w:rPr>
                <w:rFonts w:ascii="Calibri" w:eastAsia="Times New Roman" w:hAnsi="Calibri" w:cs="Calibri"/>
                <w:b/>
                <w:bCs/>
                <w:noProof/>
                <w:color w:val="000000"/>
                <w:sz w:val="22"/>
                <w:szCs w:val="22"/>
                <w:lang w:val="en-IE" w:eastAsia="en-IE"/>
              </w:rPr>
              <w:t>Used volume (tonnes)</w:t>
            </w:r>
          </w:p>
        </w:tc>
        <w:tc>
          <w:tcPr>
            <w:tcW w:w="1700" w:type="dxa"/>
            <w:tcBorders>
              <w:top w:val="single" w:sz="4" w:space="0" w:color="000000"/>
              <w:left w:val="nil"/>
              <w:bottom w:val="single" w:sz="4" w:space="0" w:color="000000"/>
              <w:right w:val="nil"/>
            </w:tcBorders>
            <w:shd w:val="clear" w:color="auto" w:fill="auto"/>
            <w:noWrap/>
            <w:vAlign w:val="bottom"/>
            <w:hideMark/>
          </w:tcPr>
          <w:p>
            <w:pPr>
              <w:rPr>
                <w:rFonts w:ascii="Calibri" w:eastAsia="Times New Roman" w:hAnsi="Calibri" w:cs="Calibri"/>
                <w:b/>
                <w:bCs/>
                <w:noProof/>
                <w:color w:val="000000"/>
                <w:sz w:val="22"/>
                <w:szCs w:val="22"/>
                <w:lang w:val="en-IE" w:eastAsia="en-IE"/>
              </w:rPr>
            </w:pPr>
            <w:r>
              <w:rPr>
                <w:rFonts w:ascii="Calibri" w:eastAsia="Times New Roman" w:hAnsi="Calibri" w:cs="Calibri"/>
                <w:b/>
                <w:bCs/>
                <w:noProof/>
                <w:color w:val="000000"/>
                <w:sz w:val="22"/>
                <w:szCs w:val="22"/>
                <w:lang w:val="en-IE" w:eastAsia="en-IE"/>
              </w:rPr>
              <w:t>Trigger level</w:t>
            </w:r>
          </w:p>
          <w:p>
            <w:pPr>
              <w:rPr>
                <w:rFonts w:ascii="Calibri" w:eastAsia="Times New Roman" w:hAnsi="Calibri" w:cs="Calibri"/>
                <w:b/>
                <w:bCs/>
                <w:noProof/>
                <w:color w:val="000000"/>
                <w:sz w:val="22"/>
                <w:szCs w:val="22"/>
                <w:lang w:val="en-IE" w:eastAsia="en-IE"/>
              </w:rPr>
            </w:pPr>
            <w:r>
              <w:rPr>
                <w:rFonts w:ascii="Calibri" w:eastAsia="Times New Roman" w:hAnsi="Calibri" w:cs="Calibri"/>
                <w:b/>
                <w:bCs/>
                <w:noProof/>
                <w:color w:val="000000"/>
                <w:sz w:val="22"/>
                <w:szCs w:val="22"/>
                <w:lang w:val="en-IE" w:eastAsia="en-IE"/>
              </w:rPr>
              <w:t>(tonnes)</w:t>
            </w:r>
          </w:p>
        </w:tc>
        <w:tc>
          <w:tcPr>
            <w:tcW w:w="1200" w:type="dxa"/>
            <w:tcBorders>
              <w:top w:val="single" w:sz="4" w:space="0" w:color="000000"/>
              <w:left w:val="nil"/>
              <w:bottom w:val="single" w:sz="4" w:space="0" w:color="000000"/>
              <w:right w:val="nil"/>
            </w:tcBorders>
            <w:shd w:val="clear" w:color="auto" w:fill="auto"/>
            <w:noWrap/>
            <w:vAlign w:val="bottom"/>
            <w:hideMark/>
          </w:tcPr>
          <w:p>
            <w:pPr>
              <w:rPr>
                <w:rFonts w:ascii="Calibri" w:eastAsia="Times New Roman" w:hAnsi="Calibri" w:cs="Calibri"/>
                <w:b/>
                <w:bCs/>
                <w:noProof/>
                <w:color w:val="000000"/>
                <w:sz w:val="22"/>
                <w:szCs w:val="22"/>
                <w:lang w:val="en-IE" w:eastAsia="en-IE"/>
              </w:rPr>
            </w:pPr>
            <w:r>
              <w:rPr>
                <w:rFonts w:ascii="Calibri" w:eastAsia="Times New Roman" w:hAnsi="Calibri" w:cs="Calibri"/>
                <w:b/>
                <w:bCs/>
                <w:noProof/>
                <w:color w:val="000000"/>
                <w:sz w:val="22"/>
                <w:szCs w:val="22"/>
                <w:lang w:val="en-IE" w:eastAsia="en-IE"/>
              </w:rPr>
              <w:t>%</w:t>
            </w:r>
          </w:p>
        </w:tc>
      </w:tr>
      <w:tr>
        <w:trPr>
          <w:trHeight w:val="300"/>
        </w:trPr>
        <w:tc>
          <w:tcPr>
            <w:tcW w:w="1900" w:type="dxa"/>
            <w:tcBorders>
              <w:top w:val="nil"/>
              <w:left w:val="nil"/>
              <w:bottom w:val="nil"/>
              <w:right w:val="nil"/>
            </w:tcBorders>
            <w:shd w:val="clear" w:color="D9D9D9" w:fill="D9D9D9"/>
            <w:noWrap/>
            <w:vAlign w:val="bottom"/>
            <w:hideMark/>
          </w:tcPr>
          <w:p>
            <w:pPr>
              <w:rPr>
                <w:rFonts w:ascii="Calibri" w:eastAsia="Times New Roman" w:hAnsi="Calibri" w:cs="Calibri"/>
                <w:noProof/>
                <w:color w:val="000000"/>
                <w:sz w:val="22"/>
                <w:szCs w:val="22"/>
                <w:lang w:val="en-IE" w:eastAsia="en-IE"/>
              </w:rPr>
            </w:pPr>
            <w:r>
              <w:rPr>
                <w:rFonts w:ascii="Calibri" w:eastAsia="Times New Roman" w:hAnsi="Calibri" w:cs="Calibri"/>
                <w:noProof/>
                <w:color w:val="000000"/>
                <w:sz w:val="22"/>
                <w:szCs w:val="22"/>
                <w:lang w:val="en-IE" w:eastAsia="en-IE"/>
              </w:rPr>
              <w:t>Colombia</w:t>
            </w:r>
          </w:p>
        </w:tc>
        <w:tc>
          <w:tcPr>
            <w:tcW w:w="1600" w:type="dxa"/>
            <w:tcBorders>
              <w:top w:val="nil"/>
              <w:left w:val="nil"/>
              <w:bottom w:val="nil"/>
              <w:right w:val="nil"/>
            </w:tcBorders>
            <w:shd w:val="clear" w:color="D9D9D9" w:fill="D9D9D9"/>
            <w:noWrap/>
            <w:vAlign w:val="bottom"/>
            <w:hideMark/>
          </w:tcPr>
          <w:p>
            <w:pPr>
              <w:jc w:val="right"/>
              <w:rPr>
                <w:rFonts w:ascii="Calibri" w:eastAsia="Times New Roman" w:hAnsi="Calibri" w:cs="Calibri"/>
                <w:noProof/>
                <w:color w:val="000000"/>
                <w:sz w:val="22"/>
                <w:szCs w:val="22"/>
                <w:lang w:val="en-IE" w:eastAsia="en-IE"/>
              </w:rPr>
            </w:pPr>
            <w:r>
              <w:rPr>
                <w:rFonts w:ascii="Calibri" w:eastAsia="Times New Roman" w:hAnsi="Calibri" w:cs="Calibri"/>
                <w:noProof/>
                <w:color w:val="000000"/>
                <w:sz w:val="22"/>
                <w:szCs w:val="22"/>
                <w:lang w:val="en-IE" w:eastAsia="en-IE"/>
              </w:rPr>
              <w:t>1.286.314</w:t>
            </w:r>
          </w:p>
        </w:tc>
        <w:tc>
          <w:tcPr>
            <w:tcW w:w="1700" w:type="dxa"/>
            <w:tcBorders>
              <w:top w:val="nil"/>
              <w:left w:val="nil"/>
              <w:bottom w:val="nil"/>
              <w:right w:val="nil"/>
            </w:tcBorders>
            <w:shd w:val="clear" w:color="D9D9D9" w:fill="D9D9D9"/>
            <w:noWrap/>
            <w:vAlign w:val="bottom"/>
            <w:hideMark/>
          </w:tcPr>
          <w:p>
            <w:pPr>
              <w:jc w:val="right"/>
              <w:rPr>
                <w:rFonts w:ascii="Calibri" w:eastAsia="Times New Roman" w:hAnsi="Calibri" w:cs="Calibri"/>
                <w:noProof/>
                <w:color w:val="000000"/>
                <w:sz w:val="22"/>
                <w:szCs w:val="22"/>
                <w:lang w:val="en-IE" w:eastAsia="en-IE"/>
              </w:rPr>
            </w:pPr>
            <w:r>
              <w:rPr>
                <w:rFonts w:ascii="Calibri" w:eastAsia="Times New Roman" w:hAnsi="Calibri" w:cs="Calibri"/>
                <w:noProof/>
                <w:color w:val="000000"/>
                <w:sz w:val="22"/>
                <w:szCs w:val="22"/>
                <w:lang w:val="en-IE" w:eastAsia="en-IE"/>
              </w:rPr>
              <w:t>1.890.000</w:t>
            </w:r>
          </w:p>
        </w:tc>
        <w:tc>
          <w:tcPr>
            <w:tcW w:w="1200" w:type="dxa"/>
            <w:tcBorders>
              <w:top w:val="nil"/>
              <w:left w:val="nil"/>
              <w:bottom w:val="nil"/>
              <w:right w:val="nil"/>
            </w:tcBorders>
            <w:shd w:val="clear" w:color="D9D9D9" w:fill="D9D9D9"/>
            <w:noWrap/>
            <w:vAlign w:val="bottom"/>
            <w:hideMark/>
          </w:tcPr>
          <w:p>
            <w:pPr>
              <w:jc w:val="right"/>
              <w:rPr>
                <w:rFonts w:ascii="Calibri" w:eastAsia="Times New Roman" w:hAnsi="Calibri" w:cs="Calibri"/>
                <w:noProof/>
                <w:color w:val="000000"/>
                <w:sz w:val="22"/>
                <w:szCs w:val="22"/>
                <w:lang w:val="en-IE" w:eastAsia="en-IE"/>
              </w:rPr>
            </w:pPr>
            <w:r>
              <w:rPr>
                <w:rFonts w:ascii="Calibri" w:eastAsia="Times New Roman" w:hAnsi="Calibri" w:cs="Calibri"/>
                <w:noProof/>
                <w:color w:val="000000"/>
                <w:sz w:val="22"/>
                <w:szCs w:val="22"/>
                <w:lang w:val="en-IE" w:eastAsia="en-IE"/>
              </w:rPr>
              <w:t>68%</w:t>
            </w:r>
          </w:p>
        </w:tc>
      </w:tr>
      <w:tr>
        <w:trPr>
          <w:trHeight w:val="300"/>
        </w:trPr>
        <w:tc>
          <w:tcPr>
            <w:tcW w:w="1900" w:type="dxa"/>
            <w:tcBorders>
              <w:top w:val="nil"/>
              <w:left w:val="nil"/>
              <w:bottom w:val="nil"/>
              <w:right w:val="nil"/>
            </w:tcBorders>
            <w:shd w:val="clear" w:color="auto" w:fill="auto"/>
            <w:noWrap/>
            <w:vAlign w:val="bottom"/>
            <w:hideMark/>
          </w:tcPr>
          <w:p>
            <w:pPr>
              <w:rPr>
                <w:rFonts w:ascii="Calibri" w:eastAsia="Times New Roman" w:hAnsi="Calibri" w:cs="Calibri"/>
                <w:noProof/>
                <w:color w:val="000000"/>
                <w:sz w:val="22"/>
                <w:szCs w:val="22"/>
                <w:lang w:val="en-IE" w:eastAsia="en-IE"/>
              </w:rPr>
            </w:pPr>
            <w:r>
              <w:rPr>
                <w:rFonts w:ascii="Calibri" w:eastAsia="Times New Roman" w:hAnsi="Calibri" w:cs="Calibri"/>
                <w:noProof/>
                <w:color w:val="000000"/>
                <w:sz w:val="22"/>
                <w:szCs w:val="22"/>
                <w:lang w:val="en-IE" w:eastAsia="en-IE"/>
              </w:rPr>
              <w:t>Ecuador</w:t>
            </w:r>
          </w:p>
        </w:tc>
        <w:tc>
          <w:tcPr>
            <w:tcW w:w="1600" w:type="dxa"/>
            <w:tcBorders>
              <w:top w:val="nil"/>
              <w:left w:val="nil"/>
              <w:bottom w:val="nil"/>
              <w:right w:val="nil"/>
            </w:tcBorders>
            <w:shd w:val="clear" w:color="auto" w:fill="auto"/>
            <w:noWrap/>
            <w:vAlign w:val="bottom"/>
            <w:hideMark/>
          </w:tcPr>
          <w:p>
            <w:pPr>
              <w:jc w:val="right"/>
              <w:rPr>
                <w:rFonts w:ascii="Calibri" w:eastAsia="Times New Roman" w:hAnsi="Calibri" w:cs="Calibri"/>
                <w:noProof/>
                <w:color w:val="000000"/>
                <w:sz w:val="22"/>
                <w:szCs w:val="22"/>
                <w:lang w:val="en-IE" w:eastAsia="en-IE"/>
              </w:rPr>
            </w:pPr>
            <w:r>
              <w:rPr>
                <w:rFonts w:ascii="Calibri" w:eastAsia="Times New Roman" w:hAnsi="Calibri" w:cs="Calibri"/>
                <w:noProof/>
                <w:color w:val="000000"/>
                <w:sz w:val="22"/>
                <w:szCs w:val="22"/>
                <w:lang w:val="en-IE" w:eastAsia="en-IE"/>
              </w:rPr>
              <w:t>1.514.549</w:t>
            </w:r>
          </w:p>
        </w:tc>
        <w:tc>
          <w:tcPr>
            <w:tcW w:w="1700" w:type="dxa"/>
            <w:tcBorders>
              <w:top w:val="nil"/>
              <w:left w:val="nil"/>
              <w:bottom w:val="nil"/>
              <w:right w:val="nil"/>
            </w:tcBorders>
            <w:shd w:val="clear" w:color="auto" w:fill="auto"/>
            <w:noWrap/>
            <w:vAlign w:val="bottom"/>
            <w:hideMark/>
          </w:tcPr>
          <w:p>
            <w:pPr>
              <w:jc w:val="right"/>
              <w:rPr>
                <w:rFonts w:ascii="Calibri" w:eastAsia="Times New Roman" w:hAnsi="Calibri" w:cs="Calibri"/>
                <w:noProof/>
                <w:color w:val="000000"/>
                <w:sz w:val="22"/>
                <w:szCs w:val="22"/>
                <w:lang w:val="en-IE" w:eastAsia="en-IE"/>
              </w:rPr>
            </w:pPr>
            <w:r>
              <w:rPr>
                <w:rFonts w:ascii="Calibri" w:eastAsia="Times New Roman" w:hAnsi="Calibri" w:cs="Calibri"/>
                <w:noProof/>
                <w:color w:val="000000"/>
                <w:sz w:val="22"/>
                <w:szCs w:val="22"/>
                <w:lang w:val="en-IE" w:eastAsia="en-IE"/>
              </w:rPr>
              <w:t>1.880.127</w:t>
            </w:r>
          </w:p>
        </w:tc>
        <w:tc>
          <w:tcPr>
            <w:tcW w:w="1200" w:type="dxa"/>
            <w:tcBorders>
              <w:top w:val="nil"/>
              <w:left w:val="nil"/>
              <w:bottom w:val="nil"/>
              <w:right w:val="nil"/>
            </w:tcBorders>
            <w:shd w:val="clear" w:color="auto" w:fill="auto"/>
            <w:noWrap/>
            <w:vAlign w:val="bottom"/>
            <w:hideMark/>
          </w:tcPr>
          <w:p>
            <w:pPr>
              <w:jc w:val="right"/>
              <w:rPr>
                <w:rFonts w:ascii="Calibri" w:eastAsia="Times New Roman" w:hAnsi="Calibri" w:cs="Calibri"/>
                <w:noProof/>
                <w:color w:val="000000"/>
                <w:sz w:val="22"/>
                <w:szCs w:val="22"/>
                <w:lang w:val="en-IE" w:eastAsia="en-IE"/>
              </w:rPr>
            </w:pPr>
            <w:r>
              <w:rPr>
                <w:rFonts w:ascii="Calibri" w:eastAsia="Times New Roman" w:hAnsi="Calibri" w:cs="Calibri"/>
                <w:noProof/>
                <w:color w:val="000000"/>
                <w:sz w:val="22"/>
                <w:szCs w:val="22"/>
                <w:lang w:val="en-IE" w:eastAsia="en-IE"/>
              </w:rPr>
              <w:t>81%</w:t>
            </w:r>
          </w:p>
        </w:tc>
      </w:tr>
      <w:tr>
        <w:trPr>
          <w:trHeight w:val="300"/>
        </w:trPr>
        <w:tc>
          <w:tcPr>
            <w:tcW w:w="1900" w:type="dxa"/>
            <w:tcBorders>
              <w:top w:val="nil"/>
              <w:left w:val="nil"/>
              <w:bottom w:val="nil"/>
              <w:right w:val="nil"/>
            </w:tcBorders>
            <w:shd w:val="clear" w:color="D9D9D9" w:fill="D9D9D9"/>
            <w:noWrap/>
            <w:vAlign w:val="bottom"/>
            <w:hideMark/>
          </w:tcPr>
          <w:p>
            <w:pPr>
              <w:rPr>
                <w:rFonts w:ascii="Calibri" w:eastAsia="Times New Roman" w:hAnsi="Calibri" w:cs="Calibri"/>
                <w:noProof/>
                <w:color w:val="000000"/>
                <w:sz w:val="22"/>
                <w:szCs w:val="22"/>
                <w:lang w:val="en-IE" w:eastAsia="en-IE"/>
              </w:rPr>
            </w:pPr>
            <w:r>
              <w:rPr>
                <w:rFonts w:ascii="Calibri" w:eastAsia="Times New Roman" w:hAnsi="Calibri" w:cs="Calibri"/>
                <w:noProof/>
                <w:color w:val="000000"/>
                <w:sz w:val="22"/>
                <w:szCs w:val="22"/>
                <w:lang w:val="en-IE" w:eastAsia="en-IE"/>
              </w:rPr>
              <w:t>Peru</w:t>
            </w:r>
          </w:p>
        </w:tc>
        <w:tc>
          <w:tcPr>
            <w:tcW w:w="1600" w:type="dxa"/>
            <w:tcBorders>
              <w:top w:val="nil"/>
              <w:left w:val="nil"/>
              <w:bottom w:val="nil"/>
              <w:right w:val="nil"/>
            </w:tcBorders>
            <w:shd w:val="clear" w:color="D9D9D9" w:fill="D9D9D9"/>
            <w:noWrap/>
            <w:vAlign w:val="bottom"/>
            <w:hideMark/>
          </w:tcPr>
          <w:p>
            <w:pPr>
              <w:jc w:val="right"/>
              <w:rPr>
                <w:rFonts w:ascii="Calibri" w:eastAsia="Times New Roman" w:hAnsi="Calibri" w:cs="Calibri"/>
                <w:noProof/>
                <w:color w:val="000000"/>
                <w:sz w:val="22"/>
                <w:szCs w:val="22"/>
                <w:lang w:val="en-IE" w:eastAsia="en-IE"/>
              </w:rPr>
            </w:pPr>
            <w:r>
              <w:rPr>
                <w:rFonts w:ascii="Calibri" w:eastAsia="Times New Roman" w:hAnsi="Calibri" w:cs="Calibri"/>
                <w:noProof/>
                <w:color w:val="000000"/>
                <w:sz w:val="22"/>
                <w:szCs w:val="22"/>
                <w:lang w:val="en-IE" w:eastAsia="en-IE"/>
              </w:rPr>
              <w:t>127.168</w:t>
            </w:r>
          </w:p>
        </w:tc>
        <w:tc>
          <w:tcPr>
            <w:tcW w:w="1700" w:type="dxa"/>
            <w:tcBorders>
              <w:top w:val="nil"/>
              <w:left w:val="nil"/>
              <w:bottom w:val="nil"/>
              <w:right w:val="nil"/>
            </w:tcBorders>
            <w:shd w:val="clear" w:color="D9D9D9" w:fill="D9D9D9"/>
            <w:noWrap/>
            <w:vAlign w:val="bottom"/>
            <w:hideMark/>
          </w:tcPr>
          <w:p>
            <w:pPr>
              <w:jc w:val="right"/>
              <w:rPr>
                <w:rFonts w:ascii="Calibri" w:eastAsia="Times New Roman" w:hAnsi="Calibri" w:cs="Calibri"/>
                <w:noProof/>
                <w:color w:val="000000"/>
                <w:sz w:val="22"/>
                <w:szCs w:val="22"/>
                <w:lang w:val="en-IE" w:eastAsia="en-IE"/>
              </w:rPr>
            </w:pPr>
            <w:r>
              <w:rPr>
                <w:rFonts w:ascii="Calibri" w:eastAsia="Times New Roman" w:hAnsi="Calibri" w:cs="Calibri"/>
                <w:noProof/>
                <w:color w:val="000000"/>
                <w:sz w:val="22"/>
                <w:szCs w:val="22"/>
                <w:lang w:val="en-IE" w:eastAsia="en-IE"/>
              </w:rPr>
              <w:t>97.500</w:t>
            </w:r>
          </w:p>
        </w:tc>
        <w:tc>
          <w:tcPr>
            <w:tcW w:w="1200" w:type="dxa"/>
            <w:tcBorders>
              <w:top w:val="nil"/>
              <w:left w:val="nil"/>
              <w:bottom w:val="nil"/>
              <w:right w:val="nil"/>
            </w:tcBorders>
            <w:shd w:val="clear" w:color="D9D9D9" w:fill="D9D9D9"/>
            <w:noWrap/>
            <w:vAlign w:val="bottom"/>
            <w:hideMark/>
          </w:tcPr>
          <w:p>
            <w:pPr>
              <w:jc w:val="right"/>
              <w:rPr>
                <w:rFonts w:ascii="Calibri" w:eastAsia="Times New Roman" w:hAnsi="Calibri" w:cs="Calibri"/>
                <w:noProof/>
                <w:color w:val="000000"/>
                <w:sz w:val="22"/>
                <w:szCs w:val="22"/>
                <w:lang w:val="en-IE" w:eastAsia="en-IE"/>
              </w:rPr>
            </w:pPr>
            <w:r>
              <w:rPr>
                <w:rFonts w:ascii="Calibri" w:eastAsia="Times New Roman" w:hAnsi="Calibri" w:cs="Calibri"/>
                <w:noProof/>
                <w:color w:val="000000"/>
                <w:sz w:val="22"/>
                <w:szCs w:val="22"/>
                <w:lang w:val="en-IE" w:eastAsia="en-IE"/>
              </w:rPr>
              <w:t>130%</w:t>
            </w:r>
          </w:p>
        </w:tc>
      </w:tr>
      <w:tr>
        <w:trPr>
          <w:trHeight w:val="300"/>
        </w:trPr>
        <w:tc>
          <w:tcPr>
            <w:tcW w:w="1900" w:type="dxa"/>
            <w:tcBorders>
              <w:top w:val="nil"/>
              <w:left w:val="nil"/>
              <w:bottom w:val="single" w:sz="4" w:space="0" w:color="000000"/>
              <w:right w:val="nil"/>
            </w:tcBorders>
            <w:shd w:val="clear" w:color="auto" w:fill="auto"/>
            <w:noWrap/>
            <w:vAlign w:val="bottom"/>
            <w:hideMark/>
          </w:tcPr>
          <w:p>
            <w:pPr>
              <w:rPr>
                <w:rFonts w:ascii="Calibri" w:eastAsia="Times New Roman" w:hAnsi="Calibri" w:cs="Calibri"/>
                <w:b/>
                <w:bCs/>
                <w:noProof/>
                <w:color w:val="000000"/>
                <w:sz w:val="22"/>
                <w:szCs w:val="22"/>
                <w:lang w:val="en-IE" w:eastAsia="en-IE"/>
              </w:rPr>
            </w:pPr>
            <w:r>
              <w:rPr>
                <w:rFonts w:ascii="Calibri" w:eastAsia="Times New Roman" w:hAnsi="Calibri" w:cs="Calibri"/>
                <w:b/>
                <w:bCs/>
                <w:noProof/>
                <w:color w:val="000000"/>
                <w:sz w:val="22"/>
                <w:szCs w:val="22"/>
                <w:lang w:val="en-IE" w:eastAsia="en-IE"/>
              </w:rPr>
              <w:t>Total</w:t>
            </w:r>
          </w:p>
        </w:tc>
        <w:tc>
          <w:tcPr>
            <w:tcW w:w="1600" w:type="dxa"/>
            <w:tcBorders>
              <w:top w:val="nil"/>
              <w:left w:val="nil"/>
              <w:bottom w:val="single" w:sz="4" w:space="0" w:color="000000"/>
              <w:right w:val="nil"/>
            </w:tcBorders>
            <w:shd w:val="clear" w:color="auto" w:fill="auto"/>
            <w:noWrap/>
            <w:vAlign w:val="bottom"/>
            <w:hideMark/>
          </w:tcPr>
          <w:p>
            <w:pPr>
              <w:jc w:val="right"/>
              <w:rPr>
                <w:rFonts w:ascii="Calibri" w:eastAsia="Times New Roman" w:hAnsi="Calibri" w:cs="Calibri"/>
                <w:noProof/>
                <w:color w:val="000000"/>
                <w:sz w:val="22"/>
                <w:szCs w:val="22"/>
                <w:lang w:val="en-IE" w:eastAsia="en-IE"/>
              </w:rPr>
            </w:pPr>
            <w:r>
              <w:rPr>
                <w:rFonts w:ascii="Calibri" w:eastAsia="Times New Roman" w:hAnsi="Calibri" w:cs="Calibri"/>
                <w:noProof/>
                <w:color w:val="000000"/>
                <w:sz w:val="22"/>
                <w:szCs w:val="22"/>
                <w:lang w:val="en-IE" w:eastAsia="en-IE"/>
              </w:rPr>
              <w:t>2.928.031</w:t>
            </w:r>
          </w:p>
        </w:tc>
        <w:tc>
          <w:tcPr>
            <w:tcW w:w="1700" w:type="dxa"/>
            <w:tcBorders>
              <w:top w:val="nil"/>
              <w:left w:val="nil"/>
              <w:bottom w:val="single" w:sz="4" w:space="0" w:color="000000"/>
              <w:right w:val="nil"/>
            </w:tcBorders>
            <w:shd w:val="clear" w:color="auto" w:fill="auto"/>
            <w:noWrap/>
            <w:vAlign w:val="bottom"/>
            <w:hideMark/>
          </w:tcPr>
          <w:p>
            <w:pPr>
              <w:jc w:val="right"/>
              <w:rPr>
                <w:rFonts w:ascii="Calibri" w:eastAsia="Times New Roman" w:hAnsi="Calibri" w:cs="Calibri"/>
                <w:noProof/>
                <w:color w:val="000000"/>
                <w:sz w:val="22"/>
                <w:szCs w:val="22"/>
                <w:lang w:val="en-IE" w:eastAsia="en-IE"/>
              </w:rPr>
            </w:pPr>
            <w:r>
              <w:rPr>
                <w:rFonts w:ascii="Calibri" w:eastAsia="Times New Roman" w:hAnsi="Calibri" w:cs="Calibri"/>
                <w:noProof/>
                <w:color w:val="000000"/>
                <w:sz w:val="22"/>
                <w:szCs w:val="22"/>
                <w:lang w:val="en-IE" w:eastAsia="en-IE"/>
              </w:rPr>
              <w:t>3.867.627</w:t>
            </w:r>
          </w:p>
        </w:tc>
        <w:tc>
          <w:tcPr>
            <w:tcW w:w="1200" w:type="dxa"/>
            <w:tcBorders>
              <w:top w:val="nil"/>
              <w:left w:val="nil"/>
              <w:bottom w:val="single" w:sz="4" w:space="0" w:color="000000"/>
              <w:right w:val="nil"/>
            </w:tcBorders>
            <w:shd w:val="clear" w:color="auto" w:fill="auto"/>
            <w:noWrap/>
            <w:vAlign w:val="bottom"/>
            <w:hideMark/>
          </w:tcPr>
          <w:p>
            <w:pPr>
              <w:jc w:val="right"/>
              <w:rPr>
                <w:rFonts w:ascii="Calibri" w:eastAsia="Times New Roman" w:hAnsi="Calibri" w:cs="Calibri"/>
                <w:noProof/>
                <w:color w:val="000000"/>
                <w:sz w:val="22"/>
                <w:szCs w:val="22"/>
                <w:lang w:val="en-IE" w:eastAsia="en-IE"/>
              </w:rPr>
            </w:pPr>
            <w:r>
              <w:rPr>
                <w:rFonts w:ascii="Calibri" w:eastAsia="Times New Roman" w:hAnsi="Calibri" w:cs="Calibri"/>
                <w:noProof/>
                <w:color w:val="000000"/>
                <w:sz w:val="22"/>
                <w:szCs w:val="22"/>
                <w:lang w:val="en-IE" w:eastAsia="en-IE"/>
              </w:rPr>
              <w:t>76%</w:t>
            </w:r>
          </w:p>
        </w:tc>
      </w:tr>
    </w:tbl>
    <w:p>
      <w:pPr>
        <w:jc w:val="both"/>
        <w:rPr>
          <w:i/>
          <w:noProof/>
        </w:rPr>
      </w:pPr>
      <w:r>
        <w:rPr>
          <w:i/>
          <w:noProof/>
        </w:rPr>
        <w:t>Source Eurostat</w:t>
      </w:r>
    </w:p>
    <w:p>
      <w:pPr>
        <w:jc w:val="both"/>
        <w:rPr>
          <w:noProof/>
        </w:rPr>
      </w:pPr>
    </w:p>
    <w:p>
      <w:pPr>
        <w:jc w:val="both"/>
        <w:rPr>
          <w:noProof/>
        </w:rPr>
      </w:pPr>
      <w:r>
        <w:rPr>
          <w:noProof/>
        </w:rPr>
        <w:t xml:space="preserve">In 2018, EU imports of fresh bananas from Colombia amounted to 1 286 313 metric tons. Colombia remained 32% below the trigger volume of 1 890 000 metric tonnes established by the Agreement. </w:t>
      </w:r>
    </w:p>
    <w:p>
      <w:pPr>
        <w:jc w:val="both"/>
        <w:rPr>
          <w:noProof/>
        </w:rPr>
      </w:pPr>
    </w:p>
    <w:p>
      <w:pPr>
        <w:jc w:val="both"/>
        <w:rPr>
          <w:noProof/>
        </w:rPr>
      </w:pPr>
      <w:r>
        <w:rPr>
          <w:noProof/>
        </w:rPr>
        <w:t xml:space="preserve">Ecuador exported 1 514 548 metric tons of fresh bananas to the EU, with imports remaining 19% below the trigger level of 1 880 127 metric tonnes, established for Ecuador in the Agreement. </w:t>
      </w:r>
    </w:p>
    <w:p>
      <w:pPr>
        <w:jc w:val="both"/>
        <w:rPr>
          <w:noProof/>
        </w:rPr>
      </w:pPr>
    </w:p>
    <w:p>
      <w:pPr>
        <w:jc w:val="both"/>
        <w:rPr>
          <w:noProof/>
        </w:rPr>
      </w:pPr>
      <w:r>
        <w:rPr>
          <w:noProof/>
        </w:rPr>
        <w:t xml:space="preserve">Peru exceeded its trigger volume established in the Agreement (97 500 metric tonnes) on 15 October 2018. In line with Article 15(3) of the above-mentioned Regulation(EU) No 19/2013, the Commission examined the impact on the EU market taking into account, inter alia, the effects on the price level, developments of imports from other sources and the overall stability of the EU market.  </w:t>
      </w:r>
    </w:p>
    <w:p>
      <w:pPr>
        <w:jc w:val="both"/>
        <w:rPr>
          <w:noProof/>
        </w:rPr>
      </w:pPr>
    </w:p>
    <w:p>
      <w:pPr>
        <w:jc w:val="both"/>
        <w:rPr>
          <w:noProof/>
        </w:rPr>
      </w:pPr>
      <w:r>
        <w:rPr>
          <w:noProof/>
        </w:rPr>
        <w:t>As a result of the examination, the Commission concluded that the suspension of the preferential duty on fresh bananas originating in Peru was not appropriate for the following reasons</w:t>
      </w:r>
      <w:r>
        <w:rPr>
          <w:noProof/>
          <w:vertAlign w:val="superscript"/>
        </w:rPr>
        <w:footnoteReference w:id="19"/>
      </w:r>
      <w:r>
        <w:rPr>
          <w:noProof/>
        </w:rPr>
        <w:t xml:space="preserve">: </w:t>
      </w:r>
    </w:p>
    <w:p>
      <w:pPr>
        <w:numPr>
          <w:ilvl w:val="0"/>
          <w:numId w:val="41"/>
        </w:numPr>
        <w:jc w:val="both"/>
        <w:rPr>
          <w:noProof/>
        </w:rPr>
      </w:pPr>
      <w:r>
        <w:rPr>
          <w:noProof/>
        </w:rPr>
        <w:t xml:space="preserve">the share of imports from Peru (2.2%) in the </w:t>
      </w:r>
      <w:r>
        <w:rPr>
          <w:i/>
          <w:noProof/>
        </w:rPr>
        <w:t>overall</w:t>
      </w:r>
      <w:r>
        <w:rPr>
          <w:noProof/>
        </w:rPr>
        <w:t xml:space="preserve"> imports of bananas over the period 1 January 2018 - 15 October 2018 was very small and the price development of imports from Peru remained in line with other import prices;</w:t>
      </w:r>
    </w:p>
    <w:p>
      <w:pPr>
        <w:numPr>
          <w:ilvl w:val="0"/>
          <w:numId w:val="41"/>
        </w:numPr>
        <w:jc w:val="both"/>
        <w:rPr>
          <w:noProof/>
        </w:rPr>
      </w:pPr>
      <w:r>
        <w:rPr>
          <w:noProof/>
        </w:rPr>
        <w:t>the other exporting countries remained - at that moment of the year - far below the thresholds defined for them (annual exports from the three Andean countries reached 76% of the cumulated trigger level);</w:t>
      </w:r>
    </w:p>
    <w:p>
      <w:pPr>
        <w:numPr>
          <w:ilvl w:val="0"/>
          <w:numId w:val="41"/>
        </w:numPr>
        <w:spacing w:after="240"/>
        <w:jc w:val="both"/>
        <w:rPr>
          <w:noProof/>
        </w:rPr>
      </w:pPr>
      <w:r>
        <w:rPr>
          <w:noProof/>
        </w:rPr>
        <w:t xml:space="preserve">Peruvian imports did not show any negative effect on the EU wholesale price for bananas, which has remained fairly stable during the period. </w:t>
      </w:r>
    </w:p>
    <w:p>
      <w:pPr>
        <w:jc w:val="both"/>
        <w:rPr>
          <w:noProof/>
        </w:rPr>
      </w:pPr>
      <w:r>
        <w:rPr>
          <w:noProof/>
        </w:rPr>
        <w:t xml:space="preserve">Therefore, there was no indication that the stability of the EU market or the situation of the EU producers was affected by the level of Peruvian exports. Nevertheless, the Commission will continue its reinforced monitoring of banana imports and evaluate the market situation. </w:t>
      </w:r>
    </w:p>
    <w:p>
      <w:pPr>
        <w:pStyle w:val="ManualHeading1"/>
      </w:pPr>
      <w:bookmarkStart w:id="379" w:name="_Toc8833473"/>
      <w:bookmarkStart w:id="380" w:name="_Toc8835300"/>
      <w:bookmarkStart w:id="381" w:name="_Toc8833930"/>
      <w:bookmarkStart w:id="382" w:name="_Toc8909393"/>
      <w:bookmarkStart w:id="383" w:name="_Toc8910605"/>
      <w:bookmarkStart w:id="384" w:name="_Toc8911642"/>
      <w:bookmarkStart w:id="385" w:name="_Toc8974440"/>
      <w:bookmarkStart w:id="386" w:name="_Toc9008116"/>
      <w:bookmarkStart w:id="387" w:name="_Toc9008069"/>
      <w:bookmarkStart w:id="388" w:name="_Toc9348514"/>
      <w:bookmarkStart w:id="389" w:name="_Toc9607965"/>
      <w:bookmarkStart w:id="390" w:name="_Toc16000541"/>
      <w:r>
        <w:t>6.</w:t>
      </w:r>
      <w:r>
        <w:tab/>
        <w:t>Conclusions and outlook</w:t>
      </w:r>
      <w:bookmarkEnd w:id="379"/>
      <w:bookmarkEnd w:id="380"/>
      <w:bookmarkEnd w:id="381"/>
      <w:bookmarkEnd w:id="382"/>
      <w:bookmarkEnd w:id="383"/>
      <w:bookmarkEnd w:id="384"/>
      <w:bookmarkEnd w:id="385"/>
      <w:bookmarkEnd w:id="386"/>
      <w:bookmarkEnd w:id="387"/>
      <w:bookmarkEnd w:id="388"/>
      <w:bookmarkEnd w:id="389"/>
      <w:bookmarkEnd w:id="390"/>
    </w:p>
    <w:p>
      <w:pPr>
        <w:ind w:left="66"/>
        <w:jc w:val="both"/>
        <w:rPr>
          <w:noProof/>
        </w:rPr>
      </w:pPr>
      <w:r>
        <w:rPr>
          <w:noProof/>
        </w:rPr>
        <w:t xml:space="preserve">After almost six years of provisional application with Colombia and Peru and the three years with Ecuador, the Agreement continues to function well and has created important business opportunities, which are being increasingly seized by businesses and exporters from both sides. Despite a slight decrease in bilateral trade with Colombia and Peru in 2018, the Agreement continues to contribute to an important diversification of Colombia and Peru’s exports, away from mineral products or ores, notably in favour of the agricultural sector, thus creating new opportunities, notably for SMEs. With Ecuador, results after two years of implementation are positive and there is still potential for growth and diversification on both sides. </w:t>
      </w:r>
    </w:p>
    <w:p>
      <w:pPr>
        <w:ind w:left="66"/>
        <w:jc w:val="both"/>
        <w:rPr>
          <w:noProof/>
        </w:rPr>
      </w:pPr>
    </w:p>
    <w:p>
      <w:pPr>
        <w:ind w:left="66"/>
        <w:jc w:val="both"/>
        <w:rPr>
          <w:noProof/>
        </w:rPr>
      </w:pPr>
      <w:r>
        <w:rPr>
          <w:noProof/>
        </w:rPr>
        <w:t xml:space="preserve">Full implementation of the Agreement remains a priority for the EU. The institutional framework under the Agreement has been working well and allows for discussions to seek solutions to the implementation and market access issues on both sides. Nevertheless, some difficulties persist and all Parties should continue working on the implementation of the Trade Agreement in order to bring further benefits to their businesses and consumers. </w:t>
      </w:r>
    </w:p>
    <w:p>
      <w:pPr>
        <w:ind w:left="66"/>
        <w:jc w:val="both"/>
        <w:rPr>
          <w:noProof/>
        </w:rPr>
      </w:pPr>
    </w:p>
    <w:p>
      <w:pPr>
        <w:widowControl w:val="0"/>
        <w:ind w:left="66"/>
        <w:jc w:val="both"/>
        <w:rPr>
          <w:noProof/>
        </w:rPr>
      </w:pPr>
      <w:r>
        <w:rPr>
          <w:noProof/>
        </w:rPr>
        <w:t xml:space="preserve">In 2018, the Commission will launch an external ex post evaluation on the five years of implementation of the Agreement, which will undertake an in-depth analysis of the trade and economic impacts, social impacts, impact on labour and human rights, and environmental impacts of the Agreement. Stakeholders and the civil society will be widely consulted, including through dedicated meetings. </w:t>
      </w:r>
    </w:p>
    <w:p>
      <w:pPr>
        <w:pStyle w:val="ManualHeading1"/>
      </w:pPr>
      <w:bookmarkStart w:id="391" w:name="_Toc9008117"/>
      <w:bookmarkStart w:id="392" w:name="_Toc9008070"/>
      <w:bookmarkStart w:id="393" w:name="_Toc9348515"/>
      <w:bookmarkStart w:id="394" w:name="_Toc9607966"/>
      <w:bookmarkStart w:id="395" w:name="_Toc16000542"/>
      <w:r>
        <w:t>7.</w:t>
      </w:r>
      <w:r>
        <w:tab/>
        <w:t>Statistics</w:t>
      </w:r>
      <w:bookmarkEnd w:id="391"/>
      <w:bookmarkEnd w:id="392"/>
      <w:bookmarkEnd w:id="393"/>
      <w:bookmarkEnd w:id="394"/>
      <w:bookmarkEnd w:id="395"/>
    </w:p>
    <w:p>
      <w:pPr>
        <w:rPr>
          <w:b/>
          <w:noProof/>
        </w:rPr>
      </w:pPr>
      <w:r>
        <w:rPr>
          <w:b/>
          <w:noProof/>
        </w:rPr>
        <w:t>Colombia</w:t>
      </w:r>
    </w:p>
    <w:tbl>
      <w:tblPr>
        <w:tblW w:w="6433" w:type="dxa"/>
        <w:tblInd w:w="108" w:type="dxa"/>
        <w:tblLook w:val="04A0" w:firstRow="1" w:lastRow="0" w:firstColumn="1" w:lastColumn="0" w:noHBand="0" w:noVBand="1"/>
      </w:tblPr>
      <w:tblGrid>
        <w:gridCol w:w="3770"/>
        <w:gridCol w:w="876"/>
        <w:gridCol w:w="876"/>
        <w:gridCol w:w="876"/>
        <w:gridCol w:w="876"/>
        <w:gridCol w:w="924"/>
      </w:tblGrid>
      <w:tr>
        <w:trPr>
          <w:trHeight w:val="210"/>
        </w:trPr>
        <w:tc>
          <w:tcPr>
            <w:tcW w:w="6433" w:type="dxa"/>
            <w:gridSpan w:val="6"/>
            <w:tcBorders>
              <w:top w:val="nil"/>
              <w:left w:val="nil"/>
              <w:bottom w:val="nil"/>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Merchandise trade EU28 2014-2018</w:t>
            </w:r>
          </w:p>
        </w:tc>
      </w:tr>
      <w:tr>
        <w:trPr>
          <w:trHeight w:val="210"/>
        </w:trPr>
        <w:tc>
          <w:tcPr>
            <w:tcW w:w="3770" w:type="dxa"/>
            <w:tcBorders>
              <w:top w:val="single" w:sz="4" w:space="0" w:color="auto"/>
              <w:left w:val="nil"/>
              <w:bottom w:val="single" w:sz="4" w:space="0" w:color="auto"/>
              <w:right w:val="nil"/>
            </w:tcBorders>
            <w:shd w:val="clear" w:color="000000" w:fill="FFFFFF"/>
            <w:noWrap/>
            <w:vAlign w:val="bottom"/>
            <w:hideMark/>
          </w:tcPr>
          <w:p>
            <w:pPr>
              <w:rPr>
                <w:rFonts w:eastAsia="Times New Roman"/>
                <w:b/>
                <w:bCs/>
                <w:noProof/>
                <w:lang w:val="en-IE" w:eastAsia="en-IE"/>
              </w:rPr>
            </w:pPr>
            <w:r>
              <w:rPr>
                <w:rFonts w:eastAsia="Times New Roman"/>
                <w:b/>
                <w:bCs/>
                <w:noProof/>
                <w:lang w:val="en-IE" w:eastAsia="en-IE"/>
              </w:rPr>
              <w:t> </w:t>
            </w:r>
          </w:p>
        </w:tc>
        <w:tc>
          <w:tcPr>
            <w:tcW w:w="490"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2014</w:t>
            </w:r>
          </w:p>
        </w:tc>
        <w:tc>
          <w:tcPr>
            <w:tcW w:w="490"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2015</w:t>
            </w:r>
          </w:p>
        </w:tc>
        <w:tc>
          <w:tcPr>
            <w:tcW w:w="490"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2016</w:t>
            </w:r>
          </w:p>
        </w:tc>
        <w:tc>
          <w:tcPr>
            <w:tcW w:w="490"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2017</w:t>
            </w:r>
          </w:p>
        </w:tc>
        <w:tc>
          <w:tcPr>
            <w:tcW w:w="703"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2018</w:t>
            </w:r>
          </w:p>
        </w:tc>
      </w:tr>
      <w:tr>
        <w:trPr>
          <w:trHeight w:val="210"/>
        </w:trPr>
        <w:tc>
          <w:tcPr>
            <w:tcW w:w="3770" w:type="dxa"/>
            <w:tcBorders>
              <w:top w:val="nil"/>
              <w:left w:val="nil"/>
              <w:bottom w:val="nil"/>
              <w:right w:val="nil"/>
            </w:tcBorders>
            <w:shd w:val="clear" w:color="000000" w:fill="FFFFFF"/>
            <w:noWrap/>
            <w:vAlign w:val="center"/>
            <w:hideMark/>
          </w:tcPr>
          <w:p>
            <w:pPr>
              <w:jc w:val="center"/>
              <w:rPr>
                <w:rFonts w:eastAsia="Times New Roman"/>
                <w:b/>
                <w:bCs/>
                <w:i/>
                <w:iCs/>
                <w:noProof/>
                <w:lang w:val="en-IE" w:eastAsia="en-IE"/>
              </w:rPr>
            </w:pPr>
            <w:r>
              <w:rPr>
                <w:rFonts w:eastAsia="Times New Roman"/>
                <w:b/>
                <w:bCs/>
                <w:i/>
                <w:iCs/>
                <w:noProof/>
                <w:lang w:val="en-IE" w:eastAsia="en-IE"/>
              </w:rPr>
              <w:t>EU28 trade with Colombia (mio €)</w:t>
            </w:r>
          </w:p>
        </w:tc>
        <w:tc>
          <w:tcPr>
            <w:tcW w:w="490" w:type="dxa"/>
            <w:tcBorders>
              <w:top w:val="nil"/>
              <w:left w:val="nil"/>
              <w:bottom w:val="nil"/>
              <w:right w:val="nil"/>
            </w:tcBorders>
            <w:shd w:val="clear" w:color="auto" w:fill="auto"/>
            <w:noWrap/>
            <w:vAlign w:val="center"/>
            <w:hideMark/>
          </w:tcPr>
          <w:p>
            <w:pPr>
              <w:jc w:val="center"/>
              <w:rPr>
                <w:rFonts w:eastAsia="Times New Roman"/>
                <w:b/>
                <w:bCs/>
                <w:i/>
                <w:iCs/>
                <w:noProof/>
                <w:lang w:val="en-IE" w:eastAsia="en-IE"/>
              </w:rPr>
            </w:pPr>
          </w:p>
        </w:tc>
        <w:tc>
          <w:tcPr>
            <w:tcW w:w="490" w:type="dxa"/>
            <w:tcBorders>
              <w:top w:val="nil"/>
              <w:left w:val="nil"/>
              <w:bottom w:val="nil"/>
              <w:right w:val="nil"/>
            </w:tcBorders>
            <w:shd w:val="clear" w:color="000000" w:fill="FFFFFF"/>
            <w:noWrap/>
            <w:vAlign w:val="center"/>
            <w:hideMark/>
          </w:tcPr>
          <w:p>
            <w:pPr>
              <w:rPr>
                <w:rFonts w:eastAsia="Times New Roman"/>
                <w:b/>
                <w:bCs/>
                <w:i/>
                <w:iCs/>
                <w:noProof/>
                <w:lang w:val="en-IE" w:eastAsia="en-IE"/>
              </w:rPr>
            </w:pPr>
            <w:r>
              <w:rPr>
                <w:rFonts w:eastAsia="Times New Roman"/>
                <w:b/>
                <w:bCs/>
                <w:i/>
                <w:iCs/>
                <w:noProof/>
                <w:lang w:val="en-IE" w:eastAsia="en-IE"/>
              </w:rPr>
              <w:t> </w:t>
            </w:r>
          </w:p>
        </w:tc>
        <w:tc>
          <w:tcPr>
            <w:tcW w:w="490" w:type="dxa"/>
            <w:tcBorders>
              <w:top w:val="nil"/>
              <w:left w:val="nil"/>
              <w:bottom w:val="nil"/>
              <w:right w:val="nil"/>
            </w:tcBorders>
            <w:shd w:val="clear" w:color="000000" w:fill="FFFFFF"/>
            <w:noWrap/>
            <w:vAlign w:val="center"/>
            <w:hideMark/>
          </w:tcPr>
          <w:p>
            <w:pPr>
              <w:rPr>
                <w:rFonts w:eastAsia="Times New Roman"/>
                <w:b/>
                <w:bCs/>
                <w:i/>
                <w:iCs/>
                <w:noProof/>
                <w:lang w:val="en-IE" w:eastAsia="en-IE"/>
              </w:rPr>
            </w:pPr>
            <w:r>
              <w:rPr>
                <w:rFonts w:eastAsia="Times New Roman"/>
                <w:b/>
                <w:bCs/>
                <w:i/>
                <w:iCs/>
                <w:noProof/>
                <w:lang w:val="en-IE" w:eastAsia="en-IE"/>
              </w:rPr>
              <w:t> </w:t>
            </w:r>
          </w:p>
        </w:tc>
        <w:tc>
          <w:tcPr>
            <w:tcW w:w="490" w:type="dxa"/>
            <w:tcBorders>
              <w:top w:val="nil"/>
              <w:left w:val="nil"/>
              <w:bottom w:val="nil"/>
              <w:right w:val="nil"/>
            </w:tcBorders>
            <w:shd w:val="clear" w:color="000000" w:fill="FFFFFF"/>
            <w:noWrap/>
            <w:vAlign w:val="center"/>
            <w:hideMark/>
          </w:tcPr>
          <w:p>
            <w:pPr>
              <w:rPr>
                <w:rFonts w:eastAsia="Times New Roman"/>
                <w:b/>
                <w:bCs/>
                <w:i/>
                <w:iCs/>
                <w:noProof/>
                <w:lang w:val="en-IE" w:eastAsia="en-IE"/>
              </w:rPr>
            </w:pPr>
            <w:r>
              <w:rPr>
                <w:rFonts w:eastAsia="Times New Roman"/>
                <w:b/>
                <w:bCs/>
                <w:i/>
                <w:iCs/>
                <w:noProof/>
                <w:lang w:val="en-IE" w:eastAsia="en-IE"/>
              </w:rPr>
              <w:t> </w:t>
            </w:r>
          </w:p>
        </w:tc>
        <w:tc>
          <w:tcPr>
            <w:tcW w:w="703" w:type="dxa"/>
            <w:tcBorders>
              <w:top w:val="nil"/>
              <w:left w:val="nil"/>
              <w:bottom w:val="nil"/>
              <w:right w:val="nil"/>
            </w:tcBorders>
            <w:shd w:val="clear" w:color="000000" w:fill="FFFFFF"/>
            <w:noWrap/>
            <w:vAlign w:val="center"/>
            <w:hideMark/>
          </w:tcPr>
          <w:p>
            <w:pPr>
              <w:rPr>
                <w:rFonts w:eastAsia="Times New Roman"/>
                <w:b/>
                <w:bCs/>
                <w:i/>
                <w:iCs/>
                <w:noProof/>
                <w:lang w:val="en-IE" w:eastAsia="en-IE"/>
              </w:rPr>
            </w:pPr>
            <w:r>
              <w:rPr>
                <w:rFonts w:eastAsia="Times New Roman"/>
                <w:b/>
                <w:bCs/>
                <w:i/>
                <w:iCs/>
                <w:noProof/>
                <w:lang w:val="en-IE" w:eastAsia="en-IE"/>
              </w:rPr>
              <w:t> </w:t>
            </w:r>
          </w:p>
        </w:tc>
      </w:tr>
      <w:tr>
        <w:trPr>
          <w:trHeight w:val="210"/>
        </w:trPr>
        <w:tc>
          <w:tcPr>
            <w:tcW w:w="377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Imports</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8.178</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6.724</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5.443</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5.590</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5.085</w:t>
            </w:r>
          </w:p>
        </w:tc>
      </w:tr>
      <w:tr>
        <w:trPr>
          <w:trHeight w:val="210"/>
        </w:trPr>
        <w:tc>
          <w:tcPr>
            <w:tcW w:w="377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Exports</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6.352</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6.523</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5.403</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5.973</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6.010</w:t>
            </w:r>
          </w:p>
        </w:tc>
      </w:tr>
      <w:tr>
        <w:trPr>
          <w:trHeight w:val="210"/>
        </w:trPr>
        <w:tc>
          <w:tcPr>
            <w:tcW w:w="377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Balance</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-1.826</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-202</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-40</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383</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925</w:t>
            </w:r>
          </w:p>
        </w:tc>
      </w:tr>
      <w:tr>
        <w:trPr>
          <w:trHeight w:val="210"/>
        </w:trPr>
        <w:tc>
          <w:tcPr>
            <w:tcW w:w="3770" w:type="dxa"/>
            <w:tcBorders>
              <w:top w:val="nil"/>
              <w:left w:val="nil"/>
              <w:bottom w:val="nil"/>
              <w:right w:val="nil"/>
            </w:tcBorders>
            <w:shd w:val="clear" w:color="000000" w:fill="FFFFFF"/>
            <w:noWrap/>
            <w:vAlign w:val="center"/>
            <w:hideMark/>
          </w:tcPr>
          <w:p>
            <w:pPr>
              <w:jc w:val="center"/>
              <w:rPr>
                <w:rFonts w:eastAsia="Times New Roman"/>
                <w:b/>
                <w:bCs/>
                <w:i/>
                <w:iCs/>
                <w:noProof/>
                <w:lang w:val="en-IE" w:eastAsia="en-IE"/>
              </w:rPr>
            </w:pPr>
            <w:r>
              <w:rPr>
                <w:rFonts w:eastAsia="Times New Roman"/>
                <w:b/>
                <w:bCs/>
                <w:i/>
                <w:iCs/>
                <w:noProof/>
                <w:lang w:val="en-IE" w:eastAsia="en-IE"/>
              </w:rPr>
              <w:t>Share Colombia in EU28 trade with Extra-EU28</w:t>
            </w:r>
          </w:p>
        </w:tc>
        <w:tc>
          <w:tcPr>
            <w:tcW w:w="490" w:type="dxa"/>
            <w:tcBorders>
              <w:top w:val="nil"/>
              <w:left w:val="nil"/>
              <w:bottom w:val="nil"/>
              <w:right w:val="nil"/>
            </w:tcBorders>
            <w:shd w:val="clear" w:color="auto" w:fill="auto"/>
            <w:noWrap/>
            <w:vAlign w:val="center"/>
            <w:hideMark/>
          </w:tcPr>
          <w:p>
            <w:pPr>
              <w:jc w:val="center"/>
              <w:rPr>
                <w:rFonts w:eastAsia="Times New Roman"/>
                <w:b/>
                <w:bCs/>
                <w:i/>
                <w:iCs/>
                <w:noProof/>
                <w:lang w:val="en-IE" w:eastAsia="en-IE"/>
              </w:rPr>
            </w:pPr>
          </w:p>
        </w:tc>
        <w:tc>
          <w:tcPr>
            <w:tcW w:w="490" w:type="dxa"/>
            <w:tcBorders>
              <w:top w:val="nil"/>
              <w:left w:val="nil"/>
              <w:bottom w:val="nil"/>
              <w:right w:val="nil"/>
            </w:tcBorders>
            <w:shd w:val="clear" w:color="000000" w:fill="FFFFFF"/>
            <w:noWrap/>
            <w:vAlign w:val="center"/>
            <w:hideMark/>
          </w:tcPr>
          <w:p>
            <w:pPr>
              <w:rPr>
                <w:rFonts w:eastAsia="Times New Roman"/>
                <w:b/>
                <w:bCs/>
                <w:i/>
                <w:iCs/>
                <w:noProof/>
                <w:lang w:val="en-IE" w:eastAsia="en-IE"/>
              </w:rPr>
            </w:pPr>
            <w:r>
              <w:rPr>
                <w:rFonts w:eastAsia="Times New Roman"/>
                <w:b/>
                <w:bCs/>
                <w:i/>
                <w:iCs/>
                <w:noProof/>
                <w:lang w:val="en-IE" w:eastAsia="en-IE"/>
              </w:rPr>
              <w:t> </w:t>
            </w:r>
          </w:p>
        </w:tc>
        <w:tc>
          <w:tcPr>
            <w:tcW w:w="490" w:type="dxa"/>
            <w:tcBorders>
              <w:top w:val="nil"/>
              <w:left w:val="nil"/>
              <w:bottom w:val="nil"/>
              <w:right w:val="nil"/>
            </w:tcBorders>
            <w:shd w:val="clear" w:color="000000" w:fill="FFFFFF"/>
            <w:noWrap/>
            <w:vAlign w:val="center"/>
            <w:hideMark/>
          </w:tcPr>
          <w:p>
            <w:pPr>
              <w:rPr>
                <w:rFonts w:eastAsia="Times New Roman"/>
                <w:b/>
                <w:bCs/>
                <w:i/>
                <w:iCs/>
                <w:noProof/>
                <w:lang w:val="en-IE" w:eastAsia="en-IE"/>
              </w:rPr>
            </w:pPr>
            <w:r>
              <w:rPr>
                <w:rFonts w:eastAsia="Times New Roman"/>
                <w:b/>
                <w:bCs/>
                <w:i/>
                <w:iCs/>
                <w:noProof/>
                <w:lang w:val="en-IE" w:eastAsia="en-IE"/>
              </w:rPr>
              <w:t> </w:t>
            </w:r>
          </w:p>
        </w:tc>
        <w:tc>
          <w:tcPr>
            <w:tcW w:w="490" w:type="dxa"/>
            <w:tcBorders>
              <w:top w:val="nil"/>
              <w:left w:val="nil"/>
              <w:bottom w:val="nil"/>
              <w:right w:val="nil"/>
            </w:tcBorders>
            <w:shd w:val="clear" w:color="000000" w:fill="FFFFFF"/>
            <w:noWrap/>
            <w:vAlign w:val="center"/>
            <w:hideMark/>
          </w:tcPr>
          <w:p>
            <w:pPr>
              <w:rPr>
                <w:rFonts w:eastAsia="Times New Roman"/>
                <w:b/>
                <w:bCs/>
                <w:i/>
                <w:iCs/>
                <w:noProof/>
                <w:lang w:val="en-IE" w:eastAsia="en-IE"/>
              </w:rPr>
            </w:pPr>
            <w:r>
              <w:rPr>
                <w:rFonts w:eastAsia="Times New Roman"/>
                <w:b/>
                <w:bCs/>
                <w:i/>
                <w:iCs/>
                <w:noProof/>
                <w:lang w:val="en-IE" w:eastAsia="en-IE"/>
              </w:rPr>
              <w:t> </w:t>
            </w:r>
          </w:p>
        </w:tc>
        <w:tc>
          <w:tcPr>
            <w:tcW w:w="703" w:type="dxa"/>
            <w:tcBorders>
              <w:top w:val="nil"/>
              <w:left w:val="nil"/>
              <w:bottom w:val="nil"/>
              <w:right w:val="nil"/>
            </w:tcBorders>
            <w:shd w:val="clear" w:color="000000" w:fill="FFFFFF"/>
            <w:noWrap/>
            <w:vAlign w:val="center"/>
            <w:hideMark/>
          </w:tcPr>
          <w:p>
            <w:pPr>
              <w:rPr>
                <w:rFonts w:eastAsia="Times New Roman"/>
                <w:b/>
                <w:bCs/>
                <w:i/>
                <w:iCs/>
                <w:noProof/>
                <w:lang w:val="en-IE" w:eastAsia="en-IE"/>
              </w:rPr>
            </w:pPr>
            <w:r>
              <w:rPr>
                <w:rFonts w:eastAsia="Times New Roman"/>
                <w:b/>
                <w:bCs/>
                <w:i/>
                <w:iCs/>
                <w:noProof/>
                <w:lang w:val="en-IE" w:eastAsia="en-IE"/>
              </w:rPr>
              <w:t> </w:t>
            </w:r>
          </w:p>
        </w:tc>
      </w:tr>
      <w:tr>
        <w:trPr>
          <w:trHeight w:val="210"/>
        </w:trPr>
        <w:tc>
          <w:tcPr>
            <w:tcW w:w="377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Imports</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0,5%</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0,4%</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0,3%</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0,3%</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0,3%</w:t>
            </w:r>
          </w:p>
        </w:tc>
      </w:tr>
      <w:tr>
        <w:trPr>
          <w:trHeight w:val="210"/>
        </w:trPr>
        <w:tc>
          <w:tcPr>
            <w:tcW w:w="377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Exports</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0,4%</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0,4%</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0,3%</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0,3%</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0,3%</w:t>
            </w:r>
          </w:p>
        </w:tc>
      </w:tr>
      <w:tr>
        <w:trPr>
          <w:trHeight w:val="210"/>
        </w:trPr>
        <w:tc>
          <w:tcPr>
            <w:tcW w:w="377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Total (I+E)</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0,4%</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0,4%</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0,3%</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0,3%</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0,3%</w:t>
            </w:r>
          </w:p>
        </w:tc>
      </w:tr>
      <w:tr>
        <w:trPr>
          <w:trHeight w:val="210"/>
        </w:trPr>
        <w:tc>
          <w:tcPr>
            <w:tcW w:w="6433" w:type="dxa"/>
            <w:gridSpan w:val="6"/>
            <w:tcBorders>
              <w:top w:val="nil"/>
              <w:left w:val="nil"/>
              <w:bottom w:val="nil"/>
              <w:right w:val="nil"/>
            </w:tcBorders>
            <w:shd w:val="clear" w:color="000000" w:fill="FFFFFF"/>
            <w:noWrap/>
            <w:vAlign w:val="center"/>
            <w:hideMark/>
          </w:tcPr>
          <w:p>
            <w:pPr>
              <w:jc w:val="center"/>
              <w:rPr>
                <w:rFonts w:eastAsia="Times New Roman"/>
                <w:b/>
                <w:bCs/>
                <w:i/>
                <w:iCs/>
                <w:noProof/>
                <w:lang w:val="en-IE" w:eastAsia="en-IE"/>
              </w:rPr>
            </w:pPr>
            <w:r>
              <w:rPr>
                <w:rFonts w:eastAsia="Times New Roman"/>
                <w:b/>
                <w:bCs/>
                <w:i/>
                <w:iCs/>
                <w:noProof/>
                <w:lang w:val="en-IE" w:eastAsia="en-IE"/>
              </w:rPr>
              <w:t>Share EU28 in trade Colombia with world</w:t>
            </w:r>
          </w:p>
        </w:tc>
      </w:tr>
      <w:tr>
        <w:trPr>
          <w:trHeight w:val="210"/>
        </w:trPr>
        <w:tc>
          <w:tcPr>
            <w:tcW w:w="377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Imports</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13,7%</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15,3%</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13,5%</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14,7%</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15,1%</w:t>
            </w:r>
          </w:p>
        </w:tc>
      </w:tr>
      <w:tr>
        <w:trPr>
          <w:trHeight w:val="210"/>
        </w:trPr>
        <w:tc>
          <w:tcPr>
            <w:tcW w:w="377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Exports</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17,1%</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16,6%</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12,8%</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13,4%</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12,5%</w:t>
            </w:r>
          </w:p>
        </w:tc>
      </w:tr>
      <w:tr>
        <w:trPr>
          <w:trHeight w:val="210"/>
        </w:trPr>
        <w:tc>
          <w:tcPr>
            <w:tcW w:w="377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Total (I+E)</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15,3%</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15,8%</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13,2%</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14,1%</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13,9%</w:t>
            </w:r>
          </w:p>
        </w:tc>
      </w:tr>
      <w:tr>
        <w:trPr>
          <w:trHeight w:val="225"/>
        </w:trPr>
        <w:tc>
          <w:tcPr>
            <w:tcW w:w="4750" w:type="dxa"/>
            <w:gridSpan w:val="3"/>
            <w:tcBorders>
              <w:top w:val="single" w:sz="4" w:space="0" w:color="auto"/>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xml:space="preserve">Source Trade G2 Statistics/ISDB </w:t>
            </w:r>
          </w:p>
        </w:tc>
        <w:tc>
          <w:tcPr>
            <w:tcW w:w="490" w:type="dxa"/>
            <w:tcBorders>
              <w:top w:val="single" w:sz="4" w:space="0" w:color="auto"/>
              <w:left w:val="nil"/>
              <w:bottom w:val="nil"/>
              <w:right w:val="nil"/>
            </w:tcBorders>
            <w:shd w:val="clear" w:color="000000" w:fill="FFFFFF"/>
            <w:noWrap/>
            <w:vAlign w:val="bottom"/>
            <w:hideMark/>
          </w:tcPr>
          <w:p>
            <w:pPr>
              <w:jc w:val="center"/>
              <w:rPr>
                <w:rFonts w:eastAsia="Times New Roman"/>
                <w:noProof/>
                <w:lang w:val="en-IE" w:eastAsia="en-IE"/>
              </w:rPr>
            </w:pPr>
            <w:r>
              <w:rPr>
                <w:rFonts w:eastAsia="Times New Roman"/>
                <w:noProof/>
                <w:lang w:val="en-IE" w:eastAsia="en-IE"/>
              </w:rPr>
              <w:t> </w:t>
            </w:r>
          </w:p>
        </w:tc>
        <w:tc>
          <w:tcPr>
            <w:tcW w:w="490" w:type="dxa"/>
            <w:tcBorders>
              <w:top w:val="single" w:sz="4" w:space="0" w:color="auto"/>
              <w:left w:val="nil"/>
              <w:bottom w:val="nil"/>
              <w:right w:val="nil"/>
            </w:tcBorders>
            <w:shd w:val="clear" w:color="000000" w:fill="FFFFFF"/>
            <w:noWrap/>
            <w:vAlign w:val="bottom"/>
            <w:hideMark/>
          </w:tcPr>
          <w:p>
            <w:pPr>
              <w:jc w:val="center"/>
              <w:rPr>
                <w:rFonts w:eastAsia="Times New Roman"/>
                <w:noProof/>
                <w:lang w:val="en-IE" w:eastAsia="en-IE"/>
              </w:rPr>
            </w:pPr>
            <w:r>
              <w:rPr>
                <w:rFonts w:eastAsia="Times New Roman"/>
                <w:noProof/>
                <w:lang w:val="en-IE" w:eastAsia="en-IE"/>
              </w:rPr>
              <w:t> </w:t>
            </w:r>
          </w:p>
        </w:tc>
        <w:tc>
          <w:tcPr>
            <w:tcW w:w="703" w:type="dxa"/>
            <w:tcBorders>
              <w:top w:val="single" w:sz="4" w:space="0" w:color="auto"/>
              <w:left w:val="nil"/>
              <w:bottom w:val="nil"/>
              <w:right w:val="nil"/>
            </w:tcBorders>
            <w:shd w:val="clear" w:color="000000" w:fill="FFFFFF"/>
            <w:noWrap/>
            <w:hideMark/>
          </w:tcPr>
          <w:p>
            <w:pPr>
              <w:jc w:val="right"/>
              <w:rPr>
                <w:rFonts w:eastAsia="Times New Roman"/>
                <w:noProof/>
                <w:lang w:val="en-IE" w:eastAsia="en-IE"/>
              </w:rPr>
            </w:pPr>
            <w:r>
              <w:rPr>
                <w:rFonts w:eastAsia="Times New Roman"/>
                <w:noProof/>
                <w:lang w:val="en-IE" w:eastAsia="en-IE"/>
              </w:rPr>
              <w:t>25-mars-19</w:t>
            </w:r>
          </w:p>
        </w:tc>
      </w:tr>
      <w:tr>
        <w:trPr>
          <w:trHeight w:val="210"/>
        </w:trPr>
        <w:tc>
          <w:tcPr>
            <w:tcW w:w="5240" w:type="dxa"/>
            <w:gridSpan w:val="4"/>
            <w:tcBorders>
              <w:top w:val="nil"/>
              <w:left w:val="nil"/>
              <w:bottom w:val="nil"/>
              <w:right w:val="nil"/>
            </w:tcBorders>
            <w:shd w:val="clear" w:color="000000" w:fill="FFFFFF"/>
            <w:noWrap/>
            <w:hideMark/>
          </w:tcPr>
          <w:p>
            <w:pPr>
              <w:rPr>
                <w:rFonts w:eastAsia="Times New Roman"/>
                <w:noProof/>
                <w:color w:val="000000"/>
                <w:lang w:val="en-IE" w:eastAsia="en-IE"/>
              </w:rPr>
            </w:pPr>
            <w:r>
              <w:rPr>
                <w:rFonts w:eastAsia="Times New Roman"/>
                <w:noProof/>
                <w:color w:val="000000"/>
                <w:lang w:val="en-IE" w:eastAsia="en-IE"/>
              </w:rPr>
              <w:t>Trade EU28: Eurostat COMEXT;  Trade Colombia: IMF Dots</w:t>
            </w:r>
          </w:p>
        </w:tc>
        <w:tc>
          <w:tcPr>
            <w:tcW w:w="490" w:type="dxa"/>
            <w:tcBorders>
              <w:top w:val="nil"/>
              <w:left w:val="nil"/>
              <w:bottom w:val="nil"/>
              <w:right w:val="nil"/>
            </w:tcBorders>
            <w:shd w:val="clear" w:color="000000" w:fill="FFFFFF"/>
            <w:noWrap/>
            <w:vAlign w:val="bottom"/>
            <w:hideMark/>
          </w:tcPr>
          <w:p>
            <w:pPr>
              <w:rPr>
                <w:rFonts w:eastAsia="Times New Roman"/>
                <w:noProof/>
                <w:color w:val="000000"/>
                <w:lang w:val="en-IE" w:eastAsia="en-IE"/>
              </w:rPr>
            </w:pPr>
            <w:r>
              <w:rPr>
                <w:rFonts w:eastAsia="Times New Roman"/>
                <w:noProof/>
                <w:color w:val="000000"/>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color w:val="000000"/>
                <w:lang w:val="en-IE" w:eastAsia="en-IE"/>
              </w:rPr>
            </w:pPr>
            <w:r>
              <w:rPr>
                <w:rFonts w:eastAsia="Times New Roman"/>
                <w:noProof/>
                <w:color w:val="000000"/>
                <w:lang w:val="en-IE" w:eastAsia="en-IE"/>
              </w:rPr>
              <w:t> </w:t>
            </w:r>
          </w:p>
        </w:tc>
      </w:tr>
      <w:tr>
        <w:trPr>
          <w:trHeight w:val="210"/>
        </w:trPr>
        <w:tc>
          <w:tcPr>
            <w:tcW w:w="3770" w:type="dxa"/>
            <w:tcBorders>
              <w:top w:val="nil"/>
              <w:left w:val="nil"/>
              <w:bottom w:val="nil"/>
              <w:right w:val="nil"/>
            </w:tcBorders>
            <w:shd w:val="clear" w:color="000000" w:fill="FFFFFF"/>
            <w:noWrap/>
            <w:vAlign w:val="bottom"/>
            <w:hideMark/>
          </w:tcPr>
          <w:p>
            <w:pPr>
              <w:rPr>
                <w:rFonts w:eastAsia="Times New Roman"/>
                <w:noProof/>
                <w:color w:val="000000"/>
                <w:lang w:val="en-IE" w:eastAsia="en-IE"/>
              </w:rPr>
            </w:pPr>
            <w:r>
              <w:rPr>
                <w:rFonts w:eastAsia="Times New Roman"/>
                <w:noProof/>
                <w:color w:val="000000"/>
                <w:lang w:val="en-IE" w:eastAsia="en-IE"/>
              </w:rPr>
              <w:t> </w:t>
            </w:r>
          </w:p>
        </w:tc>
        <w:tc>
          <w:tcPr>
            <w:tcW w:w="490" w:type="dxa"/>
            <w:tcBorders>
              <w:top w:val="nil"/>
              <w:left w:val="nil"/>
              <w:bottom w:val="nil"/>
              <w:right w:val="nil"/>
            </w:tcBorders>
            <w:shd w:val="clear" w:color="000000" w:fill="FFFFFF"/>
            <w:noWrap/>
            <w:vAlign w:val="bottom"/>
            <w:hideMark/>
          </w:tcPr>
          <w:p>
            <w:pPr>
              <w:rPr>
                <w:rFonts w:eastAsia="Times New Roman"/>
                <w:noProof/>
                <w:color w:val="000000"/>
                <w:lang w:val="en-IE" w:eastAsia="en-IE"/>
              </w:rPr>
            </w:pPr>
            <w:r>
              <w:rPr>
                <w:rFonts w:eastAsia="Times New Roman"/>
                <w:noProof/>
                <w:color w:val="000000"/>
                <w:lang w:val="en-IE" w:eastAsia="en-IE"/>
              </w:rPr>
              <w:t> </w:t>
            </w:r>
          </w:p>
        </w:tc>
        <w:tc>
          <w:tcPr>
            <w:tcW w:w="490" w:type="dxa"/>
            <w:tcBorders>
              <w:top w:val="nil"/>
              <w:left w:val="nil"/>
              <w:bottom w:val="nil"/>
              <w:right w:val="nil"/>
            </w:tcBorders>
            <w:shd w:val="clear" w:color="000000" w:fill="FFFFFF"/>
            <w:noWrap/>
            <w:vAlign w:val="bottom"/>
            <w:hideMark/>
          </w:tcPr>
          <w:p>
            <w:pPr>
              <w:rPr>
                <w:rFonts w:eastAsia="Times New Roman"/>
                <w:noProof/>
                <w:color w:val="000000"/>
                <w:lang w:val="en-IE" w:eastAsia="en-IE"/>
              </w:rPr>
            </w:pPr>
            <w:r>
              <w:rPr>
                <w:rFonts w:eastAsia="Times New Roman"/>
                <w:noProof/>
                <w:color w:val="000000"/>
                <w:lang w:val="en-IE" w:eastAsia="en-IE"/>
              </w:rPr>
              <w:t> </w:t>
            </w:r>
          </w:p>
        </w:tc>
        <w:tc>
          <w:tcPr>
            <w:tcW w:w="490" w:type="dxa"/>
            <w:tcBorders>
              <w:top w:val="nil"/>
              <w:left w:val="nil"/>
              <w:bottom w:val="nil"/>
              <w:right w:val="nil"/>
            </w:tcBorders>
            <w:shd w:val="clear" w:color="000000" w:fill="FFFFFF"/>
            <w:noWrap/>
            <w:vAlign w:val="bottom"/>
            <w:hideMark/>
          </w:tcPr>
          <w:p>
            <w:pPr>
              <w:rPr>
                <w:rFonts w:eastAsia="Times New Roman"/>
                <w:noProof/>
                <w:color w:val="000000"/>
                <w:lang w:val="en-IE" w:eastAsia="en-IE"/>
              </w:rPr>
            </w:pPr>
            <w:r>
              <w:rPr>
                <w:rFonts w:eastAsia="Times New Roman"/>
                <w:noProof/>
                <w:color w:val="000000"/>
                <w:lang w:val="en-IE" w:eastAsia="en-IE"/>
              </w:rPr>
              <w:t> </w:t>
            </w:r>
          </w:p>
        </w:tc>
        <w:tc>
          <w:tcPr>
            <w:tcW w:w="490" w:type="dxa"/>
            <w:tcBorders>
              <w:top w:val="nil"/>
              <w:left w:val="nil"/>
              <w:bottom w:val="nil"/>
              <w:right w:val="nil"/>
            </w:tcBorders>
            <w:shd w:val="clear" w:color="000000" w:fill="FFFFFF"/>
            <w:noWrap/>
            <w:vAlign w:val="bottom"/>
            <w:hideMark/>
          </w:tcPr>
          <w:p>
            <w:pPr>
              <w:rPr>
                <w:rFonts w:eastAsia="Times New Roman"/>
                <w:noProof/>
                <w:color w:val="000000"/>
                <w:lang w:val="en-IE" w:eastAsia="en-IE"/>
              </w:rPr>
            </w:pPr>
            <w:r>
              <w:rPr>
                <w:rFonts w:eastAsia="Times New Roman"/>
                <w:noProof/>
                <w:color w:val="000000"/>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color w:val="000000"/>
                <w:lang w:val="en-IE" w:eastAsia="en-IE"/>
              </w:rPr>
            </w:pPr>
            <w:r>
              <w:rPr>
                <w:rFonts w:eastAsia="Times New Roman"/>
                <w:noProof/>
                <w:color w:val="000000"/>
                <w:lang w:val="en-IE" w:eastAsia="en-IE"/>
              </w:rPr>
              <w:t> </w:t>
            </w:r>
          </w:p>
        </w:tc>
      </w:tr>
      <w:tr>
        <w:trPr>
          <w:trHeight w:val="225"/>
        </w:trPr>
        <w:tc>
          <w:tcPr>
            <w:tcW w:w="6433" w:type="dxa"/>
            <w:gridSpan w:val="6"/>
            <w:tcBorders>
              <w:top w:val="nil"/>
              <w:left w:val="nil"/>
              <w:bottom w:val="nil"/>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Total merchandise trade EU28 with Colombia (mio €)</w:t>
            </w:r>
          </w:p>
        </w:tc>
      </w:tr>
      <w:tr>
        <w:trPr>
          <w:trHeight w:val="225"/>
        </w:trPr>
        <w:tc>
          <w:tcPr>
            <w:tcW w:w="4260"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lang w:val="en-IE" w:eastAsia="en-IE"/>
              </w:rPr>
            </w:pPr>
            <w:r>
              <w:rPr>
                <w:rFonts w:eastAsia="Times New Roman"/>
                <w:b/>
                <w:bCs/>
                <w:noProof/>
                <w:lang w:val="en-IE" w:eastAsia="en-IE"/>
              </w:rPr>
              <w:t>Colombia</w:t>
            </w:r>
          </w:p>
        </w:tc>
        <w:tc>
          <w:tcPr>
            <w:tcW w:w="49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2017</w:t>
            </w:r>
          </w:p>
        </w:tc>
        <w:tc>
          <w:tcPr>
            <w:tcW w:w="49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2018</w:t>
            </w:r>
          </w:p>
        </w:tc>
        <w:tc>
          <w:tcPr>
            <w:tcW w:w="1193"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Growth</w:t>
            </w:r>
          </w:p>
        </w:tc>
      </w:tr>
      <w:tr>
        <w:trPr>
          <w:trHeight w:val="225"/>
        </w:trPr>
        <w:tc>
          <w:tcPr>
            <w:tcW w:w="4260" w:type="dxa"/>
            <w:gridSpan w:val="2"/>
            <w:vMerge/>
            <w:tcBorders>
              <w:top w:val="single" w:sz="4" w:space="0" w:color="auto"/>
              <w:left w:val="nil"/>
              <w:bottom w:val="single" w:sz="4" w:space="0" w:color="000000"/>
              <w:right w:val="nil"/>
            </w:tcBorders>
            <w:vAlign w:val="center"/>
            <w:hideMark/>
          </w:tcPr>
          <w:p>
            <w:pPr>
              <w:rPr>
                <w:rFonts w:eastAsia="Times New Roman"/>
                <w:b/>
                <w:bCs/>
                <w:noProof/>
                <w:lang w:val="en-IE" w:eastAsia="en-IE"/>
              </w:rPr>
            </w:pPr>
          </w:p>
        </w:tc>
        <w:tc>
          <w:tcPr>
            <w:tcW w:w="490" w:type="dxa"/>
            <w:vMerge/>
            <w:tcBorders>
              <w:top w:val="single" w:sz="4" w:space="0" w:color="auto"/>
              <w:left w:val="nil"/>
              <w:bottom w:val="single" w:sz="4" w:space="0" w:color="000000"/>
              <w:right w:val="nil"/>
            </w:tcBorders>
            <w:vAlign w:val="center"/>
            <w:hideMark/>
          </w:tcPr>
          <w:p>
            <w:pPr>
              <w:rPr>
                <w:rFonts w:eastAsia="Times New Roman"/>
                <w:b/>
                <w:bCs/>
                <w:noProof/>
                <w:lang w:val="en-IE" w:eastAsia="en-IE"/>
              </w:rPr>
            </w:pPr>
          </w:p>
        </w:tc>
        <w:tc>
          <w:tcPr>
            <w:tcW w:w="490" w:type="dxa"/>
            <w:vMerge/>
            <w:tcBorders>
              <w:top w:val="single" w:sz="4" w:space="0" w:color="auto"/>
              <w:left w:val="nil"/>
              <w:bottom w:val="single" w:sz="4" w:space="0" w:color="000000"/>
              <w:right w:val="nil"/>
            </w:tcBorders>
            <w:vAlign w:val="center"/>
            <w:hideMark/>
          </w:tcPr>
          <w:p>
            <w:pPr>
              <w:rPr>
                <w:rFonts w:eastAsia="Times New Roman"/>
                <w:b/>
                <w:bCs/>
                <w:noProof/>
                <w:lang w:val="en-IE" w:eastAsia="en-IE"/>
              </w:rPr>
            </w:pPr>
          </w:p>
        </w:tc>
        <w:tc>
          <w:tcPr>
            <w:tcW w:w="490" w:type="dxa"/>
            <w:tcBorders>
              <w:top w:val="nil"/>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annual %</w:t>
            </w:r>
          </w:p>
        </w:tc>
      </w:tr>
      <w:tr>
        <w:trPr>
          <w:trHeight w:val="225"/>
        </w:trPr>
        <w:tc>
          <w:tcPr>
            <w:tcW w:w="377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Imports</w:t>
            </w:r>
          </w:p>
        </w:tc>
        <w:tc>
          <w:tcPr>
            <w:tcW w:w="49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5.590</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5.085</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-505</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-9,0%</w:t>
            </w:r>
          </w:p>
        </w:tc>
      </w:tr>
      <w:tr>
        <w:trPr>
          <w:trHeight w:val="225"/>
        </w:trPr>
        <w:tc>
          <w:tcPr>
            <w:tcW w:w="377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Exports</w:t>
            </w:r>
          </w:p>
        </w:tc>
        <w:tc>
          <w:tcPr>
            <w:tcW w:w="49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5.973</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6.010</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37</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0,6%</w:t>
            </w:r>
          </w:p>
        </w:tc>
      </w:tr>
      <w:tr>
        <w:trPr>
          <w:trHeight w:val="225"/>
        </w:trPr>
        <w:tc>
          <w:tcPr>
            <w:tcW w:w="377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Balance</w:t>
            </w:r>
          </w:p>
        </w:tc>
        <w:tc>
          <w:tcPr>
            <w:tcW w:w="49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383</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925</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542</w:t>
            </w:r>
          </w:p>
        </w:tc>
        <w:tc>
          <w:tcPr>
            <w:tcW w:w="703"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r>
      <w:tr>
        <w:trPr>
          <w:trHeight w:val="225"/>
        </w:trPr>
        <w:tc>
          <w:tcPr>
            <w:tcW w:w="3770" w:type="dxa"/>
            <w:tcBorders>
              <w:top w:val="nil"/>
              <w:left w:val="nil"/>
              <w:bottom w:val="single" w:sz="4" w:space="0" w:color="auto"/>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Total trade</w:t>
            </w:r>
          </w:p>
        </w:tc>
        <w:tc>
          <w:tcPr>
            <w:tcW w:w="490" w:type="dxa"/>
            <w:tcBorders>
              <w:top w:val="nil"/>
              <w:left w:val="nil"/>
              <w:bottom w:val="single" w:sz="4" w:space="0" w:color="auto"/>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11.564</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11.095</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-468</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-4,0%</w:t>
            </w:r>
          </w:p>
        </w:tc>
      </w:tr>
      <w:tr>
        <w:trPr>
          <w:trHeight w:val="240"/>
        </w:trPr>
        <w:tc>
          <w:tcPr>
            <w:tcW w:w="5240" w:type="dxa"/>
            <w:gridSpan w:val="4"/>
            <w:tcBorders>
              <w:top w:val="single" w:sz="4" w:space="0" w:color="auto"/>
              <w:left w:val="nil"/>
              <w:bottom w:val="nil"/>
              <w:right w:val="nil"/>
            </w:tcBorders>
            <w:shd w:val="clear" w:color="000000" w:fill="FFFFFF"/>
            <w:noWrap/>
            <w:hideMark/>
          </w:tcPr>
          <w:p>
            <w:pPr>
              <w:rPr>
                <w:rFonts w:eastAsia="Times New Roman"/>
                <w:noProof/>
                <w:lang w:val="en-IE" w:eastAsia="en-IE"/>
              </w:rPr>
            </w:pPr>
            <w:r>
              <w:rPr>
                <w:rFonts w:eastAsia="Times New Roman"/>
                <w:noProof/>
                <w:lang w:val="en-IE" w:eastAsia="en-IE"/>
              </w:rPr>
              <w:t>Source Trade G2 Statistics/ISDB from Eurostat COMEXT</w:t>
            </w:r>
          </w:p>
        </w:tc>
        <w:tc>
          <w:tcPr>
            <w:tcW w:w="49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r>
      <w:tr>
        <w:trPr>
          <w:trHeight w:val="225"/>
        </w:trPr>
        <w:tc>
          <w:tcPr>
            <w:tcW w:w="6433" w:type="dxa"/>
            <w:gridSpan w:val="6"/>
            <w:tcBorders>
              <w:top w:val="nil"/>
              <w:left w:val="nil"/>
              <w:bottom w:val="nil"/>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Agrifood trade EU28 with Colombia (mio €)</w:t>
            </w:r>
          </w:p>
        </w:tc>
      </w:tr>
      <w:tr>
        <w:trPr>
          <w:trHeight w:val="255"/>
        </w:trPr>
        <w:tc>
          <w:tcPr>
            <w:tcW w:w="4260"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lang w:val="en-IE" w:eastAsia="en-IE"/>
              </w:rPr>
            </w:pPr>
            <w:r>
              <w:rPr>
                <w:rFonts w:eastAsia="Times New Roman"/>
                <w:b/>
                <w:bCs/>
                <w:noProof/>
                <w:lang w:val="en-IE" w:eastAsia="en-IE"/>
              </w:rPr>
              <w:t>Colombia</w:t>
            </w:r>
          </w:p>
        </w:tc>
        <w:tc>
          <w:tcPr>
            <w:tcW w:w="49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2017</w:t>
            </w:r>
          </w:p>
        </w:tc>
        <w:tc>
          <w:tcPr>
            <w:tcW w:w="49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2018</w:t>
            </w:r>
          </w:p>
        </w:tc>
        <w:tc>
          <w:tcPr>
            <w:tcW w:w="1193"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Growth</w:t>
            </w:r>
          </w:p>
        </w:tc>
      </w:tr>
      <w:tr>
        <w:trPr>
          <w:trHeight w:val="225"/>
        </w:trPr>
        <w:tc>
          <w:tcPr>
            <w:tcW w:w="4260" w:type="dxa"/>
            <w:gridSpan w:val="2"/>
            <w:vMerge/>
            <w:tcBorders>
              <w:top w:val="single" w:sz="4" w:space="0" w:color="auto"/>
              <w:left w:val="nil"/>
              <w:bottom w:val="single" w:sz="4" w:space="0" w:color="000000"/>
              <w:right w:val="nil"/>
            </w:tcBorders>
            <w:vAlign w:val="center"/>
            <w:hideMark/>
          </w:tcPr>
          <w:p>
            <w:pPr>
              <w:rPr>
                <w:rFonts w:eastAsia="Times New Roman"/>
                <w:b/>
                <w:bCs/>
                <w:noProof/>
                <w:lang w:val="en-IE" w:eastAsia="en-IE"/>
              </w:rPr>
            </w:pPr>
          </w:p>
        </w:tc>
        <w:tc>
          <w:tcPr>
            <w:tcW w:w="490" w:type="dxa"/>
            <w:vMerge/>
            <w:tcBorders>
              <w:top w:val="single" w:sz="4" w:space="0" w:color="auto"/>
              <w:left w:val="nil"/>
              <w:bottom w:val="single" w:sz="4" w:space="0" w:color="000000"/>
              <w:right w:val="nil"/>
            </w:tcBorders>
            <w:vAlign w:val="center"/>
            <w:hideMark/>
          </w:tcPr>
          <w:p>
            <w:pPr>
              <w:rPr>
                <w:rFonts w:eastAsia="Times New Roman"/>
                <w:b/>
                <w:bCs/>
                <w:noProof/>
                <w:lang w:val="en-IE" w:eastAsia="en-IE"/>
              </w:rPr>
            </w:pPr>
          </w:p>
        </w:tc>
        <w:tc>
          <w:tcPr>
            <w:tcW w:w="490" w:type="dxa"/>
            <w:vMerge/>
            <w:tcBorders>
              <w:top w:val="single" w:sz="4" w:space="0" w:color="auto"/>
              <w:left w:val="nil"/>
              <w:bottom w:val="single" w:sz="4" w:space="0" w:color="000000"/>
              <w:right w:val="nil"/>
            </w:tcBorders>
            <w:vAlign w:val="center"/>
            <w:hideMark/>
          </w:tcPr>
          <w:p>
            <w:pPr>
              <w:rPr>
                <w:rFonts w:eastAsia="Times New Roman"/>
                <w:b/>
                <w:bCs/>
                <w:noProof/>
                <w:lang w:val="en-IE" w:eastAsia="en-IE"/>
              </w:rPr>
            </w:pPr>
          </w:p>
        </w:tc>
        <w:tc>
          <w:tcPr>
            <w:tcW w:w="490" w:type="dxa"/>
            <w:tcBorders>
              <w:top w:val="nil"/>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annual %</w:t>
            </w:r>
          </w:p>
        </w:tc>
      </w:tr>
      <w:tr>
        <w:trPr>
          <w:trHeight w:val="225"/>
        </w:trPr>
        <w:tc>
          <w:tcPr>
            <w:tcW w:w="377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Imports</w:t>
            </w:r>
          </w:p>
        </w:tc>
        <w:tc>
          <w:tcPr>
            <w:tcW w:w="49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2.407</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2.187</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-220</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-9,1%</w:t>
            </w:r>
          </w:p>
        </w:tc>
      </w:tr>
      <w:tr>
        <w:trPr>
          <w:trHeight w:val="225"/>
        </w:trPr>
        <w:tc>
          <w:tcPr>
            <w:tcW w:w="377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Exports</w:t>
            </w:r>
          </w:p>
        </w:tc>
        <w:tc>
          <w:tcPr>
            <w:tcW w:w="49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400</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428</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27</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6,8%</w:t>
            </w:r>
          </w:p>
        </w:tc>
      </w:tr>
      <w:tr>
        <w:trPr>
          <w:trHeight w:val="225"/>
        </w:trPr>
        <w:tc>
          <w:tcPr>
            <w:tcW w:w="377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Balance</w:t>
            </w:r>
          </w:p>
        </w:tc>
        <w:tc>
          <w:tcPr>
            <w:tcW w:w="49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-2.007</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-1.760</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247</w:t>
            </w:r>
          </w:p>
        </w:tc>
        <w:tc>
          <w:tcPr>
            <w:tcW w:w="703"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r>
      <w:tr>
        <w:trPr>
          <w:trHeight w:val="225"/>
        </w:trPr>
        <w:tc>
          <w:tcPr>
            <w:tcW w:w="3770" w:type="dxa"/>
            <w:tcBorders>
              <w:top w:val="nil"/>
              <w:left w:val="nil"/>
              <w:bottom w:val="single" w:sz="4" w:space="0" w:color="auto"/>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Total trade</w:t>
            </w:r>
          </w:p>
        </w:tc>
        <w:tc>
          <w:tcPr>
            <w:tcW w:w="49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2.808</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2.615</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-193</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-6,9%</w:t>
            </w:r>
          </w:p>
        </w:tc>
      </w:tr>
      <w:tr>
        <w:trPr>
          <w:trHeight w:val="240"/>
        </w:trPr>
        <w:tc>
          <w:tcPr>
            <w:tcW w:w="5240" w:type="dxa"/>
            <w:gridSpan w:val="4"/>
            <w:tcBorders>
              <w:top w:val="single" w:sz="4" w:space="0" w:color="auto"/>
              <w:left w:val="nil"/>
              <w:bottom w:val="nil"/>
              <w:right w:val="nil"/>
            </w:tcBorders>
            <w:shd w:val="clear" w:color="000000" w:fill="FFFFFF"/>
            <w:noWrap/>
            <w:hideMark/>
          </w:tcPr>
          <w:p>
            <w:pPr>
              <w:rPr>
                <w:rFonts w:eastAsia="Times New Roman"/>
                <w:noProof/>
                <w:lang w:val="en-IE" w:eastAsia="en-IE"/>
              </w:rPr>
            </w:pPr>
            <w:r>
              <w:rPr>
                <w:rFonts w:eastAsia="Times New Roman"/>
                <w:noProof/>
                <w:lang w:val="en-IE" w:eastAsia="en-IE"/>
              </w:rPr>
              <w:t>Source Trade G2 Statistics/ISDB from Eurostat COMEXT</w:t>
            </w:r>
          </w:p>
        </w:tc>
        <w:tc>
          <w:tcPr>
            <w:tcW w:w="49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r>
      <w:tr>
        <w:trPr>
          <w:trHeight w:val="225"/>
        </w:trPr>
        <w:tc>
          <w:tcPr>
            <w:tcW w:w="6433" w:type="dxa"/>
            <w:gridSpan w:val="6"/>
            <w:tcBorders>
              <w:top w:val="nil"/>
              <w:left w:val="nil"/>
              <w:bottom w:val="nil"/>
              <w:right w:val="nil"/>
            </w:tcBorders>
            <w:shd w:val="clear" w:color="000000" w:fill="FFFFFF"/>
            <w:noWrap/>
            <w:vAlign w:val="center"/>
            <w:hideMark/>
          </w:tcPr>
          <w:p>
            <w:pPr>
              <w:jc w:val="center"/>
              <w:rPr>
                <w:rFonts w:eastAsia="Times New Roman"/>
                <w:b/>
                <w:bCs/>
                <w:noProof/>
                <w:lang w:val="es-ES" w:eastAsia="en-IE"/>
              </w:rPr>
            </w:pPr>
            <w:r>
              <w:rPr>
                <w:rFonts w:eastAsia="Times New Roman"/>
                <w:b/>
                <w:bCs/>
                <w:noProof/>
                <w:lang w:val="es-ES" w:eastAsia="en-IE"/>
              </w:rPr>
              <w:t>NAMA trade EU28 with Colombia (mio €)</w:t>
            </w:r>
          </w:p>
        </w:tc>
      </w:tr>
      <w:tr>
        <w:trPr>
          <w:trHeight w:val="225"/>
        </w:trPr>
        <w:tc>
          <w:tcPr>
            <w:tcW w:w="4260"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lang w:val="en-IE" w:eastAsia="en-IE"/>
              </w:rPr>
            </w:pPr>
            <w:r>
              <w:rPr>
                <w:rFonts w:eastAsia="Times New Roman"/>
                <w:b/>
                <w:bCs/>
                <w:noProof/>
                <w:lang w:val="en-IE" w:eastAsia="en-IE"/>
              </w:rPr>
              <w:t>Colombia</w:t>
            </w:r>
          </w:p>
        </w:tc>
        <w:tc>
          <w:tcPr>
            <w:tcW w:w="49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2017</w:t>
            </w:r>
          </w:p>
        </w:tc>
        <w:tc>
          <w:tcPr>
            <w:tcW w:w="49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2018</w:t>
            </w:r>
          </w:p>
        </w:tc>
        <w:tc>
          <w:tcPr>
            <w:tcW w:w="1193"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Growth</w:t>
            </w:r>
          </w:p>
        </w:tc>
      </w:tr>
      <w:tr>
        <w:trPr>
          <w:trHeight w:val="225"/>
        </w:trPr>
        <w:tc>
          <w:tcPr>
            <w:tcW w:w="4260" w:type="dxa"/>
            <w:gridSpan w:val="2"/>
            <w:vMerge/>
            <w:tcBorders>
              <w:top w:val="single" w:sz="4" w:space="0" w:color="auto"/>
              <w:left w:val="nil"/>
              <w:bottom w:val="single" w:sz="4" w:space="0" w:color="000000"/>
              <w:right w:val="nil"/>
            </w:tcBorders>
            <w:vAlign w:val="center"/>
            <w:hideMark/>
          </w:tcPr>
          <w:p>
            <w:pPr>
              <w:rPr>
                <w:rFonts w:eastAsia="Times New Roman"/>
                <w:b/>
                <w:bCs/>
                <w:noProof/>
                <w:lang w:val="en-IE" w:eastAsia="en-IE"/>
              </w:rPr>
            </w:pPr>
          </w:p>
        </w:tc>
        <w:tc>
          <w:tcPr>
            <w:tcW w:w="490" w:type="dxa"/>
            <w:vMerge/>
            <w:tcBorders>
              <w:top w:val="single" w:sz="4" w:space="0" w:color="auto"/>
              <w:left w:val="nil"/>
              <w:bottom w:val="single" w:sz="4" w:space="0" w:color="000000"/>
              <w:right w:val="nil"/>
            </w:tcBorders>
            <w:vAlign w:val="center"/>
            <w:hideMark/>
          </w:tcPr>
          <w:p>
            <w:pPr>
              <w:rPr>
                <w:rFonts w:eastAsia="Times New Roman"/>
                <w:b/>
                <w:bCs/>
                <w:noProof/>
                <w:lang w:val="en-IE" w:eastAsia="en-IE"/>
              </w:rPr>
            </w:pPr>
          </w:p>
        </w:tc>
        <w:tc>
          <w:tcPr>
            <w:tcW w:w="490" w:type="dxa"/>
            <w:vMerge/>
            <w:tcBorders>
              <w:top w:val="single" w:sz="4" w:space="0" w:color="auto"/>
              <w:left w:val="nil"/>
              <w:bottom w:val="single" w:sz="4" w:space="0" w:color="000000"/>
              <w:right w:val="nil"/>
            </w:tcBorders>
            <w:vAlign w:val="center"/>
            <w:hideMark/>
          </w:tcPr>
          <w:p>
            <w:pPr>
              <w:rPr>
                <w:rFonts w:eastAsia="Times New Roman"/>
                <w:b/>
                <w:bCs/>
                <w:noProof/>
                <w:lang w:val="en-IE" w:eastAsia="en-IE"/>
              </w:rPr>
            </w:pPr>
          </w:p>
        </w:tc>
        <w:tc>
          <w:tcPr>
            <w:tcW w:w="490" w:type="dxa"/>
            <w:tcBorders>
              <w:top w:val="nil"/>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annual %</w:t>
            </w:r>
          </w:p>
        </w:tc>
      </w:tr>
      <w:tr>
        <w:trPr>
          <w:trHeight w:val="225"/>
        </w:trPr>
        <w:tc>
          <w:tcPr>
            <w:tcW w:w="4260" w:type="dxa"/>
            <w:gridSpan w:val="2"/>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EU28 imports</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3.183</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2.898</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-285</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-9,0%</w:t>
            </w:r>
          </w:p>
        </w:tc>
      </w:tr>
      <w:tr>
        <w:trPr>
          <w:trHeight w:val="225"/>
        </w:trPr>
        <w:tc>
          <w:tcPr>
            <w:tcW w:w="4260" w:type="dxa"/>
            <w:gridSpan w:val="2"/>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EU28 exports</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5.573</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5.582</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9</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0,2%</w:t>
            </w:r>
          </w:p>
        </w:tc>
      </w:tr>
      <w:tr>
        <w:trPr>
          <w:trHeight w:val="225"/>
        </w:trPr>
        <w:tc>
          <w:tcPr>
            <w:tcW w:w="377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Balance</w:t>
            </w:r>
          </w:p>
        </w:tc>
        <w:tc>
          <w:tcPr>
            <w:tcW w:w="49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2.390</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2.684</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295</w:t>
            </w:r>
          </w:p>
        </w:tc>
        <w:tc>
          <w:tcPr>
            <w:tcW w:w="703"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r>
      <w:tr>
        <w:trPr>
          <w:trHeight w:val="225"/>
        </w:trPr>
        <w:tc>
          <w:tcPr>
            <w:tcW w:w="377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Total trade</w:t>
            </w:r>
          </w:p>
        </w:tc>
        <w:tc>
          <w:tcPr>
            <w:tcW w:w="49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8.756</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8.480</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-276</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-3,1%</w:t>
            </w:r>
          </w:p>
        </w:tc>
      </w:tr>
      <w:tr>
        <w:trPr>
          <w:trHeight w:val="240"/>
        </w:trPr>
        <w:tc>
          <w:tcPr>
            <w:tcW w:w="5240" w:type="dxa"/>
            <w:gridSpan w:val="4"/>
            <w:tcBorders>
              <w:top w:val="single" w:sz="4" w:space="0" w:color="auto"/>
              <w:left w:val="nil"/>
              <w:bottom w:val="nil"/>
              <w:right w:val="nil"/>
            </w:tcBorders>
            <w:shd w:val="clear" w:color="000000" w:fill="FFFFFF"/>
            <w:noWrap/>
            <w:hideMark/>
          </w:tcPr>
          <w:p>
            <w:pPr>
              <w:rPr>
                <w:rFonts w:eastAsia="Times New Roman"/>
                <w:noProof/>
                <w:lang w:val="en-IE" w:eastAsia="en-IE"/>
              </w:rPr>
            </w:pPr>
            <w:r>
              <w:rPr>
                <w:rFonts w:eastAsia="Times New Roman"/>
                <w:noProof/>
                <w:lang w:val="en-IE" w:eastAsia="en-IE"/>
              </w:rPr>
              <w:t>Source Trade G2 Statistics/ISDB from Eurostat COMEXT</w:t>
            </w:r>
          </w:p>
        </w:tc>
        <w:tc>
          <w:tcPr>
            <w:tcW w:w="490" w:type="dxa"/>
            <w:tcBorders>
              <w:top w:val="single" w:sz="4" w:space="0" w:color="auto"/>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r>
      <w:tr>
        <w:trPr>
          <w:trHeight w:val="225"/>
        </w:trPr>
        <w:tc>
          <w:tcPr>
            <w:tcW w:w="5240" w:type="dxa"/>
            <w:gridSpan w:val="4"/>
            <w:tcBorders>
              <w:top w:val="nil"/>
              <w:left w:val="nil"/>
              <w:bottom w:val="single" w:sz="4" w:space="0" w:color="auto"/>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Services trade EU28 with Colombia (mio €)</w:t>
            </w:r>
          </w:p>
        </w:tc>
        <w:tc>
          <w:tcPr>
            <w:tcW w:w="490" w:type="dxa"/>
            <w:tcBorders>
              <w:top w:val="nil"/>
              <w:left w:val="nil"/>
              <w:bottom w:val="nil"/>
              <w:right w:val="nil"/>
            </w:tcBorders>
            <w:shd w:val="clear" w:color="000000" w:fill="FFFFFF"/>
            <w:noWrap/>
            <w:vAlign w:val="center"/>
            <w:hideMark/>
          </w:tcPr>
          <w:p>
            <w:pPr>
              <w:rPr>
                <w:rFonts w:eastAsia="Times New Roman"/>
                <w:b/>
                <w:bCs/>
                <w:noProof/>
                <w:lang w:val="en-IE" w:eastAsia="en-IE"/>
              </w:rPr>
            </w:pPr>
            <w:r>
              <w:rPr>
                <w:rFonts w:eastAsia="Times New Roman"/>
                <w:b/>
                <w:bCs/>
                <w:noProof/>
                <w:lang w:val="en-IE" w:eastAsia="en-IE"/>
              </w:rPr>
              <w:t> </w:t>
            </w:r>
          </w:p>
        </w:tc>
        <w:tc>
          <w:tcPr>
            <w:tcW w:w="703" w:type="dxa"/>
            <w:tcBorders>
              <w:top w:val="nil"/>
              <w:left w:val="nil"/>
              <w:bottom w:val="nil"/>
              <w:right w:val="nil"/>
            </w:tcBorders>
            <w:shd w:val="clear" w:color="000000" w:fill="FFFFFF"/>
            <w:noWrap/>
            <w:vAlign w:val="center"/>
            <w:hideMark/>
          </w:tcPr>
          <w:p>
            <w:pPr>
              <w:rPr>
                <w:rFonts w:eastAsia="Times New Roman"/>
                <w:b/>
                <w:bCs/>
                <w:noProof/>
                <w:lang w:val="en-IE" w:eastAsia="en-IE"/>
              </w:rPr>
            </w:pPr>
            <w:r>
              <w:rPr>
                <w:rFonts w:eastAsia="Times New Roman"/>
                <w:b/>
                <w:bCs/>
                <w:noProof/>
                <w:lang w:val="en-IE" w:eastAsia="en-IE"/>
              </w:rPr>
              <w:t> </w:t>
            </w:r>
          </w:p>
        </w:tc>
      </w:tr>
      <w:tr>
        <w:trPr>
          <w:trHeight w:val="225"/>
        </w:trPr>
        <w:tc>
          <w:tcPr>
            <w:tcW w:w="4260"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lang w:val="en-IE" w:eastAsia="en-IE"/>
              </w:rPr>
            </w:pPr>
            <w:r>
              <w:rPr>
                <w:rFonts w:eastAsia="Times New Roman"/>
                <w:b/>
                <w:bCs/>
                <w:noProof/>
                <w:lang w:val="en-IE" w:eastAsia="en-IE"/>
              </w:rPr>
              <w:t>Colombia</w:t>
            </w:r>
          </w:p>
        </w:tc>
        <w:tc>
          <w:tcPr>
            <w:tcW w:w="490"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2016</w:t>
            </w:r>
          </w:p>
        </w:tc>
        <w:tc>
          <w:tcPr>
            <w:tcW w:w="490"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2017</w:t>
            </w:r>
          </w:p>
        </w:tc>
        <w:tc>
          <w:tcPr>
            <w:tcW w:w="1193"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Growth</w:t>
            </w:r>
          </w:p>
        </w:tc>
      </w:tr>
      <w:tr>
        <w:trPr>
          <w:trHeight w:val="225"/>
        </w:trPr>
        <w:tc>
          <w:tcPr>
            <w:tcW w:w="4260" w:type="dxa"/>
            <w:gridSpan w:val="2"/>
            <w:vMerge/>
            <w:tcBorders>
              <w:top w:val="single" w:sz="4" w:space="0" w:color="auto"/>
              <w:left w:val="nil"/>
              <w:bottom w:val="single" w:sz="4" w:space="0" w:color="000000"/>
              <w:right w:val="nil"/>
            </w:tcBorders>
            <w:vAlign w:val="center"/>
            <w:hideMark/>
          </w:tcPr>
          <w:p>
            <w:pPr>
              <w:rPr>
                <w:rFonts w:eastAsia="Times New Roman"/>
                <w:b/>
                <w:bCs/>
                <w:noProof/>
                <w:lang w:val="en-IE" w:eastAsia="en-IE"/>
              </w:rPr>
            </w:pPr>
          </w:p>
        </w:tc>
        <w:tc>
          <w:tcPr>
            <w:tcW w:w="490" w:type="dxa"/>
            <w:vMerge/>
            <w:tcBorders>
              <w:top w:val="nil"/>
              <w:left w:val="nil"/>
              <w:bottom w:val="single" w:sz="4" w:space="0" w:color="000000"/>
              <w:right w:val="nil"/>
            </w:tcBorders>
            <w:vAlign w:val="center"/>
            <w:hideMark/>
          </w:tcPr>
          <w:p>
            <w:pPr>
              <w:rPr>
                <w:rFonts w:eastAsia="Times New Roman"/>
                <w:b/>
                <w:bCs/>
                <w:noProof/>
                <w:lang w:val="en-IE" w:eastAsia="en-IE"/>
              </w:rPr>
            </w:pPr>
          </w:p>
        </w:tc>
        <w:tc>
          <w:tcPr>
            <w:tcW w:w="490" w:type="dxa"/>
            <w:vMerge/>
            <w:tcBorders>
              <w:top w:val="nil"/>
              <w:left w:val="nil"/>
              <w:bottom w:val="single" w:sz="4" w:space="0" w:color="000000"/>
              <w:right w:val="nil"/>
            </w:tcBorders>
            <w:vAlign w:val="center"/>
            <w:hideMark/>
          </w:tcPr>
          <w:p>
            <w:pPr>
              <w:rPr>
                <w:rFonts w:eastAsia="Times New Roman"/>
                <w:b/>
                <w:bCs/>
                <w:noProof/>
                <w:lang w:val="en-IE" w:eastAsia="en-IE"/>
              </w:rPr>
            </w:pPr>
          </w:p>
        </w:tc>
        <w:tc>
          <w:tcPr>
            <w:tcW w:w="490" w:type="dxa"/>
            <w:tcBorders>
              <w:top w:val="nil"/>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annual %</w:t>
            </w:r>
          </w:p>
        </w:tc>
      </w:tr>
      <w:tr>
        <w:trPr>
          <w:trHeight w:val="225"/>
        </w:trPr>
        <w:tc>
          <w:tcPr>
            <w:tcW w:w="377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Imports</w:t>
            </w:r>
          </w:p>
        </w:tc>
        <w:tc>
          <w:tcPr>
            <w:tcW w:w="49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1.381</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1.554</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173</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12,5%</w:t>
            </w:r>
          </w:p>
        </w:tc>
      </w:tr>
      <w:tr>
        <w:trPr>
          <w:trHeight w:val="225"/>
        </w:trPr>
        <w:tc>
          <w:tcPr>
            <w:tcW w:w="377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Exports</w:t>
            </w:r>
          </w:p>
        </w:tc>
        <w:tc>
          <w:tcPr>
            <w:tcW w:w="49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3.063</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3.846</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783</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25,6%</w:t>
            </w:r>
          </w:p>
        </w:tc>
      </w:tr>
      <w:tr>
        <w:trPr>
          <w:trHeight w:val="225"/>
        </w:trPr>
        <w:tc>
          <w:tcPr>
            <w:tcW w:w="377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Balance</w:t>
            </w:r>
          </w:p>
        </w:tc>
        <w:tc>
          <w:tcPr>
            <w:tcW w:w="49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1.682</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2.292</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610</w:t>
            </w:r>
          </w:p>
        </w:tc>
        <w:tc>
          <w:tcPr>
            <w:tcW w:w="703"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r>
      <w:tr>
        <w:trPr>
          <w:trHeight w:val="225"/>
        </w:trPr>
        <w:tc>
          <w:tcPr>
            <w:tcW w:w="3770" w:type="dxa"/>
            <w:tcBorders>
              <w:top w:val="nil"/>
              <w:left w:val="nil"/>
              <w:bottom w:val="single" w:sz="4" w:space="0" w:color="auto"/>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Total trade</w:t>
            </w:r>
          </w:p>
        </w:tc>
        <w:tc>
          <w:tcPr>
            <w:tcW w:w="490" w:type="dxa"/>
            <w:tcBorders>
              <w:top w:val="nil"/>
              <w:left w:val="nil"/>
              <w:bottom w:val="single" w:sz="4" w:space="0" w:color="auto"/>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4.444</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5.400</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956</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21,5%</w:t>
            </w:r>
          </w:p>
        </w:tc>
      </w:tr>
      <w:tr>
        <w:trPr>
          <w:trHeight w:val="240"/>
        </w:trPr>
        <w:tc>
          <w:tcPr>
            <w:tcW w:w="5730" w:type="dxa"/>
            <w:gridSpan w:val="5"/>
            <w:tcBorders>
              <w:top w:val="nil"/>
              <w:left w:val="nil"/>
              <w:bottom w:val="nil"/>
              <w:right w:val="nil"/>
            </w:tcBorders>
            <w:shd w:val="clear" w:color="000000" w:fill="FFFFFF"/>
            <w:noWrap/>
            <w:hideMark/>
          </w:tcPr>
          <w:p>
            <w:pPr>
              <w:rPr>
                <w:rFonts w:eastAsia="Times New Roman"/>
                <w:noProof/>
                <w:lang w:val="en-IE" w:eastAsia="en-IE"/>
              </w:rPr>
            </w:pPr>
            <w:r>
              <w:rPr>
                <w:rFonts w:eastAsia="Times New Roman"/>
                <w:noProof/>
                <w:lang w:val="en-IE" w:eastAsia="en-IE"/>
              </w:rPr>
              <w:t>Source Trade G2 Statistics/ISDB from Eurostat BOP statistics</w:t>
            </w:r>
          </w:p>
        </w:tc>
        <w:tc>
          <w:tcPr>
            <w:tcW w:w="703"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r>
      <w:tr>
        <w:trPr>
          <w:trHeight w:val="240"/>
        </w:trPr>
        <w:tc>
          <w:tcPr>
            <w:tcW w:w="6433" w:type="dxa"/>
            <w:gridSpan w:val="6"/>
            <w:tcBorders>
              <w:top w:val="nil"/>
              <w:left w:val="nil"/>
              <w:bottom w:val="nil"/>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Services trade EU28 with Colombia (mio €)</w:t>
            </w:r>
          </w:p>
        </w:tc>
      </w:tr>
      <w:tr>
        <w:trPr>
          <w:trHeight w:val="225"/>
        </w:trPr>
        <w:tc>
          <w:tcPr>
            <w:tcW w:w="3770"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49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2013</w:t>
            </w:r>
          </w:p>
        </w:tc>
        <w:tc>
          <w:tcPr>
            <w:tcW w:w="49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2014</w:t>
            </w:r>
          </w:p>
        </w:tc>
        <w:tc>
          <w:tcPr>
            <w:tcW w:w="49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2015</w:t>
            </w:r>
          </w:p>
        </w:tc>
        <w:tc>
          <w:tcPr>
            <w:tcW w:w="49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2016</w:t>
            </w:r>
          </w:p>
        </w:tc>
        <w:tc>
          <w:tcPr>
            <w:tcW w:w="703"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2017</w:t>
            </w:r>
          </w:p>
        </w:tc>
      </w:tr>
      <w:tr>
        <w:trPr>
          <w:trHeight w:val="225"/>
        </w:trPr>
        <w:tc>
          <w:tcPr>
            <w:tcW w:w="377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Imports</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1.453</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1.538</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1.466</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1.381</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1.554</w:t>
            </w:r>
          </w:p>
        </w:tc>
      </w:tr>
      <w:tr>
        <w:trPr>
          <w:trHeight w:val="225"/>
        </w:trPr>
        <w:tc>
          <w:tcPr>
            <w:tcW w:w="377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Exports</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2.563</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2.398</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2.966</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3.063</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3.846</w:t>
            </w:r>
          </w:p>
        </w:tc>
      </w:tr>
      <w:tr>
        <w:trPr>
          <w:trHeight w:val="225"/>
        </w:trPr>
        <w:tc>
          <w:tcPr>
            <w:tcW w:w="377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Balance</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1.111</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860</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1.500</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1.682</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2.292</w:t>
            </w:r>
          </w:p>
        </w:tc>
      </w:tr>
      <w:tr>
        <w:trPr>
          <w:trHeight w:val="225"/>
        </w:trPr>
        <w:tc>
          <w:tcPr>
            <w:tcW w:w="3770" w:type="dxa"/>
            <w:tcBorders>
              <w:top w:val="nil"/>
              <w:left w:val="nil"/>
              <w:bottom w:val="single" w:sz="4" w:space="0" w:color="auto"/>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Total trade</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4.016</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3.935</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4.431</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4.444</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5.400</w:t>
            </w:r>
          </w:p>
        </w:tc>
      </w:tr>
      <w:tr>
        <w:trPr>
          <w:trHeight w:val="225"/>
        </w:trPr>
        <w:tc>
          <w:tcPr>
            <w:tcW w:w="3770" w:type="dxa"/>
            <w:tcBorders>
              <w:top w:val="nil"/>
              <w:left w:val="nil"/>
              <w:bottom w:val="nil"/>
              <w:right w:val="nil"/>
            </w:tcBorders>
            <w:shd w:val="clear" w:color="000000" w:fill="FFFFFF"/>
            <w:noWrap/>
            <w:hideMark/>
          </w:tcPr>
          <w:p>
            <w:pPr>
              <w:rPr>
                <w:rFonts w:eastAsia="Times New Roman"/>
                <w:noProof/>
                <w:lang w:val="en-IE" w:eastAsia="en-IE"/>
              </w:rPr>
            </w:pPr>
            <w:r>
              <w:rPr>
                <w:rFonts w:eastAsia="Times New Roman"/>
                <w:noProof/>
                <w:lang w:val="en-IE" w:eastAsia="en-IE"/>
              </w:rPr>
              <w:t>Source Trade G2 Statistics/ISDB from Eurostat BOP statistics</w:t>
            </w:r>
          </w:p>
        </w:tc>
        <w:tc>
          <w:tcPr>
            <w:tcW w:w="490" w:type="dxa"/>
            <w:tcBorders>
              <w:top w:val="nil"/>
              <w:left w:val="nil"/>
              <w:bottom w:val="nil"/>
              <w:right w:val="nil"/>
            </w:tcBorders>
            <w:shd w:val="clear" w:color="000000" w:fill="FFFFFF"/>
            <w:noWrap/>
            <w:hideMark/>
          </w:tcPr>
          <w:p>
            <w:pPr>
              <w:rPr>
                <w:rFonts w:eastAsia="Times New Roman"/>
                <w:noProof/>
                <w:lang w:val="en-IE" w:eastAsia="en-IE"/>
              </w:rPr>
            </w:pPr>
            <w:r>
              <w:rPr>
                <w:rFonts w:eastAsia="Times New Roman"/>
                <w:noProof/>
                <w:lang w:val="en-IE" w:eastAsia="en-IE"/>
              </w:rPr>
              <w:t> </w:t>
            </w:r>
          </w:p>
        </w:tc>
        <w:tc>
          <w:tcPr>
            <w:tcW w:w="49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49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49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r>
      <w:tr>
        <w:trPr>
          <w:trHeight w:val="225"/>
        </w:trPr>
        <w:tc>
          <w:tcPr>
            <w:tcW w:w="6433" w:type="dxa"/>
            <w:gridSpan w:val="6"/>
            <w:tcBorders>
              <w:top w:val="nil"/>
              <w:left w:val="nil"/>
              <w:bottom w:val="nil"/>
              <w:right w:val="nil"/>
            </w:tcBorders>
            <w:shd w:val="clear" w:color="000000" w:fill="FFFFFF"/>
            <w:noWrap/>
            <w:vAlign w:val="center"/>
            <w:hideMark/>
          </w:tcPr>
          <w:p>
            <w:pPr>
              <w:jc w:val="center"/>
              <w:rPr>
                <w:rFonts w:eastAsia="Times New Roman"/>
                <w:b/>
                <w:bCs/>
                <w:noProof/>
                <w:lang w:val="es-ES" w:eastAsia="en-IE"/>
              </w:rPr>
            </w:pPr>
            <w:r>
              <w:rPr>
                <w:rFonts w:eastAsia="Times New Roman"/>
                <w:b/>
                <w:bCs/>
                <w:noProof/>
                <w:lang w:val="es-ES" w:eastAsia="en-IE"/>
              </w:rPr>
              <w:t>FDI EU28 with Colombia (mio €)</w:t>
            </w:r>
          </w:p>
        </w:tc>
      </w:tr>
      <w:tr>
        <w:trPr>
          <w:trHeight w:val="225"/>
        </w:trPr>
        <w:tc>
          <w:tcPr>
            <w:tcW w:w="3770"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lang w:val="es-ES" w:eastAsia="en-IE"/>
              </w:rPr>
            </w:pPr>
            <w:r>
              <w:rPr>
                <w:rFonts w:eastAsia="Times New Roman"/>
                <w:noProof/>
                <w:lang w:val="es-ES" w:eastAsia="en-IE"/>
              </w:rPr>
              <w:t> </w:t>
            </w:r>
          </w:p>
        </w:tc>
        <w:tc>
          <w:tcPr>
            <w:tcW w:w="490"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2013</w:t>
            </w:r>
          </w:p>
        </w:tc>
        <w:tc>
          <w:tcPr>
            <w:tcW w:w="49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2014</w:t>
            </w:r>
          </w:p>
        </w:tc>
        <w:tc>
          <w:tcPr>
            <w:tcW w:w="49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2015</w:t>
            </w:r>
          </w:p>
        </w:tc>
        <w:tc>
          <w:tcPr>
            <w:tcW w:w="49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2016</w:t>
            </w:r>
          </w:p>
        </w:tc>
        <w:tc>
          <w:tcPr>
            <w:tcW w:w="703"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2017</w:t>
            </w:r>
          </w:p>
        </w:tc>
      </w:tr>
      <w:tr>
        <w:trPr>
          <w:trHeight w:val="225"/>
        </w:trPr>
        <w:tc>
          <w:tcPr>
            <w:tcW w:w="6433" w:type="dxa"/>
            <w:gridSpan w:val="6"/>
            <w:tcBorders>
              <w:top w:val="nil"/>
              <w:left w:val="nil"/>
              <w:bottom w:val="nil"/>
              <w:right w:val="nil"/>
            </w:tcBorders>
            <w:shd w:val="clear" w:color="000000" w:fill="FFFFFF"/>
            <w:noWrap/>
            <w:vAlign w:val="center"/>
            <w:hideMark/>
          </w:tcPr>
          <w:p>
            <w:pPr>
              <w:jc w:val="center"/>
              <w:rPr>
                <w:rFonts w:eastAsia="Times New Roman"/>
                <w:b/>
                <w:bCs/>
                <w:i/>
                <w:iCs/>
                <w:noProof/>
                <w:lang w:val="en-IE" w:eastAsia="en-IE"/>
              </w:rPr>
            </w:pPr>
            <w:r>
              <w:rPr>
                <w:rFonts w:eastAsia="Times New Roman"/>
                <w:b/>
                <w:bCs/>
                <w:i/>
                <w:iCs/>
                <w:noProof/>
                <w:lang w:val="en-IE" w:eastAsia="en-IE"/>
              </w:rPr>
              <w:t>FDI Stocks</w:t>
            </w:r>
          </w:p>
        </w:tc>
      </w:tr>
      <w:tr>
        <w:trPr>
          <w:trHeight w:val="225"/>
        </w:trPr>
        <w:tc>
          <w:tcPr>
            <w:tcW w:w="377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Inward</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4.789</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3.828</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8.214</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3.457</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4.589</w:t>
            </w:r>
          </w:p>
        </w:tc>
      </w:tr>
      <w:tr>
        <w:trPr>
          <w:trHeight w:val="225"/>
        </w:trPr>
        <w:tc>
          <w:tcPr>
            <w:tcW w:w="377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Outward</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17.848</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16.223</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21.738</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15.382</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15.051</w:t>
            </w:r>
          </w:p>
        </w:tc>
      </w:tr>
      <w:tr>
        <w:trPr>
          <w:trHeight w:val="225"/>
        </w:trPr>
        <w:tc>
          <w:tcPr>
            <w:tcW w:w="6433" w:type="dxa"/>
            <w:gridSpan w:val="6"/>
            <w:tcBorders>
              <w:top w:val="nil"/>
              <w:left w:val="nil"/>
              <w:bottom w:val="nil"/>
              <w:right w:val="nil"/>
            </w:tcBorders>
            <w:shd w:val="clear" w:color="000000" w:fill="FFFFFF"/>
            <w:noWrap/>
            <w:vAlign w:val="center"/>
            <w:hideMark/>
          </w:tcPr>
          <w:p>
            <w:pPr>
              <w:jc w:val="center"/>
              <w:rPr>
                <w:rFonts w:eastAsia="Times New Roman"/>
                <w:b/>
                <w:bCs/>
                <w:i/>
                <w:iCs/>
                <w:noProof/>
                <w:lang w:val="en-IE" w:eastAsia="en-IE"/>
              </w:rPr>
            </w:pPr>
            <w:r>
              <w:rPr>
                <w:rFonts w:eastAsia="Times New Roman"/>
                <w:b/>
                <w:bCs/>
                <w:i/>
                <w:iCs/>
                <w:noProof/>
                <w:lang w:val="en-IE" w:eastAsia="en-IE"/>
              </w:rPr>
              <w:t>FDI Flows</w:t>
            </w:r>
          </w:p>
        </w:tc>
      </w:tr>
      <w:tr>
        <w:trPr>
          <w:trHeight w:val="225"/>
        </w:trPr>
        <w:tc>
          <w:tcPr>
            <w:tcW w:w="377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Inward</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1.365</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-214</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2.348</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-584</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650</w:t>
            </w:r>
          </w:p>
        </w:tc>
      </w:tr>
      <w:tr>
        <w:trPr>
          <w:trHeight w:val="225"/>
        </w:trPr>
        <w:tc>
          <w:tcPr>
            <w:tcW w:w="377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Outward</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-261</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71</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1.579</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-2.010</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1.313</w:t>
            </w:r>
          </w:p>
        </w:tc>
      </w:tr>
      <w:tr>
        <w:trPr>
          <w:trHeight w:val="225"/>
        </w:trPr>
        <w:tc>
          <w:tcPr>
            <w:tcW w:w="3770" w:type="dxa"/>
            <w:tcBorders>
              <w:top w:val="single" w:sz="4" w:space="0" w:color="auto"/>
              <w:left w:val="nil"/>
              <w:bottom w:val="nil"/>
              <w:right w:val="nil"/>
            </w:tcBorders>
            <w:shd w:val="clear" w:color="000000" w:fill="FFFFFF"/>
            <w:noWrap/>
            <w:hideMark/>
          </w:tcPr>
          <w:p>
            <w:pPr>
              <w:rPr>
                <w:rFonts w:eastAsia="Times New Roman"/>
                <w:noProof/>
                <w:lang w:val="en-IE" w:eastAsia="en-IE"/>
              </w:rPr>
            </w:pPr>
            <w:r>
              <w:rPr>
                <w:rFonts w:eastAsia="Times New Roman"/>
                <w:noProof/>
                <w:lang w:val="en-IE" w:eastAsia="en-IE"/>
              </w:rPr>
              <w:t>Source Trade G2 Statistics/ISDB from Eurostat BOP statistics</w:t>
            </w:r>
          </w:p>
        </w:tc>
        <w:tc>
          <w:tcPr>
            <w:tcW w:w="490" w:type="dxa"/>
            <w:tcBorders>
              <w:top w:val="nil"/>
              <w:left w:val="nil"/>
              <w:bottom w:val="nil"/>
              <w:right w:val="nil"/>
            </w:tcBorders>
            <w:shd w:val="clear" w:color="000000" w:fill="FFFFFF"/>
            <w:noWrap/>
            <w:hideMark/>
          </w:tcPr>
          <w:p>
            <w:pPr>
              <w:rPr>
                <w:rFonts w:eastAsia="Times New Roman"/>
                <w:noProof/>
                <w:lang w:val="en-IE" w:eastAsia="en-IE"/>
              </w:rPr>
            </w:pPr>
            <w:r>
              <w:rPr>
                <w:rFonts w:eastAsia="Times New Roman"/>
                <w:noProof/>
                <w:lang w:val="en-IE" w:eastAsia="en-IE"/>
              </w:rPr>
              <w:t> </w:t>
            </w:r>
          </w:p>
        </w:tc>
        <w:tc>
          <w:tcPr>
            <w:tcW w:w="49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49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49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r>
    </w:tbl>
    <w:p>
      <w:pPr>
        <w:rPr>
          <w:b/>
          <w:noProof/>
          <w:lang w:val="en-IE"/>
        </w:rPr>
      </w:pPr>
    </w:p>
    <w:p>
      <w:pPr>
        <w:rPr>
          <w:b/>
          <w:noProof/>
          <w:lang w:val="en-IE"/>
        </w:rPr>
      </w:pPr>
      <w:r>
        <w:rPr>
          <w:b/>
          <w:noProof/>
          <w:lang w:val="en-IE"/>
        </w:rPr>
        <w:t>Ecuador</w:t>
      </w:r>
    </w:p>
    <w:tbl>
      <w:tblPr>
        <w:tblW w:w="6241" w:type="dxa"/>
        <w:tblInd w:w="108" w:type="dxa"/>
        <w:tblLook w:val="04A0" w:firstRow="1" w:lastRow="0" w:firstColumn="1" w:lastColumn="0" w:noHBand="0" w:noVBand="1"/>
      </w:tblPr>
      <w:tblGrid>
        <w:gridCol w:w="3670"/>
        <w:gridCol w:w="836"/>
        <w:gridCol w:w="836"/>
        <w:gridCol w:w="836"/>
        <w:gridCol w:w="836"/>
        <w:gridCol w:w="924"/>
      </w:tblGrid>
      <w:tr>
        <w:trPr>
          <w:trHeight w:val="210"/>
        </w:trPr>
        <w:tc>
          <w:tcPr>
            <w:tcW w:w="6241" w:type="dxa"/>
            <w:gridSpan w:val="6"/>
            <w:tcBorders>
              <w:top w:val="nil"/>
              <w:left w:val="nil"/>
              <w:bottom w:val="nil"/>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Merchandise trade EU28 2014-2018</w:t>
            </w:r>
          </w:p>
        </w:tc>
      </w:tr>
      <w:tr>
        <w:trPr>
          <w:trHeight w:val="210"/>
        </w:trPr>
        <w:tc>
          <w:tcPr>
            <w:tcW w:w="3670" w:type="dxa"/>
            <w:tcBorders>
              <w:top w:val="single" w:sz="4" w:space="0" w:color="auto"/>
              <w:left w:val="nil"/>
              <w:bottom w:val="single" w:sz="4" w:space="0" w:color="auto"/>
              <w:right w:val="nil"/>
            </w:tcBorders>
            <w:shd w:val="clear" w:color="000000" w:fill="FFFFFF"/>
            <w:noWrap/>
            <w:vAlign w:val="bottom"/>
            <w:hideMark/>
          </w:tcPr>
          <w:p>
            <w:pPr>
              <w:rPr>
                <w:rFonts w:eastAsia="Times New Roman"/>
                <w:b/>
                <w:bCs/>
                <w:noProof/>
                <w:lang w:val="en-IE" w:eastAsia="en-IE"/>
              </w:rPr>
            </w:pPr>
            <w:r>
              <w:rPr>
                <w:rFonts w:eastAsia="Times New Roman"/>
                <w:b/>
                <w:bCs/>
                <w:noProof/>
                <w:lang w:val="en-IE" w:eastAsia="en-IE"/>
              </w:rPr>
              <w:t> </w:t>
            </w:r>
          </w:p>
        </w:tc>
        <w:tc>
          <w:tcPr>
            <w:tcW w:w="467"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2014</w:t>
            </w:r>
          </w:p>
        </w:tc>
        <w:tc>
          <w:tcPr>
            <w:tcW w:w="467"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2015</w:t>
            </w:r>
          </w:p>
        </w:tc>
        <w:tc>
          <w:tcPr>
            <w:tcW w:w="467"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2016</w:t>
            </w:r>
          </w:p>
        </w:tc>
        <w:tc>
          <w:tcPr>
            <w:tcW w:w="467"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2017</w:t>
            </w:r>
          </w:p>
        </w:tc>
        <w:tc>
          <w:tcPr>
            <w:tcW w:w="703"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2018</w:t>
            </w:r>
          </w:p>
        </w:tc>
      </w:tr>
      <w:tr>
        <w:trPr>
          <w:trHeight w:val="210"/>
        </w:trPr>
        <w:tc>
          <w:tcPr>
            <w:tcW w:w="3670" w:type="dxa"/>
            <w:tcBorders>
              <w:top w:val="nil"/>
              <w:left w:val="nil"/>
              <w:bottom w:val="nil"/>
              <w:right w:val="nil"/>
            </w:tcBorders>
            <w:shd w:val="clear" w:color="000000" w:fill="FFFFFF"/>
            <w:noWrap/>
            <w:vAlign w:val="center"/>
            <w:hideMark/>
          </w:tcPr>
          <w:p>
            <w:pPr>
              <w:jc w:val="center"/>
              <w:rPr>
                <w:rFonts w:eastAsia="Times New Roman"/>
                <w:b/>
                <w:bCs/>
                <w:i/>
                <w:iCs/>
                <w:noProof/>
                <w:lang w:val="en-IE" w:eastAsia="en-IE"/>
              </w:rPr>
            </w:pPr>
            <w:r>
              <w:rPr>
                <w:rFonts w:eastAsia="Times New Roman"/>
                <w:b/>
                <w:bCs/>
                <w:i/>
                <w:iCs/>
                <w:noProof/>
                <w:lang w:val="en-IE" w:eastAsia="en-IE"/>
              </w:rPr>
              <w:t>EU28 trade with Ecuador (mio €)</w:t>
            </w:r>
          </w:p>
        </w:tc>
        <w:tc>
          <w:tcPr>
            <w:tcW w:w="467" w:type="dxa"/>
            <w:tcBorders>
              <w:top w:val="nil"/>
              <w:left w:val="nil"/>
              <w:bottom w:val="nil"/>
              <w:right w:val="nil"/>
            </w:tcBorders>
            <w:shd w:val="clear" w:color="auto" w:fill="auto"/>
            <w:noWrap/>
            <w:vAlign w:val="center"/>
            <w:hideMark/>
          </w:tcPr>
          <w:p>
            <w:pPr>
              <w:jc w:val="center"/>
              <w:rPr>
                <w:rFonts w:eastAsia="Times New Roman"/>
                <w:b/>
                <w:bCs/>
                <w:i/>
                <w:iCs/>
                <w:noProof/>
                <w:lang w:val="en-IE" w:eastAsia="en-IE"/>
              </w:rPr>
            </w:pPr>
          </w:p>
        </w:tc>
        <w:tc>
          <w:tcPr>
            <w:tcW w:w="467" w:type="dxa"/>
            <w:tcBorders>
              <w:top w:val="nil"/>
              <w:left w:val="nil"/>
              <w:bottom w:val="nil"/>
              <w:right w:val="nil"/>
            </w:tcBorders>
            <w:shd w:val="clear" w:color="000000" w:fill="FFFFFF"/>
            <w:noWrap/>
            <w:vAlign w:val="center"/>
            <w:hideMark/>
          </w:tcPr>
          <w:p>
            <w:pPr>
              <w:rPr>
                <w:rFonts w:eastAsia="Times New Roman"/>
                <w:b/>
                <w:bCs/>
                <w:i/>
                <w:iCs/>
                <w:noProof/>
                <w:lang w:val="en-IE" w:eastAsia="en-IE"/>
              </w:rPr>
            </w:pPr>
            <w:r>
              <w:rPr>
                <w:rFonts w:eastAsia="Times New Roman"/>
                <w:b/>
                <w:bCs/>
                <w:i/>
                <w:iCs/>
                <w:noProof/>
                <w:lang w:val="en-IE" w:eastAsia="en-IE"/>
              </w:rPr>
              <w:t> </w:t>
            </w:r>
          </w:p>
        </w:tc>
        <w:tc>
          <w:tcPr>
            <w:tcW w:w="467" w:type="dxa"/>
            <w:tcBorders>
              <w:top w:val="nil"/>
              <w:left w:val="nil"/>
              <w:bottom w:val="nil"/>
              <w:right w:val="nil"/>
            </w:tcBorders>
            <w:shd w:val="clear" w:color="000000" w:fill="FFFFFF"/>
            <w:noWrap/>
            <w:vAlign w:val="center"/>
            <w:hideMark/>
          </w:tcPr>
          <w:p>
            <w:pPr>
              <w:rPr>
                <w:rFonts w:eastAsia="Times New Roman"/>
                <w:b/>
                <w:bCs/>
                <w:i/>
                <w:iCs/>
                <w:noProof/>
                <w:lang w:val="en-IE" w:eastAsia="en-IE"/>
              </w:rPr>
            </w:pPr>
            <w:r>
              <w:rPr>
                <w:rFonts w:eastAsia="Times New Roman"/>
                <w:b/>
                <w:bCs/>
                <w:i/>
                <w:iCs/>
                <w:noProof/>
                <w:lang w:val="en-IE" w:eastAsia="en-IE"/>
              </w:rPr>
              <w:t> </w:t>
            </w:r>
          </w:p>
        </w:tc>
        <w:tc>
          <w:tcPr>
            <w:tcW w:w="467" w:type="dxa"/>
            <w:tcBorders>
              <w:top w:val="nil"/>
              <w:left w:val="nil"/>
              <w:bottom w:val="nil"/>
              <w:right w:val="nil"/>
            </w:tcBorders>
            <w:shd w:val="clear" w:color="000000" w:fill="FFFFFF"/>
            <w:noWrap/>
            <w:vAlign w:val="center"/>
            <w:hideMark/>
          </w:tcPr>
          <w:p>
            <w:pPr>
              <w:rPr>
                <w:rFonts w:eastAsia="Times New Roman"/>
                <w:b/>
                <w:bCs/>
                <w:i/>
                <w:iCs/>
                <w:noProof/>
                <w:lang w:val="en-IE" w:eastAsia="en-IE"/>
              </w:rPr>
            </w:pPr>
            <w:r>
              <w:rPr>
                <w:rFonts w:eastAsia="Times New Roman"/>
                <w:b/>
                <w:bCs/>
                <w:i/>
                <w:iCs/>
                <w:noProof/>
                <w:lang w:val="en-IE" w:eastAsia="en-IE"/>
              </w:rPr>
              <w:t> </w:t>
            </w:r>
          </w:p>
        </w:tc>
        <w:tc>
          <w:tcPr>
            <w:tcW w:w="703" w:type="dxa"/>
            <w:tcBorders>
              <w:top w:val="nil"/>
              <w:left w:val="nil"/>
              <w:bottom w:val="nil"/>
              <w:right w:val="nil"/>
            </w:tcBorders>
            <w:shd w:val="clear" w:color="000000" w:fill="FFFFFF"/>
            <w:noWrap/>
            <w:vAlign w:val="center"/>
            <w:hideMark/>
          </w:tcPr>
          <w:p>
            <w:pPr>
              <w:rPr>
                <w:rFonts w:eastAsia="Times New Roman"/>
                <w:b/>
                <w:bCs/>
                <w:i/>
                <w:iCs/>
                <w:noProof/>
                <w:lang w:val="en-IE" w:eastAsia="en-IE"/>
              </w:rPr>
            </w:pPr>
            <w:r>
              <w:rPr>
                <w:rFonts w:eastAsia="Times New Roman"/>
                <w:b/>
                <w:bCs/>
                <w:i/>
                <w:iCs/>
                <w:noProof/>
                <w:lang w:val="en-IE" w:eastAsia="en-IE"/>
              </w:rPr>
              <w:t> </w:t>
            </w:r>
          </w:p>
        </w:tc>
      </w:tr>
      <w:tr>
        <w:trPr>
          <w:trHeight w:val="210"/>
        </w:trPr>
        <w:tc>
          <w:tcPr>
            <w:tcW w:w="367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Imports</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2.621</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2.595</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2.724</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3.018</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3.032</w:t>
            </w:r>
          </w:p>
        </w:tc>
      </w:tr>
      <w:tr>
        <w:trPr>
          <w:trHeight w:val="210"/>
        </w:trPr>
        <w:tc>
          <w:tcPr>
            <w:tcW w:w="367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Exports</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2.199</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2.010</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1.638</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2.214</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2.353</w:t>
            </w:r>
          </w:p>
        </w:tc>
      </w:tr>
      <w:tr>
        <w:trPr>
          <w:trHeight w:val="210"/>
        </w:trPr>
        <w:tc>
          <w:tcPr>
            <w:tcW w:w="367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Balance</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-422</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-586</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-1.086</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-804</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-679</w:t>
            </w:r>
          </w:p>
        </w:tc>
      </w:tr>
      <w:tr>
        <w:trPr>
          <w:trHeight w:val="210"/>
        </w:trPr>
        <w:tc>
          <w:tcPr>
            <w:tcW w:w="3670" w:type="dxa"/>
            <w:tcBorders>
              <w:top w:val="nil"/>
              <w:left w:val="nil"/>
              <w:bottom w:val="nil"/>
              <w:right w:val="nil"/>
            </w:tcBorders>
            <w:shd w:val="clear" w:color="000000" w:fill="FFFFFF"/>
            <w:noWrap/>
            <w:vAlign w:val="center"/>
            <w:hideMark/>
          </w:tcPr>
          <w:p>
            <w:pPr>
              <w:jc w:val="center"/>
              <w:rPr>
                <w:rFonts w:eastAsia="Times New Roman"/>
                <w:b/>
                <w:bCs/>
                <w:i/>
                <w:iCs/>
                <w:noProof/>
                <w:lang w:val="en-IE" w:eastAsia="en-IE"/>
              </w:rPr>
            </w:pPr>
            <w:r>
              <w:rPr>
                <w:rFonts w:eastAsia="Times New Roman"/>
                <w:b/>
                <w:bCs/>
                <w:i/>
                <w:iCs/>
                <w:noProof/>
                <w:lang w:val="en-IE" w:eastAsia="en-IE"/>
              </w:rPr>
              <w:t>Share Ecuador in EU28 trade with Extra-EU28</w:t>
            </w:r>
          </w:p>
        </w:tc>
        <w:tc>
          <w:tcPr>
            <w:tcW w:w="467" w:type="dxa"/>
            <w:tcBorders>
              <w:top w:val="nil"/>
              <w:left w:val="nil"/>
              <w:bottom w:val="nil"/>
              <w:right w:val="nil"/>
            </w:tcBorders>
            <w:shd w:val="clear" w:color="auto" w:fill="auto"/>
            <w:noWrap/>
            <w:vAlign w:val="center"/>
            <w:hideMark/>
          </w:tcPr>
          <w:p>
            <w:pPr>
              <w:jc w:val="center"/>
              <w:rPr>
                <w:rFonts w:eastAsia="Times New Roman"/>
                <w:b/>
                <w:bCs/>
                <w:i/>
                <w:iCs/>
                <w:noProof/>
                <w:lang w:val="en-IE" w:eastAsia="en-IE"/>
              </w:rPr>
            </w:pPr>
          </w:p>
        </w:tc>
        <w:tc>
          <w:tcPr>
            <w:tcW w:w="467" w:type="dxa"/>
            <w:tcBorders>
              <w:top w:val="nil"/>
              <w:left w:val="nil"/>
              <w:bottom w:val="nil"/>
              <w:right w:val="nil"/>
            </w:tcBorders>
            <w:shd w:val="clear" w:color="000000" w:fill="FFFFFF"/>
            <w:noWrap/>
            <w:vAlign w:val="center"/>
            <w:hideMark/>
          </w:tcPr>
          <w:p>
            <w:pPr>
              <w:rPr>
                <w:rFonts w:eastAsia="Times New Roman"/>
                <w:b/>
                <w:bCs/>
                <w:i/>
                <w:iCs/>
                <w:noProof/>
                <w:lang w:val="en-IE" w:eastAsia="en-IE"/>
              </w:rPr>
            </w:pPr>
            <w:r>
              <w:rPr>
                <w:rFonts w:eastAsia="Times New Roman"/>
                <w:b/>
                <w:bCs/>
                <w:i/>
                <w:iCs/>
                <w:noProof/>
                <w:lang w:val="en-IE" w:eastAsia="en-IE"/>
              </w:rPr>
              <w:t> </w:t>
            </w:r>
          </w:p>
        </w:tc>
        <w:tc>
          <w:tcPr>
            <w:tcW w:w="467" w:type="dxa"/>
            <w:tcBorders>
              <w:top w:val="nil"/>
              <w:left w:val="nil"/>
              <w:bottom w:val="nil"/>
              <w:right w:val="nil"/>
            </w:tcBorders>
            <w:shd w:val="clear" w:color="000000" w:fill="FFFFFF"/>
            <w:noWrap/>
            <w:vAlign w:val="center"/>
            <w:hideMark/>
          </w:tcPr>
          <w:p>
            <w:pPr>
              <w:rPr>
                <w:rFonts w:eastAsia="Times New Roman"/>
                <w:b/>
                <w:bCs/>
                <w:i/>
                <w:iCs/>
                <w:noProof/>
                <w:lang w:val="en-IE" w:eastAsia="en-IE"/>
              </w:rPr>
            </w:pPr>
            <w:r>
              <w:rPr>
                <w:rFonts w:eastAsia="Times New Roman"/>
                <w:b/>
                <w:bCs/>
                <w:i/>
                <w:iCs/>
                <w:noProof/>
                <w:lang w:val="en-IE" w:eastAsia="en-IE"/>
              </w:rPr>
              <w:t> </w:t>
            </w:r>
          </w:p>
        </w:tc>
        <w:tc>
          <w:tcPr>
            <w:tcW w:w="467" w:type="dxa"/>
            <w:tcBorders>
              <w:top w:val="nil"/>
              <w:left w:val="nil"/>
              <w:bottom w:val="nil"/>
              <w:right w:val="nil"/>
            </w:tcBorders>
            <w:shd w:val="clear" w:color="000000" w:fill="FFFFFF"/>
            <w:noWrap/>
            <w:vAlign w:val="center"/>
            <w:hideMark/>
          </w:tcPr>
          <w:p>
            <w:pPr>
              <w:rPr>
                <w:rFonts w:eastAsia="Times New Roman"/>
                <w:b/>
                <w:bCs/>
                <w:i/>
                <w:iCs/>
                <w:noProof/>
                <w:lang w:val="en-IE" w:eastAsia="en-IE"/>
              </w:rPr>
            </w:pPr>
            <w:r>
              <w:rPr>
                <w:rFonts w:eastAsia="Times New Roman"/>
                <w:b/>
                <w:bCs/>
                <w:i/>
                <w:iCs/>
                <w:noProof/>
                <w:lang w:val="en-IE" w:eastAsia="en-IE"/>
              </w:rPr>
              <w:t> </w:t>
            </w:r>
          </w:p>
        </w:tc>
        <w:tc>
          <w:tcPr>
            <w:tcW w:w="703" w:type="dxa"/>
            <w:tcBorders>
              <w:top w:val="nil"/>
              <w:left w:val="nil"/>
              <w:bottom w:val="nil"/>
              <w:right w:val="nil"/>
            </w:tcBorders>
            <w:shd w:val="clear" w:color="000000" w:fill="FFFFFF"/>
            <w:noWrap/>
            <w:vAlign w:val="center"/>
            <w:hideMark/>
          </w:tcPr>
          <w:p>
            <w:pPr>
              <w:rPr>
                <w:rFonts w:eastAsia="Times New Roman"/>
                <w:b/>
                <w:bCs/>
                <w:i/>
                <w:iCs/>
                <w:noProof/>
                <w:lang w:val="en-IE" w:eastAsia="en-IE"/>
              </w:rPr>
            </w:pPr>
            <w:r>
              <w:rPr>
                <w:rFonts w:eastAsia="Times New Roman"/>
                <w:b/>
                <w:bCs/>
                <w:i/>
                <w:iCs/>
                <w:noProof/>
                <w:lang w:val="en-IE" w:eastAsia="en-IE"/>
              </w:rPr>
              <w:t> </w:t>
            </w:r>
          </w:p>
        </w:tc>
      </w:tr>
      <w:tr>
        <w:trPr>
          <w:trHeight w:val="210"/>
        </w:trPr>
        <w:tc>
          <w:tcPr>
            <w:tcW w:w="367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Imports</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0,2%</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0,2%</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0,2%</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0,2%</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0,2%</w:t>
            </w:r>
          </w:p>
        </w:tc>
      </w:tr>
      <w:tr>
        <w:trPr>
          <w:trHeight w:val="210"/>
        </w:trPr>
        <w:tc>
          <w:tcPr>
            <w:tcW w:w="367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Exports</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0,1%</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0,1%</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0,1%</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0,1%</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0,1%</w:t>
            </w:r>
          </w:p>
        </w:tc>
      </w:tr>
      <w:tr>
        <w:trPr>
          <w:trHeight w:val="210"/>
        </w:trPr>
        <w:tc>
          <w:tcPr>
            <w:tcW w:w="367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Total (I+E)</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0,1%</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0,1%</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0,1%</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0,1%</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0,1%</w:t>
            </w:r>
          </w:p>
        </w:tc>
      </w:tr>
      <w:tr>
        <w:trPr>
          <w:trHeight w:val="210"/>
        </w:trPr>
        <w:tc>
          <w:tcPr>
            <w:tcW w:w="6241" w:type="dxa"/>
            <w:gridSpan w:val="6"/>
            <w:tcBorders>
              <w:top w:val="nil"/>
              <w:left w:val="nil"/>
              <w:bottom w:val="nil"/>
              <w:right w:val="nil"/>
            </w:tcBorders>
            <w:shd w:val="clear" w:color="000000" w:fill="FFFFFF"/>
            <w:noWrap/>
            <w:vAlign w:val="center"/>
            <w:hideMark/>
          </w:tcPr>
          <w:p>
            <w:pPr>
              <w:jc w:val="center"/>
              <w:rPr>
                <w:rFonts w:eastAsia="Times New Roman"/>
                <w:b/>
                <w:bCs/>
                <w:i/>
                <w:iCs/>
                <w:noProof/>
                <w:lang w:val="en-IE" w:eastAsia="en-IE"/>
              </w:rPr>
            </w:pPr>
            <w:r>
              <w:rPr>
                <w:rFonts w:eastAsia="Times New Roman"/>
                <w:b/>
                <w:bCs/>
                <w:i/>
                <w:iCs/>
                <w:noProof/>
                <w:lang w:val="en-IE" w:eastAsia="en-IE"/>
              </w:rPr>
              <w:t>Share EU28 in trade Ecuador with world</w:t>
            </w:r>
          </w:p>
        </w:tc>
      </w:tr>
      <w:tr>
        <w:trPr>
          <w:trHeight w:val="210"/>
        </w:trPr>
        <w:tc>
          <w:tcPr>
            <w:tcW w:w="367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Imports</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11,0%</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11,6%</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11,5%</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13,0%</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12,9%</w:t>
            </w:r>
          </w:p>
        </w:tc>
      </w:tr>
      <w:tr>
        <w:trPr>
          <w:trHeight w:val="210"/>
        </w:trPr>
        <w:tc>
          <w:tcPr>
            <w:tcW w:w="367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Exports</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11,6%</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15,1%</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16,9%</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16,6%</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15,1%</w:t>
            </w:r>
          </w:p>
        </w:tc>
      </w:tr>
      <w:tr>
        <w:trPr>
          <w:trHeight w:val="210"/>
        </w:trPr>
        <w:tc>
          <w:tcPr>
            <w:tcW w:w="367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Total (I+E)</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11,3%</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13,2%</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14,2%</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14,7%</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14,0%</w:t>
            </w:r>
          </w:p>
        </w:tc>
      </w:tr>
      <w:tr>
        <w:trPr>
          <w:trHeight w:val="225"/>
        </w:trPr>
        <w:tc>
          <w:tcPr>
            <w:tcW w:w="4604" w:type="dxa"/>
            <w:gridSpan w:val="3"/>
            <w:tcBorders>
              <w:top w:val="single" w:sz="4" w:space="0" w:color="auto"/>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xml:space="preserve">Source Trade G2 Statistics/ISDB </w:t>
            </w:r>
          </w:p>
        </w:tc>
        <w:tc>
          <w:tcPr>
            <w:tcW w:w="467" w:type="dxa"/>
            <w:tcBorders>
              <w:top w:val="single" w:sz="4" w:space="0" w:color="auto"/>
              <w:left w:val="nil"/>
              <w:bottom w:val="nil"/>
              <w:right w:val="nil"/>
            </w:tcBorders>
            <w:shd w:val="clear" w:color="000000" w:fill="FFFFFF"/>
            <w:noWrap/>
            <w:vAlign w:val="bottom"/>
            <w:hideMark/>
          </w:tcPr>
          <w:p>
            <w:pPr>
              <w:jc w:val="center"/>
              <w:rPr>
                <w:rFonts w:eastAsia="Times New Roman"/>
                <w:noProof/>
                <w:lang w:val="en-IE" w:eastAsia="en-IE"/>
              </w:rPr>
            </w:pPr>
            <w:r>
              <w:rPr>
                <w:rFonts w:eastAsia="Times New Roman"/>
                <w:noProof/>
                <w:lang w:val="en-IE" w:eastAsia="en-IE"/>
              </w:rPr>
              <w:t> </w:t>
            </w:r>
          </w:p>
        </w:tc>
        <w:tc>
          <w:tcPr>
            <w:tcW w:w="467" w:type="dxa"/>
            <w:tcBorders>
              <w:top w:val="single" w:sz="4" w:space="0" w:color="auto"/>
              <w:left w:val="nil"/>
              <w:bottom w:val="nil"/>
              <w:right w:val="nil"/>
            </w:tcBorders>
            <w:shd w:val="clear" w:color="000000" w:fill="FFFFFF"/>
            <w:noWrap/>
            <w:vAlign w:val="bottom"/>
            <w:hideMark/>
          </w:tcPr>
          <w:p>
            <w:pPr>
              <w:jc w:val="center"/>
              <w:rPr>
                <w:rFonts w:eastAsia="Times New Roman"/>
                <w:noProof/>
                <w:lang w:val="en-IE" w:eastAsia="en-IE"/>
              </w:rPr>
            </w:pPr>
            <w:r>
              <w:rPr>
                <w:rFonts w:eastAsia="Times New Roman"/>
                <w:noProof/>
                <w:lang w:val="en-IE" w:eastAsia="en-IE"/>
              </w:rPr>
              <w:t> </w:t>
            </w:r>
          </w:p>
        </w:tc>
        <w:tc>
          <w:tcPr>
            <w:tcW w:w="703" w:type="dxa"/>
            <w:tcBorders>
              <w:top w:val="single" w:sz="4" w:space="0" w:color="auto"/>
              <w:left w:val="nil"/>
              <w:bottom w:val="nil"/>
              <w:right w:val="nil"/>
            </w:tcBorders>
            <w:shd w:val="clear" w:color="000000" w:fill="FFFFFF"/>
            <w:noWrap/>
            <w:hideMark/>
          </w:tcPr>
          <w:p>
            <w:pPr>
              <w:jc w:val="right"/>
              <w:rPr>
                <w:rFonts w:eastAsia="Times New Roman"/>
                <w:noProof/>
                <w:lang w:val="en-IE" w:eastAsia="en-IE"/>
              </w:rPr>
            </w:pPr>
            <w:r>
              <w:rPr>
                <w:rFonts w:eastAsia="Times New Roman"/>
                <w:noProof/>
                <w:lang w:val="en-IE" w:eastAsia="en-IE"/>
              </w:rPr>
              <w:t>25-mars-19</w:t>
            </w:r>
          </w:p>
        </w:tc>
      </w:tr>
      <w:tr>
        <w:trPr>
          <w:trHeight w:val="210"/>
        </w:trPr>
        <w:tc>
          <w:tcPr>
            <w:tcW w:w="5071" w:type="dxa"/>
            <w:gridSpan w:val="4"/>
            <w:tcBorders>
              <w:top w:val="nil"/>
              <w:left w:val="nil"/>
              <w:bottom w:val="nil"/>
              <w:right w:val="nil"/>
            </w:tcBorders>
            <w:shd w:val="clear" w:color="000000" w:fill="FFFFFF"/>
            <w:noWrap/>
            <w:hideMark/>
          </w:tcPr>
          <w:p>
            <w:pPr>
              <w:rPr>
                <w:rFonts w:eastAsia="Times New Roman"/>
                <w:noProof/>
                <w:color w:val="000000"/>
                <w:lang w:val="en-IE" w:eastAsia="en-IE"/>
              </w:rPr>
            </w:pPr>
            <w:r>
              <w:rPr>
                <w:rFonts w:eastAsia="Times New Roman"/>
                <w:noProof/>
                <w:color w:val="000000"/>
                <w:lang w:val="en-IE" w:eastAsia="en-IE"/>
              </w:rPr>
              <w:t>Trade EU28: Eurostat COMEXT;  Trade Ecuador: IMF Dots</w:t>
            </w:r>
          </w:p>
        </w:tc>
        <w:tc>
          <w:tcPr>
            <w:tcW w:w="467" w:type="dxa"/>
            <w:tcBorders>
              <w:top w:val="nil"/>
              <w:left w:val="nil"/>
              <w:bottom w:val="nil"/>
              <w:right w:val="nil"/>
            </w:tcBorders>
            <w:shd w:val="clear" w:color="000000" w:fill="FFFFFF"/>
            <w:noWrap/>
            <w:vAlign w:val="bottom"/>
            <w:hideMark/>
          </w:tcPr>
          <w:p>
            <w:pPr>
              <w:rPr>
                <w:rFonts w:eastAsia="Times New Roman"/>
                <w:noProof/>
                <w:color w:val="000000"/>
                <w:lang w:val="en-IE" w:eastAsia="en-IE"/>
              </w:rPr>
            </w:pPr>
            <w:r>
              <w:rPr>
                <w:rFonts w:eastAsia="Times New Roman"/>
                <w:noProof/>
                <w:color w:val="000000"/>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color w:val="000000"/>
                <w:lang w:val="en-IE" w:eastAsia="en-IE"/>
              </w:rPr>
            </w:pPr>
            <w:r>
              <w:rPr>
                <w:rFonts w:eastAsia="Times New Roman"/>
                <w:noProof/>
                <w:color w:val="000000"/>
                <w:lang w:val="en-IE" w:eastAsia="en-IE"/>
              </w:rPr>
              <w:t> </w:t>
            </w:r>
          </w:p>
        </w:tc>
      </w:tr>
      <w:tr>
        <w:trPr>
          <w:trHeight w:val="210"/>
        </w:trPr>
        <w:tc>
          <w:tcPr>
            <w:tcW w:w="3670" w:type="dxa"/>
            <w:tcBorders>
              <w:top w:val="nil"/>
              <w:left w:val="nil"/>
              <w:bottom w:val="nil"/>
              <w:right w:val="nil"/>
            </w:tcBorders>
            <w:shd w:val="clear" w:color="000000" w:fill="FFFFFF"/>
            <w:noWrap/>
            <w:vAlign w:val="bottom"/>
            <w:hideMark/>
          </w:tcPr>
          <w:p>
            <w:pPr>
              <w:rPr>
                <w:rFonts w:eastAsia="Times New Roman"/>
                <w:noProof/>
                <w:color w:val="000000"/>
                <w:lang w:val="en-IE" w:eastAsia="en-IE"/>
              </w:rPr>
            </w:pPr>
            <w:r>
              <w:rPr>
                <w:rFonts w:eastAsia="Times New Roman"/>
                <w:noProof/>
                <w:color w:val="000000"/>
                <w:lang w:val="en-IE" w:eastAsia="en-IE"/>
              </w:rPr>
              <w:t> </w:t>
            </w:r>
          </w:p>
        </w:tc>
        <w:tc>
          <w:tcPr>
            <w:tcW w:w="467" w:type="dxa"/>
            <w:tcBorders>
              <w:top w:val="nil"/>
              <w:left w:val="nil"/>
              <w:bottom w:val="nil"/>
              <w:right w:val="nil"/>
            </w:tcBorders>
            <w:shd w:val="clear" w:color="000000" w:fill="FFFFFF"/>
            <w:noWrap/>
            <w:vAlign w:val="bottom"/>
            <w:hideMark/>
          </w:tcPr>
          <w:p>
            <w:pPr>
              <w:rPr>
                <w:rFonts w:eastAsia="Times New Roman"/>
                <w:noProof/>
                <w:color w:val="000000"/>
                <w:lang w:val="en-IE" w:eastAsia="en-IE"/>
              </w:rPr>
            </w:pPr>
            <w:r>
              <w:rPr>
                <w:rFonts w:eastAsia="Times New Roman"/>
                <w:noProof/>
                <w:color w:val="000000"/>
                <w:lang w:val="en-IE" w:eastAsia="en-IE"/>
              </w:rPr>
              <w:t> </w:t>
            </w:r>
          </w:p>
        </w:tc>
        <w:tc>
          <w:tcPr>
            <w:tcW w:w="467" w:type="dxa"/>
            <w:tcBorders>
              <w:top w:val="nil"/>
              <w:left w:val="nil"/>
              <w:bottom w:val="nil"/>
              <w:right w:val="nil"/>
            </w:tcBorders>
            <w:shd w:val="clear" w:color="000000" w:fill="FFFFFF"/>
            <w:noWrap/>
            <w:vAlign w:val="bottom"/>
            <w:hideMark/>
          </w:tcPr>
          <w:p>
            <w:pPr>
              <w:rPr>
                <w:rFonts w:eastAsia="Times New Roman"/>
                <w:noProof/>
                <w:color w:val="000000"/>
                <w:lang w:val="en-IE" w:eastAsia="en-IE"/>
              </w:rPr>
            </w:pPr>
            <w:r>
              <w:rPr>
                <w:rFonts w:eastAsia="Times New Roman"/>
                <w:noProof/>
                <w:color w:val="000000"/>
                <w:lang w:val="en-IE" w:eastAsia="en-IE"/>
              </w:rPr>
              <w:t> </w:t>
            </w:r>
          </w:p>
        </w:tc>
        <w:tc>
          <w:tcPr>
            <w:tcW w:w="467" w:type="dxa"/>
            <w:tcBorders>
              <w:top w:val="nil"/>
              <w:left w:val="nil"/>
              <w:bottom w:val="nil"/>
              <w:right w:val="nil"/>
            </w:tcBorders>
            <w:shd w:val="clear" w:color="000000" w:fill="FFFFFF"/>
            <w:noWrap/>
            <w:vAlign w:val="bottom"/>
            <w:hideMark/>
          </w:tcPr>
          <w:p>
            <w:pPr>
              <w:rPr>
                <w:rFonts w:eastAsia="Times New Roman"/>
                <w:noProof/>
                <w:color w:val="000000"/>
                <w:lang w:val="en-IE" w:eastAsia="en-IE"/>
              </w:rPr>
            </w:pPr>
            <w:r>
              <w:rPr>
                <w:rFonts w:eastAsia="Times New Roman"/>
                <w:noProof/>
                <w:color w:val="000000"/>
                <w:lang w:val="en-IE" w:eastAsia="en-IE"/>
              </w:rPr>
              <w:t> </w:t>
            </w:r>
          </w:p>
        </w:tc>
        <w:tc>
          <w:tcPr>
            <w:tcW w:w="467" w:type="dxa"/>
            <w:tcBorders>
              <w:top w:val="nil"/>
              <w:left w:val="nil"/>
              <w:bottom w:val="nil"/>
              <w:right w:val="nil"/>
            </w:tcBorders>
            <w:shd w:val="clear" w:color="000000" w:fill="FFFFFF"/>
            <w:noWrap/>
            <w:vAlign w:val="bottom"/>
            <w:hideMark/>
          </w:tcPr>
          <w:p>
            <w:pPr>
              <w:rPr>
                <w:rFonts w:eastAsia="Times New Roman"/>
                <w:noProof/>
                <w:color w:val="000000"/>
                <w:lang w:val="en-IE" w:eastAsia="en-IE"/>
              </w:rPr>
            </w:pPr>
            <w:r>
              <w:rPr>
                <w:rFonts w:eastAsia="Times New Roman"/>
                <w:noProof/>
                <w:color w:val="000000"/>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color w:val="000000"/>
                <w:lang w:val="en-IE" w:eastAsia="en-IE"/>
              </w:rPr>
            </w:pPr>
            <w:r>
              <w:rPr>
                <w:rFonts w:eastAsia="Times New Roman"/>
                <w:noProof/>
                <w:color w:val="000000"/>
                <w:lang w:val="en-IE" w:eastAsia="en-IE"/>
              </w:rPr>
              <w:t> </w:t>
            </w:r>
          </w:p>
        </w:tc>
      </w:tr>
      <w:tr>
        <w:trPr>
          <w:trHeight w:val="225"/>
        </w:trPr>
        <w:tc>
          <w:tcPr>
            <w:tcW w:w="6241" w:type="dxa"/>
            <w:gridSpan w:val="6"/>
            <w:tcBorders>
              <w:top w:val="nil"/>
              <w:left w:val="nil"/>
              <w:bottom w:val="nil"/>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Total merchandise trade EU28 with Ecuador (mio €)</w:t>
            </w:r>
          </w:p>
        </w:tc>
      </w:tr>
      <w:tr>
        <w:trPr>
          <w:trHeight w:val="225"/>
        </w:trPr>
        <w:tc>
          <w:tcPr>
            <w:tcW w:w="4137"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lang w:val="en-IE" w:eastAsia="en-IE"/>
              </w:rPr>
            </w:pPr>
            <w:r>
              <w:rPr>
                <w:rFonts w:eastAsia="Times New Roman"/>
                <w:b/>
                <w:bCs/>
                <w:noProof/>
                <w:lang w:val="en-IE" w:eastAsia="en-IE"/>
              </w:rPr>
              <w:t>Ecuador</w:t>
            </w:r>
          </w:p>
        </w:tc>
        <w:tc>
          <w:tcPr>
            <w:tcW w:w="467"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2017</w:t>
            </w:r>
          </w:p>
        </w:tc>
        <w:tc>
          <w:tcPr>
            <w:tcW w:w="467"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2018</w:t>
            </w:r>
          </w:p>
        </w:tc>
        <w:tc>
          <w:tcPr>
            <w:tcW w:w="1170"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Growth</w:t>
            </w:r>
          </w:p>
        </w:tc>
      </w:tr>
      <w:tr>
        <w:trPr>
          <w:trHeight w:val="225"/>
        </w:trPr>
        <w:tc>
          <w:tcPr>
            <w:tcW w:w="4137" w:type="dxa"/>
            <w:gridSpan w:val="2"/>
            <w:vMerge/>
            <w:tcBorders>
              <w:top w:val="single" w:sz="4" w:space="0" w:color="auto"/>
              <w:left w:val="nil"/>
              <w:bottom w:val="single" w:sz="4" w:space="0" w:color="000000"/>
              <w:right w:val="nil"/>
            </w:tcBorders>
            <w:vAlign w:val="center"/>
            <w:hideMark/>
          </w:tcPr>
          <w:p>
            <w:pPr>
              <w:rPr>
                <w:rFonts w:eastAsia="Times New Roman"/>
                <w:b/>
                <w:bCs/>
                <w:noProof/>
                <w:lang w:val="en-IE" w:eastAsia="en-IE"/>
              </w:rPr>
            </w:pPr>
          </w:p>
        </w:tc>
        <w:tc>
          <w:tcPr>
            <w:tcW w:w="467" w:type="dxa"/>
            <w:vMerge/>
            <w:tcBorders>
              <w:top w:val="single" w:sz="4" w:space="0" w:color="auto"/>
              <w:left w:val="nil"/>
              <w:bottom w:val="single" w:sz="4" w:space="0" w:color="000000"/>
              <w:right w:val="nil"/>
            </w:tcBorders>
            <w:vAlign w:val="center"/>
            <w:hideMark/>
          </w:tcPr>
          <w:p>
            <w:pPr>
              <w:rPr>
                <w:rFonts w:eastAsia="Times New Roman"/>
                <w:b/>
                <w:bCs/>
                <w:noProof/>
                <w:lang w:val="en-IE" w:eastAsia="en-IE"/>
              </w:rPr>
            </w:pPr>
          </w:p>
        </w:tc>
        <w:tc>
          <w:tcPr>
            <w:tcW w:w="467" w:type="dxa"/>
            <w:vMerge/>
            <w:tcBorders>
              <w:top w:val="single" w:sz="4" w:space="0" w:color="auto"/>
              <w:left w:val="nil"/>
              <w:bottom w:val="single" w:sz="4" w:space="0" w:color="000000"/>
              <w:right w:val="nil"/>
            </w:tcBorders>
            <w:vAlign w:val="center"/>
            <w:hideMark/>
          </w:tcPr>
          <w:p>
            <w:pPr>
              <w:rPr>
                <w:rFonts w:eastAsia="Times New Roman"/>
                <w:b/>
                <w:bCs/>
                <w:noProof/>
                <w:lang w:val="en-IE" w:eastAsia="en-IE"/>
              </w:rPr>
            </w:pPr>
          </w:p>
        </w:tc>
        <w:tc>
          <w:tcPr>
            <w:tcW w:w="467" w:type="dxa"/>
            <w:tcBorders>
              <w:top w:val="nil"/>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annual %</w:t>
            </w:r>
          </w:p>
        </w:tc>
      </w:tr>
      <w:tr>
        <w:trPr>
          <w:trHeight w:val="225"/>
        </w:trPr>
        <w:tc>
          <w:tcPr>
            <w:tcW w:w="367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Imports</w:t>
            </w:r>
          </w:p>
        </w:tc>
        <w:tc>
          <w:tcPr>
            <w:tcW w:w="467"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3.018</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3.032</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15</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0,5%</w:t>
            </w:r>
          </w:p>
        </w:tc>
      </w:tr>
      <w:tr>
        <w:trPr>
          <w:trHeight w:val="225"/>
        </w:trPr>
        <w:tc>
          <w:tcPr>
            <w:tcW w:w="367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Exports</w:t>
            </w:r>
          </w:p>
        </w:tc>
        <w:tc>
          <w:tcPr>
            <w:tcW w:w="467"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2.214</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2.353</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140</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6,3%</w:t>
            </w:r>
          </w:p>
        </w:tc>
      </w:tr>
      <w:tr>
        <w:trPr>
          <w:trHeight w:val="225"/>
        </w:trPr>
        <w:tc>
          <w:tcPr>
            <w:tcW w:w="367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Balance</w:t>
            </w:r>
          </w:p>
        </w:tc>
        <w:tc>
          <w:tcPr>
            <w:tcW w:w="467"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-804</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-679</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125</w:t>
            </w:r>
          </w:p>
        </w:tc>
        <w:tc>
          <w:tcPr>
            <w:tcW w:w="703"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r>
      <w:tr>
        <w:trPr>
          <w:trHeight w:val="225"/>
        </w:trPr>
        <w:tc>
          <w:tcPr>
            <w:tcW w:w="3670" w:type="dxa"/>
            <w:tcBorders>
              <w:top w:val="nil"/>
              <w:left w:val="nil"/>
              <w:bottom w:val="single" w:sz="4" w:space="0" w:color="auto"/>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Total trade</w:t>
            </w:r>
          </w:p>
        </w:tc>
        <w:tc>
          <w:tcPr>
            <w:tcW w:w="467" w:type="dxa"/>
            <w:tcBorders>
              <w:top w:val="nil"/>
              <w:left w:val="nil"/>
              <w:bottom w:val="single" w:sz="4" w:space="0" w:color="auto"/>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5.232</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5.386</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154</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2,9%</w:t>
            </w:r>
          </w:p>
        </w:tc>
      </w:tr>
      <w:tr>
        <w:trPr>
          <w:trHeight w:val="240"/>
        </w:trPr>
        <w:tc>
          <w:tcPr>
            <w:tcW w:w="5071" w:type="dxa"/>
            <w:gridSpan w:val="4"/>
            <w:tcBorders>
              <w:top w:val="single" w:sz="4" w:space="0" w:color="auto"/>
              <w:left w:val="nil"/>
              <w:bottom w:val="nil"/>
              <w:right w:val="nil"/>
            </w:tcBorders>
            <w:shd w:val="clear" w:color="000000" w:fill="FFFFFF"/>
            <w:noWrap/>
            <w:hideMark/>
          </w:tcPr>
          <w:p>
            <w:pPr>
              <w:rPr>
                <w:rFonts w:eastAsia="Times New Roman"/>
                <w:noProof/>
                <w:lang w:val="en-IE" w:eastAsia="en-IE"/>
              </w:rPr>
            </w:pPr>
            <w:r>
              <w:rPr>
                <w:rFonts w:eastAsia="Times New Roman"/>
                <w:noProof/>
                <w:lang w:val="en-IE" w:eastAsia="en-IE"/>
              </w:rPr>
              <w:t>Source Trade G2 Statistics/ISDB from Eurostat COMEXT</w:t>
            </w:r>
          </w:p>
        </w:tc>
        <w:tc>
          <w:tcPr>
            <w:tcW w:w="467"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r>
      <w:tr>
        <w:trPr>
          <w:trHeight w:val="225"/>
        </w:trPr>
        <w:tc>
          <w:tcPr>
            <w:tcW w:w="6241" w:type="dxa"/>
            <w:gridSpan w:val="6"/>
            <w:tcBorders>
              <w:top w:val="nil"/>
              <w:left w:val="nil"/>
              <w:bottom w:val="nil"/>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Agrifood trade EU28 with Ecuador (mio €)</w:t>
            </w:r>
          </w:p>
        </w:tc>
      </w:tr>
      <w:tr>
        <w:trPr>
          <w:trHeight w:val="255"/>
        </w:trPr>
        <w:tc>
          <w:tcPr>
            <w:tcW w:w="4137"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lang w:val="en-IE" w:eastAsia="en-IE"/>
              </w:rPr>
            </w:pPr>
            <w:r>
              <w:rPr>
                <w:rFonts w:eastAsia="Times New Roman"/>
                <w:b/>
                <w:bCs/>
                <w:noProof/>
                <w:lang w:val="en-IE" w:eastAsia="en-IE"/>
              </w:rPr>
              <w:t>Ecuador</w:t>
            </w:r>
          </w:p>
        </w:tc>
        <w:tc>
          <w:tcPr>
            <w:tcW w:w="467"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2017</w:t>
            </w:r>
          </w:p>
        </w:tc>
        <w:tc>
          <w:tcPr>
            <w:tcW w:w="467"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2018</w:t>
            </w:r>
          </w:p>
        </w:tc>
        <w:tc>
          <w:tcPr>
            <w:tcW w:w="1170"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Growth</w:t>
            </w:r>
          </w:p>
        </w:tc>
      </w:tr>
      <w:tr>
        <w:trPr>
          <w:trHeight w:val="225"/>
        </w:trPr>
        <w:tc>
          <w:tcPr>
            <w:tcW w:w="4137" w:type="dxa"/>
            <w:gridSpan w:val="2"/>
            <w:vMerge/>
            <w:tcBorders>
              <w:top w:val="single" w:sz="4" w:space="0" w:color="auto"/>
              <w:left w:val="nil"/>
              <w:bottom w:val="single" w:sz="4" w:space="0" w:color="000000"/>
              <w:right w:val="nil"/>
            </w:tcBorders>
            <w:vAlign w:val="center"/>
            <w:hideMark/>
          </w:tcPr>
          <w:p>
            <w:pPr>
              <w:rPr>
                <w:rFonts w:eastAsia="Times New Roman"/>
                <w:b/>
                <w:bCs/>
                <w:noProof/>
                <w:lang w:val="en-IE" w:eastAsia="en-IE"/>
              </w:rPr>
            </w:pPr>
          </w:p>
        </w:tc>
        <w:tc>
          <w:tcPr>
            <w:tcW w:w="467" w:type="dxa"/>
            <w:vMerge/>
            <w:tcBorders>
              <w:top w:val="single" w:sz="4" w:space="0" w:color="auto"/>
              <w:left w:val="nil"/>
              <w:bottom w:val="single" w:sz="4" w:space="0" w:color="000000"/>
              <w:right w:val="nil"/>
            </w:tcBorders>
            <w:vAlign w:val="center"/>
            <w:hideMark/>
          </w:tcPr>
          <w:p>
            <w:pPr>
              <w:rPr>
                <w:rFonts w:eastAsia="Times New Roman"/>
                <w:b/>
                <w:bCs/>
                <w:noProof/>
                <w:lang w:val="en-IE" w:eastAsia="en-IE"/>
              </w:rPr>
            </w:pPr>
          </w:p>
        </w:tc>
        <w:tc>
          <w:tcPr>
            <w:tcW w:w="467" w:type="dxa"/>
            <w:vMerge/>
            <w:tcBorders>
              <w:top w:val="single" w:sz="4" w:space="0" w:color="auto"/>
              <w:left w:val="nil"/>
              <w:bottom w:val="single" w:sz="4" w:space="0" w:color="000000"/>
              <w:right w:val="nil"/>
            </w:tcBorders>
            <w:vAlign w:val="center"/>
            <w:hideMark/>
          </w:tcPr>
          <w:p>
            <w:pPr>
              <w:rPr>
                <w:rFonts w:eastAsia="Times New Roman"/>
                <w:b/>
                <w:bCs/>
                <w:noProof/>
                <w:lang w:val="en-IE" w:eastAsia="en-IE"/>
              </w:rPr>
            </w:pPr>
          </w:p>
        </w:tc>
        <w:tc>
          <w:tcPr>
            <w:tcW w:w="467" w:type="dxa"/>
            <w:tcBorders>
              <w:top w:val="nil"/>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annual %</w:t>
            </w:r>
          </w:p>
        </w:tc>
      </w:tr>
      <w:tr>
        <w:trPr>
          <w:trHeight w:val="225"/>
        </w:trPr>
        <w:tc>
          <w:tcPr>
            <w:tcW w:w="367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Imports</w:t>
            </w:r>
          </w:p>
        </w:tc>
        <w:tc>
          <w:tcPr>
            <w:tcW w:w="467"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1.567</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1.606</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39</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2,5%</w:t>
            </w:r>
          </w:p>
        </w:tc>
      </w:tr>
      <w:tr>
        <w:trPr>
          <w:trHeight w:val="225"/>
        </w:trPr>
        <w:tc>
          <w:tcPr>
            <w:tcW w:w="367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Exports</w:t>
            </w:r>
          </w:p>
        </w:tc>
        <w:tc>
          <w:tcPr>
            <w:tcW w:w="467"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122</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157</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35</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28,6%</w:t>
            </w:r>
          </w:p>
        </w:tc>
      </w:tr>
      <w:tr>
        <w:trPr>
          <w:trHeight w:val="225"/>
        </w:trPr>
        <w:tc>
          <w:tcPr>
            <w:tcW w:w="367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Balance</w:t>
            </w:r>
          </w:p>
        </w:tc>
        <w:tc>
          <w:tcPr>
            <w:tcW w:w="467"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-1.445</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-1.449</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-4</w:t>
            </w:r>
          </w:p>
        </w:tc>
        <w:tc>
          <w:tcPr>
            <w:tcW w:w="703"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r>
      <w:tr>
        <w:trPr>
          <w:trHeight w:val="225"/>
        </w:trPr>
        <w:tc>
          <w:tcPr>
            <w:tcW w:w="3670" w:type="dxa"/>
            <w:tcBorders>
              <w:top w:val="nil"/>
              <w:left w:val="nil"/>
              <w:bottom w:val="single" w:sz="4" w:space="0" w:color="auto"/>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Total trade</w:t>
            </w:r>
          </w:p>
        </w:tc>
        <w:tc>
          <w:tcPr>
            <w:tcW w:w="467"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1.689</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1.763</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74</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4,4%</w:t>
            </w:r>
          </w:p>
        </w:tc>
      </w:tr>
      <w:tr>
        <w:trPr>
          <w:trHeight w:val="240"/>
        </w:trPr>
        <w:tc>
          <w:tcPr>
            <w:tcW w:w="5071" w:type="dxa"/>
            <w:gridSpan w:val="4"/>
            <w:tcBorders>
              <w:top w:val="single" w:sz="4" w:space="0" w:color="auto"/>
              <w:left w:val="nil"/>
              <w:bottom w:val="nil"/>
              <w:right w:val="nil"/>
            </w:tcBorders>
            <w:shd w:val="clear" w:color="000000" w:fill="FFFFFF"/>
            <w:noWrap/>
            <w:hideMark/>
          </w:tcPr>
          <w:p>
            <w:pPr>
              <w:rPr>
                <w:rFonts w:eastAsia="Times New Roman"/>
                <w:noProof/>
                <w:lang w:val="en-IE" w:eastAsia="en-IE"/>
              </w:rPr>
            </w:pPr>
            <w:r>
              <w:rPr>
                <w:rFonts w:eastAsia="Times New Roman"/>
                <w:noProof/>
                <w:lang w:val="en-IE" w:eastAsia="en-IE"/>
              </w:rPr>
              <w:t>Source Trade G2 Statistics/ISDB from Eurostat COMEXT</w:t>
            </w:r>
          </w:p>
        </w:tc>
        <w:tc>
          <w:tcPr>
            <w:tcW w:w="467"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r>
      <w:tr>
        <w:trPr>
          <w:trHeight w:val="225"/>
        </w:trPr>
        <w:tc>
          <w:tcPr>
            <w:tcW w:w="6241" w:type="dxa"/>
            <w:gridSpan w:val="6"/>
            <w:tcBorders>
              <w:top w:val="nil"/>
              <w:left w:val="nil"/>
              <w:bottom w:val="nil"/>
              <w:right w:val="nil"/>
            </w:tcBorders>
            <w:shd w:val="clear" w:color="000000" w:fill="FFFFFF"/>
            <w:noWrap/>
            <w:vAlign w:val="center"/>
            <w:hideMark/>
          </w:tcPr>
          <w:p>
            <w:pPr>
              <w:jc w:val="center"/>
              <w:rPr>
                <w:rFonts w:eastAsia="Times New Roman"/>
                <w:b/>
                <w:bCs/>
                <w:noProof/>
                <w:lang w:val="es-ES" w:eastAsia="en-IE"/>
              </w:rPr>
            </w:pPr>
            <w:r>
              <w:rPr>
                <w:rFonts w:eastAsia="Times New Roman"/>
                <w:b/>
                <w:bCs/>
                <w:noProof/>
                <w:lang w:val="es-ES" w:eastAsia="en-IE"/>
              </w:rPr>
              <w:t>NAMA trade EU28 with Ecuador (mio €)</w:t>
            </w:r>
          </w:p>
        </w:tc>
      </w:tr>
      <w:tr>
        <w:trPr>
          <w:trHeight w:val="225"/>
        </w:trPr>
        <w:tc>
          <w:tcPr>
            <w:tcW w:w="4137"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lang w:val="en-IE" w:eastAsia="en-IE"/>
              </w:rPr>
            </w:pPr>
            <w:r>
              <w:rPr>
                <w:rFonts w:eastAsia="Times New Roman"/>
                <w:b/>
                <w:bCs/>
                <w:noProof/>
                <w:lang w:val="en-IE" w:eastAsia="en-IE"/>
              </w:rPr>
              <w:t>Ecuador</w:t>
            </w:r>
          </w:p>
        </w:tc>
        <w:tc>
          <w:tcPr>
            <w:tcW w:w="467"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2017</w:t>
            </w:r>
          </w:p>
        </w:tc>
        <w:tc>
          <w:tcPr>
            <w:tcW w:w="467"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2018</w:t>
            </w:r>
          </w:p>
        </w:tc>
        <w:tc>
          <w:tcPr>
            <w:tcW w:w="1170"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Growth</w:t>
            </w:r>
          </w:p>
        </w:tc>
      </w:tr>
      <w:tr>
        <w:trPr>
          <w:trHeight w:val="225"/>
        </w:trPr>
        <w:tc>
          <w:tcPr>
            <w:tcW w:w="4137" w:type="dxa"/>
            <w:gridSpan w:val="2"/>
            <w:vMerge/>
            <w:tcBorders>
              <w:top w:val="single" w:sz="4" w:space="0" w:color="auto"/>
              <w:left w:val="nil"/>
              <w:bottom w:val="single" w:sz="4" w:space="0" w:color="000000"/>
              <w:right w:val="nil"/>
            </w:tcBorders>
            <w:vAlign w:val="center"/>
            <w:hideMark/>
          </w:tcPr>
          <w:p>
            <w:pPr>
              <w:rPr>
                <w:rFonts w:eastAsia="Times New Roman"/>
                <w:b/>
                <w:bCs/>
                <w:noProof/>
                <w:lang w:val="en-IE" w:eastAsia="en-IE"/>
              </w:rPr>
            </w:pPr>
          </w:p>
        </w:tc>
        <w:tc>
          <w:tcPr>
            <w:tcW w:w="467" w:type="dxa"/>
            <w:vMerge/>
            <w:tcBorders>
              <w:top w:val="single" w:sz="4" w:space="0" w:color="auto"/>
              <w:left w:val="nil"/>
              <w:bottom w:val="single" w:sz="4" w:space="0" w:color="000000"/>
              <w:right w:val="nil"/>
            </w:tcBorders>
            <w:vAlign w:val="center"/>
            <w:hideMark/>
          </w:tcPr>
          <w:p>
            <w:pPr>
              <w:rPr>
                <w:rFonts w:eastAsia="Times New Roman"/>
                <w:b/>
                <w:bCs/>
                <w:noProof/>
                <w:lang w:val="en-IE" w:eastAsia="en-IE"/>
              </w:rPr>
            </w:pPr>
          </w:p>
        </w:tc>
        <w:tc>
          <w:tcPr>
            <w:tcW w:w="467" w:type="dxa"/>
            <w:vMerge/>
            <w:tcBorders>
              <w:top w:val="single" w:sz="4" w:space="0" w:color="auto"/>
              <w:left w:val="nil"/>
              <w:bottom w:val="single" w:sz="4" w:space="0" w:color="000000"/>
              <w:right w:val="nil"/>
            </w:tcBorders>
            <w:vAlign w:val="center"/>
            <w:hideMark/>
          </w:tcPr>
          <w:p>
            <w:pPr>
              <w:rPr>
                <w:rFonts w:eastAsia="Times New Roman"/>
                <w:b/>
                <w:bCs/>
                <w:noProof/>
                <w:lang w:val="en-IE" w:eastAsia="en-IE"/>
              </w:rPr>
            </w:pPr>
          </w:p>
        </w:tc>
        <w:tc>
          <w:tcPr>
            <w:tcW w:w="467" w:type="dxa"/>
            <w:tcBorders>
              <w:top w:val="nil"/>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annual %</w:t>
            </w:r>
          </w:p>
        </w:tc>
      </w:tr>
      <w:tr>
        <w:trPr>
          <w:trHeight w:val="225"/>
        </w:trPr>
        <w:tc>
          <w:tcPr>
            <w:tcW w:w="4137" w:type="dxa"/>
            <w:gridSpan w:val="2"/>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EU28 imports</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1.451</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1.427</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-24</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-1,7%</w:t>
            </w:r>
          </w:p>
        </w:tc>
      </w:tr>
      <w:tr>
        <w:trPr>
          <w:trHeight w:val="225"/>
        </w:trPr>
        <w:tc>
          <w:tcPr>
            <w:tcW w:w="4137" w:type="dxa"/>
            <w:gridSpan w:val="2"/>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EU28 exports</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2.092</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2.197</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105</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5,0%</w:t>
            </w:r>
          </w:p>
        </w:tc>
      </w:tr>
      <w:tr>
        <w:trPr>
          <w:trHeight w:val="225"/>
        </w:trPr>
        <w:tc>
          <w:tcPr>
            <w:tcW w:w="367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Balance</w:t>
            </w:r>
          </w:p>
        </w:tc>
        <w:tc>
          <w:tcPr>
            <w:tcW w:w="467"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641</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770</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129</w:t>
            </w:r>
          </w:p>
        </w:tc>
        <w:tc>
          <w:tcPr>
            <w:tcW w:w="703"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r>
      <w:tr>
        <w:trPr>
          <w:trHeight w:val="225"/>
        </w:trPr>
        <w:tc>
          <w:tcPr>
            <w:tcW w:w="367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Total trade</w:t>
            </w:r>
          </w:p>
        </w:tc>
        <w:tc>
          <w:tcPr>
            <w:tcW w:w="467"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3.543</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3.623</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80</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2,3%</w:t>
            </w:r>
          </w:p>
        </w:tc>
      </w:tr>
      <w:tr>
        <w:trPr>
          <w:trHeight w:val="240"/>
        </w:trPr>
        <w:tc>
          <w:tcPr>
            <w:tcW w:w="5071" w:type="dxa"/>
            <w:gridSpan w:val="4"/>
            <w:tcBorders>
              <w:top w:val="single" w:sz="4" w:space="0" w:color="auto"/>
              <w:left w:val="nil"/>
              <w:bottom w:val="nil"/>
              <w:right w:val="nil"/>
            </w:tcBorders>
            <w:shd w:val="clear" w:color="000000" w:fill="FFFFFF"/>
            <w:noWrap/>
            <w:hideMark/>
          </w:tcPr>
          <w:p>
            <w:pPr>
              <w:rPr>
                <w:rFonts w:eastAsia="Times New Roman"/>
                <w:noProof/>
                <w:lang w:val="en-IE" w:eastAsia="en-IE"/>
              </w:rPr>
            </w:pPr>
            <w:r>
              <w:rPr>
                <w:rFonts w:eastAsia="Times New Roman"/>
                <w:noProof/>
                <w:lang w:val="en-IE" w:eastAsia="en-IE"/>
              </w:rPr>
              <w:t>Source Trade G2 Statistics/ISDB from Eurostat COMEXT</w:t>
            </w:r>
          </w:p>
        </w:tc>
        <w:tc>
          <w:tcPr>
            <w:tcW w:w="467" w:type="dxa"/>
            <w:tcBorders>
              <w:top w:val="single" w:sz="4" w:space="0" w:color="auto"/>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r>
      <w:tr>
        <w:trPr>
          <w:trHeight w:val="225"/>
        </w:trPr>
        <w:tc>
          <w:tcPr>
            <w:tcW w:w="5071" w:type="dxa"/>
            <w:gridSpan w:val="4"/>
            <w:tcBorders>
              <w:top w:val="nil"/>
              <w:left w:val="nil"/>
              <w:bottom w:val="single" w:sz="4" w:space="0" w:color="auto"/>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Services trade EU28 with Ecuador (mio €)</w:t>
            </w:r>
          </w:p>
        </w:tc>
        <w:tc>
          <w:tcPr>
            <w:tcW w:w="467" w:type="dxa"/>
            <w:tcBorders>
              <w:top w:val="nil"/>
              <w:left w:val="nil"/>
              <w:bottom w:val="nil"/>
              <w:right w:val="nil"/>
            </w:tcBorders>
            <w:shd w:val="clear" w:color="000000" w:fill="FFFFFF"/>
            <w:noWrap/>
            <w:vAlign w:val="center"/>
            <w:hideMark/>
          </w:tcPr>
          <w:p>
            <w:pPr>
              <w:rPr>
                <w:rFonts w:eastAsia="Times New Roman"/>
                <w:b/>
                <w:bCs/>
                <w:noProof/>
                <w:lang w:val="en-IE" w:eastAsia="en-IE"/>
              </w:rPr>
            </w:pPr>
            <w:r>
              <w:rPr>
                <w:rFonts w:eastAsia="Times New Roman"/>
                <w:b/>
                <w:bCs/>
                <w:noProof/>
                <w:lang w:val="en-IE" w:eastAsia="en-IE"/>
              </w:rPr>
              <w:t> </w:t>
            </w:r>
          </w:p>
        </w:tc>
        <w:tc>
          <w:tcPr>
            <w:tcW w:w="703" w:type="dxa"/>
            <w:tcBorders>
              <w:top w:val="nil"/>
              <w:left w:val="nil"/>
              <w:bottom w:val="nil"/>
              <w:right w:val="nil"/>
            </w:tcBorders>
            <w:shd w:val="clear" w:color="000000" w:fill="FFFFFF"/>
            <w:noWrap/>
            <w:vAlign w:val="center"/>
            <w:hideMark/>
          </w:tcPr>
          <w:p>
            <w:pPr>
              <w:rPr>
                <w:rFonts w:eastAsia="Times New Roman"/>
                <w:b/>
                <w:bCs/>
                <w:noProof/>
                <w:lang w:val="en-IE" w:eastAsia="en-IE"/>
              </w:rPr>
            </w:pPr>
            <w:r>
              <w:rPr>
                <w:rFonts w:eastAsia="Times New Roman"/>
                <w:b/>
                <w:bCs/>
                <w:noProof/>
                <w:lang w:val="en-IE" w:eastAsia="en-IE"/>
              </w:rPr>
              <w:t> </w:t>
            </w:r>
          </w:p>
        </w:tc>
      </w:tr>
      <w:tr>
        <w:trPr>
          <w:trHeight w:val="225"/>
        </w:trPr>
        <w:tc>
          <w:tcPr>
            <w:tcW w:w="4137"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lang w:val="en-IE" w:eastAsia="en-IE"/>
              </w:rPr>
            </w:pPr>
            <w:r>
              <w:rPr>
                <w:rFonts w:eastAsia="Times New Roman"/>
                <w:b/>
                <w:bCs/>
                <w:noProof/>
                <w:lang w:val="en-IE" w:eastAsia="en-IE"/>
              </w:rPr>
              <w:t>Ecuador</w:t>
            </w:r>
          </w:p>
        </w:tc>
        <w:tc>
          <w:tcPr>
            <w:tcW w:w="467"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2016</w:t>
            </w:r>
          </w:p>
        </w:tc>
        <w:tc>
          <w:tcPr>
            <w:tcW w:w="467"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2017</w:t>
            </w:r>
          </w:p>
        </w:tc>
        <w:tc>
          <w:tcPr>
            <w:tcW w:w="1170"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Growth</w:t>
            </w:r>
          </w:p>
        </w:tc>
      </w:tr>
      <w:tr>
        <w:trPr>
          <w:trHeight w:val="225"/>
        </w:trPr>
        <w:tc>
          <w:tcPr>
            <w:tcW w:w="4137" w:type="dxa"/>
            <w:gridSpan w:val="2"/>
            <w:vMerge/>
            <w:tcBorders>
              <w:top w:val="single" w:sz="4" w:space="0" w:color="auto"/>
              <w:left w:val="nil"/>
              <w:bottom w:val="single" w:sz="4" w:space="0" w:color="000000"/>
              <w:right w:val="nil"/>
            </w:tcBorders>
            <w:vAlign w:val="center"/>
            <w:hideMark/>
          </w:tcPr>
          <w:p>
            <w:pPr>
              <w:rPr>
                <w:rFonts w:eastAsia="Times New Roman"/>
                <w:b/>
                <w:bCs/>
                <w:noProof/>
                <w:lang w:val="en-IE" w:eastAsia="en-IE"/>
              </w:rPr>
            </w:pPr>
          </w:p>
        </w:tc>
        <w:tc>
          <w:tcPr>
            <w:tcW w:w="467" w:type="dxa"/>
            <w:vMerge/>
            <w:tcBorders>
              <w:top w:val="nil"/>
              <w:left w:val="nil"/>
              <w:bottom w:val="single" w:sz="4" w:space="0" w:color="000000"/>
              <w:right w:val="nil"/>
            </w:tcBorders>
            <w:vAlign w:val="center"/>
            <w:hideMark/>
          </w:tcPr>
          <w:p>
            <w:pPr>
              <w:rPr>
                <w:rFonts w:eastAsia="Times New Roman"/>
                <w:b/>
                <w:bCs/>
                <w:noProof/>
                <w:lang w:val="en-IE" w:eastAsia="en-IE"/>
              </w:rPr>
            </w:pPr>
          </w:p>
        </w:tc>
        <w:tc>
          <w:tcPr>
            <w:tcW w:w="467" w:type="dxa"/>
            <w:vMerge/>
            <w:tcBorders>
              <w:top w:val="nil"/>
              <w:left w:val="nil"/>
              <w:bottom w:val="single" w:sz="4" w:space="0" w:color="000000"/>
              <w:right w:val="nil"/>
            </w:tcBorders>
            <w:vAlign w:val="center"/>
            <w:hideMark/>
          </w:tcPr>
          <w:p>
            <w:pPr>
              <w:rPr>
                <w:rFonts w:eastAsia="Times New Roman"/>
                <w:b/>
                <w:bCs/>
                <w:noProof/>
                <w:lang w:val="en-IE" w:eastAsia="en-IE"/>
              </w:rPr>
            </w:pPr>
          </w:p>
        </w:tc>
        <w:tc>
          <w:tcPr>
            <w:tcW w:w="467" w:type="dxa"/>
            <w:tcBorders>
              <w:top w:val="nil"/>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annual %</w:t>
            </w:r>
          </w:p>
        </w:tc>
      </w:tr>
      <w:tr>
        <w:trPr>
          <w:trHeight w:val="225"/>
        </w:trPr>
        <w:tc>
          <w:tcPr>
            <w:tcW w:w="367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Imports</w:t>
            </w:r>
          </w:p>
        </w:tc>
        <w:tc>
          <w:tcPr>
            <w:tcW w:w="467"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458</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582</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124</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27,2%</w:t>
            </w:r>
          </w:p>
        </w:tc>
      </w:tr>
      <w:tr>
        <w:trPr>
          <w:trHeight w:val="225"/>
        </w:trPr>
        <w:tc>
          <w:tcPr>
            <w:tcW w:w="367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Exports</w:t>
            </w:r>
          </w:p>
        </w:tc>
        <w:tc>
          <w:tcPr>
            <w:tcW w:w="467"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1.016</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1.055</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40</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3,9%</w:t>
            </w:r>
          </w:p>
        </w:tc>
      </w:tr>
      <w:tr>
        <w:trPr>
          <w:trHeight w:val="225"/>
        </w:trPr>
        <w:tc>
          <w:tcPr>
            <w:tcW w:w="367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Balance</w:t>
            </w:r>
          </w:p>
        </w:tc>
        <w:tc>
          <w:tcPr>
            <w:tcW w:w="467"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558</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473</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-85</w:t>
            </w:r>
          </w:p>
        </w:tc>
        <w:tc>
          <w:tcPr>
            <w:tcW w:w="703"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r>
      <w:tr>
        <w:trPr>
          <w:trHeight w:val="225"/>
        </w:trPr>
        <w:tc>
          <w:tcPr>
            <w:tcW w:w="3670" w:type="dxa"/>
            <w:tcBorders>
              <w:top w:val="nil"/>
              <w:left w:val="nil"/>
              <w:bottom w:val="single" w:sz="4" w:space="0" w:color="auto"/>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Total trade</w:t>
            </w:r>
          </w:p>
        </w:tc>
        <w:tc>
          <w:tcPr>
            <w:tcW w:w="467" w:type="dxa"/>
            <w:tcBorders>
              <w:top w:val="nil"/>
              <w:left w:val="nil"/>
              <w:bottom w:val="single" w:sz="4" w:space="0" w:color="auto"/>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1.474</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1.638</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164</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11,1%</w:t>
            </w:r>
          </w:p>
        </w:tc>
      </w:tr>
      <w:tr>
        <w:trPr>
          <w:trHeight w:val="240"/>
        </w:trPr>
        <w:tc>
          <w:tcPr>
            <w:tcW w:w="5538" w:type="dxa"/>
            <w:gridSpan w:val="5"/>
            <w:tcBorders>
              <w:top w:val="nil"/>
              <w:left w:val="nil"/>
              <w:bottom w:val="nil"/>
              <w:right w:val="nil"/>
            </w:tcBorders>
            <w:shd w:val="clear" w:color="000000" w:fill="FFFFFF"/>
            <w:noWrap/>
            <w:hideMark/>
          </w:tcPr>
          <w:p>
            <w:pPr>
              <w:rPr>
                <w:rFonts w:eastAsia="Times New Roman"/>
                <w:noProof/>
                <w:lang w:val="en-IE" w:eastAsia="en-IE"/>
              </w:rPr>
            </w:pPr>
            <w:r>
              <w:rPr>
                <w:rFonts w:eastAsia="Times New Roman"/>
                <w:noProof/>
                <w:lang w:val="en-IE" w:eastAsia="en-IE"/>
              </w:rPr>
              <w:t>Source Trade G2 Statistics/ISDB from Eurostat BOP statistics</w:t>
            </w:r>
          </w:p>
        </w:tc>
        <w:tc>
          <w:tcPr>
            <w:tcW w:w="703"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r>
      <w:tr>
        <w:trPr>
          <w:trHeight w:val="240"/>
        </w:trPr>
        <w:tc>
          <w:tcPr>
            <w:tcW w:w="6241" w:type="dxa"/>
            <w:gridSpan w:val="6"/>
            <w:tcBorders>
              <w:top w:val="nil"/>
              <w:left w:val="nil"/>
              <w:bottom w:val="nil"/>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Services trade EU28 with Ecuador (mio €)</w:t>
            </w:r>
          </w:p>
        </w:tc>
      </w:tr>
      <w:tr>
        <w:trPr>
          <w:trHeight w:val="225"/>
        </w:trPr>
        <w:tc>
          <w:tcPr>
            <w:tcW w:w="3670"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467"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2013</w:t>
            </w:r>
          </w:p>
        </w:tc>
        <w:tc>
          <w:tcPr>
            <w:tcW w:w="467"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2014</w:t>
            </w:r>
          </w:p>
        </w:tc>
        <w:tc>
          <w:tcPr>
            <w:tcW w:w="467"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2015</w:t>
            </w:r>
          </w:p>
        </w:tc>
        <w:tc>
          <w:tcPr>
            <w:tcW w:w="467"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2016</w:t>
            </w:r>
          </w:p>
        </w:tc>
        <w:tc>
          <w:tcPr>
            <w:tcW w:w="703"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2017</w:t>
            </w:r>
          </w:p>
        </w:tc>
      </w:tr>
      <w:tr>
        <w:trPr>
          <w:trHeight w:val="225"/>
        </w:trPr>
        <w:tc>
          <w:tcPr>
            <w:tcW w:w="367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Imports</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378</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408</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374</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458</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582</w:t>
            </w:r>
          </w:p>
        </w:tc>
      </w:tr>
      <w:tr>
        <w:trPr>
          <w:trHeight w:val="225"/>
        </w:trPr>
        <w:tc>
          <w:tcPr>
            <w:tcW w:w="367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Exports</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1.141</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1.309</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1.094</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1.016</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1.055</w:t>
            </w:r>
          </w:p>
        </w:tc>
      </w:tr>
      <w:tr>
        <w:trPr>
          <w:trHeight w:val="225"/>
        </w:trPr>
        <w:tc>
          <w:tcPr>
            <w:tcW w:w="367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Balance</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764</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901</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720</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558</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473</w:t>
            </w:r>
          </w:p>
        </w:tc>
      </w:tr>
      <w:tr>
        <w:trPr>
          <w:trHeight w:val="225"/>
        </w:trPr>
        <w:tc>
          <w:tcPr>
            <w:tcW w:w="3670" w:type="dxa"/>
            <w:tcBorders>
              <w:top w:val="nil"/>
              <w:left w:val="nil"/>
              <w:bottom w:val="single" w:sz="4" w:space="0" w:color="auto"/>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Total trade</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1.519</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1.716</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1.468</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1.474</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1.638</w:t>
            </w:r>
          </w:p>
        </w:tc>
      </w:tr>
      <w:tr>
        <w:trPr>
          <w:trHeight w:val="225"/>
        </w:trPr>
        <w:tc>
          <w:tcPr>
            <w:tcW w:w="3670" w:type="dxa"/>
            <w:tcBorders>
              <w:top w:val="nil"/>
              <w:left w:val="nil"/>
              <w:bottom w:val="nil"/>
              <w:right w:val="nil"/>
            </w:tcBorders>
            <w:shd w:val="clear" w:color="000000" w:fill="FFFFFF"/>
            <w:noWrap/>
            <w:hideMark/>
          </w:tcPr>
          <w:p>
            <w:pPr>
              <w:rPr>
                <w:rFonts w:eastAsia="Times New Roman"/>
                <w:noProof/>
                <w:lang w:val="en-IE" w:eastAsia="en-IE"/>
              </w:rPr>
            </w:pPr>
            <w:r>
              <w:rPr>
                <w:rFonts w:eastAsia="Times New Roman"/>
                <w:noProof/>
                <w:lang w:val="en-IE" w:eastAsia="en-IE"/>
              </w:rPr>
              <w:t>Source Trade G2 Statistics/ISDB from Eurostat BOP statistics</w:t>
            </w:r>
          </w:p>
        </w:tc>
        <w:tc>
          <w:tcPr>
            <w:tcW w:w="467" w:type="dxa"/>
            <w:tcBorders>
              <w:top w:val="nil"/>
              <w:left w:val="nil"/>
              <w:bottom w:val="nil"/>
              <w:right w:val="nil"/>
            </w:tcBorders>
            <w:shd w:val="clear" w:color="000000" w:fill="FFFFFF"/>
            <w:noWrap/>
            <w:hideMark/>
          </w:tcPr>
          <w:p>
            <w:pPr>
              <w:rPr>
                <w:rFonts w:eastAsia="Times New Roman"/>
                <w:noProof/>
                <w:lang w:val="en-IE" w:eastAsia="en-IE"/>
              </w:rPr>
            </w:pPr>
            <w:r>
              <w:rPr>
                <w:rFonts w:eastAsia="Times New Roman"/>
                <w:noProof/>
                <w:lang w:val="en-IE" w:eastAsia="en-IE"/>
              </w:rPr>
              <w:t> </w:t>
            </w:r>
          </w:p>
        </w:tc>
        <w:tc>
          <w:tcPr>
            <w:tcW w:w="467"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467"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467"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r>
      <w:tr>
        <w:trPr>
          <w:trHeight w:val="225"/>
        </w:trPr>
        <w:tc>
          <w:tcPr>
            <w:tcW w:w="6241" w:type="dxa"/>
            <w:gridSpan w:val="6"/>
            <w:tcBorders>
              <w:top w:val="nil"/>
              <w:left w:val="nil"/>
              <w:bottom w:val="nil"/>
              <w:right w:val="nil"/>
            </w:tcBorders>
            <w:shd w:val="clear" w:color="000000" w:fill="FFFFFF"/>
            <w:noWrap/>
            <w:vAlign w:val="center"/>
            <w:hideMark/>
          </w:tcPr>
          <w:p>
            <w:pPr>
              <w:jc w:val="center"/>
              <w:rPr>
                <w:rFonts w:eastAsia="Times New Roman"/>
                <w:b/>
                <w:bCs/>
                <w:noProof/>
                <w:lang w:val="es-ES" w:eastAsia="en-IE"/>
              </w:rPr>
            </w:pPr>
            <w:r>
              <w:rPr>
                <w:rFonts w:eastAsia="Times New Roman"/>
                <w:b/>
                <w:bCs/>
                <w:noProof/>
                <w:lang w:val="es-ES" w:eastAsia="en-IE"/>
              </w:rPr>
              <w:t>FDI EU28 with Ecuador (mio €)</w:t>
            </w:r>
          </w:p>
        </w:tc>
      </w:tr>
      <w:tr>
        <w:trPr>
          <w:trHeight w:val="225"/>
        </w:trPr>
        <w:tc>
          <w:tcPr>
            <w:tcW w:w="3670"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lang w:val="es-ES" w:eastAsia="en-IE"/>
              </w:rPr>
            </w:pPr>
            <w:r>
              <w:rPr>
                <w:rFonts w:eastAsia="Times New Roman"/>
                <w:noProof/>
                <w:lang w:val="es-ES" w:eastAsia="en-IE"/>
              </w:rPr>
              <w:t> </w:t>
            </w:r>
          </w:p>
        </w:tc>
        <w:tc>
          <w:tcPr>
            <w:tcW w:w="467"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2013</w:t>
            </w:r>
          </w:p>
        </w:tc>
        <w:tc>
          <w:tcPr>
            <w:tcW w:w="467"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2014</w:t>
            </w:r>
          </w:p>
        </w:tc>
        <w:tc>
          <w:tcPr>
            <w:tcW w:w="467"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2015</w:t>
            </w:r>
          </w:p>
        </w:tc>
        <w:tc>
          <w:tcPr>
            <w:tcW w:w="467"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2016</w:t>
            </w:r>
          </w:p>
        </w:tc>
        <w:tc>
          <w:tcPr>
            <w:tcW w:w="703"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2017</w:t>
            </w:r>
          </w:p>
        </w:tc>
      </w:tr>
      <w:tr>
        <w:trPr>
          <w:trHeight w:val="225"/>
        </w:trPr>
        <w:tc>
          <w:tcPr>
            <w:tcW w:w="6241" w:type="dxa"/>
            <w:gridSpan w:val="6"/>
            <w:tcBorders>
              <w:top w:val="nil"/>
              <w:left w:val="nil"/>
              <w:bottom w:val="nil"/>
              <w:right w:val="nil"/>
            </w:tcBorders>
            <w:shd w:val="clear" w:color="000000" w:fill="FFFFFF"/>
            <w:noWrap/>
            <w:vAlign w:val="center"/>
            <w:hideMark/>
          </w:tcPr>
          <w:p>
            <w:pPr>
              <w:jc w:val="center"/>
              <w:rPr>
                <w:rFonts w:eastAsia="Times New Roman"/>
                <w:b/>
                <w:bCs/>
                <w:i/>
                <w:iCs/>
                <w:noProof/>
                <w:lang w:val="en-IE" w:eastAsia="en-IE"/>
              </w:rPr>
            </w:pPr>
            <w:r>
              <w:rPr>
                <w:rFonts w:eastAsia="Times New Roman"/>
                <w:b/>
                <w:bCs/>
                <w:i/>
                <w:iCs/>
                <w:noProof/>
                <w:lang w:val="en-IE" w:eastAsia="en-IE"/>
              </w:rPr>
              <w:t>FDI Stocks</w:t>
            </w:r>
          </w:p>
        </w:tc>
      </w:tr>
      <w:tr>
        <w:trPr>
          <w:trHeight w:val="225"/>
        </w:trPr>
        <w:tc>
          <w:tcPr>
            <w:tcW w:w="367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Inward</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399</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536</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230</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176</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178</w:t>
            </w:r>
          </w:p>
        </w:tc>
      </w:tr>
      <w:tr>
        <w:trPr>
          <w:trHeight w:val="225"/>
        </w:trPr>
        <w:tc>
          <w:tcPr>
            <w:tcW w:w="367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Outward</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4.052</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5.157</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8.254</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5.152</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5.123</w:t>
            </w:r>
          </w:p>
        </w:tc>
      </w:tr>
      <w:tr>
        <w:trPr>
          <w:trHeight w:val="225"/>
        </w:trPr>
        <w:tc>
          <w:tcPr>
            <w:tcW w:w="6241" w:type="dxa"/>
            <w:gridSpan w:val="6"/>
            <w:tcBorders>
              <w:top w:val="nil"/>
              <w:left w:val="nil"/>
              <w:bottom w:val="nil"/>
              <w:right w:val="nil"/>
            </w:tcBorders>
            <w:shd w:val="clear" w:color="000000" w:fill="FFFFFF"/>
            <w:noWrap/>
            <w:vAlign w:val="center"/>
            <w:hideMark/>
          </w:tcPr>
          <w:p>
            <w:pPr>
              <w:jc w:val="center"/>
              <w:rPr>
                <w:rFonts w:eastAsia="Times New Roman"/>
                <w:b/>
                <w:bCs/>
                <w:i/>
                <w:iCs/>
                <w:noProof/>
                <w:lang w:val="en-IE" w:eastAsia="en-IE"/>
              </w:rPr>
            </w:pPr>
            <w:r>
              <w:rPr>
                <w:rFonts w:eastAsia="Times New Roman"/>
                <w:b/>
                <w:bCs/>
                <w:i/>
                <w:iCs/>
                <w:noProof/>
                <w:lang w:val="en-IE" w:eastAsia="en-IE"/>
              </w:rPr>
              <w:t>FDI Flows</w:t>
            </w:r>
          </w:p>
        </w:tc>
      </w:tr>
      <w:tr>
        <w:trPr>
          <w:trHeight w:val="225"/>
        </w:trPr>
        <w:tc>
          <w:tcPr>
            <w:tcW w:w="367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Inward</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-56</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-233</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-177</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-115</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-13</w:t>
            </w:r>
          </w:p>
        </w:tc>
      </w:tr>
      <w:tr>
        <w:trPr>
          <w:trHeight w:val="225"/>
        </w:trPr>
        <w:tc>
          <w:tcPr>
            <w:tcW w:w="367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Outward</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-119</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1.087</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80</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349</w:t>
            </w:r>
          </w:p>
        </w:tc>
      </w:tr>
      <w:tr>
        <w:trPr>
          <w:trHeight w:val="225"/>
        </w:trPr>
        <w:tc>
          <w:tcPr>
            <w:tcW w:w="3670" w:type="dxa"/>
            <w:tcBorders>
              <w:top w:val="single" w:sz="4" w:space="0" w:color="auto"/>
              <w:left w:val="nil"/>
              <w:bottom w:val="nil"/>
              <w:right w:val="nil"/>
            </w:tcBorders>
            <w:shd w:val="clear" w:color="000000" w:fill="FFFFFF"/>
            <w:noWrap/>
            <w:hideMark/>
          </w:tcPr>
          <w:p>
            <w:pPr>
              <w:rPr>
                <w:rFonts w:eastAsia="Times New Roman"/>
                <w:noProof/>
                <w:lang w:val="en-IE" w:eastAsia="en-IE"/>
              </w:rPr>
            </w:pPr>
            <w:r>
              <w:rPr>
                <w:rFonts w:eastAsia="Times New Roman"/>
                <w:noProof/>
                <w:lang w:val="en-IE" w:eastAsia="en-IE"/>
              </w:rPr>
              <w:t>Source Trade G2 Statistics/ISDB from Eurostat BOP statistics</w:t>
            </w:r>
          </w:p>
        </w:tc>
        <w:tc>
          <w:tcPr>
            <w:tcW w:w="467" w:type="dxa"/>
            <w:tcBorders>
              <w:top w:val="nil"/>
              <w:left w:val="nil"/>
              <w:bottom w:val="nil"/>
              <w:right w:val="nil"/>
            </w:tcBorders>
            <w:shd w:val="clear" w:color="000000" w:fill="FFFFFF"/>
            <w:noWrap/>
            <w:hideMark/>
          </w:tcPr>
          <w:p>
            <w:pPr>
              <w:rPr>
                <w:rFonts w:eastAsia="Times New Roman"/>
                <w:noProof/>
                <w:lang w:val="en-IE" w:eastAsia="en-IE"/>
              </w:rPr>
            </w:pPr>
            <w:r>
              <w:rPr>
                <w:rFonts w:eastAsia="Times New Roman"/>
                <w:noProof/>
                <w:lang w:val="en-IE" w:eastAsia="en-IE"/>
              </w:rPr>
              <w:t> </w:t>
            </w:r>
          </w:p>
        </w:tc>
        <w:tc>
          <w:tcPr>
            <w:tcW w:w="467"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467"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467"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r>
    </w:tbl>
    <w:p>
      <w:pPr>
        <w:rPr>
          <w:b/>
          <w:noProof/>
          <w:lang w:val="en-IE"/>
        </w:rPr>
      </w:pPr>
    </w:p>
    <w:p>
      <w:pPr>
        <w:rPr>
          <w:b/>
          <w:noProof/>
        </w:rPr>
      </w:pPr>
    </w:p>
    <w:p>
      <w:pPr>
        <w:rPr>
          <w:b/>
          <w:noProof/>
        </w:rPr>
      </w:pPr>
      <w:r>
        <w:rPr>
          <w:b/>
          <w:noProof/>
        </w:rPr>
        <w:t>Peru</w:t>
      </w:r>
    </w:p>
    <w:tbl>
      <w:tblPr>
        <w:tblW w:w="6032" w:type="dxa"/>
        <w:tblInd w:w="108" w:type="dxa"/>
        <w:tblLook w:val="04A0" w:firstRow="1" w:lastRow="0" w:firstColumn="1" w:lastColumn="0" w:noHBand="0" w:noVBand="1"/>
      </w:tblPr>
      <w:tblGrid>
        <w:gridCol w:w="3392"/>
        <w:gridCol w:w="836"/>
        <w:gridCol w:w="876"/>
        <w:gridCol w:w="876"/>
        <w:gridCol w:w="876"/>
        <w:gridCol w:w="924"/>
      </w:tblGrid>
      <w:tr>
        <w:trPr>
          <w:trHeight w:val="210"/>
        </w:trPr>
        <w:tc>
          <w:tcPr>
            <w:tcW w:w="6032" w:type="dxa"/>
            <w:gridSpan w:val="6"/>
            <w:tcBorders>
              <w:top w:val="nil"/>
              <w:left w:val="nil"/>
              <w:bottom w:val="nil"/>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Merchandise trade EU28 2014-2018</w:t>
            </w:r>
          </w:p>
        </w:tc>
      </w:tr>
      <w:tr>
        <w:trPr>
          <w:trHeight w:val="210"/>
        </w:trPr>
        <w:tc>
          <w:tcPr>
            <w:tcW w:w="3392" w:type="dxa"/>
            <w:tcBorders>
              <w:top w:val="single" w:sz="4" w:space="0" w:color="auto"/>
              <w:left w:val="nil"/>
              <w:bottom w:val="single" w:sz="4" w:space="0" w:color="auto"/>
              <w:right w:val="nil"/>
            </w:tcBorders>
            <w:shd w:val="clear" w:color="000000" w:fill="FFFFFF"/>
            <w:noWrap/>
            <w:vAlign w:val="bottom"/>
            <w:hideMark/>
          </w:tcPr>
          <w:p>
            <w:pPr>
              <w:rPr>
                <w:rFonts w:eastAsia="Times New Roman"/>
                <w:b/>
                <w:bCs/>
                <w:noProof/>
                <w:lang w:val="en-IE" w:eastAsia="en-IE"/>
              </w:rPr>
            </w:pPr>
            <w:r>
              <w:rPr>
                <w:rFonts w:eastAsia="Times New Roman"/>
                <w:b/>
                <w:bCs/>
                <w:noProof/>
                <w:lang w:val="en-IE" w:eastAsia="en-IE"/>
              </w:rPr>
              <w:t> </w:t>
            </w:r>
          </w:p>
        </w:tc>
        <w:tc>
          <w:tcPr>
            <w:tcW w:w="467"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2014</w:t>
            </w:r>
          </w:p>
        </w:tc>
        <w:tc>
          <w:tcPr>
            <w:tcW w:w="490"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2015</w:t>
            </w:r>
          </w:p>
        </w:tc>
        <w:tc>
          <w:tcPr>
            <w:tcW w:w="490"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2016</w:t>
            </w:r>
          </w:p>
        </w:tc>
        <w:tc>
          <w:tcPr>
            <w:tcW w:w="490"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2017</w:t>
            </w:r>
          </w:p>
        </w:tc>
        <w:tc>
          <w:tcPr>
            <w:tcW w:w="703"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2018</w:t>
            </w:r>
          </w:p>
        </w:tc>
      </w:tr>
      <w:tr>
        <w:trPr>
          <w:trHeight w:val="210"/>
        </w:trPr>
        <w:tc>
          <w:tcPr>
            <w:tcW w:w="3392" w:type="dxa"/>
            <w:tcBorders>
              <w:top w:val="nil"/>
              <w:left w:val="nil"/>
              <w:bottom w:val="nil"/>
              <w:right w:val="nil"/>
            </w:tcBorders>
            <w:shd w:val="clear" w:color="000000" w:fill="FFFFFF"/>
            <w:noWrap/>
            <w:vAlign w:val="center"/>
            <w:hideMark/>
          </w:tcPr>
          <w:p>
            <w:pPr>
              <w:jc w:val="center"/>
              <w:rPr>
                <w:rFonts w:eastAsia="Times New Roman"/>
                <w:b/>
                <w:bCs/>
                <w:i/>
                <w:iCs/>
                <w:noProof/>
                <w:lang w:val="en-IE" w:eastAsia="en-IE"/>
              </w:rPr>
            </w:pPr>
            <w:r>
              <w:rPr>
                <w:rFonts w:eastAsia="Times New Roman"/>
                <w:b/>
                <w:bCs/>
                <w:i/>
                <w:iCs/>
                <w:noProof/>
                <w:lang w:val="en-IE" w:eastAsia="en-IE"/>
              </w:rPr>
              <w:t>EU28 trade with Peru (mio €)</w:t>
            </w:r>
          </w:p>
        </w:tc>
        <w:tc>
          <w:tcPr>
            <w:tcW w:w="467" w:type="dxa"/>
            <w:tcBorders>
              <w:top w:val="nil"/>
              <w:left w:val="nil"/>
              <w:bottom w:val="nil"/>
              <w:right w:val="nil"/>
            </w:tcBorders>
            <w:shd w:val="clear" w:color="auto" w:fill="auto"/>
            <w:noWrap/>
            <w:vAlign w:val="center"/>
            <w:hideMark/>
          </w:tcPr>
          <w:p>
            <w:pPr>
              <w:jc w:val="center"/>
              <w:rPr>
                <w:rFonts w:eastAsia="Times New Roman"/>
                <w:b/>
                <w:bCs/>
                <w:i/>
                <w:iCs/>
                <w:noProof/>
                <w:lang w:val="en-IE" w:eastAsia="en-IE"/>
              </w:rPr>
            </w:pPr>
          </w:p>
        </w:tc>
        <w:tc>
          <w:tcPr>
            <w:tcW w:w="490" w:type="dxa"/>
            <w:tcBorders>
              <w:top w:val="nil"/>
              <w:left w:val="nil"/>
              <w:bottom w:val="nil"/>
              <w:right w:val="nil"/>
            </w:tcBorders>
            <w:shd w:val="clear" w:color="000000" w:fill="FFFFFF"/>
            <w:noWrap/>
            <w:vAlign w:val="center"/>
            <w:hideMark/>
          </w:tcPr>
          <w:p>
            <w:pPr>
              <w:rPr>
                <w:rFonts w:eastAsia="Times New Roman"/>
                <w:b/>
                <w:bCs/>
                <w:i/>
                <w:iCs/>
                <w:noProof/>
                <w:lang w:val="en-IE" w:eastAsia="en-IE"/>
              </w:rPr>
            </w:pPr>
            <w:r>
              <w:rPr>
                <w:rFonts w:eastAsia="Times New Roman"/>
                <w:b/>
                <w:bCs/>
                <w:i/>
                <w:iCs/>
                <w:noProof/>
                <w:lang w:val="en-IE" w:eastAsia="en-IE"/>
              </w:rPr>
              <w:t> </w:t>
            </w:r>
          </w:p>
        </w:tc>
        <w:tc>
          <w:tcPr>
            <w:tcW w:w="490" w:type="dxa"/>
            <w:tcBorders>
              <w:top w:val="nil"/>
              <w:left w:val="nil"/>
              <w:bottom w:val="nil"/>
              <w:right w:val="nil"/>
            </w:tcBorders>
            <w:shd w:val="clear" w:color="000000" w:fill="FFFFFF"/>
            <w:noWrap/>
            <w:vAlign w:val="center"/>
            <w:hideMark/>
          </w:tcPr>
          <w:p>
            <w:pPr>
              <w:rPr>
                <w:rFonts w:eastAsia="Times New Roman"/>
                <w:b/>
                <w:bCs/>
                <w:i/>
                <w:iCs/>
                <w:noProof/>
                <w:lang w:val="en-IE" w:eastAsia="en-IE"/>
              </w:rPr>
            </w:pPr>
            <w:r>
              <w:rPr>
                <w:rFonts w:eastAsia="Times New Roman"/>
                <w:b/>
                <w:bCs/>
                <w:i/>
                <w:iCs/>
                <w:noProof/>
                <w:lang w:val="en-IE" w:eastAsia="en-IE"/>
              </w:rPr>
              <w:t> </w:t>
            </w:r>
          </w:p>
        </w:tc>
        <w:tc>
          <w:tcPr>
            <w:tcW w:w="490" w:type="dxa"/>
            <w:tcBorders>
              <w:top w:val="nil"/>
              <w:left w:val="nil"/>
              <w:bottom w:val="nil"/>
              <w:right w:val="nil"/>
            </w:tcBorders>
            <w:shd w:val="clear" w:color="000000" w:fill="FFFFFF"/>
            <w:noWrap/>
            <w:vAlign w:val="center"/>
            <w:hideMark/>
          </w:tcPr>
          <w:p>
            <w:pPr>
              <w:rPr>
                <w:rFonts w:eastAsia="Times New Roman"/>
                <w:b/>
                <w:bCs/>
                <w:i/>
                <w:iCs/>
                <w:noProof/>
                <w:lang w:val="en-IE" w:eastAsia="en-IE"/>
              </w:rPr>
            </w:pPr>
            <w:r>
              <w:rPr>
                <w:rFonts w:eastAsia="Times New Roman"/>
                <w:b/>
                <w:bCs/>
                <w:i/>
                <w:iCs/>
                <w:noProof/>
                <w:lang w:val="en-IE" w:eastAsia="en-IE"/>
              </w:rPr>
              <w:t> </w:t>
            </w:r>
          </w:p>
        </w:tc>
        <w:tc>
          <w:tcPr>
            <w:tcW w:w="703" w:type="dxa"/>
            <w:tcBorders>
              <w:top w:val="nil"/>
              <w:left w:val="nil"/>
              <w:bottom w:val="nil"/>
              <w:right w:val="nil"/>
            </w:tcBorders>
            <w:shd w:val="clear" w:color="000000" w:fill="FFFFFF"/>
            <w:noWrap/>
            <w:vAlign w:val="center"/>
            <w:hideMark/>
          </w:tcPr>
          <w:p>
            <w:pPr>
              <w:rPr>
                <w:rFonts w:eastAsia="Times New Roman"/>
                <w:b/>
                <w:bCs/>
                <w:i/>
                <w:iCs/>
                <w:noProof/>
                <w:lang w:val="en-IE" w:eastAsia="en-IE"/>
              </w:rPr>
            </w:pPr>
            <w:r>
              <w:rPr>
                <w:rFonts w:eastAsia="Times New Roman"/>
                <w:b/>
                <w:bCs/>
                <w:i/>
                <w:iCs/>
                <w:noProof/>
                <w:lang w:val="en-IE" w:eastAsia="en-IE"/>
              </w:rPr>
              <w:t> </w:t>
            </w:r>
          </w:p>
        </w:tc>
      </w:tr>
      <w:tr>
        <w:trPr>
          <w:trHeight w:val="210"/>
        </w:trPr>
        <w:tc>
          <w:tcPr>
            <w:tcW w:w="3392"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Imports</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4.978</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5.033</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5.183</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6.175</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6.157</w:t>
            </w:r>
          </w:p>
        </w:tc>
      </w:tr>
      <w:tr>
        <w:trPr>
          <w:trHeight w:val="210"/>
        </w:trPr>
        <w:tc>
          <w:tcPr>
            <w:tcW w:w="3392"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Exports</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3.236</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3.732</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3.614</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4.053</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3.731</w:t>
            </w:r>
          </w:p>
        </w:tc>
      </w:tr>
      <w:tr>
        <w:trPr>
          <w:trHeight w:val="210"/>
        </w:trPr>
        <w:tc>
          <w:tcPr>
            <w:tcW w:w="3392"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Balance</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-1.742</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-1.301</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-1.569</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-2.122</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-2.426</w:t>
            </w:r>
          </w:p>
        </w:tc>
      </w:tr>
      <w:tr>
        <w:trPr>
          <w:trHeight w:val="210"/>
        </w:trPr>
        <w:tc>
          <w:tcPr>
            <w:tcW w:w="3392" w:type="dxa"/>
            <w:tcBorders>
              <w:top w:val="nil"/>
              <w:left w:val="nil"/>
              <w:bottom w:val="nil"/>
              <w:right w:val="nil"/>
            </w:tcBorders>
            <w:shd w:val="clear" w:color="000000" w:fill="FFFFFF"/>
            <w:noWrap/>
            <w:vAlign w:val="center"/>
            <w:hideMark/>
          </w:tcPr>
          <w:p>
            <w:pPr>
              <w:jc w:val="center"/>
              <w:rPr>
                <w:rFonts w:eastAsia="Times New Roman"/>
                <w:b/>
                <w:bCs/>
                <w:i/>
                <w:iCs/>
                <w:noProof/>
                <w:lang w:val="en-IE" w:eastAsia="en-IE"/>
              </w:rPr>
            </w:pPr>
            <w:r>
              <w:rPr>
                <w:rFonts w:eastAsia="Times New Roman"/>
                <w:b/>
                <w:bCs/>
                <w:i/>
                <w:iCs/>
                <w:noProof/>
                <w:lang w:val="en-IE" w:eastAsia="en-IE"/>
              </w:rPr>
              <w:t>Share Peru in EU28 trade with Extra-EU28</w:t>
            </w:r>
          </w:p>
        </w:tc>
        <w:tc>
          <w:tcPr>
            <w:tcW w:w="467" w:type="dxa"/>
            <w:tcBorders>
              <w:top w:val="nil"/>
              <w:left w:val="nil"/>
              <w:bottom w:val="nil"/>
              <w:right w:val="nil"/>
            </w:tcBorders>
            <w:shd w:val="clear" w:color="auto" w:fill="auto"/>
            <w:noWrap/>
            <w:vAlign w:val="center"/>
            <w:hideMark/>
          </w:tcPr>
          <w:p>
            <w:pPr>
              <w:jc w:val="center"/>
              <w:rPr>
                <w:rFonts w:eastAsia="Times New Roman"/>
                <w:b/>
                <w:bCs/>
                <w:i/>
                <w:iCs/>
                <w:noProof/>
                <w:lang w:val="en-IE" w:eastAsia="en-IE"/>
              </w:rPr>
            </w:pPr>
          </w:p>
        </w:tc>
        <w:tc>
          <w:tcPr>
            <w:tcW w:w="490" w:type="dxa"/>
            <w:tcBorders>
              <w:top w:val="nil"/>
              <w:left w:val="nil"/>
              <w:bottom w:val="nil"/>
              <w:right w:val="nil"/>
            </w:tcBorders>
            <w:shd w:val="clear" w:color="000000" w:fill="FFFFFF"/>
            <w:noWrap/>
            <w:vAlign w:val="center"/>
            <w:hideMark/>
          </w:tcPr>
          <w:p>
            <w:pPr>
              <w:rPr>
                <w:rFonts w:eastAsia="Times New Roman"/>
                <w:b/>
                <w:bCs/>
                <w:i/>
                <w:iCs/>
                <w:noProof/>
                <w:lang w:val="en-IE" w:eastAsia="en-IE"/>
              </w:rPr>
            </w:pPr>
            <w:r>
              <w:rPr>
                <w:rFonts w:eastAsia="Times New Roman"/>
                <w:b/>
                <w:bCs/>
                <w:i/>
                <w:iCs/>
                <w:noProof/>
                <w:lang w:val="en-IE" w:eastAsia="en-IE"/>
              </w:rPr>
              <w:t> </w:t>
            </w:r>
          </w:p>
        </w:tc>
        <w:tc>
          <w:tcPr>
            <w:tcW w:w="490" w:type="dxa"/>
            <w:tcBorders>
              <w:top w:val="nil"/>
              <w:left w:val="nil"/>
              <w:bottom w:val="nil"/>
              <w:right w:val="nil"/>
            </w:tcBorders>
            <w:shd w:val="clear" w:color="000000" w:fill="FFFFFF"/>
            <w:noWrap/>
            <w:vAlign w:val="center"/>
            <w:hideMark/>
          </w:tcPr>
          <w:p>
            <w:pPr>
              <w:rPr>
                <w:rFonts w:eastAsia="Times New Roman"/>
                <w:b/>
                <w:bCs/>
                <w:i/>
                <w:iCs/>
                <w:noProof/>
                <w:lang w:val="en-IE" w:eastAsia="en-IE"/>
              </w:rPr>
            </w:pPr>
            <w:r>
              <w:rPr>
                <w:rFonts w:eastAsia="Times New Roman"/>
                <w:b/>
                <w:bCs/>
                <w:i/>
                <w:iCs/>
                <w:noProof/>
                <w:lang w:val="en-IE" w:eastAsia="en-IE"/>
              </w:rPr>
              <w:t> </w:t>
            </w:r>
          </w:p>
        </w:tc>
        <w:tc>
          <w:tcPr>
            <w:tcW w:w="490" w:type="dxa"/>
            <w:tcBorders>
              <w:top w:val="nil"/>
              <w:left w:val="nil"/>
              <w:bottom w:val="nil"/>
              <w:right w:val="nil"/>
            </w:tcBorders>
            <w:shd w:val="clear" w:color="000000" w:fill="FFFFFF"/>
            <w:noWrap/>
            <w:vAlign w:val="center"/>
            <w:hideMark/>
          </w:tcPr>
          <w:p>
            <w:pPr>
              <w:rPr>
                <w:rFonts w:eastAsia="Times New Roman"/>
                <w:b/>
                <w:bCs/>
                <w:i/>
                <w:iCs/>
                <w:noProof/>
                <w:lang w:val="en-IE" w:eastAsia="en-IE"/>
              </w:rPr>
            </w:pPr>
            <w:r>
              <w:rPr>
                <w:rFonts w:eastAsia="Times New Roman"/>
                <w:b/>
                <w:bCs/>
                <w:i/>
                <w:iCs/>
                <w:noProof/>
                <w:lang w:val="en-IE" w:eastAsia="en-IE"/>
              </w:rPr>
              <w:t> </w:t>
            </w:r>
          </w:p>
        </w:tc>
        <w:tc>
          <w:tcPr>
            <w:tcW w:w="703" w:type="dxa"/>
            <w:tcBorders>
              <w:top w:val="nil"/>
              <w:left w:val="nil"/>
              <w:bottom w:val="nil"/>
              <w:right w:val="nil"/>
            </w:tcBorders>
            <w:shd w:val="clear" w:color="000000" w:fill="FFFFFF"/>
            <w:noWrap/>
            <w:vAlign w:val="center"/>
            <w:hideMark/>
          </w:tcPr>
          <w:p>
            <w:pPr>
              <w:rPr>
                <w:rFonts w:eastAsia="Times New Roman"/>
                <w:b/>
                <w:bCs/>
                <w:i/>
                <w:iCs/>
                <w:noProof/>
                <w:lang w:val="en-IE" w:eastAsia="en-IE"/>
              </w:rPr>
            </w:pPr>
            <w:r>
              <w:rPr>
                <w:rFonts w:eastAsia="Times New Roman"/>
                <w:b/>
                <w:bCs/>
                <w:i/>
                <w:iCs/>
                <w:noProof/>
                <w:lang w:val="en-IE" w:eastAsia="en-IE"/>
              </w:rPr>
              <w:t> </w:t>
            </w:r>
          </w:p>
        </w:tc>
      </w:tr>
      <w:tr>
        <w:trPr>
          <w:trHeight w:val="210"/>
        </w:trPr>
        <w:tc>
          <w:tcPr>
            <w:tcW w:w="3392"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Imports</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0,3%</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0,3%</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0,3%</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0,3%</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0,3%</w:t>
            </w:r>
          </w:p>
        </w:tc>
      </w:tr>
      <w:tr>
        <w:trPr>
          <w:trHeight w:val="210"/>
        </w:trPr>
        <w:tc>
          <w:tcPr>
            <w:tcW w:w="3392"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Exports</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0,2%</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0,2%</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0,2%</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0,2%</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0,2%</w:t>
            </w:r>
          </w:p>
        </w:tc>
      </w:tr>
      <w:tr>
        <w:trPr>
          <w:trHeight w:val="210"/>
        </w:trPr>
        <w:tc>
          <w:tcPr>
            <w:tcW w:w="3392"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Total (I+E)</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0,2%</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0,2%</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0,3%</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0,3%</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0,3%</w:t>
            </w:r>
          </w:p>
        </w:tc>
      </w:tr>
      <w:tr>
        <w:trPr>
          <w:trHeight w:val="210"/>
        </w:trPr>
        <w:tc>
          <w:tcPr>
            <w:tcW w:w="6032" w:type="dxa"/>
            <w:gridSpan w:val="6"/>
            <w:tcBorders>
              <w:top w:val="nil"/>
              <w:left w:val="nil"/>
              <w:bottom w:val="nil"/>
              <w:right w:val="nil"/>
            </w:tcBorders>
            <w:shd w:val="clear" w:color="000000" w:fill="FFFFFF"/>
            <w:noWrap/>
            <w:vAlign w:val="center"/>
            <w:hideMark/>
          </w:tcPr>
          <w:p>
            <w:pPr>
              <w:jc w:val="center"/>
              <w:rPr>
                <w:rFonts w:eastAsia="Times New Roman"/>
                <w:b/>
                <w:bCs/>
                <w:i/>
                <w:iCs/>
                <w:noProof/>
                <w:lang w:val="en-IE" w:eastAsia="en-IE"/>
              </w:rPr>
            </w:pPr>
            <w:r>
              <w:rPr>
                <w:rFonts w:eastAsia="Times New Roman"/>
                <w:b/>
                <w:bCs/>
                <w:i/>
                <w:iCs/>
                <w:noProof/>
                <w:lang w:val="en-IE" w:eastAsia="en-IE"/>
              </w:rPr>
              <w:t>Share EU28 in trade Peru with world</w:t>
            </w:r>
          </w:p>
        </w:tc>
      </w:tr>
      <w:tr>
        <w:trPr>
          <w:trHeight w:val="210"/>
        </w:trPr>
        <w:tc>
          <w:tcPr>
            <w:tcW w:w="3392"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Imports</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11,8%</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11,7%</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12,0%</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12,3%</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12,1%</w:t>
            </w:r>
          </w:p>
        </w:tc>
      </w:tr>
      <w:tr>
        <w:trPr>
          <w:trHeight w:val="210"/>
        </w:trPr>
        <w:tc>
          <w:tcPr>
            <w:tcW w:w="3392"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Exports</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16,6%</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16,1%</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15,1%</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14,7%</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15,1%</w:t>
            </w:r>
          </w:p>
        </w:tc>
      </w:tr>
      <w:tr>
        <w:trPr>
          <w:trHeight w:val="210"/>
        </w:trPr>
        <w:tc>
          <w:tcPr>
            <w:tcW w:w="3392"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Total (I+E)</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14,0%</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13,7%</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13,5%</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13,5%</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13,7%</w:t>
            </w:r>
          </w:p>
        </w:tc>
      </w:tr>
      <w:tr>
        <w:trPr>
          <w:trHeight w:val="225"/>
        </w:trPr>
        <w:tc>
          <w:tcPr>
            <w:tcW w:w="4349" w:type="dxa"/>
            <w:gridSpan w:val="3"/>
            <w:tcBorders>
              <w:top w:val="single" w:sz="4" w:space="0" w:color="auto"/>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xml:space="preserve">Source Trade G2 Statistics/ISDB </w:t>
            </w:r>
          </w:p>
        </w:tc>
        <w:tc>
          <w:tcPr>
            <w:tcW w:w="490" w:type="dxa"/>
            <w:tcBorders>
              <w:top w:val="single" w:sz="4" w:space="0" w:color="auto"/>
              <w:left w:val="nil"/>
              <w:bottom w:val="nil"/>
              <w:right w:val="nil"/>
            </w:tcBorders>
            <w:shd w:val="clear" w:color="000000" w:fill="FFFFFF"/>
            <w:noWrap/>
            <w:vAlign w:val="bottom"/>
            <w:hideMark/>
          </w:tcPr>
          <w:p>
            <w:pPr>
              <w:jc w:val="center"/>
              <w:rPr>
                <w:rFonts w:eastAsia="Times New Roman"/>
                <w:noProof/>
                <w:lang w:val="en-IE" w:eastAsia="en-IE"/>
              </w:rPr>
            </w:pPr>
            <w:r>
              <w:rPr>
                <w:rFonts w:eastAsia="Times New Roman"/>
                <w:noProof/>
                <w:lang w:val="en-IE" w:eastAsia="en-IE"/>
              </w:rPr>
              <w:t> </w:t>
            </w:r>
          </w:p>
        </w:tc>
        <w:tc>
          <w:tcPr>
            <w:tcW w:w="490" w:type="dxa"/>
            <w:tcBorders>
              <w:top w:val="single" w:sz="4" w:space="0" w:color="auto"/>
              <w:left w:val="nil"/>
              <w:bottom w:val="nil"/>
              <w:right w:val="nil"/>
            </w:tcBorders>
            <w:shd w:val="clear" w:color="000000" w:fill="FFFFFF"/>
            <w:noWrap/>
            <w:vAlign w:val="bottom"/>
            <w:hideMark/>
          </w:tcPr>
          <w:p>
            <w:pPr>
              <w:jc w:val="center"/>
              <w:rPr>
                <w:rFonts w:eastAsia="Times New Roman"/>
                <w:noProof/>
                <w:lang w:val="en-IE" w:eastAsia="en-IE"/>
              </w:rPr>
            </w:pPr>
            <w:r>
              <w:rPr>
                <w:rFonts w:eastAsia="Times New Roman"/>
                <w:noProof/>
                <w:lang w:val="en-IE" w:eastAsia="en-IE"/>
              </w:rPr>
              <w:t> </w:t>
            </w:r>
          </w:p>
        </w:tc>
        <w:tc>
          <w:tcPr>
            <w:tcW w:w="703" w:type="dxa"/>
            <w:tcBorders>
              <w:top w:val="single" w:sz="4" w:space="0" w:color="auto"/>
              <w:left w:val="nil"/>
              <w:bottom w:val="nil"/>
              <w:right w:val="nil"/>
            </w:tcBorders>
            <w:shd w:val="clear" w:color="000000" w:fill="FFFFFF"/>
            <w:noWrap/>
            <w:hideMark/>
          </w:tcPr>
          <w:p>
            <w:pPr>
              <w:jc w:val="right"/>
              <w:rPr>
                <w:rFonts w:eastAsia="Times New Roman"/>
                <w:noProof/>
                <w:lang w:val="en-IE" w:eastAsia="en-IE"/>
              </w:rPr>
            </w:pPr>
            <w:r>
              <w:rPr>
                <w:rFonts w:eastAsia="Times New Roman"/>
                <w:noProof/>
                <w:lang w:val="en-IE" w:eastAsia="en-IE"/>
              </w:rPr>
              <w:t>25-mars-19</w:t>
            </w:r>
          </w:p>
        </w:tc>
      </w:tr>
      <w:tr>
        <w:trPr>
          <w:trHeight w:val="210"/>
        </w:trPr>
        <w:tc>
          <w:tcPr>
            <w:tcW w:w="4839" w:type="dxa"/>
            <w:gridSpan w:val="4"/>
            <w:tcBorders>
              <w:top w:val="nil"/>
              <w:left w:val="nil"/>
              <w:bottom w:val="nil"/>
              <w:right w:val="nil"/>
            </w:tcBorders>
            <w:shd w:val="clear" w:color="000000" w:fill="FFFFFF"/>
            <w:noWrap/>
            <w:hideMark/>
          </w:tcPr>
          <w:p>
            <w:pPr>
              <w:rPr>
                <w:rFonts w:eastAsia="Times New Roman"/>
                <w:noProof/>
                <w:color w:val="000000"/>
                <w:lang w:val="en-IE" w:eastAsia="en-IE"/>
              </w:rPr>
            </w:pPr>
            <w:r>
              <w:rPr>
                <w:rFonts w:eastAsia="Times New Roman"/>
                <w:noProof/>
                <w:color w:val="000000"/>
                <w:lang w:val="en-IE" w:eastAsia="en-IE"/>
              </w:rPr>
              <w:t>Trade EU28: Eurostat COMEXT;  Trade Peru: IMF Dots</w:t>
            </w:r>
          </w:p>
        </w:tc>
        <w:tc>
          <w:tcPr>
            <w:tcW w:w="490" w:type="dxa"/>
            <w:tcBorders>
              <w:top w:val="nil"/>
              <w:left w:val="nil"/>
              <w:bottom w:val="nil"/>
              <w:right w:val="nil"/>
            </w:tcBorders>
            <w:shd w:val="clear" w:color="000000" w:fill="FFFFFF"/>
            <w:noWrap/>
            <w:vAlign w:val="bottom"/>
            <w:hideMark/>
          </w:tcPr>
          <w:p>
            <w:pPr>
              <w:rPr>
                <w:rFonts w:eastAsia="Times New Roman"/>
                <w:noProof/>
                <w:color w:val="000000"/>
                <w:lang w:val="en-IE" w:eastAsia="en-IE"/>
              </w:rPr>
            </w:pPr>
            <w:r>
              <w:rPr>
                <w:rFonts w:eastAsia="Times New Roman"/>
                <w:noProof/>
                <w:color w:val="000000"/>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color w:val="000000"/>
                <w:lang w:val="en-IE" w:eastAsia="en-IE"/>
              </w:rPr>
            </w:pPr>
            <w:r>
              <w:rPr>
                <w:rFonts w:eastAsia="Times New Roman"/>
                <w:noProof/>
                <w:color w:val="000000"/>
                <w:lang w:val="en-IE" w:eastAsia="en-IE"/>
              </w:rPr>
              <w:t> </w:t>
            </w:r>
          </w:p>
        </w:tc>
      </w:tr>
      <w:tr>
        <w:trPr>
          <w:trHeight w:val="210"/>
        </w:trPr>
        <w:tc>
          <w:tcPr>
            <w:tcW w:w="3392" w:type="dxa"/>
            <w:tcBorders>
              <w:top w:val="nil"/>
              <w:left w:val="nil"/>
              <w:bottom w:val="nil"/>
              <w:right w:val="nil"/>
            </w:tcBorders>
            <w:shd w:val="clear" w:color="000000" w:fill="FFFFFF"/>
            <w:noWrap/>
            <w:vAlign w:val="bottom"/>
            <w:hideMark/>
          </w:tcPr>
          <w:p>
            <w:pPr>
              <w:rPr>
                <w:rFonts w:eastAsia="Times New Roman"/>
                <w:noProof/>
                <w:color w:val="000000"/>
                <w:lang w:val="en-IE" w:eastAsia="en-IE"/>
              </w:rPr>
            </w:pPr>
            <w:r>
              <w:rPr>
                <w:rFonts w:eastAsia="Times New Roman"/>
                <w:noProof/>
                <w:color w:val="000000"/>
                <w:lang w:val="en-IE" w:eastAsia="en-IE"/>
              </w:rPr>
              <w:t> </w:t>
            </w:r>
          </w:p>
        </w:tc>
        <w:tc>
          <w:tcPr>
            <w:tcW w:w="467" w:type="dxa"/>
            <w:tcBorders>
              <w:top w:val="nil"/>
              <w:left w:val="nil"/>
              <w:bottom w:val="nil"/>
              <w:right w:val="nil"/>
            </w:tcBorders>
            <w:shd w:val="clear" w:color="000000" w:fill="FFFFFF"/>
            <w:noWrap/>
            <w:vAlign w:val="bottom"/>
            <w:hideMark/>
          </w:tcPr>
          <w:p>
            <w:pPr>
              <w:rPr>
                <w:rFonts w:eastAsia="Times New Roman"/>
                <w:noProof/>
                <w:color w:val="000000"/>
                <w:lang w:val="en-IE" w:eastAsia="en-IE"/>
              </w:rPr>
            </w:pPr>
            <w:r>
              <w:rPr>
                <w:rFonts w:eastAsia="Times New Roman"/>
                <w:noProof/>
                <w:color w:val="000000"/>
                <w:lang w:val="en-IE" w:eastAsia="en-IE"/>
              </w:rPr>
              <w:t> </w:t>
            </w:r>
          </w:p>
        </w:tc>
        <w:tc>
          <w:tcPr>
            <w:tcW w:w="490" w:type="dxa"/>
            <w:tcBorders>
              <w:top w:val="nil"/>
              <w:left w:val="nil"/>
              <w:bottom w:val="nil"/>
              <w:right w:val="nil"/>
            </w:tcBorders>
            <w:shd w:val="clear" w:color="000000" w:fill="FFFFFF"/>
            <w:noWrap/>
            <w:vAlign w:val="bottom"/>
            <w:hideMark/>
          </w:tcPr>
          <w:p>
            <w:pPr>
              <w:rPr>
                <w:rFonts w:eastAsia="Times New Roman"/>
                <w:noProof/>
                <w:color w:val="000000"/>
                <w:lang w:val="en-IE" w:eastAsia="en-IE"/>
              </w:rPr>
            </w:pPr>
            <w:r>
              <w:rPr>
                <w:rFonts w:eastAsia="Times New Roman"/>
                <w:noProof/>
                <w:color w:val="000000"/>
                <w:lang w:val="en-IE" w:eastAsia="en-IE"/>
              </w:rPr>
              <w:t> </w:t>
            </w:r>
          </w:p>
        </w:tc>
        <w:tc>
          <w:tcPr>
            <w:tcW w:w="490" w:type="dxa"/>
            <w:tcBorders>
              <w:top w:val="nil"/>
              <w:left w:val="nil"/>
              <w:bottom w:val="nil"/>
              <w:right w:val="nil"/>
            </w:tcBorders>
            <w:shd w:val="clear" w:color="000000" w:fill="FFFFFF"/>
            <w:noWrap/>
            <w:vAlign w:val="bottom"/>
            <w:hideMark/>
          </w:tcPr>
          <w:p>
            <w:pPr>
              <w:rPr>
                <w:rFonts w:eastAsia="Times New Roman"/>
                <w:noProof/>
                <w:color w:val="000000"/>
                <w:lang w:val="en-IE" w:eastAsia="en-IE"/>
              </w:rPr>
            </w:pPr>
            <w:r>
              <w:rPr>
                <w:rFonts w:eastAsia="Times New Roman"/>
                <w:noProof/>
                <w:color w:val="000000"/>
                <w:lang w:val="en-IE" w:eastAsia="en-IE"/>
              </w:rPr>
              <w:t> </w:t>
            </w:r>
          </w:p>
        </w:tc>
        <w:tc>
          <w:tcPr>
            <w:tcW w:w="490" w:type="dxa"/>
            <w:tcBorders>
              <w:top w:val="nil"/>
              <w:left w:val="nil"/>
              <w:bottom w:val="nil"/>
              <w:right w:val="nil"/>
            </w:tcBorders>
            <w:shd w:val="clear" w:color="000000" w:fill="FFFFFF"/>
            <w:noWrap/>
            <w:vAlign w:val="bottom"/>
            <w:hideMark/>
          </w:tcPr>
          <w:p>
            <w:pPr>
              <w:rPr>
                <w:rFonts w:eastAsia="Times New Roman"/>
                <w:noProof/>
                <w:color w:val="000000"/>
                <w:lang w:val="en-IE" w:eastAsia="en-IE"/>
              </w:rPr>
            </w:pPr>
            <w:r>
              <w:rPr>
                <w:rFonts w:eastAsia="Times New Roman"/>
                <w:noProof/>
                <w:color w:val="000000"/>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color w:val="000000"/>
                <w:lang w:val="en-IE" w:eastAsia="en-IE"/>
              </w:rPr>
            </w:pPr>
            <w:r>
              <w:rPr>
                <w:rFonts w:eastAsia="Times New Roman"/>
                <w:noProof/>
                <w:color w:val="000000"/>
                <w:lang w:val="en-IE" w:eastAsia="en-IE"/>
              </w:rPr>
              <w:t> </w:t>
            </w:r>
          </w:p>
        </w:tc>
      </w:tr>
      <w:tr>
        <w:trPr>
          <w:trHeight w:val="225"/>
        </w:trPr>
        <w:tc>
          <w:tcPr>
            <w:tcW w:w="6032" w:type="dxa"/>
            <w:gridSpan w:val="6"/>
            <w:tcBorders>
              <w:top w:val="nil"/>
              <w:left w:val="nil"/>
              <w:bottom w:val="nil"/>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Total merchandise trade EU28 with Peru (mio €)</w:t>
            </w:r>
          </w:p>
        </w:tc>
      </w:tr>
      <w:tr>
        <w:trPr>
          <w:trHeight w:val="225"/>
        </w:trPr>
        <w:tc>
          <w:tcPr>
            <w:tcW w:w="3859"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lang w:val="en-IE" w:eastAsia="en-IE"/>
              </w:rPr>
            </w:pPr>
            <w:r>
              <w:rPr>
                <w:rFonts w:eastAsia="Times New Roman"/>
                <w:b/>
                <w:bCs/>
                <w:noProof/>
                <w:lang w:val="en-IE" w:eastAsia="en-IE"/>
              </w:rPr>
              <w:t>Peru</w:t>
            </w:r>
          </w:p>
        </w:tc>
        <w:tc>
          <w:tcPr>
            <w:tcW w:w="49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2017</w:t>
            </w:r>
          </w:p>
        </w:tc>
        <w:tc>
          <w:tcPr>
            <w:tcW w:w="49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2018</w:t>
            </w:r>
          </w:p>
        </w:tc>
        <w:tc>
          <w:tcPr>
            <w:tcW w:w="1193"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Growth</w:t>
            </w:r>
          </w:p>
        </w:tc>
      </w:tr>
      <w:tr>
        <w:trPr>
          <w:trHeight w:val="225"/>
        </w:trPr>
        <w:tc>
          <w:tcPr>
            <w:tcW w:w="3859" w:type="dxa"/>
            <w:gridSpan w:val="2"/>
            <w:vMerge/>
            <w:tcBorders>
              <w:top w:val="single" w:sz="4" w:space="0" w:color="auto"/>
              <w:left w:val="nil"/>
              <w:bottom w:val="single" w:sz="4" w:space="0" w:color="000000"/>
              <w:right w:val="nil"/>
            </w:tcBorders>
            <w:vAlign w:val="center"/>
            <w:hideMark/>
          </w:tcPr>
          <w:p>
            <w:pPr>
              <w:rPr>
                <w:rFonts w:eastAsia="Times New Roman"/>
                <w:b/>
                <w:bCs/>
                <w:noProof/>
                <w:lang w:val="en-IE" w:eastAsia="en-IE"/>
              </w:rPr>
            </w:pPr>
          </w:p>
        </w:tc>
        <w:tc>
          <w:tcPr>
            <w:tcW w:w="490" w:type="dxa"/>
            <w:vMerge/>
            <w:tcBorders>
              <w:top w:val="single" w:sz="4" w:space="0" w:color="auto"/>
              <w:left w:val="nil"/>
              <w:bottom w:val="single" w:sz="4" w:space="0" w:color="000000"/>
              <w:right w:val="nil"/>
            </w:tcBorders>
            <w:vAlign w:val="center"/>
            <w:hideMark/>
          </w:tcPr>
          <w:p>
            <w:pPr>
              <w:rPr>
                <w:rFonts w:eastAsia="Times New Roman"/>
                <w:b/>
                <w:bCs/>
                <w:noProof/>
                <w:lang w:val="en-IE" w:eastAsia="en-IE"/>
              </w:rPr>
            </w:pPr>
          </w:p>
        </w:tc>
        <w:tc>
          <w:tcPr>
            <w:tcW w:w="490" w:type="dxa"/>
            <w:vMerge/>
            <w:tcBorders>
              <w:top w:val="single" w:sz="4" w:space="0" w:color="auto"/>
              <w:left w:val="nil"/>
              <w:bottom w:val="single" w:sz="4" w:space="0" w:color="000000"/>
              <w:right w:val="nil"/>
            </w:tcBorders>
            <w:vAlign w:val="center"/>
            <w:hideMark/>
          </w:tcPr>
          <w:p>
            <w:pPr>
              <w:rPr>
                <w:rFonts w:eastAsia="Times New Roman"/>
                <w:b/>
                <w:bCs/>
                <w:noProof/>
                <w:lang w:val="en-IE" w:eastAsia="en-IE"/>
              </w:rPr>
            </w:pPr>
          </w:p>
        </w:tc>
        <w:tc>
          <w:tcPr>
            <w:tcW w:w="490" w:type="dxa"/>
            <w:tcBorders>
              <w:top w:val="nil"/>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annual %</w:t>
            </w:r>
          </w:p>
        </w:tc>
      </w:tr>
      <w:tr>
        <w:trPr>
          <w:trHeight w:val="225"/>
        </w:trPr>
        <w:tc>
          <w:tcPr>
            <w:tcW w:w="3392"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Imports</w:t>
            </w:r>
          </w:p>
        </w:tc>
        <w:tc>
          <w:tcPr>
            <w:tcW w:w="467"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6.175</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6.157</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-18</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-0,3%</w:t>
            </w:r>
          </w:p>
        </w:tc>
      </w:tr>
      <w:tr>
        <w:trPr>
          <w:trHeight w:val="225"/>
        </w:trPr>
        <w:tc>
          <w:tcPr>
            <w:tcW w:w="3392"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Exports</w:t>
            </w:r>
          </w:p>
        </w:tc>
        <w:tc>
          <w:tcPr>
            <w:tcW w:w="467"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4.053</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3.731</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-322</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-7,9%</w:t>
            </w:r>
          </w:p>
        </w:tc>
      </w:tr>
      <w:tr>
        <w:trPr>
          <w:trHeight w:val="225"/>
        </w:trPr>
        <w:tc>
          <w:tcPr>
            <w:tcW w:w="3392"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Balance</w:t>
            </w:r>
          </w:p>
        </w:tc>
        <w:tc>
          <w:tcPr>
            <w:tcW w:w="467"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-2.122</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-2.426</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-303</w:t>
            </w:r>
          </w:p>
        </w:tc>
        <w:tc>
          <w:tcPr>
            <w:tcW w:w="703"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r>
      <w:tr>
        <w:trPr>
          <w:trHeight w:val="225"/>
        </w:trPr>
        <w:tc>
          <w:tcPr>
            <w:tcW w:w="3392" w:type="dxa"/>
            <w:tcBorders>
              <w:top w:val="nil"/>
              <w:left w:val="nil"/>
              <w:bottom w:val="single" w:sz="4" w:space="0" w:color="auto"/>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Total trade</w:t>
            </w:r>
          </w:p>
        </w:tc>
        <w:tc>
          <w:tcPr>
            <w:tcW w:w="467" w:type="dxa"/>
            <w:tcBorders>
              <w:top w:val="nil"/>
              <w:left w:val="nil"/>
              <w:bottom w:val="single" w:sz="4" w:space="0" w:color="auto"/>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10.228</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9.888</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-340</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-3,3%</w:t>
            </w:r>
          </w:p>
        </w:tc>
      </w:tr>
      <w:tr>
        <w:trPr>
          <w:trHeight w:val="240"/>
        </w:trPr>
        <w:tc>
          <w:tcPr>
            <w:tcW w:w="4839" w:type="dxa"/>
            <w:gridSpan w:val="4"/>
            <w:tcBorders>
              <w:top w:val="single" w:sz="4" w:space="0" w:color="auto"/>
              <w:left w:val="nil"/>
              <w:bottom w:val="nil"/>
              <w:right w:val="nil"/>
            </w:tcBorders>
            <w:shd w:val="clear" w:color="000000" w:fill="FFFFFF"/>
            <w:noWrap/>
            <w:hideMark/>
          </w:tcPr>
          <w:p>
            <w:pPr>
              <w:rPr>
                <w:rFonts w:eastAsia="Times New Roman"/>
                <w:noProof/>
                <w:lang w:val="en-IE" w:eastAsia="en-IE"/>
              </w:rPr>
            </w:pPr>
            <w:r>
              <w:rPr>
                <w:rFonts w:eastAsia="Times New Roman"/>
                <w:noProof/>
                <w:lang w:val="en-IE" w:eastAsia="en-IE"/>
              </w:rPr>
              <w:t>Source Trade G2 Statistics/ISDB from Eurostat COMEXT</w:t>
            </w:r>
          </w:p>
        </w:tc>
        <w:tc>
          <w:tcPr>
            <w:tcW w:w="49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r>
      <w:tr>
        <w:trPr>
          <w:trHeight w:val="225"/>
        </w:trPr>
        <w:tc>
          <w:tcPr>
            <w:tcW w:w="6032" w:type="dxa"/>
            <w:gridSpan w:val="6"/>
            <w:tcBorders>
              <w:top w:val="nil"/>
              <w:left w:val="nil"/>
              <w:bottom w:val="nil"/>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Agrifood trade EU28 with Peru (mio €)</w:t>
            </w:r>
          </w:p>
        </w:tc>
      </w:tr>
      <w:tr>
        <w:trPr>
          <w:trHeight w:val="255"/>
        </w:trPr>
        <w:tc>
          <w:tcPr>
            <w:tcW w:w="3859"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lang w:val="en-IE" w:eastAsia="en-IE"/>
              </w:rPr>
            </w:pPr>
            <w:r>
              <w:rPr>
                <w:rFonts w:eastAsia="Times New Roman"/>
                <w:b/>
                <w:bCs/>
                <w:noProof/>
                <w:lang w:val="en-IE" w:eastAsia="en-IE"/>
              </w:rPr>
              <w:t>Peru</w:t>
            </w:r>
          </w:p>
        </w:tc>
        <w:tc>
          <w:tcPr>
            <w:tcW w:w="49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2017</w:t>
            </w:r>
          </w:p>
        </w:tc>
        <w:tc>
          <w:tcPr>
            <w:tcW w:w="49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2018</w:t>
            </w:r>
          </w:p>
        </w:tc>
        <w:tc>
          <w:tcPr>
            <w:tcW w:w="1193"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Growth</w:t>
            </w:r>
          </w:p>
        </w:tc>
      </w:tr>
      <w:tr>
        <w:trPr>
          <w:trHeight w:val="225"/>
        </w:trPr>
        <w:tc>
          <w:tcPr>
            <w:tcW w:w="3859" w:type="dxa"/>
            <w:gridSpan w:val="2"/>
            <w:vMerge/>
            <w:tcBorders>
              <w:top w:val="single" w:sz="4" w:space="0" w:color="auto"/>
              <w:left w:val="nil"/>
              <w:bottom w:val="single" w:sz="4" w:space="0" w:color="000000"/>
              <w:right w:val="nil"/>
            </w:tcBorders>
            <w:vAlign w:val="center"/>
            <w:hideMark/>
          </w:tcPr>
          <w:p>
            <w:pPr>
              <w:rPr>
                <w:rFonts w:eastAsia="Times New Roman"/>
                <w:b/>
                <w:bCs/>
                <w:noProof/>
                <w:lang w:val="en-IE" w:eastAsia="en-IE"/>
              </w:rPr>
            </w:pPr>
          </w:p>
        </w:tc>
        <w:tc>
          <w:tcPr>
            <w:tcW w:w="490" w:type="dxa"/>
            <w:vMerge/>
            <w:tcBorders>
              <w:top w:val="single" w:sz="4" w:space="0" w:color="auto"/>
              <w:left w:val="nil"/>
              <w:bottom w:val="single" w:sz="4" w:space="0" w:color="000000"/>
              <w:right w:val="nil"/>
            </w:tcBorders>
            <w:vAlign w:val="center"/>
            <w:hideMark/>
          </w:tcPr>
          <w:p>
            <w:pPr>
              <w:rPr>
                <w:rFonts w:eastAsia="Times New Roman"/>
                <w:b/>
                <w:bCs/>
                <w:noProof/>
                <w:lang w:val="en-IE" w:eastAsia="en-IE"/>
              </w:rPr>
            </w:pPr>
          </w:p>
        </w:tc>
        <w:tc>
          <w:tcPr>
            <w:tcW w:w="490" w:type="dxa"/>
            <w:vMerge/>
            <w:tcBorders>
              <w:top w:val="single" w:sz="4" w:space="0" w:color="auto"/>
              <w:left w:val="nil"/>
              <w:bottom w:val="single" w:sz="4" w:space="0" w:color="000000"/>
              <w:right w:val="nil"/>
            </w:tcBorders>
            <w:vAlign w:val="center"/>
            <w:hideMark/>
          </w:tcPr>
          <w:p>
            <w:pPr>
              <w:rPr>
                <w:rFonts w:eastAsia="Times New Roman"/>
                <w:b/>
                <w:bCs/>
                <w:noProof/>
                <w:lang w:val="en-IE" w:eastAsia="en-IE"/>
              </w:rPr>
            </w:pPr>
          </w:p>
        </w:tc>
        <w:tc>
          <w:tcPr>
            <w:tcW w:w="490" w:type="dxa"/>
            <w:tcBorders>
              <w:top w:val="nil"/>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annual %</w:t>
            </w:r>
          </w:p>
        </w:tc>
      </w:tr>
      <w:tr>
        <w:trPr>
          <w:trHeight w:val="225"/>
        </w:trPr>
        <w:tc>
          <w:tcPr>
            <w:tcW w:w="3392"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Imports</w:t>
            </w:r>
          </w:p>
        </w:tc>
        <w:tc>
          <w:tcPr>
            <w:tcW w:w="467"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2.158</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2.280</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122</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5,6%</w:t>
            </w:r>
          </w:p>
        </w:tc>
      </w:tr>
      <w:tr>
        <w:trPr>
          <w:trHeight w:val="225"/>
        </w:trPr>
        <w:tc>
          <w:tcPr>
            <w:tcW w:w="3392"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Exports</w:t>
            </w:r>
          </w:p>
        </w:tc>
        <w:tc>
          <w:tcPr>
            <w:tcW w:w="467"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251</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255</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4</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1,4%</w:t>
            </w:r>
          </w:p>
        </w:tc>
      </w:tr>
      <w:tr>
        <w:trPr>
          <w:trHeight w:val="225"/>
        </w:trPr>
        <w:tc>
          <w:tcPr>
            <w:tcW w:w="3392"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Balance</w:t>
            </w:r>
          </w:p>
        </w:tc>
        <w:tc>
          <w:tcPr>
            <w:tcW w:w="467"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-1.907</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-2.026</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-118</w:t>
            </w:r>
          </w:p>
        </w:tc>
        <w:tc>
          <w:tcPr>
            <w:tcW w:w="703"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r>
      <w:tr>
        <w:trPr>
          <w:trHeight w:val="225"/>
        </w:trPr>
        <w:tc>
          <w:tcPr>
            <w:tcW w:w="3392" w:type="dxa"/>
            <w:tcBorders>
              <w:top w:val="nil"/>
              <w:left w:val="nil"/>
              <w:bottom w:val="single" w:sz="4" w:space="0" w:color="auto"/>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Total trade</w:t>
            </w:r>
          </w:p>
        </w:tc>
        <w:tc>
          <w:tcPr>
            <w:tcW w:w="467"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2.410</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2.535</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125</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5,2%</w:t>
            </w:r>
          </w:p>
        </w:tc>
      </w:tr>
      <w:tr>
        <w:trPr>
          <w:trHeight w:val="240"/>
        </w:trPr>
        <w:tc>
          <w:tcPr>
            <w:tcW w:w="4839" w:type="dxa"/>
            <w:gridSpan w:val="4"/>
            <w:tcBorders>
              <w:top w:val="single" w:sz="4" w:space="0" w:color="auto"/>
              <w:left w:val="nil"/>
              <w:bottom w:val="nil"/>
              <w:right w:val="nil"/>
            </w:tcBorders>
            <w:shd w:val="clear" w:color="000000" w:fill="FFFFFF"/>
            <w:noWrap/>
            <w:hideMark/>
          </w:tcPr>
          <w:p>
            <w:pPr>
              <w:rPr>
                <w:rFonts w:eastAsia="Times New Roman"/>
                <w:noProof/>
                <w:lang w:val="en-IE" w:eastAsia="en-IE"/>
              </w:rPr>
            </w:pPr>
            <w:r>
              <w:rPr>
                <w:rFonts w:eastAsia="Times New Roman"/>
                <w:noProof/>
                <w:lang w:val="en-IE" w:eastAsia="en-IE"/>
              </w:rPr>
              <w:t>Source Trade G2 Statistics/ISDB from Eurostat COMEXT</w:t>
            </w:r>
          </w:p>
        </w:tc>
        <w:tc>
          <w:tcPr>
            <w:tcW w:w="49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r>
      <w:tr>
        <w:trPr>
          <w:trHeight w:val="225"/>
        </w:trPr>
        <w:tc>
          <w:tcPr>
            <w:tcW w:w="6032" w:type="dxa"/>
            <w:gridSpan w:val="6"/>
            <w:tcBorders>
              <w:top w:val="nil"/>
              <w:left w:val="nil"/>
              <w:bottom w:val="nil"/>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NAMA trade EU28 with Peru (mio €)</w:t>
            </w:r>
          </w:p>
        </w:tc>
      </w:tr>
      <w:tr>
        <w:trPr>
          <w:trHeight w:val="225"/>
        </w:trPr>
        <w:tc>
          <w:tcPr>
            <w:tcW w:w="3859"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lang w:val="en-IE" w:eastAsia="en-IE"/>
              </w:rPr>
            </w:pPr>
            <w:r>
              <w:rPr>
                <w:rFonts w:eastAsia="Times New Roman"/>
                <w:b/>
                <w:bCs/>
                <w:noProof/>
                <w:lang w:val="en-IE" w:eastAsia="en-IE"/>
              </w:rPr>
              <w:t>Peru</w:t>
            </w:r>
          </w:p>
        </w:tc>
        <w:tc>
          <w:tcPr>
            <w:tcW w:w="49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2017</w:t>
            </w:r>
          </w:p>
        </w:tc>
        <w:tc>
          <w:tcPr>
            <w:tcW w:w="49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2018</w:t>
            </w:r>
          </w:p>
        </w:tc>
        <w:tc>
          <w:tcPr>
            <w:tcW w:w="1193"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Growth</w:t>
            </w:r>
          </w:p>
        </w:tc>
      </w:tr>
      <w:tr>
        <w:trPr>
          <w:trHeight w:val="225"/>
        </w:trPr>
        <w:tc>
          <w:tcPr>
            <w:tcW w:w="3859" w:type="dxa"/>
            <w:gridSpan w:val="2"/>
            <w:vMerge/>
            <w:tcBorders>
              <w:top w:val="single" w:sz="4" w:space="0" w:color="auto"/>
              <w:left w:val="nil"/>
              <w:bottom w:val="single" w:sz="4" w:space="0" w:color="000000"/>
              <w:right w:val="nil"/>
            </w:tcBorders>
            <w:vAlign w:val="center"/>
            <w:hideMark/>
          </w:tcPr>
          <w:p>
            <w:pPr>
              <w:rPr>
                <w:rFonts w:eastAsia="Times New Roman"/>
                <w:b/>
                <w:bCs/>
                <w:noProof/>
                <w:lang w:val="en-IE" w:eastAsia="en-IE"/>
              </w:rPr>
            </w:pPr>
          </w:p>
        </w:tc>
        <w:tc>
          <w:tcPr>
            <w:tcW w:w="490" w:type="dxa"/>
            <w:vMerge/>
            <w:tcBorders>
              <w:top w:val="single" w:sz="4" w:space="0" w:color="auto"/>
              <w:left w:val="nil"/>
              <w:bottom w:val="single" w:sz="4" w:space="0" w:color="000000"/>
              <w:right w:val="nil"/>
            </w:tcBorders>
            <w:vAlign w:val="center"/>
            <w:hideMark/>
          </w:tcPr>
          <w:p>
            <w:pPr>
              <w:rPr>
                <w:rFonts w:eastAsia="Times New Roman"/>
                <w:b/>
                <w:bCs/>
                <w:noProof/>
                <w:lang w:val="en-IE" w:eastAsia="en-IE"/>
              </w:rPr>
            </w:pPr>
          </w:p>
        </w:tc>
        <w:tc>
          <w:tcPr>
            <w:tcW w:w="490" w:type="dxa"/>
            <w:vMerge/>
            <w:tcBorders>
              <w:top w:val="single" w:sz="4" w:space="0" w:color="auto"/>
              <w:left w:val="nil"/>
              <w:bottom w:val="single" w:sz="4" w:space="0" w:color="000000"/>
              <w:right w:val="nil"/>
            </w:tcBorders>
            <w:vAlign w:val="center"/>
            <w:hideMark/>
          </w:tcPr>
          <w:p>
            <w:pPr>
              <w:rPr>
                <w:rFonts w:eastAsia="Times New Roman"/>
                <w:b/>
                <w:bCs/>
                <w:noProof/>
                <w:lang w:val="en-IE" w:eastAsia="en-IE"/>
              </w:rPr>
            </w:pPr>
          </w:p>
        </w:tc>
        <w:tc>
          <w:tcPr>
            <w:tcW w:w="490" w:type="dxa"/>
            <w:tcBorders>
              <w:top w:val="nil"/>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annual %</w:t>
            </w:r>
          </w:p>
        </w:tc>
      </w:tr>
      <w:tr>
        <w:trPr>
          <w:trHeight w:val="225"/>
        </w:trPr>
        <w:tc>
          <w:tcPr>
            <w:tcW w:w="3859" w:type="dxa"/>
            <w:gridSpan w:val="2"/>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EU28 imports</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4.017</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3.876</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-140</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-3,5%</w:t>
            </w:r>
          </w:p>
        </w:tc>
      </w:tr>
      <w:tr>
        <w:trPr>
          <w:trHeight w:val="225"/>
        </w:trPr>
        <w:tc>
          <w:tcPr>
            <w:tcW w:w="3859" w:type="dxa"/>
            <w:gridSpan w:val="2"/>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EU28 exports</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3.802</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3.476</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-325</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-8,6%</w:t>
            </w:r>
          </w:p>
        </w:tc>
      </w:tr>
      <w:tr>
        <w:trPr>
          <w:trHeight w:val="225"/>
        </w:trPr>
        <w:tc>
          <w:tcPr>
            <w:tcW w:w="3392"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Balance</w:t>
            </w:r>
          </w:p>
        </w:tc>
        <w:tc>
          <w:tcPr>
            <w:tcW w:w="467"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-215</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-400</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-185</w:t>
            </w:r>
          </w:p>
        </w:tc>
        <w:tc>
          <w:tcPr>
            <w:tcW w:w="703"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r>
      <w:tr>
        <w:trPr>
          <w:trHeight w:val="225"/>
        </w:trPr>
        <w:tc>
          <w:tcPr>
            <w:tcW w:w="3392"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Total trade</w:t>
            </w:r>
          </w:p>
        </w:tc>
        <w:tc>
          <w:tcPr>
            <w:tcW w:w="467"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7.818</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7.353</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-466</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-6,0%</w:t>
            </w:r>
          </w:p>
        </w:tc>
      </w:tr>
      <w:tr>
        <w:trPr>
          <w:trHeight w:val="240"/>
        </w:trPr>
        <w:tc>
          <w:tcPr>
            <w:tcW w:w="4839" w:type="dxa"/>
            <w:gridSpan w:val="4"/>
            <w:tcBorders>
              <w:top w:val="single" w:sz="4" w:space="0" w:color="auto"/>
              <w:left w:val="nil"/>
              <w:bottom w:val="nil"/>
              <w:right w:val="nil"/>
            </w:tcBorders>
            <w:shd w:val="clear" w:color="000000" w:fill="FFFFFF"/>
            <w:noWrap/>
            <w:hideMark/>
          </w:tcPr>
          <w:p>
            <w:pPr>
              <w:rPr>
                <w:rFonts w:eastAsia="Times New Roman"/>
                <w:noProof/>
                <w:lang w:val="en-IE" w:eastAsia="en-IE"/>
              </w:rPr>
            </w:pPr>
            <w:r>
              <w:rPr>
                <w:rFonts w:eastAsia="Times New Roman"/>
                <w:noProof/>
                <w:lang w:val="en-IE" w:eastAsia="en-IE"/>
              </w:rPr>
              <w:t>Source Trade G2 Statistics/ISDB from Eurostat COMEXT</w:t>
            </w:r>
          </w:p>
        </w:tc>
        <w:tc>
          <w:tcPr>
            <w:tcW w:w="490" w:type="dxa"/>
            <w:tcBorders>
              <w:top w:val="single" w:sz="4" w:space="0" w:color="auto"/>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r>
      <w:tr>
        <w:trPr>
          <w:trHeight w:val="225"/>
        </w:trPr>
        <w:tc>
          <w:tcPr>
            <w:tcW w:w="4839" w:type="dxa"/>
            <w:gridSpan w:val="4"/>
            <w:tcBorders>
              <w:top w:val="nil"/>
              <w:left w:val="nil"/>
              <w:bottom w:val="single" w:sz="4" w:space="0" w:color="auto"/>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Services trade EU28 with Peru (mio €)</w:t>
            </w:r>
          </w:p>
        </w:tc>
        <w:tc>
          <w:tcPr>
            <w:tcW w:w="490" w:type="dxa"/>
            <w:tcBorders>
              <w:top w:val="nil"/>
              <w:left w:val="nil"/>
              <w:bottom w:val="nil"/>
              <w:right w:val="nil"/>
            </w:tcBorders>
            <w:shd w:val="clear" w:color="000000" w:fill="FFFFFF"/>
            <w:noWrap/>
            <w:vAlign w:val="center"/>
            <w:hideMark/>
          </w:tcPr>
          <w:p>
            <w:pPr>
              <w:rPr>
                <w:rFonts w:eastAsia="Times New Roman"/>
                <w:b/>
                <w:bCs/>
                <w:noProof/>
                <w:lang w:val="en-IE" w:eastAsia="en-IE"/>
              </w:rPr>
            </w:pPr>
            <w:r>
              <w:rPr>
                <w:rFonts w:eastAsia="Times New Roman"/>
                <w:b/>
                <w:bCs/>
                <w:noProof/>
                <w:lang w:val="en-IE" w:eastAsia="en-IE"/>
              </w:rPr>
              <w:t> </w:t>
            </w:r>
          </w:p>
        </w:tc>
        <w:tc>
          <w:tcPr>
            <w:tcW w:w="703" w:type="dxa"/>
            <w:tcBorders>
              <w:top w:val="nil"/>
              <w:left w:val="nil"/>
              <w:bottom w:val="nil"/>
              <w:right w:val="nil"/>
            </w:tcBorders>
            <w:shd w:val="clear" w:color="000000" w:fill="FFFFFF"/>
            <w:noWrap/>
            <w:vAlign w:val="center"/>
            <w:hideMark/>
          </w:tcPr>
          <w:p>
            <w:pPr>
              <w:rPr>
                <w:rFonts w:eastAsia="Times New Roman"/>
                <w:b/>
                <w:bCs/>
                <w:noProof/>
                <w:lang w:val="en-IE" w:eastAsia="en-IE"/>
              </w:rPr>
            </w:pPr>
            <w:r>
              <w:rPr>
                <w:rFonts w:eastAsia="Times New Roman"/>
                <w:b/>
                <w:bCs/>
                <w:noProof/>
                <w:lang w:val="en-IE" w:eastAsia="en-IE"/>
              </w:rPr>
              <w:t> </w:t>
            </w:r>
          </w:p>
        </w:tc>
      </w:tr>
      <w:tr>
        <w:trPr>
          <w:trHeight w:val="225"/>
        </w:trPr>
        <w:tc>
          <w:tcPr>
            <w:tcW w:w="3859"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lang w:val="en-IE" w:eastAsia="en-IE"/>
              </w:rPr>
            </w:pPr>
            <w:r>
              <w:rPr>
                <w:rFonts w:eastAsia="Times New Roman"/>
                <w:b/>
                <w:bCs/>
                <w:noProof/>
                <w:lang w:val="en-IE" w:eastAsia="en-IE"/>
              </w:rPr>
              <w:t>Peru</w:t>
            </w:r>
          </w:p>
        </w:tc>
        <w:tc>
          <w:tcPr>
            <w:tcW w:w="490"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2016</w:t>
            </w:r>
          </w:p>
        </w:tc>
        <w:tc>
          <w:tcPr>
            <w:tcW w:w="490"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2017</w:t>
            </w:r>
          </w:p>
        </w:tc>
        <w:tc>
          <w:tcPr>
            <w:tcW w:w="1193"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Growth</w:t>
            </w:r>
          </w:p>
        </w:tc>
      </w:tr>
      <w:tr>
        <w:trPr>
          <w:trHeight w:val="225"/>
        </w:trPr>
        <w:tc>
          <w:tcPr>
            <w:tcW w:w="3859" w:type="dxa"/>
            <w:gridSpan w:val="2"/>
            <w:vMerge/>
            <w:tcBorders>
              <w:top w:val="single" w:sz="4" w:space="0" w:color="auto"/>
              <w:left w:val="nil"/>
              <w:bottom w:val="single" w:sz="4" w:space="0" w:color="000000"/>
              <w:right w:val="nil"/>
            </w:tcBorders>
            <w:vAlign w:val="center"/>
            <w:hideMark/>
          </w:tcPr>
          <w:p>
            <w:pPr>
              <w:rPr>
                <w:rFonts w:eastAsia="Times New Roman"/>
                <w:b/>
                <w:bCs/>
                <w:noProof/>
                <w:lang w:val="en-IE" w:eastAsia="en-IE"/>
              </w:rPr>
            </w:pPr>
          </w:p>
        </w:tc>
        <w:tc>
          <w:tcPr>
            <w:tcW w:w="490" w:type="dxa"/>
            <w:vMerge/>
            <w:tcBorders>
              <w:top w:val="nil"/>
              <w:left w:val="nil"/>
              <w:bottom w:val="single" w:sz="4" w:space="0" w:color="000000"/>
              <w:right w:val="nil"/>
            </w:tcBorders>
            <w:vAlign w:val="center"/>
            <w:hideMark/>
          </w:tcPr>
          <w:p>
            <w:pPr>
              <w:rPr>
                <w:rFonts w:eastAsia="Times New Roman"/>
                <w:b/>
                <w:bCs/>
                <w:noProof/>
                <w:lang w:val="en-IE" w:eastAsia="en-IE"/>
              </w:rPr>
            </w:pPr>
          </w:p>
        </w:tc>
        <w:tc>
          <w:tcPr>
            <w:tcW w:w="490" w:type="dxa"/>
            <w:vMerge/>
            <w:tcBorders>
              <w:top w:val="nil"/>
              <w:left w:val="nil"/>
              <w:bottom w:val="single" w:sz="4" w:space="0" w:color="000000"/>
              <w:right w:val="nil"/>
            </w:tcBorders>
            <w:vAlign w:val="center"/>
            <w:hideMark/>
          </w:tcPr>
          <w:p>
            <w:pPr>
              <w:rPr>
                <w:rFonts w:eastAsia="Times New Roman"/>
                <w:b/>
                <w:bCs/>
                <w:noProof/>
                <w:lang w:val="en-IE" w:eastAsia="en-IE"/>
              </w:rPr>
            </w:pPr>
          </w:p>
        </w:tc>
        <w:tc>
          <w:tcPr>
            <w:tcW w:w="490" w:type="dxa"/>
            <w:tcBorders>
              <w:top w:val="nil"/>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annual %</w:t>
            </w:r>
          </w:p>
        </w:tc>
      </w:tr>
      <w:tr>
        <w:trPr>
          <w:trHeight w:val="225"/>
        </w:trPr>
        <w:tc>
          <w:tcPr>
            <w:tcW w:w="3392"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Imports</w:t>
            </w:r>
          </w:p>
        </w:tc>
        <w:tc>
          <w:tcPr>
            <w:tcW w:w="467"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978</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1.108</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130</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13,3%</w:t>
            </w:r>
          </w:p>
        </w:tc>
      </w:tr>
      <w:tr>
        <w:trPr>
          <w:trHeight w:val="225"/>
        </w:trPr>
        <w:tc>
          <w:tcPr>
            <w:tcW w:w="3392"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Exports</w:t>
            </w:r>
          </w:p>
        </w:tc>
        <w:tc>
          <w:tcPr>
            <w:tcW w:w="467"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1.621</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1.955</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335</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20,6%</w:t>
            </w:r>
          </w:p>
        </w:tc>
      </w:tr>
      <w:tr>
        <w:trPr>
          <w:trHeight w:val="225"/>
        </w:trPr>
        <w:tc>
          <w:tcPr>
            <w:tcW w:w="3392"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Balance</w:t>
            </w:r>
          </w:p>
        </w:tc>
        <w:tc>
          <w:tcPr>
            <w:tcW w:w="467"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643</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848</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205</w:t>
            </w:r>
          </w:p>
        </w:tc>
        <w:tc>
          <w:tcPr>
            <w:tcW w:w="703"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r>
      <w:tr>
        <w:trPr>
          <w:trHeight w:val="225"/>
        </w:trPr>
        <w:tc>
          <w:tcPr>
            <w:tcW w:w="3392" w:type="dxa"/>
            <w:tcBorders>
              <w:top w:val="nil"/>
              <w:left w:val="nil"/>
              <w:bottom w:val="single" w:sz="4" w:space="0" w:color="auto"/>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Total trade</w:t>
            </w:r>
          </w:p>
        </w:tc>
        <w:tc>
          <w:tcPr>
            <w:tcW w:w="467" w:type="dxa"/>
            <w:tcBorders>
              <w:top w:val="nil"/>
              <w:left w:val="nil"/>
              <w:bottom w:val="single" w:sz="4" w:space="0" w:color="auto"/>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2.599</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3.063</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464</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17,9%</w:t>
            </w:r>
          </w:p>
        </w:tc>
      </w:tr>
      <w:tr>
        <w:trPr>
          <w:trHeight w:val="240"/>
        </w:trPr>
        <w:tc>
          <w:tcPr>
            <w:tcW w:w="5329" w:type="dxa"/>
            <w:gridSpan w:val="5"/>
            <w:tcBorders>
              <w:top w:val="nil"/>
              <w:left w:val="nil"/>
              <w:bottom w:val="nil"/>
              <w:right w:val="nil"/>
            </w:tcBorders>
            <w:shd w:val="clear" w:color="000000" w:fill="FFFFFF"/>
            <w:noWrap/>
            <w:hideMark/>
          </w:tcPr>
          <w:p>
            <w:pPr>
              <w:rPr>
                <w:rFonts w:eastAsia="Times New Roman"/>
                <w:noProof/>
                <w:lang w:val="en-IE" w:eastAsia="en-IE"/>
              </w:rPr>
            </w:pPr>
            <w:r>
              <w:rPr>
                <w:rFonts w:eastAsia="Times New Roman"/>
                <w:noProof/>
                <w:lang w:val="en-IE" w:eastAsia="en-IE"/>
              </w:rPr>
              <w:t>Source Trade G2 Statistics/ISDB from Eurostat BOP statistics</w:t>
            </w:r>
          </w:p>
        </w:tc>
        <w:tc>
          <w:tcPr>
            <w:tcW w:w="703"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r>
      <w:tr>
        <w:trPr>
          <w:trHeight w:val="240"/>
        </w:trPr>
        <w:tc>
          <w:tcPr>
            <w:tcW w:w="6032" w:type="dxa"/>
            <w:gridSpan w:val="6"/>
            <w:tcBorders>
              <w:top w:val="nil"/>
              <w:left w:val="nil"/>
              <w:bottom w:val="nil"/>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Services trade EU28 with Peru (mio €)</w:t>
            </w:r>
          </w:p>
        </w:tc>
      </w:tr>
      <w:tr>
        <w:trPr>
          <w:trHeight w:val="225"/>
        </w:trPr>
        <w:tc>
          <w:tcPr>
            <w:tcW w:w="3392"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467"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2013</w:t>
            </w:r>
          </w:p>
        </w:tc>
        <w:tc>
          <w:tcPr>
            <w:tcW w:w="49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2014</w:t>
            </w:r>
          </w:p>
        </w:tc>
        <w:tc>
          <w:tcPr>
            <w:tcW w:w="49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2015</w:t>
            </w:r>
          </w:p>
        </w:tc>
        <w:tc>
          <w:tcPr>
            <w:tcW w:w="49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2016</w:t>
            </w:r>
          </w:p>
        </w:tc>
        <w:tc>
          <w:tcPr>
            <w:tcW w:w="703"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2017</w:t>
            </w:r>
          </w:p>
        </w:tc>
      </w:tr>
      <w:tr>
        <w:trPr>
          <w:trHeight w:val="225"/>
        </w:trPr>
        <w:tc>
          <w:tcPr>
            <w:tcW w:w="3392"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Imports</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840</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910</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899</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978</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1.108</w:t>
            </w:r>
          </w:p>
        </w:tc>
      </w:tr>
      <w:tr>
        <w:trPr>
          <w:trHeight w:val="225"/>
        </w:trPr>
        <w:tc>
          <w:tcPr>
            <w:tcW w:w="3392"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Exports</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1.699</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2.109</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1.710</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1.621</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1.955</w:t>
            </w:r>
          </w:p>
        </w:tc>
      </w:tr>
      <w:tr>
        <w:trPr>
          <w:trHeight w:val="225"/>
        </w:trPr>
        <w:tc>
          <w:tcPr>
            <w:tcW w:w="3392"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Balance</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859</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1.199</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812</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643</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848</w:t>
            </w:r>
          </w:p>
        </w:tc>
      </w:tr>
      <w:tr>
        <w:trPr>
          <w:trHeight w:val="225"/>
        </w:trPr>
        <w:tc>
          <w:tcPr>
            <w:tcW w:w="3392" w:type="dxa"/>
            <w:tcBorders>
              <w:top w:val="nil"/>
              <w:left w:val="nil"/>
              <w:bottom w:val="single" w:sz="4" w:space="0" w:color="auto"/>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Total trade</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2.538</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3.020</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2.609</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2.599</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3.063</w:t>
            </w:r>
          </w:p>
        </w:tc>
      </w:tr>
      <w:tr>
        <w:trPr>
          <w:trHeight w:val="225"/>
        </w:trPr>
        <w:tc>
          <w:tcPr>
            <w:tcW w:w="3392" w:type="dxa"/>
            <w:tcBorders>
              <w:top w:val="nil"/>
              <w:left w:val="nil"/>
              <w:bottom w:val="nil"/>
              <w:right w:val="nil"/>
            </w:tcBorders>
            <w:shd w:val="clear" w:color="000000" w:fill="FFFFFF"/>
            <w:noWrap/>
            <w:hideMark/>
          </w:tcPr>
          <w:p>
            <w:pPr>
              <w:rPr>
                <w:rFonts w:eastAsia="Times New Roman"/>
                <w:noProof/>
                <w:lang w:val="en-IE" w:eastAsia="en-IE"/>
              </w:rPr>
            </w:pPr>
            <w:r>
              <w:rPr>
                <w:rFonts w:eastAsia="Times New Roman"/>
                <w:noProof/>
                <w:lang w:val="en-IE" w:eastAsia="en-IE"/>
              </w:rPr>
              <w:t>Source Trade G2 Statistics/ISDB from Eurostat BOP statistics</w:t>
            </w:r>
          </w:p>
        </w:tc>
        <w:tc>
          <w:tcPr>
            <w:tcW w:w="467" w:type="dxa"/>
            <w:tcBorders>
              <w:top w:val="nil"/>
              <w:left w:val="nil"/>
              <w:bottom w:val="nil"/>
              <w:right w:val="nil"/>
            </w:tcBorders>
            <w:shd w:val="clear" w:color="000000" w:fill="FFFFFF"/>
            <w:noWrap/>
            <w:hideMark/>
          </w:tcPr>
          <w:p>
            <w:pPr>
              <w:rPr>
                <w:rFonts w:eastAsia="Times New Roman"/>
                <w:noProof/>
                <w:lang w:val="en-IE" w:eastAsia="en-IE"/>
              </w:rPr>
            </w:pPr>
            <w:r>
              <w:rPr>
                <w:rFonts w:eastAsia="Times New Roman"/>
                <w:noProof/>
                <w:lang w:val="en-IE" w:eastAsia="en-IE"/>
              </w:rPr>
              <w:t> </w:t>
            </w:r>
          </w:p>
        </w:tc>
        <w:tc>
          <w:tcPr>
            <w:tcW w:w="49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49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49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r>
      <w:tr>
        <w:trPr>
          <w:trHeight w:val="225"/>
        </w:trPr>
        <w:tc>
          <w:tcPr>
            <w:tcW w:w="6032" w:type="dxa"/>
            <w:gridSpan w:val="6"/>
            <w:tcBorders>
              <w:top w:val="nil"/>
              <w:left w:val="nil"/>
              <w:bottom w:val="nil"/>
              <w:right w:val="nil"/>
            </w:tcBorders>
            <w:shd w:val="clear" w:color="000000" w:fill="FFFFFF"/>
            <w:noWrap/>
            <w:vAlign w:val="center"/>
            <w:hideMark/>
          </w:tcPr>
          <w:p>
            <w:pPr>
              <w:jc w:val="center"/>
              <w:rPr>
                <w:rFonts w:eastAsia="Times New Roman"/>
                <w:b/>
                <w:bCs/>
                <w:noProof/>
                <w:lang w:val="de-DE" w:eastAsia="en-IE"/>
              </w:rPr>
            </w:pPr>
            <w:r>
              <w:rPr>
                <w:rFonts w:eastAsia="Times New Roman"/>
                <w:b/>
                <w:bCs/>
                <w:noProof/>
                <w:lang w:val="de-DE" w:eastAsia="en-IE"/>
              </w:rPr>
              <w:t>FDI EU28 with Peru (mio €)</w:t>
            </w:r>
          </w:p>
        </w:tc>
      </w:tr>
      <w:tr>
        <w:trPr>
          <w:trHeight w:val="225"/>
        </w:trPr>
        <w:tc>
          <w:tcPr>
            <w:tcW w:w="3392"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lang w:val="de-DE" w:eastAsia="en-IE"/>
              </w:rPr>
            </w:pPr>
            <w:r>
              <w:rPr>
                <w:rFonts w:eastAsia="Times New Roman"/>
                <w:noProof/>
                <w:lang w:val="de-DE" w:eastAsia="en-IE"/>
              </w:rPr>
              <w:t> </w:t>
            </w:r>
          </w:p>
        </w:tc>
        <w:tc>
          <w:tcPr>
            <w:tcW w:w="467"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lang w:val="en-IE" w:eastAsia="en-IE"/>
              </w:rPr>
            </w:pPr>
            <w:r>
              <w:rPr>
                <w:rFonts w:eastAsia="Times New Roman"/>
                <w:b/>
                <w:bCs/>
                <w:noProof/>
                <w:lang w:val="en-IE" w:eastAsia="en-IE"/>
              </w:rPr>
              <w:t>2013</w:t>
            </w:r>
          </w:p>
        </w:tc>
        <w:tc>
          <w:tcPr>
            <w:tcW w:w="49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2014</w:t>
            </w:r>
          </w:p>
        </w:tc>
        <w:tc>
          <w:tcPr>
            <w:tcW w:w="49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2015</w:t>
            </w:r>
          </w:p>
        </w:tc>
        <w:tc>
          <w:tcPr>
            <w:tcW w:w="49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2016</w:t>
            </w:r>
          </w:p>
        </w:tc>
        <w:tc>
          <w:tcPr>
            <w:tcW w:w="703"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lang w:val="en-IE" w:eastAsia="en-IE"/>
              </w:rPr>
            </w:pPr>
            <w:r>
              <w:rPr>
                <w:rFonts w:eastAsia="Times New Roman"/>
                <w:b/>
                <w:bCs/>
                <w:noProof/>
                <w:lang w:val="en-IE" w:eastAsia="en-IE"/>
              </w:rPr>
              <w:t>2017</w:t>
            </w:r>
          </w:p>
        </w:tc>
      </w:tr>
      <w:tr>
        <w:trPr>
          <w:trHeight w:val="225"/>
        </w:trPr>
        <w:tc>
          <w:tcPr>
            <w:tcW w:w="6032" w:type="dxa"/>
            <w:gridSpan w:val="6"/>
            <w:tcBorders>
              <w:top w:val="nil"/>
              <w:left w:val="nil"/>
              <w:bottom w:val="nil"/>
              <w:right w:val="nil"/>
            </w:tcBorders>
            <w:shd w:val="clear" w:color="000000" w:fill="FFFFFF"/>
            <w:noWrap/>
            <w:vAlign w:val="center"/>
            <w:hideMark/>
          </w:tcPr>
          <w:p>
            <w:pPr>
              <w:jc w:val="center"/>
              <w:rPr>
                <w:rFonts w:eastAsia="Times New Roman"/>
                <w:b/>
                <w:bCs/>
                <w:i/>
                <w:iCs/>
                <w:noProof/>
                <w:lang w:val="en-IE" w:eastAsia="en-IE"/>
              </w:rPr>
            </w:pPr>
            <w:r>
              <w:rPr>
                <w:rFonts w:eastAsia="Times New Roman"/>
                <w:b/>
                <w:bCs/>
                <w:i/>
                <w:iCs/>
                <w:noProof/>
                <w:lang w:val="en-IE" w:eastAsia="en-IE"/>
              </w:rPr>
              <w:t>FDI Stocks</w:t>
            </w:r>
          </w:p>
        </w:tc>
      </w:tr>
      <w:tr>
        <w:trPr>
          <w:trHeight w:val="225"/>
        </w:trPr>
        <w:tc>
          <w:tcPr>
            <w:tcW w:w="3392"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Inward</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244</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158</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2.293</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2.812</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3.416</w:t>
            </w:r>
          </w:p>
        </w:tc>
      </w:tr>
      <w:tr>
        <w:trPr>
          <w:trHeight w:val="225"/>
        </w:trPr>
        <w:tc>
          <w:tcPr>
            <w:tcW w:w="3392"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Outward</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9.567</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9.702</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13.244</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16.754</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16.630</w:t>
            </w:r>
          </w:p>
        </w:tc>
      </w:tr>
      <w:tr>
        <w:trPr>
          <w:trHeight w:val="225"/>
        </w:trPr>
        <w:tc>
          <w:tcPr>
            <w:tcW w:w="6032" w:type="dxa"/>
            <w:gridSpan w:val="6"/>
            <w:tcBorders>
              <w:top w:val="nil"/>
              <w:left w:val="nil"/>
              <w:bottom w:val="nil"/>
              <w:right w:val="nil"/>
            </w:tcBorders>
            <w:shd w:val="clear" w:color="000000" w:fill="FFFFFF"/>
            <w:noWrap/>
            <w:vAlign w:val="center"/>
            <w:hideMark/>
          </w:tcPr>
          <w:p>
            <w:pPr>
              <w:jc w:val="center"/>
              <w:rPr>
                <w:rFonts w:eastAsia="Times New Roman"/>
                <w:b/>
                <w:bCs/>
                <w:i/>
                <w:iCs/>
                <w:noProof/>
                <w:lang w:val="en-IE" w:eastAsia="en-IE"/>
              </w:rPr>
            </w:pPr>
            <w:r>
              <w:rPr>
                <w:rFonts w:eastAsia="Times New Roman"/>
                <w:b/>
                <w:bCs/>
                <w:i/>
                <w:iCs/>
                <w:noProof/>
                <w:lang w:val="en-IE" w:eastAsia="en-IE"/>
              </w:rPr>
              <w:t>FDI Flows</w:t>
            </w:r>
          </w:p>
        </w:tc>
      </w:tr>
      <w:tr>
        <w:trPr>
          <w:trHeight w:val="225"/>
        </w:trPr>
        <w:tc>
          <w:tcPr>
            <w:tcW w:w="3392"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Inward</w:t>
            </w:r>
          </w:p>
        </w:tc>
        <w:tc>
          <w:tcPr>
            <w:tcW w:w="467"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129</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-363</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836</w:t>
            </w:r>
          </w:p>
        </w:tc>
        <w:tc>
          <w:tcPr>
            <w:tcW w:w="490"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769</w:t>
            </w:r>
          </w:p>
        </w:tc>
        <w:tc>
          <w:tcPr>
            <w:tcW w:w="703" w:type="dxa"/>
            <w:tcBorders>
              <w:top w:val="nil"/>
              <w:left w:val="nil"/>
              <w:bottom w:val="nil"/>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60</w:t>
            </w:r>
          </w:p>
        </w:tc>
      </w:tr>
      <w:tr>
        <w:trPr>
          <w:trHeight w:val="225"/>
        </w:trPr>
        <w:tc>
          <w:tcPr>
            <w:tcW w:w="3392"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Outward</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519</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-1.440</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2.613</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3.862</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lang w:val="en-IE" w:eastAsia="en-IE"/>
              </w:rPr>
            </w:pPr>
            <w:r>
              <w:rPr>
                <w:rFonts w:eastAsia="Times New Roman"/>
                <w:noProof/>
                <w:lang w:val="en-IE" w:eastAsia="en-IE"/>
              </w:rPr>
              <w:t>752</w:t>
            </w:r>
          </w:p>
        </w:tc>
      </w:tr>
      <w:tr>
        <w:trPr>
          <w:trHeight w:val="225"/>
        </w:trPr>
        <w:tc>
          <w:tcPr>
            <w:tcW w:w="3392" w:type="dxa"/>
            <w:tcBorders>
              <w:top w:val="single" w:sz="4" w:space="0" w:color="auto"/>
              <w:left w:val="nil"/>
              <w:bottom w:val="nil"/>
              <w:right w:val="nil"/>
            </w:tcBorders>
            <w:shd w:val="clear" w:color="000000" w:fill="FFFFFF"/>
            <w:noWrap/>
            <w:hideMark/>
          </w:tcPr>
          <w:p>
            <w:pPr>
              <w:rPr>
                <w:rFonts w:eastAsia="Times New Roman"/>
                <w:noProof/>
                <w:lang w:val="en-IE" w:eastAsia="en-IE"/>
              </w:rPr>
            </w:pPr>
            <w:r>
              <w:rPr>
                <w:rFonts w:eastAsia="Times New Roman"/>
                <w:noProof/>
                <w:lang w:val="en-IE" w:eastAsia="en-IE"/>
              </w:rPr>
              <w:t>Source Trade G2 Statistics/ISDB from Eurostat BOP statistics</w:t>
            </w:r>
          </w:p>
        </w:tc>
        <w:tc>
          <w:tcPr>
            <w:tcW w:w="467" w:type="dxa"/>
            <w:tcBorders>
              <w:top w:val="nil"/>
              <w:left w:val="nil"/>
              <w:bottom w:val="nil"/>
              <w:right w:val="nil"/>
            </w:tcBorders>
            <w:shd w:val="clear" w:color="000000" w:fill="FFFFFF"/>
            <w:noWrap/>
            <w:hideMark/>
          </w:tcPr>
          <w:p>
            <w:pPr>
              <w:rPr>
                <w:rFonts w:eastAsia="Times New Roman"/>
                <w:noProof/>
                <w:lang w:val="en-IE" w:eastAsia="en-IE"/>
              </w:rPr>
            </w:pPr>
            <w:r>
              <w:rPr>
                <w:rFonts w:eastAsia="Times New Roman"/>
                <w:noProof/>
                <w:lang w:val="en-IE" w:eastAsia="en-IE"/>
              </w:rPr>
              <w:t> </w:t>
            </w:r>
          </w:p>
        </w:tc>
        <w:tc>
          <w:tcPr>
            <w:tcW w:w="49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49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490"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lang w:val="en-IE" w:eastAsia="en-IE"/>
              </w:rPr>
            </w:pPr>
            <w:r>
              <w:rPr>
                <w:rFonts w:eastAsia="Times New Roman"/>
                <w:noProof/>
                <w:lang w:val="en-IE" w:eastAsia="en-IE"/>
              </w:rPr>
              <w:t> </w:t>
            </w:r>
          </w:p>
        </w:tc>
      </w:tr>
    </w:tbl>
    <w:p>
      <w:pPr>
        <w:rPr>
          <w:b/>
          <w:noProof/>
        </w:rPr>
      </w:pPr>
    </w:p>
    <w:p>
      <w:pPr>
        <w:spacing w:after="200" w:line="276" w:lineRule="auto"/>
        <w:rPr>
          <w:noProof/>
        </w:rPr>
      </w:pPr>
      <w:r>
        <w:rPr>
          <w:noProof/>
        </w:rPr>
        <w:br w:type="page"/>
      </w:r>
    </w:p>
    <w:p>
      <w:pPr>
        <w:pStyle w:val="ChapterHead"/>
        <w:jc w:val="both"/>
        <w:rPr>
          <w:b/>
          <w:noProof/>
        </w:rPr>
      </w:pPr>
      <w:bookmarkStart w:id="396" w:name="_Toc8833475"/>
      <w:bookmarkStart w:id="397" w:name="_Toc8835302"/>
      <w:bookmarkStart w:id="398" w:name="_Toc8833932"/>
      <w:bookmarkStart w:id="399" w:name="_Toc8909395"/>
      <w:bookmarkStart w:id="400" w:name="_Toc8910607"/>
      <w:bookmarkStart w:id="401" w:name="_Toc8911644"/>
      <w:bookmarkStart w:id="402" w:name="_Toc8974442"/>
      <w:bookmarkStart w:id="403" w:name="_Toc9008118"/>
      <w:bookmarkStart w:id="404" w:name="_Toc9008071"/>
      <w:bookmarkStart w:id="405" w:name="_Toc9348516"/>
      <w:bookmarkStart w:id="406" w:name="_Toc9607967"/>
      <w:bookmarkStart w:id="407" w:name="_Toc16000543"/>
      <w:r>
        <w:rPr>
          <w:b/>
          <w:noProof/>
        </w:rPr>
        <w:t>ANNUAL REPORT ON THE IMPLEMENTATION OF PART IV OF THE ASSOCIATION AGREEMENT BETWEEN THE EU AND ITS MEMBER STATES AND CENTRAL AMERICA</w:t>
      </w:r>
      <w:bookmarkEnd w:id="396"/>
      <w:bookmarkEnd w:id="397"/>
      <w:bookmarkEnd w:id="398"/>
      <w:bookmarkEnd w:id="399"/>
      <w:bookmarkEnd w:id="400"/>
      <w:bookmarkEnd w:id="401"/>
      <w:bookmarkEnd w:id="402"/>
      <w:bookmarkEnd w:id="403"/>
      <w:bookmarkEnd w:id="404"/>
      <w:bookmarkEnd w:id="405"/>
      <w:bookmarkEnd w:id="406"/>
      <w:bookmarkEnd w:id="407"/>
    </w:p>
    <w:p>
      <w:pPr>
        <w:pStyle w:val="ManualHeading1"/>
      </w:pPr>
      <w:bookmarkStart w:id="408" w:name="_Toc8833476"/>
      <w:bookmarkStart w:id="409" w:name="_Toc8835303"/>
      <w:bookmarkStart w:id="410" w:name="_Toc8833933"/>
      <w:bookmarkStart w:id="411" w:name="_Toc8909396"/>
      <w:bookmarkStart w:id="412" w:name="_Toc8910608"/>
      <w:bookmarkStart w:id="413" w:name="_Toc8911645"/>
      <w:bookmarkStart w:id="414" w:name="_Toc8974443"/>
      <w:bookmarkStart w:id="415" w:name="_Toc9008119"/>
      <w:bookmarkStart w:id="416" w:name="_Toc9008072"/>
      <w:bookmarkStart w:id="417" w:name="_Toc9348517"/>
      <w:bookmarkStart w:id="418" w:name="_Toc9607968"/>
      <w:bookmarkStart w:id="419" w:name="_Toc16000544"/>
      <w:r>
        <w:t>1.</w:t>
      </w:r>
      <w:r>
        <w:tab/>
        <w:t>Introduction</w:t>
      </w:r>
      <w:bookmarkEnd w:id="408"/>
      <w:bookmarkEnd w:id="409"/>
      <w:bookmarkEnd w:id="410"/>
      <w:bookmarkEnd w:id="411"/>
      <w:bookmarkEnd w:id="412"/>
      <w:bookmarkEnd w:id="413"/>
      <w:bookmarkEnd w:id="414"/>
      <w:bookmarkEnd w:id="415"/>
      <w:bookmarkEnd w:id="416"/>
      <w:bookmarkEnd w:id="417"/>
      <w:bookmarkEnd w:id="418"/>
      <w:bookmarkEnd w:id="419"/>
    </w:p>
    <w:p>
      <w:pPr>
        <w:spacing w:after="200" w:line="276" w:lineRule="auto"/>
        <w:jc w:val="both"/>
        <w:rPr>
          <w:rFonts w:eastAsia="Calibri"/>
          <w:noProof/>
        </w:rPr>
      </w:pPr>
      <w:r>
        <w:rPr>
          <w:rFonts w:eastAsia="Calibri"/>
          <w:noProof/>
        </w:rPr>
        <w:t>The trade pillar (Part IV) of the European Union - Central America Association Agreement (“the Agreement”)</w:t>
      </w:r>
      <w:r>
        <w:rPr>
          <w:rFonts w:eastAsia="Calibri"/>
          <w:noProof/>
          <w:vertAlign w:val="superscript"/>
        </w:rPr>
        <w:footnoteReference w:id="20"/>
      </w:r>
      <w:r>
        <w:rPr>
          <w:rFonts w:eastAsia="Calibri"/>
          <w:noProof/>
          <w:vertAlign w:val="superscript"/>
        </w:rPr>
        <w:t xml:space="preserve"> </w:t>
      </w:r>
      <w:r>
        <w:rPr>
          <w:rFonts w:eastAsia="Calibri"/>
          <w:noProof/>
        </w:rPr>
        <w:t>has been in application for five years.</w:t>
      </w:r>
    </w:p>
    <w:p>
      <w:pPr>
        <w:spacing w:line="276" w:lineRule="auto"/>
        <w:jc w:val="both"/>
        <w:rPr>
          <w:rFonts w:eastAsia="Calibri"/>
          <w:noProof/>
        </w:rPr>
      </w:pPr>
      <w:r>
        <w:rPr>
          <w:rFonts w:eastAsia="Calibri"/>
          <w:noProof/>
        </w:rPr>
        <w:t>Under Article 13 of Regulation (EU) No 20/2013 of the European Parliament and of the Council of 15 January 2013 implementing the bilateral safeguard clause and the stabilisation mechanism for bananas of the Agreement establishing an Association between the European Union and its Member States, on the one hand, and Central America on the other</w:t>
      </w:r>
      <w:r>
        <w:rPr>
          <w:rStyle w:val="FootnoteReference"/>
          <w:rFonts w:eastAsia="Calibri"/>
          <w:noProof/>
        </w:rPr>
        <w:footnoteReference w:id="21"/>
      </w:r>
      <w:r>
        <w:rPr>
          <w:rFonts w:eastAsia="Calibri"/>
          <w:noProof/>
        </w:rPr>
        <w:t xml:space="preserve">, the Commission committed to submit an annual report to the European Parliament and the Council on the application, implementation and fulfilment of obligations of the Agreement and the Regulation. This report also responds to this requirement.  </w:t>
      </w:r>
    </w:p>
    <w:p>
      <w:pPr>
        <w:pStyle w:val="ManualHeading1"/>
      </w:pPr>
      <w:bookmarkStart w:id="420" w:name="_Toc8833477"/>
      <w:bookmarkStart w:id="421" w:name="_Toc8835304"/>
      <w:bookmarkStart w:id="422" w:name="_Toc8833934"/>
      <w:bookmarkStart w:id="423" w:name="_Toc8909397"/>
      <w:bookmarkStart w:id="424" w:name="_Toc8910609"/>
      <w:bookmarkStart w:id="425" w:name="_Toc8911646"/>
      <w:bookmarkStart w:id="426" w:name="_Toc8974447"/>
      <w:bookmarkStart w:id="427" w:name="_Toc9008120"/>
      <w:bookmarkStart w:id="428" w:name="_Toc9008073"/>
      <w:bookmarkStart w:id="429" w:name="_Toc9348518"/>
      <w:bookmarkStart w:id="430" w:name="_Toc9607969"/>
      <w:bookmarkStart w:id="431" w:name="_Toc16000545"/>
      <w:r>
        <w:t>2.</w:t>
      </w:r>
      <w:r>
        <w:tab/>
        <w:t>Overall assessment: evolution of bilateral trade</w:t>
      </w:r>
      <w:bookmarkEnd w:id="420"/>
      <w:bookmarkEnd w:id="421"/>
      <w:bookmarkEnd w:id="422"/>
      <w:bookmarkEnd w:id="423"/>
      <w:bookmarkEnd w:id="424"/>
      <w:bookmarkEnd w:id="425"/>
      <w:bookmarkEnd w:id="426"/>
      <w:bookmarkEnd w:id="427"/>
      <w:bookmarkEnd w:id="428"/>
      <w:bookmarkEnd w:id="429"/>
      <w:bookmarkEnd w:id="430"/>
      <w:bookmarkEnd w:id="431"/>
    </w:p>
    <w:p>
      <w:pPr>
        <w:pStyle w:val="ManualHeading2"/>
      </w:pPr>
      <w:bookmarkStart w:id="432" w:name="_Toc8833478"/>
      <w:bookmarkStart w:id="433" w:name="_Toc8835305"/>
      <w:bookmarkStart w:id="434" w:name="_Toc8833935"/>
      <w:bookmarkStart w:id="435" w:name="_Toc8909398"/>
      <w:bookmarkStart w:id="436" w:name="_Toc8910610"/>
      <w:bookmarkStart w:id="437" w:name="_Toc8911647"/>
      <w:bookmarkStart w:id="438" w:name="_Toc8974448"/>
      <w:bookmarkStart w:id="439" w:name="_Toc9008121"/>
      <w:bookmarkStart w:id="440" w:name="_Toc9008074"/>
      <w:bookmarkStart w:id="441" w:name="_Toc9348519"/>
      <w:bookmarkStart w:id="442" w:name="_Toc9607970"/>
      <w:bookmarkStart w:id="443" w:name="_Toc16000546"/>
      <w:r>
        <w:t>2.1</w:t>
      </w:r>
      <w:r>
        <w:tab/>
        <w:t>Trade in Goods overall</w:t>
      </w:r>
      <w:bookmarkEnd w:id="432"/>
      <w:bookmarkEnd w:id="433"/>
      <w:bookmarkEnd w:id="434"/>
      <w:bookmarkEnd w:id="435"/>
      <w:bookmarkEnd w:id="436"/>
      <w:bookmarkEnd w:id="437"/>
      <w:bookmarkEnd w:id="438"/>
      <w:bookmarkEnd w:id="439"/>
      <w:bookmarkEnd w:id="440"/>
      <w:bookmarkEnd w:id="441"/>
      <w:bookmarkEnd w:id="442"/>
      <w:bookmarkEnd w:id="443"/>
    </w:p>
    <w:p>
      <w:pPr>
        <w:spacing w:line="276" w:lineRule="auto"/>
        <w:jc w:val="both"/>
        <w:rPr>
          <w:rFonts w:eastAsia="Calibri"/>
          <w:noProof/>
        </w:rPr>
      </w:pPr>
      <w:r>
        <w:rPr>
          <w:rFonts w:eastAsia="Calibri"/>
          <w:noProof/>
        </w:rPr>
        <w:t>The EU trade with Central America in 2018 was overall quite balanced, with only a slight overall deficit of around €0.1 billion in favour of Central America. The EU enjoyed a considerable surplus of around €1.8 million with Panama and a €0.5 billion surplus with El Salvador. This surplus, however, is netted out by the deficit recorded with Costa Rica (€1.6 billion) and Honduras (€0.6 billion). Trade flows with Guatemala were quite balanced whereas with Nicaragua the EU recorded a deficit of about €0.2 billion.</w:t>
      </w:r>
    </w:p>
    <w:p>
      <w:pPr>
        <w:spacing w:line="276" w:lineRule="auto"/>
        <w:jc w:val="both"/>
        <w:rPr>
          <w:rFonts w:eastAsia="Calibri"/>
          <w:noProof/>
        </w:rPr>
      </w:pPr>
    </w:p>
    <w:p>
      <w:pPr>
        <w:spacing w:line="276" w:lineRule="auto"/>
        <w:jc w:val="both"/>
        <w:rPr>
          <w:rFonts w:eastAsia="Calibri"/>
          <w:noProof/>
        </w:rPr>
      </w:pPr>
      <w:r>
        <w:rPr>
          <w:rFonts w:eastAsia="Calibri"/>
          <w:noProof/>
        </w:rPr>
        <w:t xml:space="preserve">EU imports amounted to around €6.2 billion and remained roughly at the same level as in 2017. They were however still around 5.5% higher than the average value for the period 2014-2018. The EU maintained a stable level of imports from its largest supplier in the region, Costa Rica. A significant increase in relative terms (almost 40%) was recorded in imports from Panama, but that growth translated to a still relatively low level in absolute terms (€0.7 billion). On the whole, Central America accounts for around 0.3% of total EU trade with the world. </w:t>
      </w:r>
    </w:p>
    <w:p>
      <w:pPr>
        <w:spacing w:line="276" w:lineRule="auto"/>
        <w:jc w:val="both"/>
        <w:rPr>
          <w:rFonts w:eastAsia="Calibri"/>
          <w:noProof/>
        </w:rPr>
      </w:pPr>
    </w:p>
    <w:p>
      <w:pPr>
        <w:spacing w:line="276" w:lineRule="auto"/>
        <w:jc w:val="both"/>
        <w:rPr>
          <w:rFonts w:eastAsia="Calibri"/>
          <w:noProof/>
        </w:rPr>
      </w:pPr>
      <w:r>
        <w:rPr>
          <w:rFonts w:eastAsia="Calibri"/>
          <w:noProof/>
        </w:rPr>
        <w:t xml:space="preserve">In constrast to previous years, in 2018 </w:t>
      </w:r>
      <w:r>
        <w:rPr>
          <w:rFonts w:eastAsia="Calibri"/>
          <w:b/>
          <w:noProof/>
        </w:rPr>
        <w:t>EU exports to Central America registered an annual double-digit growth of 11%.</w:t>
      </w:r>
      <w:r>
        <w:rPr>
          <w:rFonts w:eastAsia="Calibri"/>
          <w:noProof/>
        </w:rPr>
        <w:t xml:space="preserve"> This growth fits into the general trend of increasing EU global exports (4% over 2017). The increase in exports was mainly due to increased exports to Panama (up 15%) and El Salvador (up 68%). As regards other countries in the region, no significant change in trade flows was observed. Panama imported almost 2.5 times more transport equipment from the EU than in 2017 (ships and aircraft). El Salvador made similar purchases to the value of €0.3 billion, unobserved in previous years (aircraft). </w:t>
      </w:r>
    </w:p>
    <w:p>
      <w:pPr>
        <w:pStyle w:val="Heading3"/>
        <w:ind w:left="0" w:firstLine="0"/>
        <w:rPr>
          <w:noProof/>
          <w:szCs w:val="24"/>
          <w:u w:val="single"/>
        </w:rPr>
      </w:pPr>
      <w:bookmarkStart w:id="444" w:name="_Toc8833479"/>
      <w:bookmarkStart w:id="445" w:name="_Toc8835306"/>
      <w:bookmarkStart w:id="446" w:name="_Toc8833936"/>
      <w:bookmarkStart w:id="447" w:name="_Toc8909399"/>
      <w:bookmarkStart w:id="448" w:name="_Toc8910611"/>
      <w:bookmarkStart w:id="449" w:name="_Toc8911648"/>
      <w:bookmarkStart w:id="450" w:name="_Toc8974449"/>
      <w:bookmarkStart w:id="451" w:name="_Toc9008122"/>
      <w:bookmarkStart w:id="452" w:name="_Toc9008075"/>
      <w:bookmarkStart w:id="453" w:name="_Toc9348520"/>
      <w:bookmarkStart w:id="454" w:name="_Toc9607971"/>
      <w:bookmarkStart w:id="455" w:name="_Toc16000547"/>
      <w:r>
        <w:rPr>
          <w:noProof/>
          <w:szCs w:val="24"/>
          <w:u w:val="single"/>
        </w:rPr>
        <w:t>Sectoral structure of trade</w:t>
      </w:r>
      <w:bookmarkEnd w:id="444"/>
      <w:bookmarkEnd w:id="445"/>
      <w:bookmarkEnd w:id="446"/>
      <w:bookmarkEnd w:id="447"/>
      <w:bookmarkEnd w:id="448"/>
      <w:bookmarkEnd w:id="449"/>
      <w:bookmarkEnd w:id="450"/>
      <w:bookmarkEnd w:id="451"/>
      <w:bookmarkEnd w:id="452"/>
      <w:bookmarkEnd w:id="453"/>
      <w:bookmarkEnd w:id="454"/>
      <w:bookmarkEnd w:id="455"/>
    </w:p>
    <w:p>
      <w:pPr>
        <w:keepNext/>
        <w:rPr>
          <w:i/>
          <w:iCs/>
          <w:noProof/>
        </w:rPr>
      </w:pPr>
      <w:r>
        <w:rPr>
          <w:i/>
          <w:iCs/>
          <w:noProof/>
        </w:rPr>
        <w:t>EU imports</w:t>
      </w:r>
    </w:p>
    <w:p>
      <w:pPr>
        <w:keepNext/>
        <w:rPr>
          <w:i/>
          <w:iCs/>
          <w:noProof/>
        </w:rPr>
      </w:pPr>
    </w:p>
    <w:p>
      <w:pPr>
        <w:jc w:val="both"/>
        <w:rPr>
          <w:rFonts w:eastAsia="Calibri"/>
          <w:noProof/>
        </w:rPr>
      </w:pPr>
      <w:r>
        <w:rPr>
          <w:rFonts w:eastAsia="Calibri"/>
          <w:b/>
          <w:noProof/>
        </w:rPr>
        <w:t>Agricultural foodstuffs make up 2/3 of EU imports from Central America</w:t>
      </w:r>
      <w:r>
        <w:rPr>
          <w:rFonts w:eastAsia="Calibri"/>
          <w:noProof/>
        </w:rPr>
        <w:t>, totalling €4.1 billion. Fruits constitute the largest chunk of those agricultural imports (close to €2 billion), including mainly bananas (€1.2 billion), pineapples, melons and papayas. Costa Rica is responsible for exports of a vast majority of these fruit to the EU. 2018 was another record setting year in the sale of fruits to the EU, in particular in the case of bananas. Other significant items include coffee (€0.9 billion), and animal and vegetable oils (€0.5 billion). Coffee comes mainly from Honduras, and to a smaller extent from Guatemala, Costa Rica and El Salvador. In 2018 Honduras was the third EU’s supplier of coffee (unroasted) (after Brazil and Vietnam). Vegetable oils include primarly palm oil (85% of the category) and coconut oil. Honduras and Guatemala and the biggest exporters of palm oil from the region, together accounting for around 11% of EU imports of palm oil. Little changes in trade in these main agricultural items were observed over the year, with a slight fall in the value of coffee (down 6%) and a slight increase in fruits (up 4%). Yet, on a national level, Honduras suffered a strongest decline (down 11%) which was compensated to some extent by others (e.g. Guatemala, Nicaragua).</w:t>
      </w:r>
    </w:p>
    <w:p>
      <w:pPr>
        <w:jc w:val="both"/>
        <w:rPr>
          <w:rFonts w:eastAsia="Calibri"/>
          <w:noProof/>
        </w:rPr>
      </w:pPr>
    </w:p>
    <w:p>
      <w:pPr>
        <w:jc w:val="both"/>
        <w:rPr>
          <w:rFonts w:eastAsia="Calibri"/>
          <w:noProof/>
        </w:rPr>
      </w:pPr>
      <w:r>
        <w:rPr>
          <w:rFonts w:eastAsia="Calibri"/>
          <w:b/>
          <w:noProof/>
        </w:rPr>
        <w:t>Another major category of imports are medical instruments and devices</w:t>
      </w:r>
      <w:r>
        <w:rPr>
          <w:rFonts w:eastAsia="Calibri"/>
          <w:noProof/>
        </w:rPr>
        <w:t xml:space="preserve"> that the EU sources from Costa Rica. These supplies are on the upward path, up 10% from the previous year. They accounted for around 12% of imports from Central America last year.</w:t>
      </w:r>
    </w:p>
    <w:p>
      <w:pPr>
        <w:jc w:val="both"/>
        <w:rPr>
          <w:rFonts w:eastAsia="Calibri"/>
          <w:noProof/>
        </w:rPr>
      </w:pPr>
    </w:p>
    <w:p>
      <w:pPr>
        <w:keepNext/>
        <w:rPr>
          <w:rFonts w:eastAsia="Calibri"/>
          <w:i/>
          <w:noProof/>
        </w:rPr>
      </w:pPr>
      <w:r>
        <w:rPr>
          <w:rFonts w:eastAsia="Calibri"/>
          <w:i/>
          <w:noProof/>
        </w:rPr>
        <w:t>EU exports</w:t>
      </w:r>
    </w:p>
    <w:p>
      <w:pPr>
        <w:keepNext/>
        <w:rPr>
          <w:rFonts w:eastAsia="Calibri"/>
          <w:i/>
          <w:noProof/>
        </w:rPr>
      </w:pPr>
    </w:p>
    <w:p>
      <w:pPr>
        <w:jc w:val="both"/>
        <w:rPr>
          <w:rFonts w:eastAsia="Calibri"/>
          <w:noProof/>
        </w:rPr>
      </w:pPr>
      <w:r>
        <w:rPr>
          <w:rFonts w:eastAsia="Calibri"/>
          <w:noProof/>
        </w:rPr>
        <w:t>EU exports to Central America are more diversified than imports. Around 60% of EU exports are concentrated in three major product categories: chemical industry products, machinery and appliances, and transport equipment. The chemical industry products are mainly pharmaceuticals and cosmetics, going primarily to Panama. Exports of transport equipment included ships and aircraft. EU exports of chemical products remained at a similar level as in 2017; a slight drop (8%) was observed in the case of machinery and appliances, whereas in the case of transport equipment, the EU recorded a spectacular growth of 144%. As explained above this was mainly due to increased purchases of Panama and El Salvador.</w:t>
      </w:r>
    </w:p>
    <w:p>
      <w:pPr>
        <w:pStyle w:val="Heading3"/>
        <w:ind w:left="0" w:firstLine="0"/>
        <w:rPr>
          <w:noProof/>
          <w:szCs w:val="24"/>
        </w:rPr>
      </w:pPr>
      <w:bookmarkStart w:id="456" w:name="_Toc8833480"/>
      <w:bookmarkStart w:id="457" w:name="_Toc8835307"/>
      <w:bookmarkStart w:id="458" w:name="_Toc8833937"/>
      <w:bookmarkStart w:id="459" w:name="_Toc8909400"/>
      <w:bookmarkStart w:id="460" w:name="_Toc8910612"/>
      <w:bookmarkStart w:id="461" w:name="_Toc8911649"/>
      <w:bookmarkStart w:id="462" w:name="_Toc8974450"/>
      <w:bookmarkStart w:id="463" w:name="_Toc9008123"/>
      <w:bookmarkStart w:id="464" w:name="_Toc9008526"/>
      <w:bookmarkStart w:id="465" w:name="_Toc9348521"/>
      <w:bookmarkStart w:id="466" w:name="_Toc9607972"/>
      <w:bookmarkStart w:id="467" w:name="_Toc16000548"/>
      <w:r>
        <w:rPr>
          <w:noProof/>
          <w:szCs w:val="24"/>
        </w:rPr>
        <w:t>Country-by-Country analysis</w:t>
      </w:r>
      <w:bookmarkEnd w:id="456"/>
      <w:bookmarkEnd w:id="457"/>
      <w:bookmarkEnd w:id="458"/>
      <w:bookmarkEnd w:id="459"/>
      <w:bookmarkEnd w:id="460"/>
      <w:bookmarkEnd w:id="461"/>
      <w:bookmarkEnd w:id="462"/>
      <w:bookmarkEnd w:id="463"/>
      <w:bookmarkEnd w:id="464"/>
      <w:bookmarkEnd w:id="465"/>
      <w:bookmarkEnd w:id="466"/>
      <w:bookmarkEnd w:id="467"/>
    </w:p>
    <w:p>
      <w:pPr>
        <w:jc w:val="both"/>
        <w:rPr>
          <w:noProof/>
        </w:rPr>
      </w:pPr>
      <w:r>
        <w:rPr>
          <w:noProof/>
        </w:rPr>
        <w:t xml:space="preserve">On a national basis, the Costa Rica accounts for 44% of all EU imports from the six Central American countries. By contrast, Panama is the greatest recipient of EU exports, with a 42% share in the EU’s total exports to these countries. </w:t>
      </w:r>
    </w:p>
    <w:p>
      <w:pPr>
        <w:jc w:val="both"/>
        <w:rPr>
          <w:noProof/>
        </w:rPr>
      </w:pPr>
    </w:p>
    <w:p>
      <w:pPr>
        <w:jc w:val="both"/>
        <w:rPr>
          <w:noProof/>
        </w:rPr>
      </w:pPr>
      <w:r>
        <w:rPr>
          <w:noProof/>
        </w:rPr>
        <w:t>The top three recipients of EU exports are Panama, Costa Rica and Guatemala, together accounting for around 75% of EU sales to the region in 2018. By contrast, the top three sources of imports were Costa Rica, Honduras and Guatemala with a combined 79% share in EU total imports from the six Central American countries.</w:t>
      </w:r>
    </w:p>
    <w:p>
      <w:pPr>
        <w:pStyle w:val="Caption"/>
        <w:keepNext/>
        <w:rPr>
          <w:noProof/>
          <w:sz w:val="24"/>
          <w:szCs w:val="24"/>
        </w:rPr>
      </w:pPr>
    </w:p>
    <w:tbl>
      <w:tblPr>
        <w:tblW w:w="7280" w:type="dxa"/>
        <w:tblLook w:val="04A0" w:firstRow="1" w:lastRow="0" w:firstColumn="1" w:lastColumn="0" w:noHBand="0" w:noVBand="1"/>
      </w:tblPr>
      <w:tblGrid>
        <w:gridCol w:w="1540"/>
        <w:gridCol w:w="1280"/>
        <w:gridCol w:w="1020"/>
        <w:gridCol w:w="1240"/>
        <w:gridCol w:w="1157"/>
        <w:gridCol w:w="1043"/>
      </w:tblGrid>
      <w:tr>
        <w:trPr>
          <w:trHeight w:val="585"/>
        </w:trPr>
        <w:tc>
          <w:tcPr>
            <w:tcW w:w="15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pPr>
              <w:keepNext/>
              <w:jc w:val="center"/>
              <w:rPr>
                <w:rFonts w:eastAsia="Times New Roman"/>
                <w:b/>
                <w:bCs/>
                <w:noProof/>
                <w:color w:val="000000" w:themeColor="text1"/>
                <w:lang w:eastAsia="en-GB"/>
              </w:rPr>
            </w:pPr>
            <w:r>
              <w:rPr>
                <w:rFonts w:eastAsia="Times New Roman"/>
                <w:b/>
                <w:bCs/>
                <w:noProof/>
                <w:color w:val="000000" w:themeColor="text1"/>
                <w:lang w:eastAsia="en-GB"/>
              </w:rPr>
              <w:t>Country</w:t>
            </w:r>
          </w:p>
        </w:tc>
        <w:tc>
          <w:tcPr>
            <w:tcW w:w="1280" w:type="dxa"/>
            <w:tcBorders>
              <w:top w:val="single" w:sz="8" w:space="0" w:color="auto"/>
              <w:left w:val="nil"/>
              <w:bottom w:val="single" w:sz="8" w:space="0" w:color="auto"/>
              <w:right w:val="single" w:sz="8" w:space="0" w:color="auto"/>
            </w:tcBorders>
            <w:shd w:val="clear" w:color="auto" w:fill="auto"/>
            <w:vAlign w:val="center"/>
            <w:hideMark/>
          </w:tcPr>
          <w:p>
            <w:pPr>
              <w:keepNext/>
              <w:jc w:val="center"/>
              <w:rPr>
                <w:rFonts w:eastAsia="Times New Roman"/>
                <w:b/>
                <w:bCs/>
                <w:noProof/>
                <w:color w:val="000000" w:themeColor="text1"/>
                <w:lang w:eastAsia="en-GB"/>
              </w:rPr>
            </w:pPr>
            <w:r>
              <w:rPr>
                <w:rFonts w:eastAsia="Times New Roman"/>
                <w:b/>
                <w:bCs/>
                <w:noProof/>
                <w:color w:val="000000" w:themeColor="text1"/>
                <w:lang w:eastAsia="en-GB"/>
              </w:rPr>
              <w:t>EU exports (mio €)</w:t>
            </w:r>
          </w:p>
        </w:tc>
        <w:tc>
          <w:tcPr>
            <w:tcW w:w="1020" w:type="dxa"/>
            <w:tcBorders>
              <w:top w:val="single" w:sz="8" w:space="0" w:color="auto"/>
              <w:left w:val="nil"/>
              <w:bottom w:val="single" w:sz="8" w:space="0" w:color="auto"/>
              <w:right w:val="single" w:sz="8" w:space="0" w:color="auto"/>
            </w:tcBorders>
            <w:shd w:val="clear" w:color="auto" w:fill="auto"/>
            <w:noWrap/>
            <w:vAlign w:val="center"/>
            <w:hideMark/>
          </w:tcPr>
          <w:p>
            <w:pPr>
              <w:keepNext/>
              <w:jc w:val="center"/>
              <w:rPr>
                <w:rFonts w:eastAsia="Times New Roman"/>
                <w:b/>
                <w:bCs/>
                <w:noProof/>
                <w:color w:val="000000" w:themeColor="text1"/>
                <w:lang w:eastAsia="en-GB"/>
              </w:rPr>
            </w:pPr>
            <w:r>
              <w:rPr>
                <w:rFonts w:eastAsia="Times New Roman"/>
                <w:b/>
                <w:bCs/>
                <w:noProof/>
                <w:color w:val="000000" w:themeColor="text1"/>
                <w:lang w:eastAsia="en-GB"/>
              </w:rPr>
              <w:t xml:space="preserve">% share </w:t>
            </w:r>
          </w:p>
        </w:tc>
        <w:tc>
          <w:tcPr>
            <w:tcW w:w="1240" w:type="dxa"/>
            <w:tcBorders>
              <w:top w:val="single" w:sz="8" w:space="0" w:color="auto"/>
              <w:left w:val="nil"/>
              <w:bottom w:val="single" w:sz="8" w:space="0" w:color="auto"/>
              <w:right w:val="single" w:sz="8" w:space="0" w:color="auto"/>
            </w:tcBorders>
            <w:shd w:val="clear" w:color="auto" w:fill="auto"/>
            <w:vAlign w:val="center"/>
            <w:hideMark/>
          </w:tcPr>
          <w:p>
            <w:pPr>
              <w:keepNext/>
              <w:jc w:val="center"/>
              <w:rPr>
                <w:rFonts w:eastAsia="Times New Roman"/>
                <w:b/>
                <w:bCs/>
                <w:noProof/>
                <w:color w:val="000000" w:themeColor="text1"/>
                <w:lang w:eastAsia="en-GB"/>
              </w:rPr>
            </w:pPr>
            <w:r>
              <w:rPr>
                <w:rFonts w:eastAsia="Times New Roman"/>
                <w:b/>
                <w:bCs/>
                <w:noProof/>
                <w:color w:val="000000" w:themeColor="text1"/>
                <w:lang w:eastAsia="en-GB"/>
              </w:rPr>
              <w:t>EU imports (mio €)</w:t>
            </w:r>
          </w:p>
        </w:tc>
        <w:tc>
          <w:tcPr>
            <w:tcW w:w="1157" w:type="dxa"/>
            <w:tcBorders>
              <w:top w:val="single" w:sz="8" w:space="0" w:color="auto"/>
              <w:left w:val="nil"/>
              <w:bottom w:val="single" w:sz="8" w:space="0" w:color="auto"/>
              <w:right w:val="single" w:sz="8" w:space="0" w:color="auto"/>
            </w:tcBorders>
            <w:shd w:val="clear" w:color="auto" w:fill="auto"/>
            <w:noWrap/>
            <w:vAlign w:val="center"/>
            <w:hideMark/>
          </w:tcPr>
          <w:p>
            <w:pPr>
              <w:keepNext/>
              <w:jc w:val="center"/>
              <w:rPr>
                <w:rFonts w:eastAsia="Times New Roman"/>
                <w:b/>
                <w:bCs/>
                <w:noProof/>
                <w:color w:val="000000" w:themeColor="text1"/>
                <w:lang w:eastAsia="en-GB"/>
              </w:rPr>
            </w:pPr>
            <w:r>
              <w:rPr>
                <w:rFonts w:eastAsia="Times New Roman"/>
                <w:b/>
                <w:bCs/>
                <w:noProof/>
                <w:color w:val="000000" w:themeColor="text1"/>
                <w:lang w:eastAsia="en-GB"/>
              </w:rPr>
              <w:t>% share</w:t>
            </w:r>
          </w:p>
        </w:tc>
        <w:tc>
          <w:tcPr>
            <w:tcW w:w="1043" w:type="dxa"/>
            <w:tcBorders>
              <w:top w:val="single" w:sz="8" w:space="0" w:color="auto"/>
              <w:left w:val="nil"/>
              <w:bottom w:val="single" w:sz="8" w:space="0" w:color="auto"/>
              <w:right w:val="single" w:sz="8" w:space="0" w:color="auto"/>
            </w:tcBorders>
            <w:shd w:val="clear" w:color="auto" w:fill="auto"/>
            <w:vAlign w:val="center"/>
            <w:hideMark/>
          </w:tcPr>
          <w:p>
            <w:pPr>
              <w:keepNext/>
              <w:jc w:val="center"/>
              <w:rPr>
                <w:rFonts w:eastAsia="Times New Roman"/>
                <w:b/>
                <w:bCs/>
                <w:noProof/>
                <w:color w:val="000000" w:themeColor="text1"/>
                <w:lang w:eastAsia="en-GB"/>
              </w:rPr>
            </w:pPr>
            <w:r>
              <w:rPr>
                <w:rFonts w:eastAsia="Times New Roman"/>
                <w:b/>
                <w:bCs/>
                <w:noProof/>
                <w:color w:val="000000" w:themeColor="text1"/>
                <w:lang w:eastAsia="en-GB"/>
              </w:rPr>
              <w:t>Trade balance</w:t>
            </w:r>
          </w:p>
        </w:tc>
      </w:tr>
      <w:tr>
        <w:trPr>
          <w:trHeight w:val="315"/>
        </w:trPr>
        <w:tc>
          <w:tcPr>
            <w:tcW w:w="1540" w:type="dxa"/>
            <w:tcBorders>
              <w:top w:val="nil"/>
              <w:left w:val="single" w:sz="8" w:space="0" w:color="auto"/>
              <w:bottom w:val="single" w:sz="8" w:space="0" w:color="auto"/>
              <w:right w:val="single" w:sz="8" w:space="0" w:color="auto"/>
            </w:tcBorders>
            <w:shd w:val="clear" w:color="auto" w:fill="auto"/>
            <w:noWrap/>
            <w:vAlign w:val="center"/>
            <w:hideMark/>
          </w:tcPr>
          <w:p>
            <w:pPr>
              <w:keepNext/>
              <w:jc w:val="center"/>
              <w:rPr>
                <w:rFonts w:eastAsia="Times New Roman"/>
                <w:noProof/>
                <w:color w:val="000000" w:themeColor="text1"/>
                <w:lang w:eastAsia="en-GB"/>
              </w:rPr>
            </w:pPr>
            <w:r>
              <w:rPr>
                <w:rFonts w:eastAsia="Times New Roman"/>
                <w:noProof/>
                <w:color w:val="000000" w:themeColor="text1"/>
                <w:lang w:eastAsia="en-GB"/>
              </w:rPr>
              <w:t>Costa Rica</w:t>
            </w:r>
          </w:p>
        </w:tc>
        <w:tc>
          <w:tcPr>
            <w:tcW w:w="1280" w:type="dxa"/>
            <w:tcBorders>
              <w:top w:val="nil"/>
              <w:left w:val="nil"/>
              <w:bottom w:val="single" w:sz="8" w:space="0" w:color="auto"/>
              <w:right w:val="single" w:sz="8" w:space="0" w:color="auto"/>
            </w:tcBorders>
            <w:shd w:val="clear" w:color="auto" w:fill="auto"/>
            <w:noWrap/>
            <w:vAlign w:val="center"/>
            <w:hideMark/>
          </w:tcPr>
          <w:p>
            <w:pPr>
              <w:keepNext/>
              <w:jc w:val="center"/>
              <w:rPr>
                <w:rFonts w:eastAsia="Times New Roman"/>
                <w:noProof/>
                <w:color w:val="000000" w:themeColor="text1"/>
                <w:lang w:eastAsia="en-GB"/>
              </w:rPr>
            </w:pPr>
            <w:r>
              <w:rPr>
                <w:rFonts w:eastAsia="Times New Roman"/>
                <w:noProof/>
                <w:color w:val="000000" w:themeColor="text1"/>
                <w:lang w:eastAsia="en-GB"/>
              </w:rPr>
              <w:t>1.046</w:t>
            </w:r>
          </w:p>
        </w:tc>
        <w:tc>
          <w:tcPr>
            <w:tcW w:w="1020" w:type="dxa"/>
            <w:tcBorders>
              <w:top w:val="nil"/>
              <w:left w:val="nil"/>
              <w:bottom w:val="single" w:sz="8" w:space="0" w:color="auto"/>
              <w:right w:val="single" w:sz="8" w:space="0" w:color="auto"/>
            </w:tcBorders>
            <w:shd w:val="clear" w:color="auto" w:fill="auto"/>
            <w:noWrap/>
            <w:vAlign w:val="center"/>
            <w:hideMark/>
          </w:tcPr>
          <w:p>
            <w:pPr>
              <w:keepNext/>
              <w:jc w:val="center"/>
              <w:rPr>
                <w:rFonts w:eastAsia="Times New Roman"/>
                <w:noProof/>
                <w:color w:val="000000" w:themeColor="text1"/>
                <w:lang w:eastAsia="en-GB"/>
              </w:rPr>
            </w:pPr>
            <w:r>
              <w:rPr>
                <w:rFonts w:eastAsia="Times New Roman"/>
                <w:noProof/>
                <w:color w:val="000000" w:themeColor="text1"/>
                <w:lang w:eastAsia="en-GB"/>
              </w:rPr>
              <w:t>17%</w:t>
            </w:r>
          </w:p>
        </w:tc>
        <w:tc>
          <w:tcPr>
            <w:tcW w:w="1240" w:type="dxa"/>
            <w:tcBorders>
              <w:top w:val="nil"/>
              <w:left w:val="nil"/>
              <w:bottom w:val="single" w:sz="8" w:space="0" w:color="auto"/>
              <w:right w:val="single" w:sz="8" w:space="0" w:color="auto"/>
            </w:tcBorders>
            <w:shd w:val="clear" w:color="auto" w:fill="auto"/>
            <w:noWrap/>
            <w:vAlign w:val="center"/>
            <w:hideMark/>
          </w:tcPr>
          <w:p>
            <w:pPr>
              <w:keepNext/>
              <w:jc w:val="center"/>
              <w:rPr>
                <w:rFonts w:eastAsia="Times New Roman"/>
                <w:noProof/>
                <w:color w:val="000000" w:themeColor="text1"/>
                <w:lang w:eastAsia="en-GB"/>
              </w:rPr>
            </w:pPr>
            <w:r>
              <w:rPr>
                <w:rFonts w:eastAsia="Times New Roman"/>
                <w:noProof/>
                <w:color w:val="000000" w:themeColor="text1"/>
                <w:lang w:eastAsia="en-GB"/>
              </w:rPr>
              <w:t>2.689</w:t>
            </w:r>
          </w:p>
        </w:tc>
        <w:tc>
          <w:tcPr>
            <w:tcW w:w="1157" w:type="dxa"/>
            <w:tcBorders>
              <w:top w:val="nil"/>
              <w:left w:val="nil"/>
              <w:bottom w:val="single" w:sz="8" w:space="0" w:color="auto"/>
              <w:right w:val="single" w:sz="8" w:space="0" w:color="auto"/>
            </w:tcBorders>
            <w:shd w:val="clear" w:color="auto" w:fill="auto"/>
            <w:noWrap/>
            <w:vAlign w:val="center"/>
            <w:hideMark/>
          </w:tcPr>
          <w:p>
            <w:pPr>
              <w:keepNext/>
              <w:jc w:val="center"/>
              <w:rPr>
                <w:rFonts w:eastAsia="Times New Roman"/>
                <w:noProof/>
                <w:color w:val="000000" w:themeColor="text1"/>
                <w:lang w:eastAsia="en-GB"/>
              </w:rPr>
            </w:pPr>
            <w:r>
              <w:rPr>
                <w:rFonts w:eastAsia="Times New Roman"/>
                <w:noProof/>
                <w:color w:val="000000" w:themeColor="text1"/>
                <w:lang w:eastAsia="en-GB"/>
              </w:rPr>
              <w:t>44%</w:t>
            </w:r>
          </w:p>
        </w:tc>
        <w:tc>
          <w:tcPr>
            <w:tcW w:w="1043" w:type="dxa"/>
            <w:tcBorders>
              <w:top w:val="nil"/>
              <w:left w:val="nil"/>
              <w:bottom w:val="single" w:sz="8" w:space="0" w:color="auto"/>
              <w:right w:val="single" w:sz="8" w:space="0" w:color="auto"/>
            </w:tcBorders>
            <w:shd w:val="clear" w:color="auto" w:fill="auto"/>
            <w:noWrap/>
            <w:vAlign w:val="center"/>
            <w:hideMark/>
          </w:tcPr>
          <w:p>
            <w:pPr>
              <w:keepNext/>
              <w:jc w:val="center"/>
              <w:rPr>
                <w:rFonts w:eastAsia="Times New Roman"/>
                <w:noProof/>
                <w:color w:val="000000" w:themeColor="text1"/>
                <w:lang w:eastAsia="en-GB"/>
              </w:rPr>
            </w:pPr>
            <w:r>
              <w:rPr>
                <w:rFonts w:eastAsia="Times New Roman"/>
                <w:noProof/>
                <w:color w:val="000000" w:themeColor="text1"/>
                <w:lang w:eastAsia="en-GB"/>
              </w:rPr>
              <w:t>-1643</w:t>
            </w:r>
          </w:p>
        </w:tc>
      </w:tr>
      <w:tr>
        <w:trPr>
          <w:trHeight w:val="315"/>
        </w:trPr>
        <w:tc>
          <w:tcPr>
            <w:tcW w:w="1540" w:type="dxa"/>
            <w:tcBorders>
              <w:top w:val="nil"/>
              <w:left w:val="single" w:sz="8" w:space="0" w:color="auto"/>
              <w:bottom w:val="single" w:sz="8" w:space="0" w:color="auto"/>
              <w:right w:val="single" w:sz="8" w:space="0" w:color="auto"/>
            </w:tcBorders>
            <w:shd w:val="clear" w:color="auto" w:fill="auto"/>
            <w:noWrap/>
            <w:vAlign w:val="center"/>
            <w:hideMark/>
          </w:tcPr>
          <w:p>
            <w:pPr>
              <w:keepNext/>
              <w:jc w:val="center"/>
              <w:rPr>
                <w:rFonts w:eastAsia="Times New Roman"/>
                <w:noProof/>
                <w:color w:val="000000" w:themeColor="text1"/>
                <w:lang w:eastAsia="en-GB"/>
              </w:rPr>
            </w:pPr>
            <w:r>
              <w:rPr>
                <w:rFonts w:eastAsia="Times New Roman"/>
                <w:noProof/>
                <w:color w:val="000000" w:themeColor="text1"/>
                <w:lang w:eastAsia="en-GB"/>
              </w:rPr>
              <w:t>El Salvador</w:t>
            </w:r>
          </w:p>
        </w:tc>
        <w:tc>
          <w:tcPr>
            <w:tcW w:w="1280" w:type="dxa"/>
            <w:tcBorders>
              <w:top w:val="nil"/>
              <w:left w:val="nil"/>
              <w:bottom w:val="single" w:sz="8" w:space="0" w:color="auto"/>
              <w:right w:val="single" w:sz="8" w:space="0" w:color="auto"/>
            </w:tcBorders>
            <w:shd w:val="clear" w:color="auto" w:fill="auto"/>
            <w:noWrap/>
            <w:vAlign w:val="center"/>
            <w:hideMark/>
          </w:tcPr>
          <w:p>
            <w:pPr>
              <w:keepNext/>
              <w:jc w:val="center"/>
              <w:rPr>
                <w:rFonts w:eastAsia="Times New Roman"/>
                <w:noProof/>
                <w:color w:val="000000" w:themeColor="text1"/>
                <w:lang w:eastAsia="en-GB"/>
              </w:rPr>
            </w:pPr>
            <w:r>
              <w:rPr>
                <w:rFonts w:eastAsia="Times New Roman"/>
                <w:noProof/>
                <w:color w:val="000000" w:themeColor="text1"/>
                <w:lang w:eastAsia="en-GB"/>
              </w:rPr>
              <w:t>807</w:t>
            </w:r>
          </w:p>
        </w:tc>
        <w:tc>
          <w:tcPr>
            <w:tcW w:w="1020" w:type="dxa"/>
            <w:tcBorders>
              <w:top w:val="nil"/>
              <w:left w:val="nil"/>
              <w:bottom w:val="single" w:sz="8" w:space="0" w:color="auto"/>
              <w:right w:val="single" w:sz="8" w:space="0" w:color="auto"/>
            </w:tcBorders>
            <w:shd w:val="clear" w:color="auto" w:fill="auto"/>
            <w:noWrap/>
            <w:vAlign w:val="center"/>
            <w:hideMark/>
          </w:tcPr>
          <w:p>
            <w:pPr>
              <w:keepNext/>
              <w:jc w:val="center"/>
              <w:rPr>
                <w:rFonts w:eastAsia="Times New Roman"/>
                <w:noProof/>
                <w:color w:val="000000" w:themeColor="text1"/>
                <w:lang w:eastAsia="en-GB"/>
              </w:rPr>
            </w:pPr>
            <w:r>
              <w:rPr>
                <w:rFonts w:eastAsia="Times New Roman"/>
                <w:noProof/>
                <w:color w:val="000000" w:themeColor="text1"/>
                <w:lang w:eastAsia="en-GB"/>
              </w:rPr>
              <w:t>13%</w:t>
            </w:r>
          </w:p>
        </w:tc>
        <w:tc>
          <w:tcPr>
            <w:tcW w:w="1240" w:type="dxa"/>
            <w:tcBorders>
              <w:top w:val="nil"/>
              <w:left w:val="nil"/>
              <w:bottom w:val="single" w:sz="8" w:space="0" w:color="auto"/>
              <w:right w:val="single" w:sz="8" w:space="0" w:color="auto"/>
            </w:tcBorders>
            <w:shd w:val="clear" w:color="auto" w:fill="auto"/>
            <w:noWrap/>
            <w:vAlign w:val="center"/>
            <w:hideMark/>
          </w:tcPr>
          <w:p>
            <w:pPr>
              <w:keepNext/>
              <w:jc w:val="center"/>
              <w:rPr>
                <w:rFonts w:eastAsia="Times New Roman"/>
                <w:noProof/>
                <w:color w:val="000000" w:themeColor="text1"/>
                <w:lang w:eastAsia="en-GB"/>
              </w:rPr>
            </w:pPr>
            <w:r>
              <w:rPr>
                <w:rFonts w:eastAsia="Times New Roman"/>
                <w:noProof/>
                <w:color w:val="000000" w:themeColor="text1"/>
                <w:lang w:eastAsia="en-GB"/>
              </w:rPr>
              <w:t>221</w:t>
            </w:r>
          </w:p>
        </w:tc>
        <w:tc>
          <w:tcPr>
            <w:tcW w:w="1157" w:type="dxa"/>
            <w:tcBorders>
              <w:top w:val="nil"/>
              <w:left w:val="nil"/>
              <w:bottom w:val="single" w:sz="8" w:space="0" w:color="auto"/>
              <w:right w:val="single" w:sz="8" w:space="0" w:color="auto"/>
            </w:tcBorders>
            <w:shd w:val="clear" w:color="auto" w:fill="auto"/>
            <w:noWrap/>
            <w:vAlign w:val="center"/>
            <w:hideMark/>
          </w:tcPr>
          <w:p>
            <w:pPr>
              <w:keepNext/>
              <w:jc w:val="center"/>
              <w:rPr>
                <w:rFonts w:eastAsia="Times New Roman"/>
                <w:noProof/>
                <w:color w:val="000000" w:themeColor="text1"/>
                <w:lang w:eastAsia="en-GB"/>
              </w:rPr>
            </w:pPr>
            <w:r>
              <w:rPr>
                <w:rFonts w:eastAsia="Times New Roman"/>
                <w:noProof/>
                <w:color w:val="000000" w:themeColor="text1"/>
                <w:lang w:eastAsia="en-GB"/>
              </w:rPr>
              <w:t>4%</w:t>
            </w:r>
          </w:p>
        </w:tc>
        <w:tc>
          <w:tcPr>
            <w:tcW w:w="1043" w:type="dxa"/>
            <w:tcBorders>
              <w:top w:val="nil"/>
              <w:left w:val="nil"/>
              <w:bottom w:val="single" w:sz="8" w:space="0" w:color="auto"/>
              <w:right w:val="single" w:sz="8" w:space="0" w:color="auto"/>
            </w:tcBorders>
            <w:shd w:val="clear" w:color="auto" w:fill="auto"/>
            <w:noWrap/>
            <w:vAlign w:val="center"/>
            <w:hideMark/>
          </w:tcPr>
          <w:p>
            <w:pPr>
              <w:keepNext/>
              <w:jc w:val="center"/>
              <w:rPr>
                <w:rFonts w:eastAsia="Times New Roman"/>
                <w:noProof/>
                <w:color w:val="000000" w:themeColor="text1"/>
                <w:lang w:eastAsia="en-GB"/>
              </w:rPr>
            </w:pPr>
            <w:r>
              <w:rPr>
                <w:rFonts w:eastAsia="Times New Roman"/>
                <w:noProof/>
                <w:color w:val="000000" w:themeColor="text1"/>
                <w:lang w:eastAsia="en-GB"/>
              </w:rPr>
              <w:t>586</w:t>
            </w:r>
          </w:p>
        </w:tc>
      </w:tr>
      <w:tr>
        <w:trPr>
          <w:trHeight w:val="315"/>
        </w:trPr>
        <w:tc>
          <w:tcPr>
            <w:tcW w:w="1540" w:type="dxa"/>
            <w:tcBorders>
              <w:top w:val="nil"/>
              <w:left w:val="single" w:sz="8" w:space="0" w:color="auto"/>
              <w:bottom w:val="single" w:sz="8" w:space="0" w:color="auto"/>
              <w:right w:val="single" w:sz="8" w:space="0" w:color="auto"/>
            </w:tcBorders>
            <w:shd w:val="clear" w:color="auto" w:fill="auto"/>
            <w:noWrap/>
            <w:vAlign w:val="center"/>
            <w:hideMark/>
          </w:tcPr>
          <w:p>
            <w:pPr>
              <w:keepNext/>
              <w:jc w:val="center"/>
              <w:rPr>
                <w:rFonts w:eastAsia="Times New Roman"/>
                <w:noProof/>
                <w:color w:val="000000" w:themeColor="text1"/>
                <w:lang w:eastAsia="en-GB"/>
              </w:rPr>
            </w:pPr>
            <w:r>
              <w:rPr>
                <w:rFonts w:eastAsia="Times New Roman"/>
                <w:noProof/>
                <w:color w:val="000000" w:themeColor="text1"/>
                <w:lang w:eastAsia="en-GB"/>
              </w:rPr>
              <w:t>Guatemala</w:t>
            </w:r>
          </w:p>
        </w:tc>
        <w:tc>
          <w:tcPr>
            <w:tcW w:w="1280" w:type="dxa"/>
            <w:tcBorders>
              <w:top w:val="nil"/>
              <w:left w:val="nil"/>
              <w:bottom w:val="single" w:sz="8" w:space="0" w:color="auto"/>
              <w:right w:val="single" w:sz="8" w:space="0" w:color="auto"/>
            </w:tcBorders>
            <w:shd w:val="clear" w:color="auto" w:fill="auto"/>
            <w:noWrap/>
            <w:vAlign w:val="center"/>
            <w:hideMark/>
          </w:tcPr>
          <w:p>
            <w:pPr>
              <w:keepNext/>
              <w:jc w:val="center"/>
              <w:rPr>
                <w:rFonts w:eastAsia="Times New Roman"/>
                <w:noProof/>
                <w:color w:val="000000" w:themeColor="text1"/>
                <w:lang w:eastAsia="en-GB"/>
              </w:rPr>
            </w:pPr>
            <w:r>
              <w:rPr>
                <w:rFonts w:eastAsia="Times New Roman"/>
                <w:noProof/>
                <w:color w:val="000000" w:themeColor="text1"/>
                <w:lang w:eastAsia="en-GB"/>
              </w:rPr>
              <w:t>986</w:t>
            </w:r>
          </w:p>
        </w:tc>
        <w:tc>
          <w:tcPr>
            <w:tcW w:w="1020" w:type="dxa"/>
            <w:tcBorders>
              <w:top w:val="nil"/>
              <w:left w:val="nil"/>
              <w:bottom w:val="single" w:sz="8" w:space="0" w:color="auto"/>
              <w:right w:val="single" w:sz="8" w:space="0" w:color="auto"/>
            </w:tcBorders>
            <w:shd w:val="clear" w:color="auto" w:fill="auto"/>
            <w:noWrap/>
            <w:vAlign w:val="center"/>
            <w:hideMark/>
          </w:tcPr>
          <w:p>
            <w:pPr>
              <w:keepNext/>
              <w:jc w:val="center"/>
              <w:rPr>
                <w:rFonts w:eastAsia="Times New Roman"/>
                <w:noProof/>
                <w:color w:val="000000" w:themeColor="text1"/>
                <w:lang w:eastAsia="en-GB"/>
              </w:rPr>
            </w:pPr>
            <w:r>
              <w:rPr>
                <w:rFonts w:eastAsia="Times New Roman"/>
                <w:noProof/>
                <w:color w:val="000000" w:themeColor="text1"/>
                <w:lang w:eastAsia="en-GB"/>
              </w:rPr>
              <w:t>16%</w:t>
            </w:r>
          </w:p>
        </w:tc>
        <w:tc>
          <w:tcPr>
            <w:tcW w:w="1240" w:type="dxa"/>
            <w:tcBorders>
              <w:top w:val="nil"/>
              <w:left w:val="nil"/>
              <w:bottom w:val="single" w:sz="8" w:space="0" w:color="auto"/>
              <w:right w:val="single" w:sz="8" w:space="0" w:color="auto"/>
            </w:tcBorders>
            <w:shd w:val="clear" w:color="auto" w:fill="auto"/>
            <w:noWrap/>
            <w:vAlign w:val="center"/>
            <w:hideMark/>
          </w:tcPr>
          <w:p>
            <w:pPr>
              <w:keepNext/>
              <w:jc w:val="center"/>
              <w:rPr>
                <w:rFonts w:eastAsia="Times New Roman"/>
                <w:noProof/>
                <w:color w:val="000000" w:themeColor="text1"/>
                <w:lang w:eastAsia="en-GB"/>
              </w:rPr>
            </w:pPr>
            <w:r>
              <w:rPr>
                <w:rFonts w:eastAsia="Times New Roman"/>
                <w:noProof/>
                <w:color w:val="000000" w:themeColor="text1"/>
                <w:lang w:eastAsia="en-GB"/>
              </w:rPr>
              <w:t>981</w:t>
            </w:r>
          </w:p>
        </w:tc>
        <w:tc>
          <w:tcPr>
            <w:tcW w:w="1157" w:type="dxa"/>
            <w:tcBorders>
              <w:top w:val="nil"/>
              <w:left w:val="nil"/>
              <w:bottom w:val="single" w:sz="8" w:space="0" w:color="auto"/>
              <w:right w:val="single" w:sz="8" w:space="0" w:color="auto"/>
            </w:tcBorders>
            <w:shd w:val="clear" w:color="auto" w:fill="auto"/>
            <w:noWrap/>
            <w:vAlign w:val="center"/>
            <w:hideMark/>
          </w:tcPr>
          <w:p>
            <w:pPr>
              <w:keepNext/>
              <w:jc w:val="center"/>
              <w:rPr>
                <w:rFonts w:eastAsia="Times New Roman"/>
                <w:noProof/>
                <w:color w:val="000000" w:themeColor="text1"/>
                <w:lang w:eastAsia="en-GB"/>
              </w:rPr>
            </w:pPr>
            <w:r>
              <w:rPr>
                <w:rFonts w:eastAsia="Times New Roman"/>
                <w:noProof/>
                <w:color w:val="000000" w:themeColor="text1"/>
                <w:lang w:eastAsia="en-GB"/>
              </w:rPr>
              <w:t>16%</w:t>
            </w:r>
          </w:p>
        </w:tc>
        <w:tc>
          <w:tcPr>
            <w:tcW w:w="1043" w:type="dxa"/>
            <w:tcBorders>
              <w:top w:val="nil"/>
              <w:left w:val="nil"/>
              <w:bottom w:val="single" w:sz="8" w:space="0" w:color="auto"/>
              <w:right w:val="single" w:sz="8" w:space="0" w:color="auto"/>
            </w:tcBorders>
            <w:shd w:val="clear" w:color="auto" w:fill="auto"/>
            <w:noWrap/>
            <w:vAlign w:val="center"/>
            <w:hideMark/>
          </w:tcPr>
          <w:p>
            <w:pPr>
              <w:keepNext/>
              <w:jc w:val="center"/>
              <w:rPr>
                <w:rFonts w:eastAsia="Times New Roman"/>
                <w:noProof/>
                <w:color w:val="000000" w:themeColor="text1"/>
                <w:lang w:eastAsia="en-GB"/>
              </w:rPr>
            </w:pPr>
            <w:r>
              <w:rPr>
                <w:rFonts w:eastAsia="Times New Roman"/>
                <w:noProof/>
                <w:color w:val="000000" w:themeColor="text1"/>
                <w:lang w:eastAsia="en-GB"/>
              </w:rPr>
              <w:t>5</w:t>
            </w:r>
          </w:p>
        </w:tc>
      </w:tr>
      <w:tr>
        <w:trPr>
          <w:trHeight w:val="315"/>
        </w:trPr>
        <w:tc>
          <w:tcPr>
            <w:tcW w:w="1540" w:type="dxa"/>
            <w:tcBorders>
              <w:top w:val="nil"/>
              <w:left w:val="single" w:sz="8" w:space="0" w:color="auto"/>
              <w:bottom w:val="single" w:sz="8" w:space="0" w:color="auto"/>
              <w:right w:val="single" w:sz="8" w:space="0" w:color="auto"/>
            </w:tcBorders>
            <w:shd w:val="clear" w:color="auto" w:fill="auto"/>
            <w:noWrap/>
            <w:vAlign w:val="center"/>
            <w:hideMark/>
          </w:tcPr>
          <w:p>
            <w:pPr>
              <w:keepNext/>
              <w:jc w:val="center"/>
              <w:rPr>
                <w:rFonts w:eastAsia="Times New Roman"/>
                <w:noProof/>
                <w:color w:val="000000" w:themeColor="text1"/>
                <w:lang w:eastAsia="en-GB"/>
              </w:rPr>
            </w:pPr>
            <w:r>
              <w:rPr>
                <w:rFonts w:eastAsia="Times New Roman"/>
                <w:noProof/>
                <w:color w:val="000000" w:themeColor="text1"/>
                <w:lang w:eastAsia="en-GB"/>
              </w:rPr>
              <w:t>Honduras</w:t>
            </w:r>
          </w:p>
        </w:tc>
        <w:tc>
          <w:tcPr>
            <w:tcW w:w="1280" w:type="dxa"/>
            <w:tcBorders>
              <w:top w:val="nil"/>
              <w:left w:val="nil"/>
              <w:bottom w:val="single" w:sz="8" w:space="0" w:color="auto"/>
              <w:right w:val="single" w:sz="8" w:space="0" w:color="auto"/>
            </w:tcBorders>
            <w:shd w:val="clear" w:color="auto" w:fill="auto"/>
            <w:noWrap/>
            <w:vAlign w:val="center"/>
            <w:hideMark/>
          </w:tcPr>
          <w:p>
            <w:pPr>
              <w:keepNext/>
              <w:jc w:val="center"/>
              <w:rPr>
                <w:rFonts w:eastAsia="Times New Roman"/>
                <w:noProof/>
                <w:color w:val="000000" w:themeColor="text1"/>
                <w:lang w:eastAsia="en-GB"/>
              </w:rPr>
            </w:pPr>
            <w:r>
              <w:rPr>
                <w:rFonts w:eastAsia="Times New Roman"/>
                <w:noProof/>
                <w:color w:val="000000" w:themeColor="text1"/>
                <w:lang w:eastAsia="en-GB"/>
              </w:rPr>
              <w:t>480</w:t>
            </w:r>
          </w:p>
        </w:tc>
        <w:tc>
          <w:tcPr>
            <w:tcW w:w="1020" w:type="dxa"/>
            <w:tcBorders>
              <w:top w:val="nil"/>
              <w:left w:val="nil"/>
              <w:bottom w:val="single" w:sz="8" w:space="0" w:color="auto"/>
              <w:right w:val="single" w:sz="8" w:space="0" w:color="auto"/>
            </w:tcBorders>
            <w:shd w:val="clear" w:color="auto" w:fill="auto"/>
            <w:noWrap/>
            <w:vAlign w:val="center"/>
            <w:hideMark/>
          </w:tcPr>
          <w:p>
            <w:pPr>
              <w:keepNext/>
              <w:jc w:val="center"/>
              <w:rPr>
                <w:rFonts w:eastAsia="Times New Roman"/>
                <w:noProof/>
                <w:color w:val="000000" w:themeColor="text1"/>
                <w:lang w:eastAsia="en-GB"/>
              </w:rPr>
            </w:pPr>
            <w:r>
              <w:rPr>
                <w:rFonts w:eastAsia="Times New Roman"/>
                <w:noProof/>
                <w:color w:val="000000" w:themeColor="text1"/>
                <w:lang w:eastAsia="en-GB"/>
              </w:rPr>
              <w:t>8%</w:t>
            </w:r>
          </w:p>
        </w:tc>
        <w:tc>
          <w:tcPr>
            <w:tcW w:w="1240" w:type="dxa"/>
            <w:tcBorders>
              <w:top w:val="nil"/>
              <w:left w:val="nil"/>
              <w:bottom w:val="single" w:sz="8" w:space="0" w:color="auto"/>
              <w:right w:val="single" w:sz="8" w:space="0" w:color="auto"/>
            </w:tcBorders>
            <w:shd w:val="clear" w:color="auto" w:fill="auto"/>
            <w:noWrap/>
            <w:vAlign w:val="center"/>
            <w:hideMark/>
          </w:tcPr>
          <w:p>
            <w:pPr>
              <w:keepNext/>
              <w:jc w:val="center"/>
              <w:rPr>
                <w:rFonts w:eastAsia="Times New Roman"/>
                <w:noProof/>
                <w:color w:val="000000" w:themeColor="text1"/>
                <w:lang w:eastAsia="en-GB"/>
              </w:rPr>
            </w:pPr>
            <w:r>
              <w:rPr>
                <w:rFonts w:eastAsia="Times New Roman"/>
                <w:noProof/>
                <w:color w:val="000000" w:themeColor="text1"/>
                <w:lang w:eastAsia="en-GB"/>
              </w:rPr>
              <w:t>1.148</w:t>
            </w:r>
          </w:p>
        </w:tc>
        <w:tc>
          <w:tcPr>
            <w:tcW w:w="1157" w:type="dxa"/>
            <w:tcBorders>
              <w:top w:val="nil"/>
              <w:left w:val="nil"/>
              <w:bottom w:val="single" w:sz="8" w:space="0" w:color="auto"/>
              <w:right w:val="single" w:sz="8" w:space="0" w:color="auto"/>
            </w:tcBorders>
            <w:shd w:val="clear" w:color="auto" w:fill="auto"/>
            <w:noWrap/>
            <w:vAlign w:val="center"/>
            <w:hideMark/>
          </w:tcPr>
          <w:p>
            <w:pPr>
              <w:keepNext/>
              <w:jc w:val="center"/>
              <w:rPr>
                <w:rFonts w:eastAsia="Times New Roman"/>
                <w:noProof/>
                <w:color w:val="000000" w:themeColor="text1"/>
                <w:lang w:eastAsia="en-GB"/>
              </w:rPr>
            </w:pPr>
            <w:r>
              <w:rPr>
                <w:rFonts w:eastAsia="Times New Roman"/>
                <w:noProof/>
                <w:color w:val="000000" w:themeColor="text1"/>
                <w:lang w:eastAsia="en-GB"/>
              </w:rPr>
              <w:t>19%</w:t>
            </w:r>
          </w:p>
        </w:tc>
        <w:tc>
          <w:tcPr>
            <w:tcW w:w="1043" w:type="dxa"/>
            <w:tcBorders>
              <w:top w:val="nil"/>
              <w:left w:val="nil"/>
              <w:bottom w:val="single" w:sz="8" w:space="0" w:color="auto"/>
              <w:right w:val="single" w:sz="8" w:space="0" w:color="auto"/>
            </w:tcBorders>
            <w:shd w:val="clear" w:color="auto" w:fill="auto"/>
            <w:noWrap/>
            <w:vAlign w:val="center"/>
            <w:hideMark/>
          </w:tcPr>
          <w:p>
            <w:pPr>
              <w:keepNext/>
              <w:jc w:val="center"/>
              <w:rPr>
                <w:rFonts w:eastAsia="Times New Roman"/>
                <w:noProof/>
                <w:color w:val="000000" w:themeColor="text1"/>
                <w:lang w:eastAsia="en-GB"/>
              </w:rPr>
            </w:pPr>
            <w:r>
              <w:rPr>
                <w:rFonts w:eastAsia="Times New Roman"/>
                <w:noProof/>
                <w:color w:val="000000" w:themeColor="text1"/>
                <w:lang w:eastAsia="en-GB"/>
              </w:rPr>
              <w:t>-668</w:t>
            </w:r>
          </w:p>
        </w:tc>
      </w:tr>
      <w:tr>
        <w:trPr>
          <w:trHeight w:val="315"/>
        </w:trPr>
        <w:tc>
          <w:tcPr>
            <w:tcW w:w="1540" w:type="dxa"/>
            <w:tcBorders>
              <w:top w:val="nil"/>
              <w:left w:val="single" w:sz="8" w:space="0" w:color="auto"/>
              <w:bottom w:val="single" w:sz="8" w:space="0" w:color="auto"/>
              <w:right w:val="single" w:sz="8" w:space="0" w:color="auto"/>
            </w:tcBorders>
            <w:shd w:val="clear" w:color="auto" w:fill="auto"/>
            <w:noWrap/>
            <w:vAlign w:val="center"/>
            <w:hideMark/>
          </w:tcPr>
          <w:p>
            <w:pPr>
              <w:keepNext/>
              <w:jc w:val="center"/>
              <w:rPr>
                <w:rFonts w:eastAsia="Times New Roman"/>
                <w:noProof/>
                <w:color w:val="000000" w:themeColor="text1"/>
                <w:lang w:eastAsia="en-GB"/>
              </w:rPr>
            </w:pPr>
            <w:r>
              <w:rPr>
                <w:rFonts w:eastAsia="Times New Roman"/>
                <w:noProof/>
                <w:color w:val="000000" w:themeColor="text1"/>
                <w:lang w:eastAsia="en-GB"/>
              </w:rPr>
              <w:t>Nicaragua</w:t>
            </w:r>
          </w:p>
        </w:tc>
        <w:tc>
          <w:tcPr>
            <w:tcW w:w="1280" w:type="dxa"/>
            <w:tcBorders>
              <w:top w:val="nil"/>
              <w:left w:val="nil"/>
              <w:bottom w:val="single" w:sz="8" w:space="0" w:color="auto"/>
              <w:right w:val="single" w:sz="8" w:space="0" w:color="auto"/>
            </w:tcBorders>
            <w:shd w:val="clear" w:color="auto" w:fill="auto"/>
            <w:noWrap/>
            <w:vAlign w:val="center"/>
            <w:hideMark/>
          </w:tcPr>
          <w:p>
            <w:pPr>
              <w:keepNext/>
              <w:jc w:val="center"/>
              <w:rPr>
                <w:rFonts w:eastAsia="Times New Roman"/>
                <w:noProof/>
                <w:color w:val="000000" w:themeColor="text1"/>
                <w:lang w:eastAsia="en-GB"/>
              </w:rPr>
            </w:pPr>
            <w:r>
              <w:rPr>
                <w:rFonts w:eastAsia="Times New Roman"/>
                <w:noProof/>
                <w:color w:val="000000" w:themeColor="text1"/>
                <w:lang w:eastAsia="en-GB"/>
              </w:rPr>
              <w:t>190</w:t>
            </w:r>
          </w:p>
        </w:tc>
        <w:tc>
          <w:tcPr>
            <w:tcW w:w="1020" w:type="dxa"/>
            <w:tcBorders>
              <w:top w:val="nil"/>
              <w:left w:val="nil"/>
              <w:bottom w:val="single" w:sz="8" w:space="0" w:color="auto"/>
              <w:right w:val="single" w:sz="8" w:space="0" w:color="auto"/>
            </w:tcBorders>
            <w:shd w:val="clear" w:color="auto" w:fill="auto"/>
            <w:noWrap/>
            <w:vAlign w:val="center"/>
            <w:hideMark/>
          </w:tcPr>
          <w:p>
            <w:pPr>
              <w:keepNext/>
              <w:jc w:val="center"/>
              <w:rPr>
                <w:rFonts w:eastAsia="Times New Roman"/>
                <w:noProof/>
                <w:color w:val="000000" w:themeColor="text1"/>
                <w:lang w:eastAsia="en-GB"/>
              </w:rPr>
            </w:pPr>
            <w:r>
              <w:rPr>
                <w:rFonts w:eastAsia="Times New Roman"/>
                <w:noProof/>
                <w:color w:val="000000" w:themeColor="text1"/>
                <w:lang w:eastAsia="en-GB"/>
              </w:rPr>
              <w:t>3%</w:t>
            </w:r>
          </w:p>
        </w:tc>
        <w:tc>
          <w:tcPr>
            <w:tcW w:w="1240" w:type="dxa"/>
            <w:tcBorders>
              <w:top w:val="nil"/>
              <w:left w:val="nil"/>
              <w:bottom w:val="single" w:sz="8" w:space="0" w:color="auto"/>
              <w:right w:val="single" w:sz="8" w:space="0" w:color="auto"/>
            </w:tcBorders>
            <w:shd w:val="clear" w:color="auto" w:fill="auto"/>
            <w:noWrap/>
            <w:vAlign w:val="center"/>
            <w:hideMark/>
          </w:tcPr>
          <w:p>
            <w:pPr>
              <w:keepNext/>
              <w:jc w:val="center"/>
              <w:rPr>
                <w:rFonts w:eastAsia="Times New Roman"/>
                <w:noProof/>
                <w:color w:val="000000" w:themeColor="text1"/>
                <w:lang w:eastAsia="en-GB"/>
              </w:rPr>
            </w:pPr>
            <w:r>
              <w:rPr>
                <w:rFonts w:eastAsia="Times New Roman"/>
                <w:noProof/>
                <w:color w:val="000000" w:themeColor="text1"/>
                <w:lang w:eastAsia="en-GB"/>
              </w:rPr>
              <w:t>390</w:t>
            </w:r>
          </w:p>
        </w:tc>
        <w:tc>
          <w:tcPr>
            <w:tcW w:w="1157" w:type="dxa"/>
            <w:tcBorders>
              <w:top w:val="nil"/>
              <w:left w:val="nil"/>
              <w:bottom w:val="single" w:sz="8" w:space="0" w:color="auto"/>
              <w:right w:val="single" w:sz="8" w:space="0" w:color="auto"/>
            </w:tcBorders>
            <w:shd w:val="clear" w:color="auto" w:fill="auto"/>
            <w:noWrap/>
            <w:vAlign w:val="center"/>
            <w:hideMark/>
          </w:tcPr>
          <w:p>
            <w:pPr>
              <w:keepNext/>
              <w:jc w:val="center"/>
              <w:rPr>
                <w:rFonts w:eastAsia="Times New Roman"/>
                <w:noProof/>
                <w:color w:val="000000" w:themeColor="text1"/>
                <w:lang w:eastAsia="en-GB"/>
              </w:rPr>
            </w:pPr>
            <w:r>
              <w:rPr>
                <w:rFonts w:eastAsia="Times New Roman"/>
                <w:noProof/>
                <w:color w:val="000000" w:themeColor="text1"/>
                <w:lang w:eastAsia="en-GB"/>
              </w:rPr>
              <w:t>6%</w:t>
            </w:r>
          </w:p>
        </w:tc>
        <w:tc>
          <w:tcPr>
            <w:tcW w:w="1043" w:type="dxa"/>
            <w:tcBorders>
              <w:top w:val="nil"/>
              <w:left w:val="nil"/>
              <w:bottom w:val="single" w:sz="8" w:space="0" w:color="auto"/>
              <w:right w:val="single" w:sz="8" w:space="0" w:color="auto"/>
            </w:tcBorders>
            <w:shd w:val="clear" w:color="auto" w:fill="auto"/>
            <w:noWrap/>
            <w:vAlign w:val="center"/>
            <w:hideMark/>
          </w:tcPr>
          <w:p>
            <w:pPr>
              <w:keepNext/>
              <w:jc w:val="center"/>
              <w:rPr>
                <w:rFonts w:eastAsia="Times New Roman"/>
                <w:noProof/>
                <w:color w:val="000000" w:themeColor="text1"/>
                <w:lang w:eastAsia="en-GB"/>
              </w:rPr>
            </w:pPr>
            <w:r>
              <w:rPr>
                <w:rFonts w:eastAsia="Times New Roman"/>
                <w:noProof/>
                <w:color w:val="000000" w:themeColor="text1"/>
                <w:lang w:eastAsia="en-GB"/>
              </w:rPr>
              <w:t>-200</w:t>
            </w:r>
          </w:p>
        </w:tc>
      </w:tr>
      <w:tr>
        <w:trPr>
          <w:trHeight w:val="315"/>
        </w:trPr>
        <w:tc>
          <w:tcPr>
            <w:tcW w:w="1540" w:type="dxa"/>
            <w:tcBorders>
              <w:top w:val="nil"/>
              <w:left w:val="single" w:sz="8" w:space="0" w:color="auto"/>
              <w:bottom w:val="single" w:sz="8" w:space="0" w:color="auto"/>
              <w:right w:val="single" w:sz="8" w:space="0" w:color="auto"/>
            </w:tcBorders>
            <w:shd w:val="clear" w:color="auto" w:fill="auto"/>
            <w:noWrap/>
            <w:vAlign w:val="center"/>
            <w:hideMark/>
          </w:tcPr>
          <w:p>
            <w:pPr>
              <w:keepNext/>
              <w:jc w:val="center"/>
              <w:rPr>
                <w:rFonts w:eastAsia="Times New Roman"/>
                <w:noProof/>
                <w:color w:val="000000" w:themeColor="text1"/>
                <w:lang w:eastAsia="en-GB"/>
              </w:rPr>
            </w:pPr>
            <w:r>
              <w:rPr>
                <w:rFonts w:eastAsia="Times New Roman"/>
                <w:noProof/>
                <w:color w:val="000000" w:themeColor="text1"/>
                <w:lang w:eastAsia="en-GB"/>
              </w:rPr>
              <w:t>Panama</w:t>
            </w:r>
          </w:p>
        </w:tc>
        <w:tc>
          <w:tcPr>
            <w:tcW w:w="1280" w:type="dxa"/>
            <w:tcBorders>
              <w:top w:val="nil"/>
              <w:left w:val="nil"/>
              <w:bottom w:val="single" w:sz="8" w:space="0" w:color="auto"/>
              <w:right w:val="single" w:sz="8" w:space="0" w:color="auto"/>
            </w:tcBorders>
            <w:shd w:val="clear" w:color="auto" w:fill="auto"/>
            <w:noWrap/>
            <w:vAlign w:val="center"/>
            <w:hideMark/>
          </w:tcPr>
          <w:p>
            <w:pPr>
              <w:keepNext/>
              <w:jc w:val="center"/>
              <w:rPr>
                <w:rFonts w:eastAsia="Times New Roman"/>
                <w:noProof/>
                <w:color w:val="000000" w:themeColor="text1"/>
                <w:lang w:eastAsia="en-GB"/>
              </w:rPr>
            </w:pPr>
            <w:r>
              <w:rPr>
                <w:rFonts w:eastAsia="Times New Roman"/>
                <w:noProof/>
                <w:color w:val="000000" w:themeColor="text1"/>
                <w:lang w:eastAsia="en-GB"/>
              </w:rPr>
              <w:t>2 527</w:t>
            </w:r>
          </w:p>
        </w:tc>
        <w:tc>
          <w:tcPr>
            <w:tcW w:w="1020" w:type="dxa"/>
            <w:tcBorders>
              <w:top w:val="nil"/>
              <w:left w:val="nil"/>
              <w:bottom w:val="single" w:sz="8" w:space="0" w:color="auto"/>
              <w:right w:val="single" w:sz="8" w:space="0" w:color="auto"/>
            </w:tcBorders>
            <w:shd w:val="clear" w:color="auto" w:fill="auto"/>
            <w:noWrap/>
            <w:vAlign w:val="center"/>
            <w:hideMark/>
          </w:tcPr>
          <w:p>
            <w:pPr>
              <w:keepNext/>
              <w:jc w:val="center"/>
              <w:rPr>
                <w:rFonts w:eastAsia="Times New Roman"/>
                <w:noProof/>
                <w:color w:val="000000" w:themeColor="text1"/>
                <w:lang w:eastAsia="en-GB"/>
              </w:rPr>
            </w:pPr>
            <w:r>
              <w:rPr>
                <w:rFonts w:eastAsia="Times New Roman"/>
                <w:noProof/>
                <w:color w:val="000000" w:themeColor="text1"/>
                <w:lang w:eastAsia="en-GB"/>
              </w:rPr>
              <w:t>42%</w:t>
            </w:r>
          </w:p>
        </w:tc>
        <w:tc>
          <w:tcPr>
            <w:tcW w:w="1240" w:type="dxa"/>
            <w:tcBorders>
              <w:top w:val="nil"/>
              <w:left w:val="nil"/>
              <w:bottom w:val="single" w:sz="8" w:space="0" w:color="auto"/>
              <w:right w:val="single" w:sz="8" w:space="0" w:color="auto"/>
            </w:tcBorders>
            <w:shd w:val="clear" w:color="auto" w:fill="auto"/>
            <w:noWrap/>
            <w:vAlign w:val="center"/>
            <w:hideMark/>
          </w:tcPr>
          <w:p>
            <w:pPr>
              <w:keepNext/>
              <w:jc w:val="center"/>
              <w:rPr>
                <w:rFonts w:eastAsia="Times New Roman"/>
                <w:noProof/>
                <w:color w:val="000000" w:themeColor="text1"/>
                <w:lang w:eastAsia="en-GB"/>
              </w:rPr>
            </w:pPr>
            <w:r>
              <w:rPr>
                <w:rFonts w:eastAsia="Times New Roman"/>
                <w:noProof/>
                <w:color w:val="000000" w:themeColor="text1"/>
                <w:lang w:eastAsia="en-GB"/>
              </w:rPr>
              <w:t>729</w:t>
            </w:r>
          </w:p>
        </w:tc>
        <w:tc>
          <w:tcPr>
            <w:tcW w:w="1157" w:type="dxa"/>
            <w:tcBorders>
              <w:top w:val="nil"/>
              <w:left w:val="nil"/>
              <w:bottom w:val="single" w:sz="8" w:space="0" w:color="auto"/>
              <w:right w:val="single" w:sz="8" w:space="0" w:color="auto"/>
            </w:tcBorders>
            <w:shd w:val="clear" w:color="auto" w:fill="auto"/>
            <w:noWrap/>
            <w:vAlign w:val="center"/>
            <w:hideMark/>
          </w:tcPr>
          <w:p>
            <w:pPr>
              <w:keepNext/>
              <w:jc w:val="center"/>
              <w:rPr>
                <w:rFonts w:eastAsia="Times New Roman"/>
                <w:noProof/>
                <w:color w:val="000000" w:themeColor="text1"/>
                <w:lang w:eastAsia="en-GB"/>
              </w:rPr>
            </w:pPr>
            <w:r>
              <w:rPr>
                <w:rFonts w:eastAsia="Times New Roman"/>
                <w:noProof/>
                <w:color w:val="000000" w:themeColor="text1"/>
                <w:lang w:eastAsia="en-GB"/>
              </w:rPr>
              <w:t>12%</w:t>
            </w:r>
          </w:p>
        </w:tc>
        <w:tc>
          <w:tcPr>
            <w:tcW w:w="1043" w:type="dxa"/>
            <w:tcBorders>
              <w:top w:val="nil"/>
              <w:left w:val="nil"/>
              <w:bottom w:val="single" w:sz="8" w:space="0" w:color="auto"/>
              <w:right w:val="single" w:sz="8" w:space="0" w:color="auto"/>
            </w:tcBorders>
            <w:shd w:val="clear" w:color="auto" w:fill="auto"/>
            <w:noWrap/>
            <w:vAlign w:val="center"/>
            <w:hideMark/>
          </w:tcPr>
          <w:p>
            <w:pPr>
              <w:keepNext/>
              <w:jc w:val="center"/>
              <w:rPr>
                <w:rFonts w:eastAsia="Times New Roman"/>
                <w:noProof/>
                <w:color w:val="000000" w:themeColor="text1"/>
                <w:lang w:eastAsia="en-GB"/>
              </w:rPr>
            </w:pPr>
            <w:r>
              <w:rPr>
                <w:rFonts w:eastAsia="Times New Roman"/>
                <w:noProof/>
                <w:color w:val="000000" w:themeColor="text1"/>
                <w:lang w:eastAsia="en-GB"/>
              </w:rPr>
              <w:t>1798</w:t>
            </w:r>
          </w:p>
        </w:tc>
      </w:tr>
      <w:tr>
        <w:trPr>
          <w:trHeight w:val="315"/>
        </w:trPr>
        <w:tc>
          <w:tcPr>
            <w:tcW w:w="1540" w:type="dxa"/>
            <w:tcBorders>
              <w:top w:val="nil"/>
              <w:left w:val="single" w:sz="8" w:space="0" w:color="auto"/>
              <w:bottom w:val="single" w:sz="8" w:space="0" w:color="auto"/>
              <w:right w:val="single" w:sz="8" w:space="0" w:color="auto"/>
            </w:tcBorders>
            <w:shd w:val="clear" w:color="auto" w:fill="auto"/>
            <w:noWrap/>
            <w:vAlign w:val="center"/>
            <w:hideMark/>
          </w:tcPr>
          <w:p>
            <w:pPr>
              <w:keepNext/>
              <w:jc w:val="center"/>
              <w:rPr>
                <w:rFonts w:eastAsia="Times New Roman"/>
                <w:b/>
                <w:bCs/>
                <w:i/>
                <w:iCs/>
                <w:noProof/>
                <w:color w:val="000000" w:themeColor="text1"/>
                <w:lang w:eastAsia="en-GB"/>
              </w:rPr>
            </w:pPr>
            <w:r>
              <w:rPr>
                <w:rFonts w:eastAsia="Times New Roman"/>
                <w:b/>
                <w:bCs/>
                <w:i/>
                <w:iCs/>
                <w:noProof/>
                <w:color w:val="000000" w:themeColor="text1"/>
                <w:lang w:eastAsia="en-GB"/>
              </w:rPr>
              <w:t>TOTAL</w:t>
            </w:r>
          </w:p>
        </w:tc>
        <w:tc>
          <w:tcPr>
            <w:tcW w:w="1280" w:type="dxa"/>
            <w:tcBorders>
              <w:top w:val="nil"/>
              <w:left w:val="nil"/>
              <w:bottom w:val="single" w:sz="8" w:space="0" w:color="auto"/>
              <w:right w:val="single" w:sz="8" w:space="0" w:color="auto"/>
            </w:tcBorders>
            <w:shd w:val="clear" w:color="auto" w:fill="auto"/>
            <w:noWrap/>
            <w:vAlign w:val="center"/>
            <w:hideMark/>
          </w:tcPr>
          <w:p>
            <w:pPr>
              <w:keepNext/>
              <w:jc w:val="center"/>
              <w:rPr>
                <w:rFonts w:eastAsia="Times New Roman"/>
                <w:b/>
                <w:bCs/>
                <w:i/>
                <w:iCs/>
                <w:noProof/>
                <w:color w:val="000000" w:themeColor="text1"/>
                <w:lang w:eastAsia="en-GB"/>
              </w:rPr>
            </w:pPr>
            <w:r>
              <w:rPr>
                <w:rFonts w:eastAsia="Times New Roman"/>
                <w:b/>
                <w:bCs/>
                <w:i/>
                <w:iCs/>
                <w:noProof/>
                <w:color w:val="000000" w:themeColor="text1"/>
                <w:lang w:eastAsia="en-GB"/>
              </w:rPr>
              <w:t>6.036</w:t>
            </w:r>
          </w:p>
        </w:tc>
        <w:tc>
          <w:tcPr>
            <w:tcW w:w="1020" w:type="dxa"/>
            <w:tcBorders>
              <w:top w:val="nil"/>
              <w:left w:val="nil"/>
              <w:bottom w:val="single" w:sz="8" w:space="0" w:color="auto"/>
              <w:right w:val="single" w:sz="8" w:space="0" w:color="auto"/>
            </w:tcBorders>
            <w:shd w:val="clear" w:color="auto" w:fill="auto"/>
            <w:noWrap/>
            <w:vAlign w:val="center"/>
            <w:hideMark/>
          </w:tcPr>
          <w:p>
            <w:pPr>
              <w:keepNext/>
              <w:jc w:val="center"/>
              <w:rPr>
                <w:rFonts w:eastAsia="Times New Roman"/>
                <w:b/>
                <w:bCs/>
                <w:i/>
                <w:iCs/>
                <w:noProof/>
                <w:color w:val="000000" w:themeColor="text1"/>
                <w:lang w:eastAsia="en-GB"/>
              </w:rPr>
            </w:pPr>
            <w:r>
              <w:rPr>
                <w:rFonts w:eastAsia="Times New Roman"/>
                <w:b/>
                <w:bCs/>
                <w:i/>
                <w:iCs/>
                <w:noProof/>
                <w:color w:val="000000" w:themeColor="text1"/>
                <w:lang w:eastAsia="en-GB"/>
              </w:rPr>
              <w:t>100%</w:t>
            </w:r>
          </w:p>
        </w:tc>
        <w:tc>
          <w:tcPr>
            <w:tcW w:w="1240" w:type="dxa"/>
            <w:tcBorders>
              <w:top w:val="nil"/>
              <w:left w:val="nil"/>
              <w:bottom w:val="single" w:sz="8" w:space="0" w:color="auto"/>
              <w:right w:val="single" w:sz="8" w:space="0" w:color="auto"/>
            </w:tcBorders>
            <w:shd w:val="clear" w:color="auto" w:fill="auto"/>
            <w:noWrap/>
            <w:vAlign w:val="center"/>
            <w:hideMark/>
          </w:tcPr>
          <w:p>
            <w:pPr>
              <w:keepNext/>
              <w:jc w:val="center"/>
              <w:rPr>
                <w:rFonts w:eastAsia="Times New Roman"/>
                <w:b/>
                <w:bCs/>
                <w:i/>
                <w:iCs/>
                <w:noProof/>
                <w:color w:val="000000" w:themeColor="text1"/>
                <w:lang w:eastAsia="en-GB"/>
              </w:rPr>
            </w:pPr>
            <w:r>
              <w:rPr>
                <w:rFonts w:eastAsia="Times New Roman"/>
                <w:b/>
                <w:bCs/>
                <w:i/>
                <w:iCs/>
                <w:noProof/>
                <w:color w:val="000000" w:themeColor="text1"/>
                <w:lang w:eastAsia="en-GB"/>
              </w:rPr>
              <w:t>6.158</w:t>
            </w:r>
          </w:p>
        </w:tc>
        <w:tc>
          <w:tcPr>
            <w:tcW w:w="1157" w:type="dxa"/>
            <w:tcBorders>
              <w:top w:val="nil"/>
              <w:left w:val="nil"/>
              <w:bottom w:val="single" w:sz="8" w:space="0" w:color="auto"/>
              <w:right w:val="single" w:sz="8" w:space="0" w:color="auto"/>
            </w:tcBorders>
            <w:shd w:val="clear" w:color="auto" w:fill="auto"/>
            <w:noWrap/>
            <w:vAlign w:val="center"/>
            <w:hideMark/>
          </w:tcPr>
          <w:p>
            <w:pPr>
              <w:keepNext/>
              <w:jc w:val="center"/>
              <w:rPr>
                <w:rFonts w:eastAsia="Times New Roman"/>
                <w:b/>
                <w:bCs/>
                <w:i/>
                <w:iCs/>
                <w:noProof/>
                <w:color w:val="000000" w:themeColor="text1"/>
                <w:lang w:eastAsia="en-GB"/>
              </w:rPr>
            </w:pPr>
            <w:r>
              <w:rPr>
                <w:rFonts w:eastAsia="Times New Roman"/>
                <w:b/>
                <w:bCs/>
                <w:i/>
                <w:iCs/>
                <w:noProof/>
                <w:color w:val="000000" w:themeColor="text1"/>
                <w:lang w:eastAsia="en-GB"/>
              </w:rPr>
              <w:t>100%</w:t>
            </w:r>
          </w:p>
        </w:tc>
        <w:tc>
          <w:tcPr>
            <w:tcW w:w="1043" w:type="dxa"/>
            <w:tcBorders>
              <w:top w:val="nil"/>
              <w:left w:val="nil"/>
              <w:bottom w:val="single" w:sz="8" w:space="0" w:color="auto"/>
              <w:right w:val="single" w:sz="8" w:space="0" w:color="auto"/>
            </w:tcBorders>
            <w:shd w:val="clear" w:color="auto" w:fill="auto"/>
            <w:noWrap/>
            <w:vAlign w:val="center"/>
            <w:hideMark/>
          </w:tcPr>
          <w:p>
            <w:pPr>
              <w:keepNext/>
              <w:jc w:val="center"/>
              <w:rPr>
                <w:rFonts w:eastAsia="Times New Roman"/>
                <w:b/>
                <w:bCs/>
                <w:i/>
                <w:iCs/>
                <w:noProof/>
                <w:color w:val="000000" w:themeColor="text1"/>
                <w:lang w:eastAsia="en-GB"/>
              </w:rPr>
            </w:pPr>
            <w:r>
              <w:rPr>
                <w:rFonts w:eastAsia="Times New Roman"/>
                <w:b/>
                <w:bCs/>
                <w:i/>
                <w:iCs/>
                <w:noProof/>
                <w:color w:val="000000" w:themeColor="text1"/>
                <w:lang w:eastAsia="en-GB"/>
              </w:rPr>
              <w:t>-122</w:t>
            </w:r>
          </w:p>
        </w:tc>
      </w:tr>
    </w:tbl>
    <w:p>
      <w:pPr>
        <w:pStyle w:val="Caption"/>
        <w:rPr>
          <w:noProof/>
          <w:sz w:val="24"/>
          <w:szCs w:val="24"/>
        </w:rPr>
      </w:pPr>
      <w:r>
        <w:rPr>
          <w:noProof/>
          <w:sz w:val="24"/>
          <w:szCs w:val="24"/>
        </w:rPr>
        <w:t>Source: Eurostat</w:t>
      </w:r>
    </w:p>
    <w:p>
      <w:pPr>
        <w:keepNext/>
        <w:rPr>
          <w:i/>
          <w:iCs/>
          <w:noProof/>
        </w:rPr>
      </w:pPr>
      <w:r>
        <w:rPr>
          <w:i/>
          <w:iCs/>
          <w:noProof/>
        </w:rPr>
        <w:t>Costa Rica</w:t>
      </w:r>
    </w:p>
    <w:p>
      <w:pPr>
        <w:keepNext/>
        <w:rPr>
          <w:i/>
          <w:iCs/>
          <w:noProof/>
        </w:rPr>
      </w:pPr>
    </w:p>
    <w:p>
      <w:pPr>
        <w:jc w:val="both"/>
        <w:rPr>
          <w:noProof/>
        </w:rPr>
      </w:pPr>
      <w:r>
        <w:rPr>
          <w:noProof/>
        </w:rPr>
        <w:t>EU trade with Costa Rica in 2018 remained at the level of 2017. No particular change occurred in the structure of trade in comparison with 2017. Costa Rica is the EU’s largest supplier of bananas and pineapples to the EU in the region. The EU exports mainly machinery, transport equipment and chemical products to Costa Rica. Some drop in exports of these categories was observed in 2018: transport equipment down by 16%; chemical products down by 9% but a slight increase (5%) was observed in the case of machinery. Overall, EU exports slightly declined (down by 5%).</w:t>
      </w:r>
    </w:p>
    <w:p>
      <w:pPr>
        <w:jc w:val="both"/>
        <w:rPr>
          <w:noProof/>
        </w:rPr>
      </w:pPr>
    </w:p>
    <w:p>
      <w:pPr>
        <w:keepNext/>
        <w:rPr>
          <w:i/>
          <w:iCs/>
          <w:noProof/>
        </w:rPr>
      </w:pPr>
      <w:r>
        <w:rPr>
          <w:i/>
          <w:iCs/>
          <w:noProof/>
        </w:rPr>
        <w:t>El Salvador</w:t>
      </w:r>
    </w:p>
    <w:p>
      <w:pPr>
        <w:keepNext/>
        <w:rPr>
          <w:i/>
          <w:iCs/>
          <w:noProof/>
        </w:rPr>
      </w:pPr>
    </w:p>
    <w:p>
      <w:pPr>
        <w:jc w:val="both"/>
        <w:rPr>
          <w:noProof/>
        </w:rPr>
      </w:pPr>
      <w:r>
        <w:rPr>
          <w:noProof/>
        </w:rPr>
        <w:t xml:space="preserve">The trade flows between the EU and El Salvador were at the level of €1 billion in 2018, with EU exports shooting up by 68% i.e. by €0.3 million. The surge in exports was due to increased purchases of transport equipment from the EU (aircraft). Another item that El Salvador typically buys from the EU is machinery and appliances – no particular change was observed here in the value of annual purchases. </w:t>
      </w:r>
    </w:p>
    <w:p>
      <w:pPr>
        <w:jc w:val="both"/>
        <w:rPr>
          <w:noProof/>
        </w:rPr>
      </w:pPr>
    </w:p>
    <w:p>
      <w:pPr>
        <w:jc w:val="both"/>
        <w:rPr>
          <w:noProof/>
        </w:rPr>
      </w:pPr>
      <w:r>
        <w:rPr>
          <w:noProof/>
        </w:rPr>
        <w:t>Imports from El Salvador went down by around 12%, to the level of €0.2 million. This was due to a drop in sales of frozen fish, apparel and clothing as well as sugar. The main categories of products imported by the EU are electrical capacitors (up 20%), frozen fish (down 26%) and fish products (no change), coffee (up 26%).</w:t>
      </w:r>
    </w:p>
    <w:p>
      <w:pPr>
        <w:rPr>
          <w:noProof/>
        </w:rPr>
      </w:pPr>
    </w:p>
    <w:p>
      <w:pPr>
        <w:keepNext/>
        <w:rPr>
          <w:i/>
          <w:iCs/>
          <w:noProof/>
        </w:rPr>
      </w:pPr>
      <w:r>
        <w:rPr>
          <w:i/>
          <w:iCs/>
          <w:noProof/>
        </w:rPr>
        <w:t>Guatemala</w:t>
      </w:r>
    </w:p>
    <w:p>
      <w:pPr>
        <w:keepNext/>
        <w:rPr>
          <w:i/>
          <w:iCs/>
          <w:noProof/>
        </w:rPr>
      </w:pPr>
    </w:p>
    <w:p>
      <w:pPr>
        <w:jc w:val="both"/>
        <w:rPr>
          <w:noProof/>
        </w:rPr>
      </w:pPr>
      <w:r>
        <w:rPr>
          <w:noProof/>
        </w:rPr>
        <w:t xml:space="preserve">Trade with Guatemala remained very balanced. Both imports and exports amounted to around €1 billion in each direction. Only a slight drop was observed in the overall imports value (down 5%). Around half of EU exports to Guatemala are machinery and appliances (down 16%), products of the chemical industry (up 5%), which include also pharmaceutical products. Other exported items were vehicles, including cars (down 8%), as well as aluminium (up 9%). </w:t>
      </w:r>
    </w:p>
    <w:p>
      <w:pPr>
        <w:jc w:val="both"/>
        <w:rPr>
          <w:noProof/>
        </w:rPr>
      </w:pPr>
    </w:p>
    <w:p>
      <w:pPr>
        <w:jc w:val="both"/>
        <w:rPr>
          <w:noProof/>
        </w:rPr>
      </w:pPr>
      <w:r>
        <w:rPr>
          <w:noProof/>
        </w:rPr>
        <w:t>Guatemala’s top export items were palm oil (up 3%) with around 22% share in total Guatemala’s exports, coffee (up 9%) bananas (up 49%) altogether accounting for close to a half the country’s exports. Other items exported by Guatemala include iron and steel, spirit drinks as well as sugar.</w:t>
      </w:r>
    </w:p>
    <w:p>
      <w:pPr>
        <w:jc w:val="both"/>
        <w:rPr>
          <w:noProof/>
        </w:rPr>
      </w:pPr>
    </w:p>
    <w:p>
      <w:pPr>
        <w:keepNext/>
        <w:rPr>
          <w:i/>
          <w:iCs/>
          <w:noProof/>
        </w:rPr>
      </w:pPr>
      <w:r>
        <w:rPr>
          <w:i/>
          <w:iCs/>
          <w:noProof/>
        </w:rPr>
        <w:t>Honduras</w:t>
      </w:r>
    </w:p>
    <w:p>
      <w:pPr>
        <w:jc w:val="both"/>
        <w:rPr>
          <w:noProof/>
        </w:rPr>
      </w:pPr>
    </w:p>
    <w:p>
      <w:pPr>
        <w:jc w:val="both"/>
        <w:rPr>
          <w:noProof/>
        </w:rPr>
      </w:pPr>
      <w:r>
        <w:rPr>
          <w:noProof/>
        </w:rPr>
        <w:t>In 2018, the EU recorded a deficit of about €0.7 billion, with imports amounting to €1.1 billion. The top item imported from Honduras that accounted for around 50% of EU imports was coffee (down by 11%). Other products included palm oil (down 7%) with a 20% share and fruit (melons and papayas, bananas) (up 8%), with a 6% share in 2018.</w:t>
      </w:r>
    </w:p>
    <w:p>
      <w:pPr>
        <w:jc w:val="both"/>
        <w:rPr>
          <w:noProof/>
        </w:rPr>
      </w:pPr>
    </w:p>
    <w:p>
      <w:pPr>
        <w:jc w:val="both"/>
        <w:rPr>
          <w:noProof/>
        </w:rPr>
      </w:pPr>
      <w:r>
        <w:rPr>
          <w:noProof/>
        </w:rPr>
        <w:t xml:space="preserve">EU’s exports (€0.5 billion) are more diverse, with machinery and mechanical appliances (up 39%), electrical and electrical appliances (down 24%) accounting for about 45% of EU exports to Honduras. Other export items include products such as pharmaceutical products, paper and plastics, amongst others. </w:t>
      </w:r>
    </w:p>
    <w:p>
      <w:pPr>
        <w:jc w:val="both"/>
        <w:rPr>
          <w:noProof/>
        </w:rPr>
      </w:pPr>
    </w:p>
    <w:p>
      <w:pPr>
        <w:keepNext/>
        <w:rPr>
          <w:i/>
          <w:iCs/>
          <w:noProof/>
        </w:rPr>
      </w:pPr>
      <w:r>
        <w:rPr>
          <w:i/>
          <w:iCs/>
          <w:noProof/>
        </w:rPr>
        <w:t>Nicaragua</w:t>
      </w:r>
    </w:p>
    <w:p>
      <w:pPr>
        <w:keepNext/>
        <w:rPr>
          <w:i/>
          <w:iCs/>
          <w:noProof/>
        </w:rPr>
      </w:pPr>
    </w:p>
    <w:p>
      <w:pPr>
        <w:jc w:val="both"/>
        <w:rPr>
          <w:noProof/>
        </w:rPr>
      </w:pPr>
      <w:r>
        <w:rPr>
          <w:noProof/>
        </w:rPr>
        <w:t>Nicaragua is the smallest trading partner of all the six countries of the region. Similarly to the case above, the EU typically records a trade deficit in trade with Nicaragua, which in 2018 increased further to €200 million. EU’s exports dropped by 22% over the year, down to 190 million. The EU mainly imports coffee (up 10%) with a 28% share in total imports from Nicaragua, fish and crustaceans (up 3%) with a 23% share, as well as peanuts (no change) with a 13% share in total imports. Other import items are mainly agricultural foodstuffs.</w:t>
      </w:r>
    </w:p>
    <w:p>
      <w:pPr>
        <w:jc w:val="both"/>
        <w:rPr>
          <w:noProof/>
        </w:rPr>
      </w:pPr>
    </w:p>
    <w:p>
      <w:pPr>
        <w:jc w:val="both"/>
        <w:rPr>
          <w:noProof/>
        </w:rPr>
      </w:pPr>
      <w:r>
        <w:rPr>
          <w:noProof/>
        </w:rPr>
        <w:t xml:space="preserve">EU exports are more diverse and cover various, mainly industrial, product categories. The top three export items to Honduras include machinery and mechanical appliances (down 34%), electrical machinery (down 30%) as well as pharmaceutical products (down 26%). All these categories accounted together for over 40% of EU exports. </w:t>
      </w:r>
    </w:p>
    <w:p>
      <w:pPr>
        <w:jc w:val="both"/>
        <w:rPr>
          <w:noProof/>
        </w:rPr>
      </w:pPr>
    </w:p>
    <w:p>
      <w:pPr>
        <w:keepNext/>
        <w:rPr>
          <w:i/>
          <w:iCs/>
          <w:noProof/>
        </w:rPr>
      </w:pPr>
      <w:r>
        <w:rPr>
          <w:i/>
          <w:iCs/>
          <w:noProof/>
        </w:rPr>
        <w:t>Panama</w:t>
      </w:r>
    </w:p>
    <w:p>
      <w:pPr>
        <w:keepNext/>
        <w:rPr>
          <w:i/>
          <w:iCs/>
          <w:noProof/>
        </w:rPr>
      </w:pPr>
    </w:p>
    <w:p>
      <w:pPr>
        <w:jc w:val="both"/>
        <w:rPr>
          <w:noProof/>
        </w:rPr>
      </w:pPr>
      <w:r>
        <w:rPr>
          <w:noProof/>
        </w:rPr>
        <w:t>Panama remained the EU’s top export market in the region, receiving around €2.5 billion worth of EU goods. Over 40% of EU exports to the region are destined for Panama. Note however that these data does not capture goods that may be later re-exported via Panama, which can amount to quite a considerable amount. Pharmaceutical products and cosmetics made up about 21% of EU exports in 2018, with a slight drop (down by 5% for cosmetics and down by 2% for pharma). Machinery and mechanical appliances accounted for about 10% of EU exports (down by 20%). 2018 saw a significant change in the purchases of aircraft (increasing from €8 million to €243 million). Other significant surges in sales concerned railway or tramway locomotives (up 320%) as well as vehicles (cars) (up 39%).</w:t>
      </w:r>
    </w:p>
    <w:p>
      <w:pPr>
        <w:jc w:val="both"/>
        <w:rPr>
          <w:noProof/>
        </w:rPr>
      </w:pPr>
    </w:p>
    <w:p>
      <w:pPr>
        <w:jc w:val="both"/>
        <w:rPr>
          <w:noProof/>
        </w:rPr>
      </w:pPr>
      <w:r>
        <w:rPr>
          <w:noProof/>
        </w:rPr>
        <w:t>In 2018 imports from Panama largely consisted of fruit (mainly bananas which represent 35% of imports and were up by 2%) and ships and boats (33% share, up by 287%). Other important import items included gold, rubber, as well as fish and crustaceans.</w:t>
      </w:r>
    </w:p>
    <w:p>
      <w:pPr>
        <w:pStyle w:val="ManualHeading2"/>
      </w:pPr>
      <w:bookmarkStart w:id="468" w:name="_Toc8833481"/>
      <w:bookmarkStart w:id="469" w:name="_Toc8835308"/>
      <w:bookmarkStart w:id="470" w:name="_Toc8833938"/>
      <w:bookmarkStart w:id="471" w:name="_Toc8909401"/>
      <w:bookmarkStart w:id="472" w:name="_Toc8910613"/>
      <w:bookmarkStart w:id="473" w:name="_Toc8911650"/>
      <w:bookmarkStart w:id="474" w:name="_Toc8974453"/>
      <w:bookmarkStart w:id="475" w:name="_Toc9008124"/>
      <w:bookmarkStart w:id="476" w:name="_Toc9008527"/>
      <w:bookmarkStart w:id="477" w:name="_Toc9348522"/>
      <w:bookmarkStart w:id="478" w:name="_Toc9607973"/>
      <w:bookmarkStart w:id="479" w:name="_Toc16000549"/>
      <w:r>
        <w:t>2.2</w:t>
      </w:r>
      <w:r>
        <w:tab/>
        <w:t>Trade in agricultural goods</w:t>
      </w:r>
      <w:bookmarkEnd w:id="468"/>
      <w:bookmarkEnd w:id="469"/>
      <w:bookmarkEnd w:id="470"/>
      <w:bookmarkEnd w:id="471"/>
      <w:bookmarkEnd w:id="472"/>
      <w:bookmarkEnd w:id="473"/>
      <w:bookmarkEnd w:id="474"/>
      <w:bookmarkEnd w:id="475"/>
      <w:bookmarkEnd w:id="476"/>
      <w:bookmarkEnd w:id="477"/>
      <w:bookmarkEnd w:id="478"/>
      <w:bookmarkEnd w:id="479"/>
    </w:p>
    <w:p>
      <w:pPr>
        <w:jc w:val="both"/>
        <w:rPr>
          <w:noProof/>
          <w:lang w:eastAsia="en-GB"/>
        </w:rPr>
      </w:pPr>
      <w:r>
        <w:rPr>
          <w:noProof/>
          <w:lang w:eastAsia="en-GB"/>
        </w:rPr>
        <w:t>The Agreement defines a number of tariff rate quotas (TRQs) with parties granting each other a preferential tariff treatment up to the quota’s quantitative threshold. Imports over this threshold are subject to the applicable Most-Favoured Nation (MFN) tariff.</w:t>
      </w:r>
    </w:p>
    <w:p>
      <w:pPr>
        <w:jc w:val="both"/>
        <w:rPr>
          <w:noProof/>
          <w:lang w:eastAsia="en-GB"/>
        </w:rPr>
      </w:pPr>
    </w:p>
    <w:p>
      <w:pPr>
        <w:jc w:val="both"/>
        <w:rPr>
          <w:noProof/>
          <w:lang w:eastAsia="en-GB"/>
        </w:rPr>
      </w:pPr>
      <w:r>
        <w:rPr>
          <w:noProof/>
          <w:lang w:eastAsia="en-GB"/>
        </w:rPr>
        <w:t>Under the Agreement, the EU grants eight TRQs in favour of Central America on products that did not enjoy preferential access to the EU market prior to the date of application of the Agreement. In 2018, as in previous years, the cane sugar and rum quotas were fully utilised. Guatemala supplied most of the rum imported under the quota and even increased its share to 86%, up from 82% the previous year. Guatemala also increased its market share in the sugar quota up to 48% (vs 43% in 2017). While five quotas remained unused in 2018, the manioc starch quota was filled by 13%.</w:t>
      </w:r>
    </w:p>
    <w:p>
      <w:pPr>
        <w:jc w:val="both"/>
        <w:rPr>
          <w:noProof/>
          <w:lang w:eastAsia="en-GB"/>
        </w:rPr>
      </w:pPr>
    </w:p>
    <w:p>
      <w:pPr>
        <w:rPr>
          <w:b/>
          <w:noProof/>
          <w:lang w:eastAsia="en-GB"/>
        </w:rPr>
      </w:pPr>
      <w:r>
        <w:rPr>
          <w:b/>
          <w:noProof/>
          <w:lang w:eastAsia="en-GB"/>
        </w:rPr>
        <w:t>TRQs granted by the EU to Central America – Utilisation in 2018</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9"/>
        <w:gridCol w:w="2312"/>
        <w:gridCol w:w="1628"/>
        <w:gridCol w:w="1281"/>
        <w:gridCol w:w="1049"/>
        <w:gridCol w:w="1219"/>
      </w:tblGrid>
      <w:tr>
        <w:trPr>
          <w:cantSplit/>
        </w:trPr>
        <w:tc>
          <w:tcPr>
            <w:tcW w:w="1859" w:type="dxa"/>
            <w:shd w:val="clear" w:color="auto" w:fill="auto"/>
            <w:noWrap/>
            <w:vAlign w:val="center"/>
            <w:hideMark/>
          </w:tcPr>
          <w:p>
            <w:pPr>
              <w:jc w:val="center"/>
              <w:rPr>
                <w:b/>
                <w:noProof/>
                <w:sz w:val="22"/>
                <w:szCs w:val="22"/>
                <w:lang w:eastAsia="en-GB"/>
              </w:rPr>
            </w:pPr>
            <w:r>
              <w:rPr>
                <w:b/>
                <w:noProof/>
                <w:sz w:val="22"/>
                <w:szCs w:val="22"/>
                <w:lang w:eastAsia="en-GB"/>
              </w:rPr>
              <w:t>Origin</w:t>
            </w:r>
          </w:p>
        </w:tc>
        <w:tc>
          <w:tcPr>
            <w:tcW w:w="2312" w:type="dxa"/>
            <w:shd w:val="clear" w:color="auto" w:fill="auto"/>
            <w:noWrap/>
            <w:vAlign w:val="center"/>
            <w:hideMark/>
          </w:tcPr>
          <w:p>
            <w:pPr>
              <w:jc w:val="center"/>
              <w:rPr>
                <w:b/>
                <w:bCs/>
                <w:noProof/>
                <w:sz w:val="22"/>
                <w:szCs w:val="22"/>
                <w:lang w:eastAsia="en-GB"/>
              </w:rPr>
            </w:pPr>
            <w:r>
              <w:rPr>
                <w:b/>
                <w:bCs/>
                <w:noProof/>
                <w:sz w:val="22"/>
                <w:szCs w:val="22"/>
                <w:lang w:eastAsia="en-GB"/>
              </w:rPr>
              <w:t>Product</w:t>
            </w:r>
          </w:p>
        </w:tc>
        <w:tc>
          <w:tcPr>
            <w:tcW w:w="1628" w:type="dxa"/>
            <w:shd w:val="clear" w:color="auto" w:fill="auto"/>
            <w:noWrap/>
            <w:vAlign w:val="center"/>
            <w:hideMark/>
          </w:tcPr>
          <w:p>
            <w:pPr>
              <w:jc w:val="center"/>
              <w:rPr>
                <w:b/>
                <w:bCs/>
                <w:noProof/>
                <w:sz w:val="22"/>
                <w:szCs w:val="22"/>
                <w:lang w:eastAsia="en-GB"/>
              </w:rPr>
            </w:pPr>
            <w:r>
              <w:rPr>
                <w:b/>
                <w:bCs/>
                <w:noProof/>
                <w:sz w:val="22"/>
                <w:szCs w:val="22"/>
                <w:lang w:eastAsia="en-GB"/>
              </w:rPr>
              <w:t>Unit</w:t>
            </w:r>
          </w:p>
        </w:tc>
        <w:tc>
          <w:tcPr>
            <w:tcW w:w="1281" w:type="dxa"/>
            <w:shd w:val="clear" w:color="auto" w:fill="auto"/>
            <w:noWrap/>
            <w:vAlign w:val="center"/>
            <w:hideMark/>
          </w:tcPr>
          <w:p>
            <w:pPr>
              <w:jc w:val="center"/>
              <w:rPr>
                <w:b/>
                <w:bCs/>
                <w:noProof/>
                <w:sz w:val="22"/>
                <w:szCs w:val="22"/>
                <w:lang w:eastAsia="en-GB"/>
              </w:rPr>
            </w:pPr>
            <w:r>
              <w:rPr>
                <w:b/>
                <w:bCs/>
                <w:noProof/>
                <w:sz w:val="22"/>
                <w:szCs w:val="22"/>
                <w:lang w:eastAsia="en-GB"/>
              </w:rPr>
              <w:t>TRQ volume</w:t>
            </w:r>
          </w:p>
        </w:tc>
        <w:tc>
          <w:tcPr>
            <w:tcW w:w="1049" w:type="dxa"/>
            <w:shd w:val="clear" w:color="auto" w:fill="auto"/>
            <w:noWrap/>
            <w:vAlign w:val="center"/>
            <w:hideMark/>
          </w:tcPr>
          <w:p>
            <w:pPr>
              <w:jc w:val="center"/>
              <w:rPr>
                <w:b/>
                <w:bCs/>
                <w:noProof/>
                <w:sz w:val="22"/>
                <w:szCs w:val="22"/>
                <w:lang w:eastAsia="en-GB"/>
              </w:rPr>
            </w:pPr>
            <w:r>
              <w:rPr>
                <w:b/>
                <w:bCs/>
                <w:noProof/>
                <w:sz w:val="22"/>
                <w:szCs w:val="22"/>
                <w:lang w:eastAsia="en-GB"/>
              </w:rPr>
              <w:t>EU imports</w:t>
            </w:r>
          </w:p>
        </w:tc>
        <w:tc>
          <w:tcPr>
            <w:tcW w:w="1219" w:type="dxa"/>
            <w:shd w:val="clear" w:color="auto" w:fill="auto"/>
            <w:noWrap/>
            <w:vAlign w:val="center"/>
            <w:hideMark/>
          </w:tcPr>
          <w:p>
            <w:pPr>
              <w:jc w:val="center"/>
              <w:rPr>
                <w:b/>
                <w:bCs/>
                <w:noProof/>
                <w:sz w:val="22"/>
                <w:szCs w:val="22"/>
                <w:lang w:eastAsia="en-GB"/>
              </w:rPr>
            </w:pPr>
            <w:r>
              <w:rPr>
                <w:b/>
                <w:bCs/>
                <w:noProof/>
                <w:sz w:val="22"/>
                <w:szCs w:val="22"/>
                <w:lang w:eastAsia="en-GB"/>
              </w:rPr>
              <w:t>Utilisation rate</w:t>
            </w:r>
          </w:p>
        </w:tc>
      </w:tr>
      <w:tr>
        <w:trPr>
          <w:cantSplit/>
        </w:trPr>
        <w:tc>
          <w:tcPr>
            <w:tcW w:w="1859" w:type="dxa"/>
            <w:vMerge w:val="restart"/>
            <w:shd w:val="clear" w:color="auto" w:fill="auto"/>
            <w:vAlign w:val="center"/>
            <w:hideMark/>
          </w:tcPr>
          <w:p>
            <w:pPr>
              <w:rPr>
                <w:b/>
                <w:bCs/>
                <w:noProof/>
                <w:sz w:val="22"/>
                <w:szCs w:val="22"/>
                <w:lang w:eastAsia="en-GB"/>
              </w:rPr>
            </w:pPr>
            <w:r>
              <w:rPr>
                <w:b/>
                <w:bCs/>
                <w:noProof/>
                <w:sz w:val="22"/>
                <w:szCs w:val="22"/>
                <w:lang w:eastAsia="en-GB"/>
              </w:rPr>
              <w:t>Central America</w:t>
            </w:r>
          </w:p>
        </w:tc>
        <w:tc>
          <w:tcPr>
            <w:tcW w:w="2312" w:type="dxa"/>
            <w:shd w:val="clear" w:color="auto" w:fill="auto"/>
            <w:noWrap/>
            <w:vAlign w:val="center"/>
            <w:hideMark/>
          </w:tcPr>
          <w:p>
            <w:pPr>
              <w:rPr>
                <w:noProof/>
                <w:sz w:val="22"/>
                <w:szCs w:val="22"/>
                <w:lang w:eastAsia="en-GB"/>
              </w:rPr>
            </w:pPr>
            <w:r>
              <w:rPr>
                <w:noProof/>
                <w:sz w:val="22"/>
                <w:szCs w:val="22"/>
                <w:lang w:eastAsia="en-GB"/>
              </w:rPr>
              <w:t>Garlic</w:t>
            </w:r>
          </w:p>
        </w:tc>
        <w:tc>
          <w:tcPr>
            <w:tcW w:w="1628" w:type="dxa"/>
            <w:vMerge w:val="restart"/>
            <w:shd w:val="clear" w:color="auto" w:fill="auto"/>
            <w:vAlign w:val="center"/>
            <w:hideMark/>
          </w:tcPr>
          <w:p>
            <w:pPr>
              <w:rPr>
                <w:noProof/>
                <w:sz w:val="22"/>
                <w:szCs w:val="22"/>
                <w:lang w:eastAsia="en-GB"/>
              </w:rPr>
            </w:pPr>
            <w:r>
              <w:rPr>
                <w:noProof/>
                <w:sz w:val="22"/>
                <w:szCs w:val="22"/>
                <w:lang w:eastAsia="en-GB"/>
              </w:rPr>
              <w:t>Tonnes</w:t>
            </w:r>
          </w:p>
        </w:tc>
        <w:tc>
          <w:tcPr>
            <w:tcW w:w="1281" w:type="dxa"/>
            <w:shd w:val="clear" w:color="auto" w:fill="auto"/>
            <w:noWrap/>
            <w:vAlign w:val="center"/>
            <w:hideMark/>
          </w:tcPr>
          <w:p>
            <w:pPr>
              <w:jc w:val="right"/>
              <w:rPr>
                <w:noProof/>
                <w:sz w:val="22"/>
                <w:szCs w:val="22"/>
                <w:lang w:eastAsia="en-GB"/>
              </w:rPr>
            </w:pPr>
            <w:r>
              <w:rPr>
                <w:noProof/>
                <w:sz w:val="22"/>
                <w:szCs w:val="22"/>
                <w:lang w:eastAsia="en-GB"/>
              </w:rPr>
              <w:t>550</w:t>
            </w:r>
          </w:p>
        </w:tc>
        <w:tc>
          <w:tcPr>
            <w:tcW w:w="1049" w:type="dxa"/>
            <w:shd w:val="clear" w:color="auto" w:fill="auto"/>
            <w:noWrap/>
            <w:vAlign w:val="center"/>
            <w:hideMark/>
          </w:tcPr>
          <w:p>
            <w:pPr>
              <w:jc w:val="right"/>
              <w:rPr>
                <w:noProof/>
                <w:sz w:val="22"/>
                <w:szCs w:val="22"/>
                <w:lang w:eastAsia="en-GB"/>
              </w:rPr>
            </w:pPr>
            <w:r>
              <w:rPr>
                <w:noProof/>
                <w:sz w:val="22"/>
                <w:szCs w:val="22"/>
                <w:lang w:eastAsia="en-GB"/>
              </w:rPr>
              <w:t>0</w:t>
            </w:r>
          </w:p>
        </w:tc>
        <w:tc>
          <w:tcPr>
            <w:tcW w:w="1219" w:type="dxa"/>
            <w:shd w:val="clear" w:color="auto" w:fill="auto"/>
            <w:noWrap/>
            <w:vAlign w:val="center"/>
            <w:hideMark/>
          </w:tcPr>
          <w:p>
            <w:pPr>
              <w:jc w:val="right"/>
              <w:rPr>
                <w:noProof/>
                <w:sz w:val="22"/>
                <w:szCs w:val="22"/>
                <w:lang w:eastAsia="en-GB"/>
              </w:rPr>
            </w:pPr>
            <w:r>
              <w:rPr>
                <w:noProof/>
                <w:sz w:val="22"/>
                <w:szCs w:val="22"/>
                <w:lang w:eastAsia="en-GB"/>
              </w:rPr>
              <w:t>0%</w:t>
            </w:r>
          </w:p>
        </w:tc>
      </w:tr>
      <w:tr>
        <w:trPr>
          <w:cantSplit/>
        </w:trPr>
        <w:tc>
          <w:tcPr>
            <w:tcW w:w="1859" w:type="dxa"/>
            <w:vMerge/>
            <w:shd w:val="clear" w:color="auto" w:fill="auto"/>
            <w:vAlign w:val="center"/>
            <w:hideMark/>
          </w:tcPr>
          <w:p>
            <w:pPr>
              <w:rPr>
                <w:b/>
                <w:noProof/>
                <w:sz w:val="22"/>
                <w:szCs w:val="22"/>
                <w:lang w:eastAsia="en-GB"/>
              </w:rPr>
            </w:pPr>
          </w:p>
        </w:tc>
        <w:tc>
          <w:tcPr>
            <w:tcW w:w="2312" w:type="dxa"/>
            <w:shd w:val="clear" w:color="auto" w:fill="auto"/>
            <w:noWrap/>
            <w:vAlign w:val="center"/>
            <w:hideMark/>
          </w:tcPr>
          <w:p>
            <w:pPr>
              <w:rPr>
                <w:noProof/>
                <w:sz w:val="22"/>
                <w:szCs w:val="22"/>
                <w:lang w:eastAsia="en-GB"/>
              </w:rPr>
            </w:pPr>
            <w:r>
              <w:rPr>
                <w:noProof/>
                <w:sz w:val="22"/>
                <w:szCs w:val="22"/>
                <w:lang w:eastAsia="en-GB"/>
              </w:rPr>
              <w:t>Rice</w:t>
            </w:r>
          </w:p>
        </w:tc>
        <w:tc>
          <w:tcPr>
            <w:tcW w:w="1628" w:type="dxa"/>
            <w:vMerge/>
            <w:shd w:val="clear" w:color="auto" w:fill="auto"/>
            <w:vAlign w:val="center"/>
            <w:hideMark/>
          </w:tcPr>
          <w:p>
            <w:pPr>
              <w:rPr>
                <w:noProof/>
                <w:sz w:val="22"/>
                <w:szCs w:val="22"/>
                <w:lang w:eastAsia="en-GB"/>
              </w:rPr>
            </w:pPr>
          </w:p>
        </w:tc>
        <w:tc>
          <w:tcPr>
            <w:tcW w:w="1281" w:type="dxa"/>
            <w:shd w:val="clear" w:color="auto" w:fill="auto"/>
            <w:noWrap/>
            <w:vAlign w:val="center"/>
            <w:hideMark/>
          </w:tcPr>
          <w:p>
            <w:pPr>
              <w:jc w:val="right"/>
              <w:rPr>
                <w:noProof/>
                <w:sz w:val="22"/>
                <w:szCs w:val="22"/>
                <w:lang w:eastAsia="en-GB"/>
              </w:rPr>
            </w:pPr>
            <w:r>
              <w:rPr>
                <w:noProof/>
                <w:sz w:val="22"/>
                <w:szCs w:val="22"/>
                <w:lang w:eastAsia="en-GB"/>
              </w:rPr>
              <w:t>25 000</w:t>
            </w:r>
          </w:p>
        </w:tc>
        <w:tc>
          <w:tcPr>
            <w:tcW w:w="1049" w:type="dxa"/>
            <w:shd w:val="clear" w:color="auto" w:fill="auto"/>
            <w:noWrap/>
            <w:vAlign w:val="center"/>
            <w:hideMark/>
          </w:tcPr>
          <w:p>
            <w:pPr>
              <w:jc w:val="right"/>
              <w:rPr>
                <w:noProof/>
                <w:sz w:val="22"/>
                <w:szCs w:val="22"/>
                <w:lang w:eastAsia="en-GB"/>
              </w:rPr>
            </w:pPr>
            <w:r>
              <w:rPr>
                <w:noProof/>
                <w:sz w:val="22"/>
                <w:szCs w:val="22"/>
                <w:lang w:eastAsia="en-GB"/>
              </w:rPr>
              <w:t>0</w:t>
            </w:r>
          </w:p>
        </w:tc>
        <w:tc>
          <w:tcPr>
            <w:tcW w:w="1219" w:type="dxa"/>
            <w:shd w:val="clear" w:color="auto" w:fill="auto"/>
            <w:noWrap/>
            <w:vAlign w:val="center"/>
            <w:hideMark/>
          </w:tcPr>
          <w:p>
            <w:pPr>
              <w:jc w:val="right"/>
              <w:rPr>
                <w:noProof/>
                <w:sz w:val="22"/>
                <w:szCs w:val="22"/>
                <w:lang w:eastAsia="en-GB"/>
              </w:rPr>
            </w:pPr>
            <w:r>
              <w:rPr>
                <w:noProof/>
                <w:sz w:val="22"/>
                <w:szCs w:val="22"/>
                <w:lang w:eastAsia="en-GB"/>
              </w:rPr>
              <w:t>0%</w:t>
            </w:r>
          </w:p>
        </w:tc>
      </w:tr>
      <w:tr>
        <w:trPr>
          <w:cantSplit/>
        </w:trPr>
        <w:tc>
          <w:tcPr>
            <w:tcW w:w="1859" w:type="dxa"/>
            <w:vMerge/>
            <w:shd w:val="clear" w:color="auto" w:fill="auto"/>
            <w:vAlign w:val="center"/>
            <w:hideMark/>
          </w:tcPr>
          <w:p>
            <w:pPr>
              <w:rPr>
                <w:b/>
                <w:noProof/>
                <w:sz w:val="22"/>
                <w:szCs w:val="22"/>
                <w:lang w:eastAsia="en-GB"/>
              </w:rPr>
            </w:pPr>
          </w:p>
        </w:tc>
        <w:tc>
          <w:tcPr>
            <w:tcW w:w="2312" w:type="dxa"/>
            <w:shd w:val="clear" w:color="auto" w:fill="auto"/>
            <w:noWrap/>
            <w:vAlign w:val="center"/>
            <w:hideMark/>
          </w:tcPr>
          <w:p>
            <w:pPr>
              <w:rPr>
                <w:noProof/>
                <w:sz w:val="22"/>
                <w:szCs w:val="22"/>
                <w:lang w:eastAsia="en-GB"/>
              </w:rPr>
            </w:pPr>
            <w:r>
              <w:rPr>
                <w:noProof/>
                <w:sz w:val="22"/>
                <w:szCs w:val="22"/>
                <w:lang w:eastAsia="en-GB"/>
              </w:rPr>
              <w:t>Bovine meat</w:t>
            </w:r>
          </w:p>
        </w:tc>
        <w:tc>
          <w:tcPr>
            <w:tcW w:w="1628" w:type="dxa"/>
            <w:vMerge/>
            <w:shd w:val="clear" w:color="auto" w:fill="auto"/>
            <w:vAlign w:val="center"/>
            <w:hideMark/>
          </w:tcPr>
          <w:p>
            <w:pPr>
              <w:rPr>
                <w:noProof/>
                <w:sz w:val="22"/>
                <w:szCs w:val="22"/>
                <w:lang w:eastAsia="en-GB"/>
              </w:rPr>
            </w:pPr>
          </w:p>
        </w:tc>
        <w:tc>
          <w:tcPr>
            <w:tcW w:w="1281" w:type="dxa"/>
            <w:shd w:val="clear" w:color="auto" w:fill="auto"/>
            <w:noWrap/>
            <w:vAlign w:val="center"/>
            <w:hideMark/>
          </w:tcPr>
          <w:p>
            <w:pPr>
              <w:jc w:val="right"/>
              <w:rPr>
                <w:noProof/>
                <w:sz w:val="22"/>
                <w:szCs w:val="22"/>
                <w:lang w:eastAsia="en-GB"/>
              </w:rPr>
            </w:pPr>
            <w:r>
              <w:rPr>
                <w:noProof/>
                <w:sz w:val="22"/>
                <w:szCs w:val="22"/>
                <w:lang w:eastAsia="en-GB"/>
              </w:rPr>
              <w:t>11 875</w:t>
            </w:r>
          </w:p>
        </w:tc>
        <w:tc>
          <w:tcPr>
            <w:tcW w:w="1049" w:type="dxa"/>
            <w:shd w:val="clear" w:color="auto" w:fill="auto"/>
            <w:noWrap/>
            <w:vAlign w:val="center"/>
            <w:hideMark/>
          </w:tcPr>
          <w:p>
            <w:pPr>
              <w:jc w:val="right"/>
              <w:rPr>
                <w:noProof/>
                <w:sz w:val="22"/>
                <w:szCs w:val="22"/>
                <w:lang w:eastAsia="en-GB"/>
              </w:rPr>
            </w:pPr>
            <w:r>
              <w:rPr>
                <w:noProof/>
                <w:sz w:val="22"/>
                <w:szCs w:val="22"/>
                <w:lang w:eastAsia="en-GB"/>
              </w:rPr>
              <w:t>0</w:t>
            </w:r>
          </w:p>
        </w:tc>
        <w:tc>
          <w:tcPr>
            <w:tcW w:w="1219" w:type="dxa"/>
            <w:shd w:val="clear" w:color="auto" w:fill="auto"/>
            <w:noWrap/>
            <w:vAlign w:val="center"/>
            <w:hideMark/>
          </w:tcPr>
          <w:p>
            <w:pPr>
              <w:jc w:val="right"/>
              <w:rPr>
                <w:noProof/>
                <w:sz w:val="22"/>
                <w:szCs w:val="22"/>
                <w:lang w:eastAsia="en-GB"/>
              </w:rPr>
            </w:pPr>
            <w:r>
              <w:rPr>
                <w:noProof/>
                <w:sz w:val="22"/>
                <w:szCs w:val="22"/>
                <w:lang w:eastAsia="en-GB"/>
              </w:rPr>
              <w:t>0%</w:t>
            </w:r>
          </w:p>
        </w:tc>
      </w:tr>
      <w:tr>
        <w:trPr>
          <w:cantSplit/>
        </w:trPr>
        <w:tc>
          <w:tcPr>
            <w:tcW w:w="1859" w:type="dxa"/>
            <w:vMerge/>
            <w:shd w:val="clear" w:color="auto" w:fill="auto"/>
            <w:vAlign w:val="center"/>
            <w:hideMark/>
          </w:tcPr>
          <w:p>
            <w:pPr>
              <w:rPr>
                <w:b/>
                <w:noProof/>
                <w:sz w:val="22"/>
                <w:szCs w:val="22"/>
                <w:lang w:eastAsia="en-GB"/>
              </w:rPr>
            </w:pPr>
          </w:p>
        </w:tc>
        <w:tc>
          <w:tcPr>
            <w:tcW w:w="2312" w:type="dxa"/>
            <w:shd w:val="clear" w:color="auto" w:fill="auto"/>
            <w:noWrap/>
            <w:vAlign w:val="center"/>
            <w:hideMark/>
          </w:tcPr>
          <w:p>
            <w:pPr>
              <w:rPr>
                <w:noProof/>
                <w:sz w:val="22"/>
                <w:szCs w:val="22"/>
                <w:lang w:eastAsia="en-GB"/>
              </w:rPr>
            </w:pPr>
            <w:r>
              <w:rPr>
                <w:noProof/>
                <w:sz w:val="22"/>
                <w:szCs w:val="22"/>
                <w:lang w:eastAsia="en-GB"/>
              </w:rPr>
              <w:t>Mushroom</w:t>
            </w:r>
          </w:p>
        </w:tc>
        <w:tc>
          <w:tcPr>
            <w:tcW w:w="1628" w:type="dxa"/>
            <w:vMerge/>
            <w:shd w:val="clear" w:color="auto" w:fill="auto"/>
            <w:vAlign w:val="center"/>
            <w:hideMark/>
          </w:tcPr>
          <w:p>
            <w:pPr>
              <w:rPr>
                <w:noProof/>
                <w:sz w:val="22"/>
                <w:szCs w:val="22"/>
                <w:lang w:eastAsia="en-GB"/>
              </w:rPr>
            </w:pPr>
          </w:p>
        </w:tc>
        <w:tc>
          <w:tcPr>
            <w:tcW w:w="1281" w:type="dxa"/>
            <w:shd w:val="clear" w:color="auto" w:fill="auto"/>
            <w:noWrap/>
            <w:vAlign w:val="center"/>
            <w:hideMark/>
          </w:tcPr>
          <w:p>
            <w:pPr>
              <w:jc w:val="right"/>
              <w:rPr>
                <w:noProof/>
                <w:sz w:val="22"/>
                <w:szCs w:val="22"/>
                <w:lang w:eastAsia="en-GB"/>
              </w:rPr>
            </w:pPr>
            <w:r>
              <w:rPr>
                <w:noProof/>
                <w:sz w:val="22"/>
                <w:szCs w:val="22"/>
                <w:lang w:eastAsia="en-GB"/>
              </w:rPr>
              <w:t>275</w:t>
            </w:r>
          </w:p>
        </w:tc>
        <w:tc>
          <w:tcPr>
            <w:tcW w:w="1049" w:type="dxa"/>
            <w:shd w:val="clear" w:color="auto" w:fill="auto"/>
            <w:noWrap/>
            <w:vAlign w:val="center"/>
            <w:hideMark/>
          </w:tcPr>
          <w:p>
            <w:pPr>
              <w:jc w:val="right"/>
              <w:rPr>
                <w:noProof/>
                <w:sz w:val="22"/>
                <w:szCs w:val="22"/>
                <w:lang w:eastAsia="en-GB"/>
              </w:rPr>
            </w:pPr>
            <w:r>
              <w:rPr>
                <w:noProof/>
                <w:sz w:val="22"/>
                <w:szCs w:val="22"/>
                <w:lang w:eastAsia="en-GB"/>
              </w:rPr>
              <w:t>0</w:t>
            </w:r>
          </w:p>
        </w:tc>
        <w:tc>
          <w:tcPr>
            <w:tcW w:w="1219" w:type="dxa"/>
            <w:shd w:val="clear" w:color="auto" w:fill="auto"/>
            <w:noWrap/>
            <w:vAlign w:val="center"/>
            <w:hideMark/>
          </w:tcPr>
          <w:p>
            <w:pPr>
              <w:jc w:val="right"/>
              <w:rPr>
                <w:noProof/>
                <w:sz w:val="22"/>
                <w:szCs w:val="22"/>
                <w:lang w:eastAsia="en-GB"/>
              </w:rPr>
            </w:pPr>
            <w:r>
              <w:rPr>
                <w:noProof/>
                <w:sz w:val="22"/>
                <w:szCs w:val="22"/>
                <w:lang w:eastAsia="en-GB"/>
              </w:rPr>
              <w:t>0%</w:t>
            </w:r>
          </w:p>
        </w:tc>
      </w:tr>
      <w:tr>
        <w:trPr>
          <w:cantSplit/>
        </w:trPr>
        <w:tc>
          <w:tcPr>
            <w:tcW w:w="1859" w:type="dxa"/>
            <w:vMerge/>
            <w:shd w:val="clear" w:color="auto" w:fill="auto"/>
            <w:vAlign w:val="center"/>
          </w:tcPr>
          <w:p>
            <w:pPr>
              <w:rPr>
                <w:b/>
                <w:noProof/>
                <w:sz w:val="22"/>
                <w:szCs w:val="22"/>
                <w:lang w:eastAsia="en-GB"/>
              </w:rPr>
            </w:pPr>
          </w:p>
        </w:tc>
        <w:tc>
          <w:tcPr>
            <w:tcW w:w="2312" w:type="dxa"/>
            <w:shd w:val="clear" w:color="auto" w:fill="auto"/>
            <w:noWrap/>
            <w:vAlign w:val="center"/>
          </w:tcPr>
          <w:p>
            <w:pPr>
              <w:rPr>
                <w:noProof/>
                <w:sz w:val="22"/>
                <w:szCs w:val="22"/>
                <w:lang w:eastAsia="en-GB"/>
              </w:rPr>
            </w:pPr>
            <w:r>
              <w:rPr>
                <w:noProof/>
                <w:sz w:val="22"/>
                <w:szCs w:val="22"/>
                <w:lang w:eastAsia="en-GB"/>
              </w:rPr>
              <w:t>Manioc starch</w:t>
            </w:r>
          </w:p>
        </w:tc>
        <w:tc>
          <w:tcPr>
            <w:tcW w:w="1628" w:type="dxa"/>
            <w:vMerge/>
            <w:shd w:val="clear" w:color="auto" w:fill="auto"/>
            <w:vAlign w:val="center"/>
          </w:tcPr>
          <w:p>
            <w:pPr>
              <w:rPr>
                <w:noProof/>
                <w:sz w:val="22"/>
                <w:szCs w:val="22"/>
                <w:lang w:eastAsia="en-GB"/>
              </w:rPr>
            </w:pPr>
          </w:p>
        </w:tc>
        <w:tc>
          <w:tcPr>
            <w:tcW w:w="1281" w:type="dxa"/>
            <w:shd w:val="clear" w:color="auto" w:fill="auto"/>
            <w:noWrap/>
            <w:vAlign w:val="center"/>
          </w:tcPr>
          <w:p>
            <w:pPr>
              <w:jc w:val="right"/>
              <w:rPr>
                <w:noProof/>
                <w:sz w:val="22"/>
                <w:szCs w:val="22"/>
                <w:lang w:eastAsia="en-GB"/>
              </w:rPr>
            </w:pPr>
            <w:r>
              <w:rPr>
                <w:noProof/>
                <w:sz w:val="22"/>
                <w:szCs w:val="22"/>
                <w:lang w:eastAsia="en-GB"/>
              </w:rPr>
              <w:t>5 000</w:t>
            </w:r>
          </w:p>
        </w:tc>
        <w:tc>
          <w:tcPr>
            <w:tcW w:w="1049" w:type="dxa"/>
            <w:shd w:val="clear" w:color="auto" w:fill="auto"/>
            <w:noWrap/>
            <w:vAlign w:val="center"/>
          </w:tcPr>
          <w:p>
            <w:pPr>
              <w:jc w:val="right"/>
              <w:rPr>
                <w:noProof/>
                <w:sz w:val="22"/>
                <w:szCs w:val="22"/>
                <w:lang w:eastAsia="en-GB"/>
              </w:rPr>
            </w:pPr>
            <w:r>
              <w:rPr>
                <w:noProof/>
                <w:sz w:val="22"/>
                <w:szCs w:val="22"/>
                <w:lang w:eastAsia="en-GB"/>
              </w:rPr>
              <w:t>646</w:t>
            </w:r>
          </w:p>
        </w:tc>
        <w:tc>
          <w:tcPr>
            <w:tcW w:w="1219" w:type="dxa"/>
            <w:shd w:val="clear" w:color="auto" w:fill="auto"/>
            <w:noWrap/>
            <w:vAlign w:val="center"/>
          </w:tcPr>
          <w:p>
            <w:pPr>
              <w:jc w:val="right"/>
              <w:rPr>
                <w:noProof/>
                <w:sz w:val="22"/>
                <w:szCs w:val="22"/>
                <w:lang w:eastAsia="en-GB"/>
              </w:rPr>
            </w:pPr>
            <w:r>
              <w:rPr>
                <w:noProof/>
                <w:sz w:val="22"/>
                <w:szCs w:val="22"/>
                <w:lang w:eastAsia="en-GB"/>
              </w:rPr>
              <w:t>13%</w:t>
            </w:r>
          </w:p>
        </w:tc>
      </w:tr>
      <w:tr>
        <w:trPr>
          <w:cantSplit/>
        </w:trPr>
        <w:tc>
          <w:tcPr>
            <w:tcW w:w="1859" w:type="dxa"/>
            <w:vMerge/>
            <w:shd w:val="clear" w:color="auto" w:fill="auto"/>
            <w:vAlign w:val="center"/>
            <w:hideMark/>
          </w:tcPr>
          <w:p>
            <w:pPr>
              <w:rPr>
                <w:b/>
                <w:noProof/>
                <w:sz w:val="22"/>
                <w:szCs w:val="22"/>
                <w:lang w:eastAsia="en-GB"/>
              </w:rPr>
            </w:pPr>
          </w:p>
        </w:tc>
        <w:tc>
          <w:tcPr>
            <w:tcW w:w="2312" w:type="dxa"/>
            <w:shd w:val="clear" w:color="auto" w:fill="auto"/>
            <w:noWrap/>
            <w:vAlign w:val="center"/>
            <w:hideMark/>
          </w:tcPr>
          <w:p>
            <w:pPr>
              <w:rPr>
                <w:noProof/>
                <w:sz w:val="22"/>
                <w:szCs w:val="22"/>
                <w:lang w:eastAsia="en-GB"/>
              </w:rPr>
            </w:pPr>
            <w:r>
              <w:rPr>
                <w:noProof/>
                <w:sz w:val="22"/>
                <w:szCs w:val="22"/>
                <w:lang w:eastAsia="en-GB"/>
              </w:rPr>
              <w:t>Sweetcorn</w:t>
            </w:r>
          </w:p>
        </w:tc>
        <w:tc>
          <w:tcPr>
            <w:tcW w:w="1628" w:type="dxa"/>
            <w:vMerge/>
            <w:shd w:val="clear" w:color="auto" w:fill="auto"/>
            <w:vAlign w:val="center"/>
            <w:hideMark/>
          </w:tcPr>
          <w:p>
            <w:pPr>
              <w:rPr>
                <w:noProof/>
                <w:sz w:val="22"/>
                <w:szCs w:val="22"/>
                <w:lang w:eastAsia="en-GB"/>
              </w:rPr>
            </w:pPr>
          </w:p>
        </w:tc>
        <w:tc>
          <w:tcPr>
            <w:tcW w:w="1281" w:type="dxa"/>
            <w:shd w:val="clear" w:color="auto" w:fill="auto"/>
            <w:noWrap/>
            <w:vAlign w:val="center"/>
            <w:hideMark/>
          </w:tcPr>
          <w:p>
            <w:pPr>
              <w:jc w:val="right"/>
              <w:rPr>
                <w:noProof/>
                <w:sz w:val="22"/>
                <w:szCs w:val="22"/>
                <w:lang w:eastAsia="en-GB"/>
              </w:rPr>
            </w:pPr>
            <w:r>
              <w:rPr>
                <w:noProof/>
                <w:sz w:val="22"/>
                <w:szCs w:val="22"/>
                <w:lang w:eastAsia="en-GB"/>
              </w:rPr>
              <w:t>2 040</w:t>
            </w:r>
          </w:p>
        </w:tc>
        <w:tc>
          <w:tcPr>
            <w:tcW w:w="1049" w:type="dxa"/>
            <w:shd w:val="clear" w:color="auto" w:fill="auto"/>
            <w:noWrap/>
            <w:vAlign w:val="center"/>
            <w:hideMark/>
          </w:tcPr>
          <w:p>
            <w:pPr>
              <w:jc w:val="right"/>
              <w:rPr>
                <w:noProof/>
                <w:sz w:val="22"/>
                <w:szCs w:val="22"/>
                <w:lang w:eastAsia="en-GB"/>
              </w:rPr>
            </w:pPr>
            <w:r>
              <w:rPr>
                <w:noProof/>
                <w:sz w:val="22"/>
                <w:szCs w:val="22"/>
                <w:lang w:eastAsia="en-GB"/>
              </w:rPr>
              <w:t>0</w:t>
            </w:r>
          </w:p>
        </w:tc>
        <w:tc>
          <w:tcPr>
            <w:tcW w:w="1219" w:type="dxa"/>
            <w:shd w:val="clear" w:color="auto" w:fill="auto"/>
            <w:noWrap/>
            <w:vAlign w:val="center"/>
            <w:hideMark/>
          </w:tcPr>
          <w:p>
            <w:pPr>
              <w:jc w:val="right"/>
              <w:rPr>
                <w:noProof/>
                <w:sz w:val="22"/>
                <w:szCs w:val="22"/>
                <w:lang w:eastAsia="en-GB"/>
              </w:rPr>
            </w:pPr>
            <w:r>
              <w:rPr>
                <w:noProof/>
                <w:sz w:val="22"/>
                <w:szCs w:val="22"/>
                <w:lang w:eastAsia="en-GB"/>
              </w:rPr>
              <w:t>0%</w:t>
            </w:r>
          </w:p>
        </w:tc>
      </w:tr>
      <w:tr>
        <w:trPr>
          <w:cantSplit/>
        </w:trPr>
        <w:tc>
          <w:tcPr>
            <w:tcW w:w="1859" w:type="dxa"/>
            <w:vMerge w:val="restart"/>
            <w:shd w:val="clear" w:color="auto" w:fill="auto"/>
            <w:noWrap/>
            <w:vAlign w:val="center"/>
            <w:hideMark/>
          </w:tcPr>
          <w:p>
            <w:pPr>
              <w:rPr>
                <w:b/>
                <w:bCs/>
                <w:noProof/>
                <w:sz w:val="22"/>
                <w:szCs w:val="22"/>
                <w:lang w:eastAsia="en-GB"/>
              </w:rPr>
            </w:pPr>
            <w:r>
              <w:rPr>
                <w:b/>
                <w:bCs/>
                <w:noProof/>
                <w:sz w:val="22"/>
                <w:szCs w:val="22"/>
                <w:lang w:eastAsia="en-GB"/>
              </w:rPr>
              <w:t>Central America except Panama</w:t>
            </w:r>
          </w:p>
        </w:tc>
        <w:tc>
          <w:tcPr>
            <w:tcW w:w="2312" w:type="dxa"/>
            <w:shd w:val="clear" w:color="auto" w:fill="auto"/>
            <w:noWrap/>
            <w:vAlign w:val="center"/>
            <w:hideMark/>
          </w:tcPr>
          <w:p>
            <w:pPr>
              <w:rPr>
                <w:noProof/>
                <w:sz w:val="22"/>
                <w:szCs w:val="22"/>
                <w:lang w:eastAsia="en-GB"/>
              </w:rPr>
            </w:pPr>
            <w:r>
              <w:rPr>
                <w:noProof/>
                <w:sz w:val="22"/>
                <w:szCs w:val="22"/>
                <w:lang w:eastAsia="en-GB"/>
              </w:rPr>
              <w:t>Sugar</w:t>
            </w:r>
          </w:p>
        </w:tc>
        <w:tc>
          <w:tcPr>
            <w:tcW w:w="1628" w:type="dxa"/>
            <w:vMerge/>
            <w:shd w:val="clear" w:color="auto" w:fill="auto"/>
            <w:noWrap/>
            <w:vAlign w:val="center"/>
            <w:hideMark/>
          </w:tcPr>
          <w:p>
            <w:pPr>
              <w:rPr>
                <w:noProof/>
                <w:sz w:val="22"/>
                <w:szCs w:val="22"/>
                <w:lang w:eastAsia="en-GB"/>
              </w:rPr>
            </w:pPr>
          </w:p>
        </w:tc>
        <w:tc>
          <w:tcPr>
            <w:tcW w:w="1281" w:type="dxa"/>
            <w:shd w:val="clear" w:color="auto" w:fill="auto"/>
            <w:noWrap/>
            <w:vAlign w:val="center"/>
            <w:hideMark/>
          </w:tcPr>
          <w:p>
            <w:pPr>
              <w:jc w:val="right"/>
              <w:rPr>
                <w:noProof/>
                <w:sz w:val="22"/>
                <w:szCs w:val="22"/>
                <w:lang w:eastAsia="en-GB"/>
              </w:rPr>
            </w:pPr>
            <w:r>
              <w:rPr>
                <w:noProof/>
                <w:sz w:val="22"/>
                <w:szCs w:val="22"/>
                <w:lang w:eastAsia="en-GB"/>
              </w:rPr>
              <w:t>172 500</w:t>
            </w:r>
          </w:p>
        </w:tc>
        <w:tc>
          <w:tcPr>
            <w:tcW w:w="1049" w:type="dxa"/>
            <w:shd w:val="clear" w:color="auto" w:fill="auto"/>
            <w:noWrap/>
            <w:vAlign w:val="center"/>
          </w:tcPr>
          <w:p>
            <w:pPr>
              <w:jc w:val="right"/>
              <w:rPr>
                <w:noProof/>
                <w:sz w:val="22"/>
                <w:szCs w:val="22"/>
                <w:lang w:eastAsia="en-GB"/>
              </w:rPr>
            </w:pPr>
            <w:r>
              <w:rPr>
                <w:noProof/>
                <w:sz w:val="22"/>
                <w:szCs w:val="22"/>
                <w:lang w:eastAsia="en-GB"/>
              </w:rPr>
              <w:t>165 388</w:t>
            </w:r>
          </w:p>
        </w:tc>
        <w:tc>
          <w:tcPr>
            <w:tcW w:w="1219" w:type="dxa"/>
            <w:shd w:val="clear" w:color="auto" w:fill="auto"/>
            <w:noWrap/>
            <w:vAlign w:val="center"/>
            <w:hideMark/>
          </w:tcPr>
          <w:p>
            <w:pPr>
              <w:jc w:val="right"/>
              <w:rPr>
                <w:noProof/>
                <w:sz w:val="22"/>
                <w:szCs w:val="22"/>
                <w:lang w:eastAsia="en-GB"/>
              </w:rPr>
            </w:pPr>
            <w:r>
              <w:rPr>
                <w:noProof/>
                <w:sz w:val="22"/>
                <w:szCs w:val="22"/>
                <w:lang w:eastAsia="en-GB"/>
              </w:rPr>
              <w:t>96%</w:t>
            </w:r>
          </w:p>
        </w:tc>
      </w:tr>
      <w:tr>
        <w:trPr>
          <w:cantSplit/>
        </w:trPr>
        <w:tc>
          <w:tcPr>
            <w:tcW w:w="1859" w:type="dxa"/>
            <w:vMerge/>
            <w:shd w:val="clear" w:color="auto" w:fill="auto"/>
            <w:vAlign w:val="center"/>
            <w:hideMark/>
          </w:tcPr>
          <w:p>
            <w:pPr>
              <w:rPr>
                <w:b/>
                <w:noProof/>
                <w:sz w:val="22"/>
                <w:szCs w:val="22"/>
                <w:lang w:eastAsia="en-GB"/>
              </w:rPr>
            </w:pPr>
          </w:p>
        </w:tc>
        <w:tc>
          <w:tcPr>
            <w:tcW w:w="2312" w:type="dxa"/>
            <w:shd w:val="clear" w:color="auto" w:fill="auto"/>
            <w:noWrap/>
            <w:vAlign w:val="center"/>
            <w:hideMark/>
          </w:tcPr>
          <w:p>
            <w:pPr>
              <w:rPr>
                <w:noProof/>
                <w:sz w:val="22"/>
                <w:szCs w:val="22"/>
                <w:lang w:eastAsia="en-GB"/>
              </w:rPr>
            </w:pPr>
            <w:r>
              <w:rPr>
                <w:noProof/>
                <w:sz w:val="22"/>
                <w:szCs w:val="22"/>
                <w:lang w:eastAsia="en-GB"/>
              </w:rPr>
              <w:t>Rum in container &gt; 2 l</w:t>
            </w:r>
          </w:p>
        </w:tc>
        <w:tc>
          <w:tcPr>
            <w:tcW w:w="1628" w:type="dxa"/>
            <w:shd w:val="clear" w:color="auto" w:fill="auto"/>
            <w:noWrap/>
            <w:vAlign w:val="center"/>
            <w:hideMark/>
          </w:tcPr>
          <w:p>
            <w:pPr>
              <w:rPr>
                <w:noProof/>
                <w:sz w:val="22"/>
                <w:szCs w:val="22"/>
                <w:lang w:eastAsia="en-GB"/>
              </w:rPr>
            </w:pPr>
            <w:r>
              <w:rPr>
                <w:noProof/>
                <w:sz w:val="22"/>
                <w:szCs w:val="22"/>
                <w:lang w:eastAsia="en-GB"/>
              </w:rPr>
              <w:t>hl pure alcohol</w:t>
            </w:r>
          </w:p>
        </w:tc>
        <w:tc>
          <w:tcPr>
            <w:tcW w:w="1281" w:type="dxa"/>
            <w:shd w:val="clear" w:color="auto" w:fill="auto"/>
            <w:noWrap/>
            <w:vAlign w:val="center"/>
            <w:hideMark/>
          </w:tcPr>
          <w:p>
            <w:pPr>
              <w:jc w:val="right"/>
              <w:rPr>
                <w:noProof/>
                <w:sz w:val="22"/>
                <w:szCs w:val="22"/>
                <w:lang w:eastAsia="en-GB"/>
              </w:rPr>
            </w:pPr>
            <w:r>
              <w:rPr>
                <w:noProof/>
                <w:sz w:val="22"/>
                <w:szCs w:val="22"/>
                <w:lang w:eastAsia="en-GB"/>
              </w:rPr>
              <w:t>8 500</w:t>
            </w:r>
          </w:p>
        </w:tc>
        <w:tc>
          <w:tcPr>
            <w:tcW w:w="1049" w:type="dxa"/>
            <w:shd w:val="clear" w:color="auto" w:fill="auto"/>
            <w:noWrap/>
            <w:vAlign w:val="center"/>
          </w:tcPr>
          <w:p>
            <w:pPr>
              <w:jc w:val="right"/>
              <w:rPr>
                <w:noProof/>
                <w:sz w:val="22"/>
                <w:szCs w:val="22"/>
                <w:lang w:eastAsia="en-GB"/>
              </w:rPr>
            </w:pPr>
            <w:r>
              <w:rPr>
                <w:noProof/>
                <w:sz w:val="22"/>
                <w:szCs w:val="22"/>
                <w:lang w:eastAsia="en-GB"/>
              </w:rPr>
              <w:t>8 500</w:t>
            </w:r>
          </w:p>
        </w:tc>
        <w:tc>
          <w:tcPr>
            <w:tcW w:w="1219" w:type="dxa"/>
            <w:shd w:val="clear" w:color="auto" w:fill="auto"/>
            <w:noWrap/>
            <w:vAlign w:val="center"/>
            <w:hideMark/>
          </w:tcPr>
          <w:p>
            <w:pPr>
              <w:jc w:val="right"/>
              <w:rPr>
                <w:noProof/>
                <w:sz w:val="22"/>
                <w:szCs w:val="22"/>
                <w:lang w:eastAsia="en-GB"/>
              </w:rPr>
            </w:pPr>
            <w:r>
              <w:rPr>
                <w:noProof/>
                <w:sz w:val="22"/>
                <w:szCs w:val="22"/>
                <w:lang w:eastAsia="en-GB"/>
              </w:rPr>
              <w:t>100%</w:t>
            </w:r>
          </w:p>
        </w:tc>
      </w:tr>
    </w:tbl>
    <w:p>
      <w:pPr>
        <w:rPr>
          <w:i/>
          <w:noProof/>
          <w:sz w:val="20"/>
          <w:lang w:eastAsia="en-GB"/>
        </w:rPr>
      </w:pPr>
      <w:r>
        <w:rPr>
          <w:i/>
          <w:noProof/>
          <w:sz w:val="20"/>
          <w:lang w:eastAsia="en-GB"/>
        </w:rPr>
        <w:t>Source: European Commission.</w:t>
      </w:r>
    </w:p>
    <w:p>
      <w:pPr>
        <w:jc w:val="both"/>
        <w:rPr>
          <w:noProof/>
          <w:lang w:eastAsia="en-GB"/>
        </w:rPr>
      </w:pPr>
    </w:p>
    <w:p>
      <w:pPr>
        <w:jc w:val="both"/>
        <w:rPr>
          <w:noProof/>
          <w:lang w:eastAsia="en-GB"/>
        </w:rPr>
      </w:pPr>
      <w:r>
        <w:rPr>
          <w:noProof/>
          <w:lang w:eastAsia="en-GB"/>
        </w:rPr>
        <w:t>The Central American countries grant TRQs for four EU products. In 2018, EU exporters continued to make use of some of the opportunities offered by these TRQs. Notably, the milk powder quota was fully utilised in Honduras, as was the cheese quota in Costa Rica. The quota fill rate was also high for those two products in Panama. However, a margin of growth remains as the overall fill rate was below 50% for those dairy quotas across the region. An even larger margin of growth remains for preferential exports of pork.</w:t>
      </w:r>
    </w:p>
    <w:p>
      <w:pPr>
        <w:rPr>
          <w:b/>
          <w:noProof/>
          <w:lang w:eastAsia="en-GB"/>
        </w:rPr>
      </w:pPr>
    </w:p>
    <w:p>
      <w:pPr>
        <w:rPr>
          <w:b/>
          <w:noProof/>
          <w:lang w:eastAsia="en-GB"/>
        </w:rPr>
      </w:pPr>
      <w:r>
        <w:rPr>
          <w:b/>
          <w:noProof/>
          <w:lang w:eastAsia="en-GB"/>
        </w:rPr>
        <w:t>TRQs granted by Central American countries to the EU – Utilisation in 2018</w:t>
      </w:r>
    </w:p>
    <w:tbl>
      <w:tblPr>
        <w:tblW w:w="92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56"/>
        <w:gridCol w:w="1307"/>
        <w:gridCol w:w="1848"/>
        <w:gridCol w:w="1701"/>
        <w:gridCol w:w="1182"/>
        <w:gridCol w:w="1194"/>
      </w:tblGrid>
      <w:tr>
        <w:trPr>
          <w:cantSplit/>
          <w:trHeight w:val="260"/>
          <w:tblHeader/>
        </w:trPr>
        <w:tc>
          <w:tcPr>
            <w:tcW w:w="2056" w:type="dxa"/>
            <w:shd w:val="clear" w:color="auto" w:fill="auto"/>
            <w:noWrap/>
            <w:vAlign w:val="center"/>
            <w:hideMark/>
          </w:tcPr>
          <w:p>
            <w:pPr>
              <w:jc w:val="center"/>
              <w:rPr>
                <w:noProof/>
                <w:sz w:val="20"/>
                <w:lang w:eastAsia="en-GB"/>
              </w:rPr>
            </w:pPr>
            <w:r>
              <w:rPr>
                <w:b/>
                <w:noProof/>
                <w:sz w:val="20"/>
                <w:lang w:eastAsia="en-GB"/>
              </w:rPr>
              <w:t>Products</w:t>
            </w:r>
          </w:p>
        </w:tc>
        <w:tc>
          <w:tcPr>
            <w:tcW w:w="1307" w:type="dxa"/>
            <w:shd w:val="clear" w:color="auto" w:fill="auto"/>
            <w:noWrap/>
            <w:vAlign w:val="center"/>
            <w:hideMark/>
          </w:tcPr>
          <w:p>
            <w:pPr>
              <w:jc w:val="center"/>
              <w:rPr>
                <w:b/>
                <w:noProof/>
                <w:sz w:val="20"/>
                <w:lang w:eastAsia="en-GB"/>
              </w:rPr>
            </w:pPr>
            <w:r>
              <w:rPr>
                <w:b/>
                <w:noProof/>
                <w:sz w:val="20"/>
                <w:lang w:eastAsia="en-GB"/>
              </w:rPr>
              <w:t>Quota (tonnes)</w:t>
            </w:r>
          </w:p>
        </w:tc>
        <w:tc>
          <w:tcPr>
            <w:tcW w:w="1848" w:type="dxa"/>
            <w:shd w:val="clear" w:color="auto" w:fill="auto"/>
            <w:noWrap/>
            <w:vAlign w:val="center"/>
            <w:hideMark/>
          </w:tcPr>
          <w:p>
            <w:pPr>
              <w:jc w:val="center"/>
              <w:rPr>
                <w:b/>
                <w:noProof/>
                <w:sz w:val="20"/>
                <w:lang w:eastAsia="en-GB"/>
              </w:rPr>
            </w:pPr>
            <w:r>
              <w:rPr>
                <w:b/>
                <w:noProof/>
                <w:sz w:val="20"/>
                <w:lang w:eastAsia="en-GB"/>
              </w:rPr>
              <w:t>Annual increase (tonnes)</w:t>
            </w:r>
          </w:p>
        </w:tc>
        <w:tc>
          <w:tcPr>
            <w:tcW w:w="1701" w:type="dxa"/>
          </w:tcPr>
          <w:p>
            <w:pPr>
              <w:jc w:val="center"/>
              <w:rPr>
                <w:b/>
                <w:noProof/>
                <w:sz w:val="20"/>
                <w:lang w:eastAsia="en-GB"/>
              </w:rPr>
            </w:pPr>
            <w:r>
              <w:rPr>
                <w:b/>
                <w:noProof/>
                <w:sz w:val="20"/>
                <w:lang w:eastAsia="en-GB"/>
              </w:rPr>
              <w:t>Importing country</w:t>
            </w:r>
          </w:p>
        </w:tc>
        <w:tc>
          <w:tcPr>
            <w:tcW w:w="1182" w:type="dxa"/>
            <w:shd w:val="clear" w:color="auto" w:fill="auto"/>
            <w:noWrap/>
            <w:vAlign w:val="center"/>
            <w:hideMark/>
          </w:tcPr>
          <w:p>
            <w:pPr>
              <w:jc w:val="center"/>
              <w:rPr>
                <w:b/>
                <w:noProof/>
                <w:sz w:val="20"/>
                <w:lang w:eastAsia="en-GB"/>
              </w:rPr>
            </w:pPr>
            <w:r>
              <w:rPr>
                <w:b/>
                <w:noProof/>
                <w:sz w:val="20"/>
                <w:lang w:eastAsia="en-GB"/>
              </w:rPr>
              <w:t>Volume (tonnes)</w:t>
            </w:r>
          </w:p>
        </w:tc>
        <w:tc>
          <w:tcPr>
            <w:tcW w:w="1194" w:type="dxa"/>
            <w:shd w:val="clear" w:color="auto" w:fill="auto"/>
            <w:noWrap/>
            <w:vAlign w:val="center"/>
            <w:hideMark/>
          </w:tcPr>
          <w:p>
            <w:pPr>
              <w:jc w:val="center"/>
              <w:rPr>
                <w:b/>
                <w:noProof/>
                <w:sz w:val="20"/>
                <w:lang w:eastAsia="en-GB"/>
              </w:rPr>
            </w:pPr>
            <w:r>
              <w:rPr>
                <w:b/>
                <w:noProof/>
                <w:sz w:val="20"/>
                <w:lang w:eastAsia="en-GB"/>
              </w:rPr>
              <w:t>Utilisation rate</w:t>
            </w:r>
          </w:p>
        </w:tc>
      </w:tr>
      <w:tr>
        <w:trPr>
          <w:cantSplit/>
          <w:trHeight w:val="49"/>
        </w:trPr>
        <w:tc>
          <w:tcPr>
            <w:tcW w:w="2056" w:type="dxa"/>
            <w:vMerge w:val="restart"/>
            <w:shd w:val="clear" w:color="auto" w:fill="auto"/>
            <w:noWrap/>
            <w:vAlign w:val="center"/>
            <w:hideMark/>
          </w:tcPr>
          <w:p>
            <w:pPr>
              <w:keepNext/>
              <w:keepLines/>
              <w:rPr>
                <w:noProof/>
                <w:sz w:val="20"/>
                <w:lang w:val="es-ES" w:eastAsia="en-GB"/>
              </w:rPr>
            </w:pPr>
            <w:r>
              <w:rPr>
                <w:noProof/>
                <w:sz w:val="20"/>
                <w:lang w:val="es-ES" w:eastAsia="en-GB"/>
              </w:rPr>
              <w:t xml:space="preserve">Cured hams </w:t>
            </w:r>
            <w:r>
              <w:rPr>
                <w:noProof/>
                <w:sz w:val="20"/>
                <w:lang w:val="es-ES" w:eastAsia="en-GB"/>
              </w:rPr>
              <w:br/>
              <w:t>(joint quota)</w:t>
            </w:r>
          </w:p>
        </w:tc>
        <w:tc>
          <w:tcPr>
            <w:tcW w:w="1307" w:type="dxa"/>
            <w:vMerge w:val="restart"/>
            <w:shd w:val="clear" w:color="auto" w:fill="auto"/>
            <w:noWrap/>
            <w:vAlign w:val="center"/>
            <w:hideMark/>
          </w:tcPr>
          <w:p>
            <w:pPr>
              <w:jc w:val="right"/>
              <w:rPr>
                <w:noProof/>
                <w:sz w:val="20"/>
                <w:lang w:val="es-ES" w:eastAsia="en-GB"/>
              </w:rPr>
            </w:pPr>
            <w:r>
              <w:rPr>
                <w:noProof/>
                <w:sz w:val="20"/>
                <w:lang w:val="es-ES" w:eastAsia="en-GB"/>
              </w:rPr>
              <w:t>1 125</w:t>
            </w:r>
          </w:p>
        </w:tc>
        <w:tc>
          <w:tcPr>
            <w:tcW w:w="1848" w:type="dxa"/>
            <w:vMerge w:val="restart"/>
            <w:shd w:val="clear" w:color="auto" w:fill="auto"/>
            <w:noWrap/>
            <w:vAlign w:val="center"/>
            <w:hideMark/>
          </w:tcPr>
          <w:p>
            <w:pPr>
              <w:jc w:val="right"/>
              <w:rPr>
                <w:noProof/>
                <w:sz w:val="20"/>
                <w:lang w:val="es-ES" w:eastAsia="en-GB"/>
              </w:rPr>
            </w:pPr>
            <w:r>
              <w:rPr>
                <w:noProof/>
                <w:sz w:val="20"/>
                <w:lang w:val="es-ES" w:eastAsia="en-GB"/>
              </w:rPr>
              <w:t>45</w:t>
            </w:r>
          </w:p>
        </w:tc>
        <w:tc>
          <w:tcPr>
            <w:tcW w:w="1701" w:type="dxa"/>
            <w:vAlign w:val="center"/>
          </w:tcPr>
          <w:p>
            <w:pPr>
              <w:rPr>
                <w:noProof/>
                <w:sz w:val="20"/>
                <w:lang w:val="es-ES" w:eastAsia="en-GB"/>
              </w:rPr>
            </w:pPr>
            <w:r>
              <w:rPr>
                <w:rFonts w:eastAsia="Times New Roman"/>
                <w:noProof/>
                <w:color w:val="000000" w:themeColor="text1"/>
                <w:sz w:val="20"/>
                <w:lang w:val="es-ES" w:eastAsia="en-GB"/>
              </w:rPr>
              <w:t>Costa Rica</w:t>
            </w:r>
          </w:p>
        </w:tc>
        <w:tc>
          <w:tcPr>
            <w:tcW w:w="1182" w:type="dxa"/>
            <w:vAlign w:val="center"/>
          </w:tcPr>
          <w:p>
            <w:pPr>
              <w:jc w:val="right"/>
              <w:rPr>
                <w:noProof/>
                <w:sz w:val="20"/>
                <w:lang w:val="es-ES" w:eastAsia="en-GB"/>
              </w:rPr>
            </w:pPr>
            <w:r>
              <w:rPr>
                <w:noProof/>
                <w:sz w:val="20"/>
                <w:lang w:val="es-ES" w:eastAsia="en-GB"/>
              </w:rPr>
              <w:t>55</w:t>
            </w:r>
          </w:p>
        </w:tc>
        <w:tc>
          <w:tcPr>
            <w:tcW w:w="1194" w:type="dxa"/>
            <w:vMerge w:val="restart"/>
            <w:shd w:val="clear" w:color="auto" w:fill="auto"/>
            <w:noWrap/>
            <w:vAlign w:val="center"/>
          </w:tcPr>
          <w:p>
            <w:pPr>
              <w:jc w:val="right"/>
              <w:rPr>
                <w:noProof/>
                <w:sz w:val="20"/>
                <w:lang w:val="es-ES" w:eastAsia="en-GB"/>
              </w:rPr>
            </w:pPr>
            <w:r>
              <w:rPr>
                <w:noProof/>
                <w:sz w:val="20"/>
                <w:lang w:val="es-ES" w:eastAsia="en-GB"/>
              </w:rPr>
              <w:t>35%</w:t>
            </w:r>
          </w:p>
        </w:tc>
      </w:tr>
      <w:tr>
        <w:trPr>
          <w:cantSplit/>
          <w:trHeight w:val="44"/>
        </w:trPr>
        <w:tc>
          <w:tcPr>
            <w:tcW w:w="2056" w:type="dxa"/>
            <w:vMerge/>
            <w:shd w:val="clear" w:color="auto" w:fill="auto"/>
            <w:noWrap/>
            <w:vAlign w:val="center"/>
          </w:tcPr>
          <w:p>
            <w:pPr>
              <w:rPr>
                <w:noProof/>
                <w:sz w:val="20"/>
                <w:lang w:val="es-ES" w:eastAsia="en-GB"/>
              </w:rPr>
            </w:pPr>
          </w:p>
        </w:tc>
        <w:tc>
          <w:tcPr>
            <w:tcW w:w="1307" w:type="dxa"/>
            <w:vMerge/>
            <w:shd w:val="clear" w:color="auto" w:fill="auto"/>
            <w:noWrap/>
            <w:vAlign w:val="center"/>
          </w:tcPr>
          <w:p>
            <w:pPr>
              <w:jc w:val="right"/>
              <w:rPr>
                <w:noProof/>
                <w:sz w:val="20"/>
                <w:lang w:val="es-ES" w:eastAsia="en-GB"/>
              </w:rPr>
            </w:pPr>
          </w:p>
        </w:tc>
        <w:tc>
          <w:tcPr>
            <w:tcW w:w="1848" w:type="dxa"/>
            <w:vMerge/>
            <w:shd w:val="clear" w:color="auto" w:fill="auto"/>
            <w:noWrap/>
            <w:vAlign w:val="center"/>
          </w:tcPr>
          <w:p>
            <w:pPr>
              <w:jc w:val="right"/>
              <w:rPr>
                <w:noProof/>
                <w:sz w:val="20"/>
                <w:lang w:val="es-ES" w:eastAsia="en-GB"/>
              </w:rPr>
            </w:pPr>
          </w:p>
        </w:tc>
        <w:tc>
          <w:tcPr>
            <w:tcW w:w="1701" w:type="dxa"/>
            <w:vAlign w:val="center"/>
          </w:tcPr>
          <w:p>
            <w:pPr>
              <w:rPr>
                <w:noProof/>
                <w:sz w:val="20"/>
                <w:lang w:val="es-ES" w:eastAsia="en-GB"/>
              </w:rPr>
            </w:pPr>
            <w:r>
              <w:rPr>
                <w:rFonts w:eastAsia="Times New Roman"/>
                <w:noProof/>
                <w:color w:val="000000" w:themeColor="text1"/>
                <w:sz w:val="20"/>
                <w:lang w:val="es-ES" w:eastAsia="en-GB"/>
              </w:rPr>
              <w:t>El Salvador</w:t>
            </w:r>
          </w:p>
        </w:tc>
        <w:tc>
          <w:tcPr>
            <w:tcW w:w="1182" w:type="dxa"/>
            <w:vAlign w:val="center"/>
          </w:tcPr>
          <w:p>
            <w:pPr>
              <w:jc w:val="right"/>
              <w:rPr>
                <w:noProof/>
                <w:sz w:val="20"/>
                <w:lang w:val="es-ES" w:eastAsia="en-GB"/>
              </w:rPr>
            </w:pPr>
            <w:r>
              <w:rPr>
                <w:noProof/>
                <w:sz w:val="20"/>
                <w:lang w:val="es-ES" w:eastAsia="en-GB"/>
              </w:rPr>
              <w:t>21</w:t>
            </w:r>
          </w:p>
        </w:tc>
        <w:tc>
          <w:tcPr>
            <w:tcW w:w="1194" w:type="dxa"/>
            <w:vMerge/>
            <w:shd w:val="clear" w:color="auto" w:fill="auto"/>
            <w:noWrap/>
            <w:vAlign w:val="center"/>
          </w:tcPr>
          <w:p>
            <w:pPr>
              <w:jc w:val="right"/>
              <w:rPr>
                <w:noProof/>
                <w:sz w:val="20"/>
                <w:lang w:val="es-ES" w:eastAsia="en-GB"/>
              </w:rPr>
            </w:pPr>
          </w:p>
        </w:tc>
      </w:tr>
      <w:tr>
        <w:trPr>
          <w:cantSplit/>
          <w:trHeight w:val="44"/>
        </w:trPr>
        <w:tc>
          <w:tcPr>
            <w:tcW w:w="2056" w:type="dxa"/>
            <w:vMerge/>
            <w:shd w:val="clear" w:color="auto" w:fill="auto"/>
            <w:noWrap/>
            <w:vAlign w:val="center"/>
          </w:tcPr>
          <w:p>
            <w:pPr>
              <w:rPr>
                <w:noProof/>
                <w:sz w:val="20"/>
                <w:lang w:val="es-ES" w:eastAsia="en-GB"/>
              </w:rPr>
            </w:pPr>
          </w:p>
        </w:tc>
        <w:tc>
          <w:tcPr>
            <w:tcW w:w="1307" w:type="dxa"/>
            <w:vMerge/>
            <w:shd w:val="clear" w:color="auto" w:fill="auto"/>
            <w:noWrap/>
            <w:vAlign w:val="center"/>
          </w:tcPr>
          <w:p>
            <w:pPr>
              <w:jc w:val="right"/>
              <w:rPr>
                <w:noProof/>
                <w:sz w:val="20"/>
                <w:lang w:val="es-ES" w:eastAsia="en-GB"/>
              </w:rPr>
            </w:pPr>
          </w:p>
        </w:tc>
        <w:tc>
          <w:tcPr>
            <w:tcW w:w="1848" w:type="dxa"/>
            <w:vMerge/>
            <w:shd w:val="clear" w:color="auto" w:fill="auto"/>
            <w:noWrap/>
            <w:vAlign w:val="center"/>
          </w:tcPr>
          <w:p>
            <w:pPr>
              <w:jc w:val="right"/>
              <w:rPr>
                <w:noProof/>
                <w:sz w:val="20"/>
                <w:lang w:val="es-ES" w:eastAsia="en-GB"/>
              </w:rPr>
            </w:pPr>
          </w:p>
        </w:tc>
        <w:tc>
          <w:tcPr>
            <w:tcW w:w="1701" w:type="dxa"/>
            <w:vAlign w:val="center"/>
          </w:tcPr>
          <w:p>
            <w:pPr>
              <w:rPr>
                <w:noProof/>
                <w:sz w:val="20"/>
                <w:lang w:val="es-ES" w:eastAsia="en-GB"/>
              </w:rPr>
            </w:pPr>
            <w:r>
              <w:rPr>
                <w:rFonts w:eastAsia="Times New Roman"/>
                <w:noProof/>
                <w:color w:val="000000" w:themeColor="text1"/>
                <w:sz w:val="20"/>
                <w:lang w:val="es-ES" w:eastAsia="en-GB"/>
              </w:rPr>
              <w:t>Guatemala</w:t>
            </w:r>
          </w:p>
        </w:tc>
        <w:tc>
          <w:tcPr>
            <w:tcW w:w="1182" w:type="dxa"/>
            <w:vAlign w:val="center"/>
          </w:tcPr>
          <w:p>
            <w:pPr>
              <w:jc w:val="right"/>
              <w:rPr>
                <w:noProof/>
                <w:sz w:val="20"/>
                <w:lang w:val="es-ES" w:eastAsia="en-GB"/>
              </w:rPr>
            </w:pPr>
            <w:r>
              <w:rPr>
                <w:noProof/>
                <w:sz w:val="20"/>
                <w:lang w:val="es-ES" w:eastAsia="en-GB"/>
              </w:rPr>
              <w:t>43</w:t>
            </w:r>
          </w:p>
        </w:tc>
        <w:tc>
          <w:tcPr>
            <w:tcW w:w="1194" w:type="dxa"/>
            <w:vMerge/>
            <w:shd w:val="clear" w:color="auto" w:fill="auto"/>
            <w:noWrap/>
            <w:vAlign w:val="center"/>
          </w:tcPr>
          <w:p>
            <w:pPr>
              <w:jc w:val="right"/>
              <w:rPr>
                <w:noProof/>
                <w:sz w:val="20"/>
                <w:lang w:val="es-ES" w:eastAsia="en-GB"/>
              </w:rPr>
            </w:pPr>
          </w:p>
        </w:tc>
      </w:tr>
      <w:tr>
        <w:trPr>
          <w:cantSplit/>
          <w:trHeight w:val="44"/>
        </w:trPr>
        <w:tc>
          <w:tcPr>
            <w:tcW w:w="2056" w:type="dxa"/>
            <w:vMerge/>
            <w:shd w:val="clear" w:color="auto" w:fill="auto"/>
            <w:noWrap/>
            <w:vAlign w:val="center"/>
          </w:tcPr>
          <w:p>
            <w:pPr>
              <w:rPr>
                <w:noProof/>
                <w:sz w:val="20"/>
                <w:lang w:val="es-ES" w:eastAsia="en-GB"/>
              </w:rPr>
            </w:pPr>
          </w:p>
        </w:tc>
        <w:tc>
          <w:tcPr>
            <w:tcW w:w="1307" w:type="dxa"/>
            <w:vMerge/>
            <w:shd w:val="clear" w:color="auto" w:fill="auto"/>
            <w:noWrap/>
            <w:vAlign w:val="center"/>
          </w:tcPr>
          <w:p>
            <w:pPr>
              <w:jc w:val="right"/>
              <w:rPr>
                <w:noProof/>
                <w:sz w:val="20"/>
                <w:lang w:val="es-ES" w:eastAsia="en-GB"/>
              </w:rPr>
            </w:pPr>
          </w:p>
        </w:tc>
        <w:tc>
          <w:tcPr>
            <w:tcW w:w="1848" w:type="dxa"/>
            <w:vMerge/>
            <w:shd w:val="clear" w:color="auto" w:fill="auto"/>
            <w:noWrap/>
            <w:vAlign w:val="center"/>
          </w:tcPr>
          <w:p>
            <w:pPr>
              <w:jc w:val="right"/>
              <w:rPr>
                <w:noProof/>
                <w:sz w:val="20"/>
                <w:lang w:val="es-ES" w:eastAsia="en-GB"/>
              </w:rPr>
            </w:pPr>
          </w:p>
        </w:tc>
        <w:tc>
          <w:tcPr>
            <w:tcW w:w="1701" w:type="dxa"/>
            <w:vAlign w:val="center"/>
          </w:tcPr>
          <w:p>
            <w:pPr>
              <w:rPr>
                <w:noProof/>
                <w:sz w:val="20"/>
                <w:lang w:val="es-ES" w:eastAsia="en-GB"/>
              </w:rPr>
            </w:pPr>
            <w:r>
              <w:rPr>
                <w:rFonts w:eastAsia="Times New Roman"/>
                <w:noProof/>
                <w:color w:val="000000" w:themeColor="text1"/>
                <w:sz w:val="20"/>
                <w:lang w:val="es-ES" w:eastAsia="en-GB"/>
              </w:rPr>
              <w:t>Honduras</w:t>
            </w:r>
          </w:p>
        </w:tc>
        <w:tc>
          <w:tcPr>
            <w:tcW w:w="1182" w:type="dxa"/>
            <w:vAlign w:val="center"/>
          </w:tcPr>
          <w:p>
            <w:pPr>
              <w:jc w:val="right"/>
              <w:rPr>
                <w:noProof/>
                <w:sz w:val="20"/>
                <w:lang w:val="es-ES" w:eastAsia="en-GB"/>
              </w:rPr>
            </w:pPr>
            <w:r>
              <w:rPr>
                <w:noProof/>
                <w:sz w:val="20"/>
                <w:lang w:val="es-ES" w:eastAsia="en-GB"/>
              </w:rPr>
              <w:t>0</w:t>
            </w:r>
          </w:p>
        </w:tc>
        <w:tc>
          <w:tcPr>
            <w:tcW w:w="1194" w:type="dxa"/>
            <w:vMerge/>
            <w:shd w:val="clear" w:color="auto" w:fill="auto"/>
            <w:noWrap/>
            <w:vAlign w:val="center"/>
          </w:tcPr>
          <w:p>
            <w:pPr>
              <w:jc w:val="right"/>
              <w:rPr>
                <w:noProof/>
                <w:sz w:val="20"/>
                <w:lang w:val="es-ES" w:eastAsia="en-GB"/>
              </w:rPr>
            </w:pPr>
          </w:p>
        </w:tc>
      </w:tr>
      <w:tr>
        <w:trPr>
          <w:cantSplit/>
          <w:trHeight w:val="44"/>
        </w:trPr>
        <w:tc>
          <w:tcPr>
            <w:tcW w:w="2056" w:type="dxa"/>
            <w:vMerge/>
            <w:shd w:val="clear" w:color="auto" w:fill="auto"/>
            <w:noWrap/>
            <w:vAlign w:val="center"/>
          </w:tcPr>
          <w:p>
            <w:pPr>
              <w:rPr>
                <w:noProof/>
                <w:sz w:val="20"/>
                <w:lang w:val="es-ES" w:eastAsia="en-GB"/>
              </w:rPr>
            </w:pPr>
          </w:p>
        </w:tc>
        <w:tc>
          <w:tcPr>
            <w:tcW w:w="1307" w:type="dxa"/>
            <w:vMerge/>
            <w:shd w:val="clear" w:color="auto" w:fill="auto"/>
            <w:noWrap/>
            <w:vAlign w:val="center"/>
          </w:tcPr>
          <w:p>
            <w:pPr>
              <w:jc w:val="right"/>
              <w:rPr>
                <w:noProof/>
                <w:sz w:val="20"/>
                <w:lang w:val="es-ES" w:eastAsia="en-GB"/>
              </w:rPr>
            </w:pPr>
          </w:p>
        </w:tc>
        <w:tc>
          <w:tcPr>
            <w:tcW w:w="1848" w:type="dxa"/>
            <w:vMerge/>
            <w:shd w:val="clear" w:color="auto" w:fill="auto"/>
            <w:noWrap/>
            <w:vAlign w:val="center"/>
          </w:tcPr>
          <w:p>
            <w:pPr>
              <w:jc w:val="right"/>
              <w:rPr>
                <w:noProof/>
                <w:sz w:val="20"/>
                <w:lang w:val="es-ES" w:eastAsia="en-GB"/>
              </w:rPr>
            </w:pPr>
          </w:p>
        </w:tc>
        <w:tc>
          <w:tcPr>
            <w:tcW w:w="1701" w:type="dxa"/>
            <w:vAlign w:val="center"/>
          </w:tcPr>
          <w:p>
            <w:pPr>
              <w:rPr>
                <w:noProof/>
                <w:sz w:val="20"/>
                <w:lang w:val="es-ES" w:eastAsia="en-GB"/>
              </w:rPr>
            </w:pPr>
            <w:r>
              <w:rPr>
                <w:rFonts w:eastAsia="Times New Roman"/>
                <w:noProof/>
                <w:color w:val="000000" w:themeColor="text1"/>
                <w:sz w:val="20"/>
                <w:lang w:val="es-ES" w:eastAsia="en-GB"/>
              </w:rPr>
              <w:t>Nicaragua</w:t>
            </w:r>
          </w:p>
        </w:tc>
        <w:tc>
          <w:tcPr>
            <w:tcW w:w="1182" w:type="dxa"/>
            <w:vAlign w:val="center"/>
          </w:tcPr>
          <w:p>
            <w:pPr>
              <w:jc w:val="right"/>
              <w:rPr>
                <w:noProof/>
                <w:sz w:val="20"/>
                <w:lang w:val="es-ES" w:eastAsia="en-GB"/>
              </w:rPr>
            </w:pPr>
            <w:r>
              <w:rPr>
                <w:noProof/>
                <w:sz w:val="20"/>
                <w:lang w:val="es-ES" w:eastAsia="en-GB"/>
              </w:rPr>
              <w:t>0</w:t>
            </w:r>
          </w:p>
        </w:tc>
        <w:tc>
          <w:tcPr>
            <w:tcW w:w="1194" w:type="dxa"/>
            <w:vMerge/>
            <w:shd w:val="clear" w:color="auto" w:fill="auto"/>
            <w:noWrap/>
            <w:vAlign w:val="center"/>
          </w:tcPr>
          <w:p>
            <w:pPr>
              <w:jc w:val="right"/>
              <w:rPr>
                <w:noProof/>
                <w:sz w:val="20"/>
                <w:lang w:val="es-ES" w:eastAsia="en-GB"/>
              </w:rPr>
            </w:pPr>
          </w:p>
        </w:tc>
      </w:tr>
      <w:tr>
        <w:trPr>
          <w:cantSplit/>
          <w:trHeight w:val="44"/>
        </w:trPr>
        <w:tc>
          <w:tcPr>
            <w:tcW w:w="2056" w:type="dxa"/>
            <w:vMerge/>
            <w:shd w:val="clear" w:color="auto" w:fill="auto"/>
            <w:noWrap/>
            <w:vAlign w:val="center"/>
          </w:tcPr>
          <w:p>
            <w:pPr>
              <w:rPr>
                <w:noProof/>
                <w:sz w:val="20"/>
                <w:lang w:val="es-ES" w:eastAsia="en-GB"/>
              </w:rPr>
            </w:pPr>
          </w:p>
        </w:tc>
        <w:tc>
          <w:tcPr>
            <w:tcW w:w="1307" w:type="dxa"/>
            <w:vMerge/>
            <w:shd w:val="clear" w:color="auto" w:fill="auto"/>
            <w:noWrap/>
            <w:vAlign w:val="center"/>
          </w:tcPr>
          <w:p>
            <w:pPr>
              <w:jc w:val="right"/>
              <w:rPr>
                <w:noProof/>
                <w:sz w:val="20"/>
                <w:lang w:val="es-ES" w:eastAsia="en-GB"/>
              </w:rPr>
            </w:pPr>
          </w:p>
        </w:tc>
        <w:tc>
          <w:tcPr>
            <w:tcW w:w="1848" w:type="dxa"/>
            <w:vMerge/>
            <w:shd w:val="clear" w:color="auto" w:fill="auto"/>
            <w:noWrap/>
            <w:vAlign w:val="center"/>
          </w:tcPr>
          <w:p>
            <w:pPr>
              <w:jc w:val="right"/>
              <w:rPr>
                <w:noProof/>
                <w:sz w:val="20"/>
                <w:lang w:val="es-ES" w:eastAsia="en-GB"/>
              </w:rPr>
            </w:pPr>
          </w:p>
        </w:tc>
        <w:tc>
          <w:tcPr>
            <w:tcW w:w="1701" w:type="dxa"/>
            <w:vAlign w:val="center"/>
          </w:tcPr>
          <w:p>
            <w:pPr>
              <w:rPr>
                <w:noProof/>
                <w:sz w:val="20"/>
                <w:lang w:val="es-ES" w:eastAsia="en-GB"/>
              </w:rPr>
            </w:pPr>
            <w:r>
              <w:rPr>
                <w:rFonts w:eastAsia="Times New Roman"/>
                <w:noProof/>
                <w:color w:val="000000" w:themeColor="text1"/>
                <w:sz w:val="20"/>
                <w:lang w:val="es-ES" w:eastAsia="en-GB"/>
              </w:rPr>
              <w:t>Panama</w:t>
            </w:r>
          </w:p>
        </w:tc>
        <w:tc>
          <w:tcPr>
            <w:tcW w:w="1182" w:type="dxa"/>
            <w:vAlign w:val="center"/>
          </w:tcPr>
          <w:p>
            <w:pPr>
              <w:jc w:val="right"/>
              <w:rPr>
                <w:noProof/>
                <w:sz w:val="20"/>
                <w:lang w:val="es-ES" w:eastAsia="en-GB"/>
              </w:rPr>
            </w:pPr>
            <w:r>
              <w:rPr>
                <w:noProof/>
                <w:sz w:val="20"/>
                <w:lang w:val="es-ES" w:eastAsia="en-GB"/>
              </w:rPr>
              <w:t>274</w:t>
            </w:r>
          </w:p>
        </w:tc>
        <w:tc>
          <w:tcPr>
            <w:tcW w:w="1194" w:type="dxa"/>
            <w:vMerge/>
            <w:shd w:val="clear" w:color="auto" w:fill="auto"/>
            <w:noWrap/>
            <w:vAlign w:val="center"/>
          </w:tcPr>
          <w:p>
            <w:pPr>
              <w:jc w:val="right"/>
              <w:rPr>
                <w:noProof/>
                <w:sz w:val="20"/>
                <w:lang w:val="es-ES" w:eastAsia="en-GB"/>
              </w:rPr>
            </w:pPr>
          </w:p>
        </w:tc>
      </w:tr>
      <w:tr>
        <w:trPr>
          <w:cantSplit/>
          <w:trHeight w:val="25"/>
        </w:trPr>
        <w:tc>
          <w:tcPr>
            <w:tcW w:w="2056" w:type="dxa"/>
            <w:vMerge w:val="restart"/>
            <w:shd w:val="clear" w:color="auto" w:fill="auto"/>
            <w:noWrap/>
            <w:vAlign w:val="center"/>
            <w:hideMark/>
          </w:tcPr>
          <w:p>
            <w:pPr>
              <w:keepNext/>
              <w:keepLines/>
              <w:rPr>
                <w:noProof/>
                <w:sz w:val="20"/>
                <w:lang w:eastAsia="en-GB"/>
              </w:rPr>
            </w:pPr>
            <w:r>
              <w:rPr>
                <w:noProof/>
                <w:sz w:val="20"/>
                <w:lang w:val="en-US" w:eastAsia="en-GB"/>
              </w:rPr>
              <w:t xml:space="preserve">Prepared </w:t>
            </w:r>
            <w:r>
              <w:rPr>
                <w:noProof/>
                <w:sz w:val="20"/>
                <w:lang w:eastAsia="en-GB"/>
              </w:rPr>
              <w:t>swine meat</w:t>
            </w:r>
            <w:r>
              <w:rPr>
                <w:noProof/>
                <w:sz w:val="20"/>
                <w:szCs w:val="20"/>
                <w:lang w:eastAsia="en-GB"/>
              </w:rPr>
              <w:br/>
            </w:r>
            <w:r>
              <w:rPr>
                <w:noProof/>
                <w:sz w:val="20"/>
                <w:lang w:eastAsia="en-GB"/>
              </w:rPr>
              <w:t>(joint quota)</w:t>
            </w:r>
          </w:p>
        </w:tc>
        <w:tc>
          <w:tcPr>
            <w:tcW w:w="1307" w:type="dxa"/>
            <w:vMerge w:val="restart"/>
            <w:shd w:val="clear" w:color="auto" w:fill="auto"/>
            <w:noWrap/>
            <w:vAlign w:val="center"/>
            <w:hideMark/>
          </w:tcPr>
          <w:p>
            <w:pPr>
              <w:jc w:val="right"/>
              <w:rPr>
                <w:noProof/>
                <w:sz w:val="20"/>
                <w:lang w:eastAsia="en-GB"/>
              </w:rPr>
            </w:pPr>
            <w:r>
              <w:rPr>
                <w:noProof/>
                <w:sz w:val="20"/>
                <w:lang w:eastAsia="en-GB"/>
              </w:rPr>
              <w:t>1 125</w:t>
            </w:r>
          </w:p>
        </w:tc>
        <w:tc>
          <w:tcPr>
            <w:tcW w:w="1848" w:type="dxa"/>
            <w:vMerge w:val="restart"/>
            <w:shd w:val="clear" w:color="auto" w:fill="auto"/>
            <w:noWrap/>
            <w:vAlign w:val="center"/>
            <w:hideMark/>
          </w:tcPr>
          <w:p>
            <w:pPr>
              <w:jc w:val="right"/>
              <w:rPr>
                <w:noProof/>
                <w:sz w:val="20"/>
                <w:lang w:eastAsia="en-GB"/>
              </w:rPr>
            </w:pPr>
            <w:r>
              <w:rPr>
                <w:noProof/>
                <w:sz w:val="20"/>
                <w:lang w:eastAsia="en-GB"/>
              </w:rPr>
              <w:t>45</w:t>
            </w:r>
          </w:p>
        </w:tc>
        <w:tc>
          <w:tcPr>
            <w:tcW w:w="1701" w:type="dxa"/>
            <w:vAlign w:val="center"/>
          </w:tcPr>
          <w:p>
            <w:pPr>
              <w:rPr>
                <w:noProof/>
                <w:sz w:val="20"/>
                <w:lang w:eastAsia="en-GB"/>
              </w:rPr>
            </w:pPr>
            <w:r>
              <w:rPr>
                <w:rFonts w:eastAsia="Times New Roman"/>
                <w:noProof/>
                <w:color w:val="000000" w:themeColor="text1"/>
                <w:sz w:val="20"/>
                <w:lang w:eastAsia="en-GB"/>
              </w:rPr>
              <w:t>Costa Rica</w:t>
            </w:r>
          </w:p>
        </w:tc>
        <w:tc>
          <w:tcPr>
            <w:tcW w:w="1182" w:type="dxa"/>
            <w:vAlign w:val="center"/>
          </w:tcPr>
          <w:p>
            <w:pPr>
              <w:jc w:val="right"/>
              <w:rPr>
                <w:noProof/>
                <w:sz w:val="20"/>
                <w:lang w:eastAsia="en-GB"/>
              </w:rPr>
            </w:pPr>
            <w:r>
              <w:rPr>
                <w:noProof/>
                <w:sz w:val="20"/>
                <w:lang w:eastAsia="en-GB"/>
              </w:rPr>
              <w:t>13</w:t>
            </w:r>
          </w:p>
        </w:tc>
        <w:tc>
          <w:tcPr>
            <w:tcW w:w="1194" w:type="dxa"/>
            <w:vMerge w:val="restart"/>
            <w:shd w:val="clear" w:color="auto" w:fill="auto"/>
            <w:noWrap/>
            <w:vAlign w:val="center"/>
          </w:tcPr>
          <w:p>
            <w:pPr>
              <w:jc w:val="right"/>
              <w:rPr>
                <w:noProof/>
                <w:sz w:val="20"/>
                <w:lang w:eastAsia="en-GB"/>
              </w:rPr>
            </w:pPr>
            <w:r>
              <w:rPr>
                <w:noProof/>
                <w:sz w:val="20"/>
                <w:lang w:eastAsia="en-GB"/>
              </w:rPr>
              <w:t>10%</w:t>
            </w:r>
          </w:p>
        </w:tc>
      </w:tr>
      <w:tr>
        <w:trPr>
          <w:cantSplit/>
          <w:trHeight w:val="22"/>
        </w:trPr>
        <w:tc>
          <w:tcPr>
            <w:tcW w:w="2056" w:type="dxa"/>
            <w:vMerge/>
            <w:shd w:val="clear" w:color="auto" w:fill="auto"/>
            <w:noWrap/>
            <w:vAlign w:val="center"/>
          </w:tcPr>
          <w:p>
            <w:pPr>
              <w:rPr>
                <w:noProof/>
                <w:sz w:val="20"/>
                <w:lang w:eastAsia="en-GB"/>
              </w:rPr>
            </w:pPr>
          </w:p>
        </w:tc>
        <w:tc>
          <w:tcPr>
            <w:tcW w:w="1307" w:type="dxa"/>
            <w:vMerge/>
            <w:shd w:val="clear" w:color="auto" w:fill="auto"/>
            <w:noWrap/>
            <w:vAlign w:val="center"/>
          </w:tcPr>
          <w:p>
            <w:pPr>
              <w:jc w:val="right"/>
              <w:rPr>
                <w:noProof/>
                <w:sz w:val="20"/>
                <w:lang w:eastAsia="en-GB"/>
              </w:rPr>
            </w:pPr>
          </w:p>
        </w:tc>
        <w:tc>
          <w:tcPr>
            <w:tcW w:w="1848" w:type="dxa"/>
            <w:vMerge/>
            <w:shd w:val="clear" w:color="auto" w:fill="auto"/>
            <w:noWrap/>
            <w:vAlign w:val="center"/>
          </w:tcPr>
          <w:p>
            <w:pPr>
              <w:jc w:val="right"/>
              <w:rPr>
                <w:noProof/>
                <w:sz w:val="20"/>
                <w:lang w:eastAsia="en-GB"/>
              </w:rPr>
            </w:pPr>
          </w:p>
        </w:tc>
        <w:tc>
          <w:tcPr>
            <w:tcW w:w="1701" w:type="dxa"/>
            <w:vAlign w:val="center"/>
          </w:tcPr>
          <w:p>
            <w:pPr>
              <w:rPr>
                <w:noProof/>
                <w:sz w:val="20"/>
                <w:lang w:eastAsia="en-GB"/>
              </w:rPr>
            </w:pPr>
            <w:r>
              <w:rPr>
                <w:rFonts w:eastAsia="Times New Roman"/>
                <w:noProof/>
                <w:color w:val="000000" w:themeColor="text1"/>
                <w:sz w:val="20"/>
                <w:lang w:eastAsia="en-GB"/>
              </w:rPr>
              <w:t>El Salvador</w:t>
            </w:r>
          </w:p>
        </w:tc>
        <w:tc>
          <w:tcPr>
            <w:tcW w:w="1182" w:type="dxa"/>
            <w:vAlign w:val="center"/>
          </w:tcPr>
          <w:p>
            <w:pPr>
              <w:jc w:val="right"/>
              <w:rPr>
                <w:noProof/>
                <w:sz w:val="20"/>
                <w:lang w:eastAsia="en-GB"/>
              </w:rPr>
            </w:pPr>
            <w:r>
              <w:rPr>
                <w:noProof/>
                <w:sz w:val="20"/>
                <w:lang w:val="es-ES" w:eastAsia="en-GB"/>
              </w:rPr>
              <w:t>0</w:t>
            </w:r>
          </w:p>
        </w:tc>
        <w:tc>
          <w:tcPr>
            <w:tcW w:w="1194" w:type="dxa"/>
            <w:vMerge/>
            <w:shd w:val="clear" w:color="auto" w:fill="auto"/>
            <w:noWrap/>
            <w:vAlign w:val="center"/>
          </w:tcPr>
          <w:p>
            <w:pPr>
              <w:jc w:val="right"/>
              <w:rPr>
                <w:noProof/>
                <w:sz w:val="20"/>
                <w:lang w:eastAsia="en-GB"/>
              </w:rPr>
            </w:pPr>
          </w:p>
        </w:tc>
      </w:tr>
      <w:tr>
        <w:trPr>
          <w:cantSplit/>
          <w:trHeight w:val="22"/>
        </w:trPr>
        <w:tc>
          <w:tcPr>
            <w:tcW w:w="2056" w:type="dxa"/>
            <w:vMerge/>
            <w:shd w:val="clear" w:color="auto" w:fill="auto"/>
            <w:noWrap/>
            <w:vAlign w:val="center"/>
          </w:tcPr>
          <w:p>
            <w:pPr>
              <w:rPr>
                <w:noProof/>
                <w:sz w:val="20"/>
                <w:lang w:eastAsia="en-GB"/>
              </w:rPr>
            </w:pPr>
          </w:p>
        </w:tc>
        <w:tc>
          <w:tcPr>
            <w:tcW w:w="1307" w:type="dxa"/>
            <w:vMerge/>
            <w:shd w:val="clear" w:color="auto" w:fill="auto"/>
            <w:noWrap/>
            <w:vAlign w:val="center"/>
          </w:tcPr>
          <w:p>
            <w:pPr>
              <w:jc w:val="right"/>
              <w:rPr>
                <w:noProof/>
                <w:sz w:val="20"/>
                <w:lang w:eastAsia="en-GB"/>
              </w:rPr>
            </w:pPr>
          </w:p>
        </w:tc>
        <w:tc>
          <w:tcPr>
            <w:tcW w:w="1848" w:type="dxa"/>
            <w:vMerge/>
            <w:shd w:val="clear" w:color="auto" w:fill="auto"/>
            <w:noWrap/>
            <w:vAlign w:val="center"/>
          </w:tcPr>
          <w:p>
            <w:pPr>
              <w:jc w:val="right"/>
              <w:rPr>
                <w:noProof/>
                <w:sz w:val="20"/>
                <w:lang w:eastAsia="en-GB"/>
              </w:rPr>
            </w:pPr>
          </w:p>
        </w:tc>
        <w:tc>
          <w:tcPr>
            <w:tcW w:w="1701" w:type="dxa"/>
            <w:vAlign w:val="center"/>
          </w:tcPr>
          <w:p>
            <w:pPr>
              <w:rPr>
                <w:noProof/>
                <w:sz w:val="20"/>
                <w:lang w:eastAsia="en-GB"/>
              </w:rPr>
            </w:pPr>
            <w:r>
              <w:rPr>
                <w:rFonts w:eastAsia="Times New Roman"/>
                <w:noProof/>
                <w:color w:val="000000" w:themeColor="text1"/>
                <w:sz w:val="20"/>
                <w:lang w:eastAsia="en-GB"/>
              </w:rPr>
              <w:t>Guatemala</w:t>
            </w:r>
          </w:p>
        </w:tc>
        <w:tc>
          <w:tcPr>
            <w:tcW w:w="1182" w:type="dxa"/>
            <w:vAlign w:val="center"/>
          </w:tcPr>
          <w:p>
            <w:pPr>
              <w:jc w:val="right"/>
              <w:rPr>
                <w:noProof/>
                <w:sz w:val="20"/>
                <w:lang w:eastAsia="en-GB"/>
              </w:rPr>
            </w:pPr>
            <w:r>
              <w:rPr>
                <w:noProof/>
                <w:sz w:val="20"/>
                <w:lang w:val="es-ES" w:eastAsia="en-GB"/>
              </w:rPr>
              <w:t>27</w:t>
            </w:r>
          </w:p>
        </w:tc>
        <w:tc>
          <w:tcPr>
            <w:tcW w:w="1194" w:type="dxa"/>
            <w:vMerge/>
            <w:shd w:val="clear" w:color="auto" w:fill="auto"/>
            <w:noWrap/>
            <w:vAlign w:val="center"/>
          </w:tcPr>
          <w:p>
            <w:pPr>
              <w:jc w:val="right"/>
              <w:rPr>
                <w:noProof/>
                <w:sz w:val="20"/>
                <w:lang w:eastAsia="en-GB"/>
              </w:rPr>
            </w:pPr>
          </w:p>
        </w:tc>
      </w:tr>
      <w:tr>
        <w:trPr>
          <w:cantSplit/>
          <w:trHeight w:val="22"/>
        </w:trPr>
        <w:tc>
          <w:tcPr>
            <w:tcW w:w="2056" w:type="dxa"/>
            <w:vMerge/>
            <w:shd w:val="clear" w:color="auto" w:fill="auto"/>
            <w:noWrap/>
            <w:vAlign w:val="center"/>
          </w:tcPr>
          <w:p>
            <w:pPr>
              <w:rPr>
                <w:noProof/>
                <w:sz w:val="20"/>
                <w:lang w:eastAsia="en-GB"/>
              </w:rPr>
            </w:pPr>
          </w:p>
        </w:tc>
        <w:tc>
          <w:tcPr>
            <w:tcW w:w="1307" w:type="dxa"/>
            <w:vMerge/>
            <w:shd w:val="clear" w:color="auto" w:fill="auto"/>
            <w:noWrap/>
            <w:vAlign w:val="center"/>
          </w:tcPr>
          <w:p>
            <w:pPr>
              <w:jc w:val="right"/>
              <w:rPr>
                <w:noProof/>
                <w:sz w:val="20"/>
                <w:lang w:eastAsia="en-GB"/>
              </w:rPr>
            </w:pPr>
          </w:p>
        </w:tc>
        <w:tc>
          <w:tcPr>
            <w:tcW w:w="1848" w:type="dxa"/>
            <w:vMerge/>
            <w:shd w:val="clear" w:color="auto" w:fill="auto"/>
            <w:noWrap/>
            <w:vAlign w:val="center"/>
          </w:tcPr>
          <w:p>
            <w:pPr>
              <w:jc w:val="right"/>
              <w:rPr>
                <w:noProof/>
                <w:sz w:val="20"/>
                <w:lang w:eastAsia="en-GB"/>
              </w:rPr>
            </w:pPr>
          </w:p>
        </w:tc>
        <w:tc>
          <w:tcPr>
            <w:tcW w:w="1701" w:type="dxa"/>
            <w:vAlign w:val="center"/>
          </w:tcPr>
          <w:p>
            <w:pPr>
              <w:rPr>
                <w:noProof/>
                <w:sz w:val="20"/>
                <w:lang w:eastAsia="en-GB"/>
              </w:rPr>
            </w:pPr>
            <w:r>
              <w:rPr>
                <w:rFonts w:eastAsia="Times New Roman"/>
                <w:noProof/>
                <w:color w:val="000000" w:themeColor="text1"/>
                <w:sz w:val="20"/>
                <w:lang w:eastAsia="en-GB"/>
              </w:rPr>
              <w:t>Honduras</w:t>
            </w:r>
          </w:p>
        </w:tc>
        <w:tc>
          <w:tcPr>
            <w:tcW w:w="1182" w:type="dxa"/>
            <w:vAlign w:val="center"/>
          </w:tcPr>
          <w:p>
            <w:pPr>
              <w:jc w:val="right"/>
              <w:rPr>
                <w:noProof/>
                <w:sz w:val="20"/>
                <w:lang w:eastAsia="en-GB"/>
              </w:rPr>
            </w:pPr>
            <w:r>
              <w:rPr>
                <w:noProof/>
                <w:sz w:val="20"/>
                <w:lang w:val="es-ES" w:eastAsia="en-GB"/>
              </w:rPr>
              <w:t>0</w:t>
            </w:r>
          </w:p>
        </w:tc>
        <w:tc>
          <w:tcPr>
            <w:tcW w:w="1194" w:type="dxa"/>
            <w:vMerge/>
            <w:shd w:val="clear" w:color="auto" w:fill="auto"/>
            <w:noWrap/>
            <w:vAlign w:val="center"/>
          </w:tcPr>
          <w:p>
            <w:pPr>
              <w:jc w:val="right"/>
              <w:rPr>
                <w:noProof/>
                <w:sz w:val="20"/>
                <w:lang w:eastAsia="en-GB"/>
              </w:rPr>
            </w:pPr>
          </w:p>
        </w:tc>
      </w:tr>
      <w:tr>
        <w:trPr>
          <w:cantSplit/>
          <w:trHeight w:val="22"/>
        </w:trPr>
        <w:tc>
          <w:tcPr>
            <w:tcW w:w="2056" w:type="dxa"/>
            <w:vMerge/>
            <w:shd w:val="clear" w:color="auto" w:fill="auto"/>
            <w:noWrap/>
            <w:vAlign w:val="center"/>
          </w:tcPr>
          <w:p>
            <w:pPr>
              <w:rPr>
                <w:noProof/>
                <w:sz w:val="20"/>
                <w:lang w:eastAsia="en-GB"/>
              </w:rPr>
            </w:pPr>
          </w:p>
        </w:tc>
        <w:tc>
          <w:tcPr>
            <w:tcW w:w="1307" w:type="dxa"/>
            <w:vMerge/>
            <w:shd w:val="clear" w:color="auto" w:fill="auto"/>
            <w:noWrap/>
            <w:vAlign w:val="center"/>
          </w:tcPr>
          <w:p>
            <w:pPr>
              <w:jc w:val="right"/>
              <w:rPr>
                <w:noProof/>
                <w:sz w:val="20"/>
                <w:lang w:eastAsia="en-GB"/>
              </w:rPr>
            </w:pPr>
          </w:p>
        </w:tc>
        <w:tc>
          <w:tcPr>
            <w:tcW w:w="1848" w:type="dxa"/>
            <w:vMerge/>
            <w:shd w:val="clear" w:color="auto" w:fill="auto"/>
            <w:noWrap/>
            <w:vAlign w:val="center"/>
          </w:tcPr>
          <w:p>
            <w:pPr>
              <w:jc w:val="right"/>
              <w:rPr>
                <w:noProof/>
                <w:sz w:val="20"/>
                <w:lang w:eastAsia="en-GB"/>
              </w:rPr>
            </w:pPr>
          </w:p>
        </w:tc>
        <w:tc>
          <w:tcPr>
            <w:tcW w:w="1701" w:type="dxa"/>
            <w:vAlign w:val="center"/>
          </w:tcPr>
          <w:p>
            <w:pPr>
              <w:rPr>
                <w:noProof/>
                <w:sz w:val="20"/>
                <w:lang w:eastAsia="en-GB"/>
              </w:rPr>
            </w:pPr>
            <w:r>
              <w:rPr>
                <w:rFonts w:eastAsia="Times New Roman"/>
                <w:noProof/>
                <w:color w:val="000000" w:themeColor="text1"/>
                <w:sz w:val="20"/>
                <w:lang w:eastAsia="en-GB"/>
              </w:rPr>
              <w:t>Nicaragua</w:t>
            </w:r>
          </w:p>
        </w:tc>
        <w:tc>
          <w:tcPr>
            <w:tcW w:w="1182" w:type="dxa"/>
            <w:vAlign w:val="center"/>
          </w:tcPr>
          <w:p>
            <w:pPr>
              <w:jc w:val="right"/>
              <w:rPr>
                <w:noProof/>
                <w:sz w:val="20"/>
                <w:lang w:eastAsia="en-GB"/>
              </w:rPr>
            </w:pPr>
            <w:r>
              <w:rPr>
                <w:noProof/>
                <w:sz w:val="20"/>
                <w:lang w:val="es-ES" w:eastAsia="en-GB"/>
              </w:rPr>
              <w:t>0</w:t>
            </w:r>
          </w:p>
        </w:tc>
        <w:tc>
          <w:tcPr>
            <w:tcW w:w="1194" w:type="dxa"/>
            <w:vMerge/>
            <w:shd w:val="clear" w:color="auto" w:fill="auto"/>
            <w:noWrap/>
            <w:vAlign w:val="center"/>
          </w:tcPr>
          <w:p>
            <w:pPr>
              <w:jc w:val="right"/>
              <w:rPr>
                <w:noProof/>
                <w:sz w:val="20"/>
                <w:lang w:eastAsia="en-GB"/>
              </w:rPr>
            </w:pPr>
          </w:p>
        </w:tc>
      </w:tr>
      <w:tr>
        <w:trPr>
          <w:cantSplit/>
          <w:trHeight w:val="22"/>
        </w:trPr>
        <w:tc>
          <w:tcPr>
            <w:tcW w:w="2056" w:type="dxa"/>
            <w:vMerge/>
            <w:shd w:val="clear" w:color="auto" w:fill="auto"/>
            <w:noWrap/>
            <w:vAlign w:val="center"/>
          </w:tcPr>
          <w:p>
            <w:pPr>
              <w:rPr>
                <w:noProof/>
                <w:sz w:val="20"/>
                <w:lang w:eastAsia="en-GB"/>
              </w:rPr>
            </w:pPr>
          </w:p>
        </w:tc>
        <w:tc>
          <w:tcPr>
            <w:tcW w:w="1307" w:type="dxa"/>
            <w:vMerge/>
            <w:shd w:val="clear" w:color="auto" w:fill="auto"/>
            <w:noWrap/>
            <w:vAlign w:val="center"/>
          </w:tcPr>
          <w:p>
            <w:pPr>
              <w:jc w:val="right"/>
              <w:rPr>
                <w:noProof/>
                <w:sz w:val="20"/>
                <w:lang w:eastAsia="en-GB"/>
              </w:rPr>
            </w:pPr>
          </w:p>
        </w:tc>
        <w:tc>
          <w:tcPr>
            <w:tcW w:w="1848" w:type="dxa"/>
            <w:vMerge/>
            <w:shd w:val="clear" w:color="auto" w:fill="auto"/>
            <w:noWrap/>
            <w:vAlign w:val="center"/>
          </w:tcPr>
          <w:p>
            <w:pPr>
              <w:jc w:val="right"/>
              <w:rPr>
                <w:noProof/>
                <w:sz w:val="20"/>
                <w:lang w:eastAsia="en-GB"/>
              </w:rPr>
            </w:pPr>
          </w:p>
        </w:tc>
        <w:tc>
          <w:tcPr>
            <w:tcW w:w="1701" w:type="dxa"/>
            <w:vAlign w:val="center"/>
          </w:tcPr>
          <w:p>
            <w:pPr>
              <w:rPr>
                <w:noProof/>
                <w:sz w:val="20"/>
                <w:lang w:eastAsia="en-GB"/>
              </w:rPr>
            </w:pPr>
            <w:r>
              <w:rPr>
                <w:rFonts w:eastAsia="Times New Roman"/>
                <w:noProof/>
                <w:color w:val="000000" w:themeColor="text1"/>
                <w:sz w:val="20"/>
                <w:lang w:eastAsia="en-GB"/>
              </w:rPr>
              <w:t>Panama</w:t>
            </w:r>
          </w:p>
        </w:tc>
        <w:tc>
          <w:tcPr>
            <w:tcW w:w="1182" w:type="dxa"/>
            <w:vAlign w:val="center"/>
          </w:tcPr>
          <w:p>
            <w:pPr>
              <w:jc w:val="right"/>
              <w:rPr>
                <w:noProof/>
                <w:sz w:val="20"/>
                <w:lang w:eastAsia="en-GB"/>
              </w:rPr>
            </w:pPr>
            <w:r>
              <w:rPr>
                <w:noProof/>
                <w:sz w:val="20"/>
                <w:lang w:val="es-ES" w:eastAsia="en-GB"/>
              </w:rPr>
              <w:t>75</w:t>
            </w:r>
          </w:p>
        </w:tc>
        <w:tc>
          <w:tcPr>
            <w:tcW w:w="1194" w:type="dxa"/>
            <w:vMerge/>
            <w:shd w:val="clear" w:color="auto" w:fill="auto"/>
            <w:noWrap/>
            <w:vAlign w:val="center"/>
          </w:tcPr>
          <w:p>
            <w:pPr>
              <w:jc w:val="right"/>
              <w:rPr>
                <w:noProof/>
                <w:sz w:val="20"/>
                <w:lang w:eastAsia="en-GB"/>
              </w:rPr>
            </w:pPr>
          </w:p>
        </w:tc>
      </w:tr>
      <w:tr>
        <w:trPr>
          <w:cantSplit/>
          <w:trHeight w:val="49"/>
        </w:trPr>
        <w:tc>
          <w:tcPr>
            <w:tcW w:w="2056" w:type="dxa"/>
            <w:vMerge w:val="restart"/>
            <w:shd w:val="clear" w:color="auto" w:fill="auto"/>
            <w:noWrap/>
            <w:vAlign w:val="center"/>
            <w:hideMark/>
          </w:tcPr>
          <w:p>
            <w:pPr>
              <w:keepNext/>
              <w:keepLines/>
              <w:rPr>
                <w:noProof/>
                <w:sz w:val="20"/>
                <w:lang w:eastAsia="en-GB"/>
              </w:rPr>
            </w:pPr>
            <w:r>
              <w:rPr>
                <w:noProof/>
                <w:sz w:val="20"/>
                <w:lang w:eastAsia="en-GB"/>
              </w:rPr>
              <w:t>Powdered milk</w:t>
            </w:r>
            <w:r>
              <w:rPr>
                <w:noProof/>
                <w:sz w:val="20"/>
                <w:lang w:eastAsia="en-GB"/>
              </w:rPr>
              <w:br/>
              <w:t>(6 country-specific quotas)</w:t>
            </w:r>
          </w:p>
        </w:tc>
        <w:tc>
          <w:tcPr>
            <w:tcW w:w="1307" w:type="dxa"/>
            <w:vMerge w:val="restart"/>
            <w:shd w:val="clear" w:color="auto" w:fill="auto"/>
            <w:noWrap/>
            <w:vAlign w:val="center"/>
            <w:hideMark/>
          </w:tcPr>
          <w:p>
            <w:pPr>
              <w:jc w:val="right"/>
              <w:rPr>
                <w:noProof/>
                <w:sz w:val="20"/>
                <w:lang w:eastAsia="en-GB"/>
              </w:rPr>
            </w:pPr>
            <w:r>
              <w:rPr>
                <w:noProof/>
                <w:sz w:val="20"/>
                <w:lang w:eastAsia="en-GB"/>
              </w:rPr>
              <w:t>2 375</w:t>
            </w:r>
          </w:p>
        </w:tc>
        <w:tc>
          <w:tcPr>
            <w:tcW w:w="1848" w:type="dxa"/>
            <w:vMerge w:val="restart"/>
            <w:shd w:val="clear" w:color="auto" w:fill="auto"/>
            <w:noWrap/>
            <w:vAlign w:val="center"/>
            <w:hideMark/>
          </w:tcPr>
          <w:p>
            <w:pPr>
              <w:jc w:val="right"/>
              <w:rPr>
                <w:noProof/>
                <w:sz w:val="20"/>
                <w:lang w:eastAsia="en-GB"/>
              </w:rPr>
            </w:pPr>
            <w:r>
              <w:rPr>
                <w:noProof/>
                <w:sz w:val="20"/>
                <w:lang w:eastAsia="en-GB"/>
              </w:rPr>
              <w:t>95</w:t>
            </w:r>
          </w:p>
        </w:tc>
        <w:tc>
          <w:tcPr>
            <w:tcW w:w="1701" w:type="dxa"/>
            <w:vAlign w:val="center"/>
          </w:tcPr>
          <w:p>
            <w:pPr>
              <w:keepNext/>
              <w:rPr>
                <w:i/>
                <w:noProof/>
                <w:sz w:val="20"/>
                <w:lang w:eastAsia="en-GB"/>
              </w:rPr>
            </w:pPr>
            <w:r>
              <w:rPr>
                <w:rFonts w:eastAsia="Times New Roman"/>
                <w:noProof/>
                <w:color w:val="000000" w:themeColor="text1"/>
                <w:sz w:val="20"/>
                <w:lang w:eastAsia="en-GB"/>
              </w:rPr>
              <w:t>Costa Rica</w:t>
            </w:r>
          </w:p>
        </w:tc>
        <w:tc>
          <w:tcPr>
            <w:tcW w:w="1182" w:type="dxa"/>
            <w:vAlign w:val="center"/>
          </w:tcPr>
          <w:p>
            <w:pPr>
              <w:jc w:val="right"/>
              <w:rPr>
                <w:noProof/>
                <w:sz w:val="20"/>
                <w:lang w:eastAsia="en-GB"/>
              </w:rPr>
            </w:pPr>
            <w:r>
              <w:rPr>
                <w:noProof/>
                <w:sz w:val="20"/>
                <w:lang w:eastAsia="en-GB"/>
              </w:rPr>
              <w:t>0</w:t>
            </w:r>
          </w:p>
        </w:tc>
        <w:tc>
          <w:tcPr>
            <w:tcW w:w="1194" w:type="dxa"/>
            <w:shd w:val="clear" w:color="auto" w:fill="FFFFFF" w:themeFill="background1"/>
            <w:noWrap/>
            <w:vAlign w:val="center"/>
          </w:tcPr>
          <w:p>
            <w:pPr>
              <w:jc w:val="right"/>
              <w:rPr>
                <w:noProof/>
                <w:sz w:val="20"/>
                <w:lang w:eastAsia="en-GB"/>
              </w:rPr>
            </w:pPr>
            <w:r>
              <w:rPr>
                <w:noProof/>
                <w:sz w:val="20"/>
                <w:lang w:eastAsia="en-GB"/>
              </w:rPr>
              <w:t>0%</w:t>
            </w:r>
          </w:p>
        </w:tc>
      </w:tr>
      <w:tr>
        <w:trPr>
          <w:cantSplit/>
          <w:trHeight w:val="44"/>
        </w:trPr>
        <w:tc>
          <w:tcPr>
            <w:tcW w:w="2056" w:type="dxa"/>
            <w:vMerge/>
            <w:shd w:val="clear" w:color="auto" w:fill="auto"/>
            <w:noWrap/>
            <w:vAlign w:val="center"/>
          </w:tcPr>
          <w:p>
            <w:pPr>
              <w:rPr>
                <w:noProof/>
                <w:sz w:val="20"/>
                <w:lang w:eastAsia="en-GB"/>
              </w:rPr>
            </w:pPr>
          </w:p>
        </w:tc>
        <w:tc>
          <w:tcPr>
            <w:tcW w:w="1307" w:type="dxa"/>
            <w:vMerge/>
            <w:shd w:val="clear" w:color="auto" w:fill="auto"/>
            <w:noWrap/>
            <w:vAlign w:val="center"/>
          </w:tcPr>
          <w:p>
            <w:pPr>
              <w:jc w:val="right"/>
              <w:rPr>
                <w:noProof/>
                <w:sz w:val="20"/>
                <w:lang w:eastAsia="en-GB"/>
              </w:rPr>
            </w:pPr>
          </w:p>
        </w:tc>
        <w:tc>
          <w:tcPr>
            <w:tcW w:w="1848" w:type="dxa"/>
            <w:vMerge/>
            <w:shd w:val="clear" w:color="auto" w:fill="auto"/>
            <w:noWrap/>
            <w:vAlign w:val="center"/>
          </w:tcPr>
          <w:p>
            <w:pPr>
              <w:jc w:val="right"/>
              <w:rPr>
                <w:noProof/>
                <w:sz w:val="20"/>
                <w:lang w:eastAsia="en-GB"/>
              </w:rPr>
            </w:pPr>
          </w:p>
        </w:tc>
        <w:tc>
          <w:tcPr>
            <w:tcW w:w="1701" w:type="dxa"/>
            <w:vAlign w:val="center"/>
          </w:tcPr>
          <w:p>
            <w:pPr>
              <w:keepNext/>
              <w:rPr>
                <w:i/>
                <w:noProof/>
                <w:sz w:val="20"/>
                <w:lang w:eastAsia="en-GB"/>
              </w:rPr>
            </w:pPr>
            <w:r>
              <w:rPr>
                <w:rFonts w:eastAsia="Times New Roman"/>
                <w:noProof/>
                <w:color w:val="000000" w:themeColor="text1"/>
                <w:sz w:val="20"/>
                <w:lang w:eastAsia="en-GB"/>
              </w:rPr>
              <w:t>El Salvador</w:t>
            </w:r>
          </w:p>
        </w:tc>
        <w:tc>
          <w:tcPr>
            <w:tcW w:w="1182" w:type="dxa"/>
            <w:vAlign w:val="center"/>
          </w:tcPr>
          <w:p>
            <w:pPr>
              <w:jc w:val="right"/>
              <w:rPr>
                <w:noProof/>
                <w:sz w:val="20"/>
                <w:lang w:eastAsia="en-GB"/>
              </w:rPr>
            </w:pPr>
            <w:r>
              <w:rPr>
                <w:noProof/>
                <w:sz w:val="20"/>
                <w:lang w:val="es-ES" w:eastAsia="en-GB"/>
              </w:rPr>
              <w:t>105</w:t>
            </w:r>
          </w:p>
        </w:tc>
        <w:tc>
          <w:tcPr>
            <w:tcW w:w="1194" w:type="dxa"/>
            <w:shd w:val="clear" w:color="auto" w:fill="FFFFFF" w:themeFill="background1"/>
            <w:noWrap/>
            <w:vAlign w:val="center"/>
          </w:tcPr>
          <w:p>
            <w:pPr>
              <w:jc w:val="right"/>
              <w:rPr>
                <w:noProof/>
                <w:sz w:val="20"/>
                <w:lang w:eastAsia="en-GB"/>
              </w:rPr>
            </w:pPr>
            <w:r>
              <w:rPr>
                <w:noProof/>
                <w:sz w:val="20"/>
                <w:lang w:val="es-ES" w:eastAsia="en-GB"/>
              </w:rPr>
              <w:t>42%</w:t>
            </w:r>
          </w:p>
        </w:tc>
      </w:tr>
      <w:tr>
        <w:trPr>
          <w:cantSplit/>
          <w:trHeight w:val="44"/>
        </w:trPr>
        <w:tc>
          <w:tcPr>
            <w:tcW w:w="2056" w:type="dxa"/>
            <w:vMerge/>
            <w:shd w:val="clear" w:color="auto" w:fill="auto"/>
            <w:noWrap/>
            <w:vAlign w:val="center"/>
          </w:tcPr>
          <w:p>
            <w:pPr>
              <w:rPr>
                <w:noProof/>
                <w:sz w:val="20"/>
                <w:lang w:eastAsia="en-GB"/>
              </w:rPr>
            </w:pPr>
          </w:p>
        </w:tc>
        <w:tc>
          <w:tcPr>
            <w:tcW w:w="1307" w:type="dxa"/>
            <w:vMerge/>
            <w:shd w:val="clear" w:color="auto" w:fill="auto"/>
            <w:noWrap/>
            <w:vAlign w:val="center"/>
          </w:tcPr>
          <w:p>
            <w:pPr>
              <w:jc w:val="right"/>
              <w:rPr>
                <w:noProof/>
                <w:sz w:val="20"/>
                <w:lang w:eastAsia="en-GB"/>
              </w:rPr>
            </w:pPr>
          </w:p>
        </w:tc>
        <w:tc>
          <w:tcPr>
            <w:tcW w:w="1848" w:type="dxa"/>
            <w:vMerge/>
            <w:shd w:val="clear" w:color="auto" w:fill="auto"/>
            <w:noWrap/>
            <w:vAlign w:val="center"/>
          </w:tcPr>
          <w:p>
            <w:pPr>
              <w:jc w:val="right"/>
              <w:rPr>
                <w:noProof/>
                <w:sz w:val="20"/>
                <w:lang w:eastAsia="en-GB"/>
              </w:rPr>
            </w:pPr>
          </w:p>
        </w:tc>
        <w:tc>
          <w:tcPr>
            <w:tcW w:w="1701" w:type="dxa"/>
            <w:vAlign w:val="center"/>
          </w:tcPr>
          <w:p>
            <w:pPr>
              <w:keepNext/>
              <w:rPr>
                <w:i/>
                <w:noProof/>
                <w:sz w:val="20"/>
                <w:lang w:eastAsia="en-GB"/>
              </w:rPr>
            </w:pPr>
            <w:r>
              <w:rPr>
                <w:rFonts w:eastAsia="Times New Roman"/>
                <w:noProof/>
                <w:color w:val="000000" w:themeColor="text1"/>
                <w:sz w:val="20"/>
                <w:lang w:eastAsia="en-GB"/>
              </w:rPr>
              <w:t>Guatemala</w:t>
            </w:r>
          </w:p>
        </w:tc>
        <w:tc>
          <w:tcPr>
            <w:tcW w:w="1182" w:type="dxa"/>
            <w:vAlign w:val="center"/>
          </w:tcPr>
          <w:p>
            <w:pPr>
              <w:jc w:val="right"/>
              <w:rPr>
                <w:noProof/>
                <w:sz w:val="20"/>
                <w:lang w:eastAsia="en-GB"/>
              </w:rPr>
            </w:pPr>
            <w:r>
              <w:rPr>
                <w:noProof/>
                <w:sz w:val="20"/>
                <w:lang w:val="es-ES" w:eastAsia="en-GB"/>
              </w:rPr>
              <w:t>25</w:t>
            </w:r>
          </w:p>
        </w:tc>
        <w:tc>
          <w:tcPr>
            <w:tcW w:w="1194" w:type="dxa"/>
            <w:shd w:val="clear" w:color="auto" w:fill="FFFFFF" w:themeFill="background1"/>
            <w:noWrap/>
            <w:vAlign w:val="center"/>
          </w:tcPr>
          <w:p>
            <w:pPr>
              <w:jc w:val="right"/>
              <w:rPr>
                <w:noProof/>
                <w:sz w:val="20"/>
                <w:lang w:eastAsia="en-GB"/>
              </w:rPr>
            </w:pPr>
            <w:r>
              <w:rPr>
                <w:noProof/>
                <w:sz w:val="20"/>
                <w:lang w:val="es-ES" w:eastAsia="en-GB"/>
              </w:rPr>
              <w:t>5%</w:t>
            </w:r>
          </w:p>
        </w:tc>
      </w:tr>
      <w:tr>
        <w:trPr>
          <w:cantSplit/>
          <w:trHeight w:val="44"/>
        </w:trPr>
        <w:tc>
          <w:tcPr>
            <w:tcW w:w="2056" w:type="dxa"/>
            <w:vMerge/>
            <w:shd w:val="clear" w:color="auto" w:fill="auto"/>
            <w:noWrap/>
            <w:vAlign w:val="center"/>
          </w:tcPr>
          <w:p>
            <w:pPr>
              <w:rPr>
                <w:noProof/>
                <w:sz w:val="20"/>
                <w:lang w:eastAsia="en-GB"/>
              </w:rPr>
            </w:pPr>
          </w:p>
        </w:tc>
        <w:tc>
          <w:tcPr>
            <w:tcW w:w="1307" w:type="dxa"/>
            <w:vMerge/>
            <w:shd w:val="clear" w:color="auto" w:fill="auto"/>
            <w:noWrap/>
            <w:vAlign w:val="center"/>
          </w:tcPr>
          <w:p>
            <w:pPr>
              <w:jc w:val="right"/>
              <w:rPr>
                <w:noProof/>
                <w:sz w:val="20"/>
                <w:lang w:eastAsia="en-GB"/>
              </w:rPr>
            </w:pPr>
          </w:p>
        </w:tc>
        <w:tc>
          <w:tcPr>
            <w:tcW w:w="1848" w:type="dxa"/>
            <w:vMerge/>
            <w:shd w:val="clear" w:color="auto" w:fill="auto"/>
            <w:noWrap/>
            <w:vAlign w:val="center"/>
          </w:tcPr>
          <w:p>
            <w:pPr>
              <w:jc w:val="right"/>
              <w:rPr>
                <w:noProof/>
                <w:sz w:val="20"/>
                <w:lang w:eastAsia="en-GB"/>
              </w:rPr>
            </w:pPr>
          </w:p>
        </w:tc>
        <w:tc>
          <w:tcPr>
            <w:tcW w:w="1701" w:type="dxa"/>
            <w:vAlign w:val="center"/>
          </w:tcPr>
          <w:p>
            <w:pPr>
              <w:keepNext/>
              <w:rPr>
                <w:i/>
                <w:noProof/>
                <w:sz w:val="20"/>
                <w:lang w:eastAsia="en-GB"/>
              </w:rPr>
            </w:pPr>
            <w:r>
              <w:rPr>
                <w:rFonts w:eastAsia="Times New Roman"/>
                <w:noProof/>
                <w:color w:val="000000" w:themeColor="text1"/>
                <w:sz w:val="20"/>
                <w:lang w:eastAsia="en-GB"/>
              </w:rPr>
              <w:t>Honduras</w:t>
            </w:r>
          </w:p>
        </w:tc>
        <w:tc>
          <w:tcPr>
            <w:tcW w:w="1182" w:type="dxa"/>
            <w:vAlign w:val="center"/>
          </w:tcPr>
          <w:p>
            <w:pPr>
              <w:jc w:val="right"/>
              <w:rPr>
                <w:noProof/>
                <w:sz w:val="20"/>
                <w:lang w:eastAsia="en-GB"/>
              </w:rPr>
            </w:pPr>
            <w:r>
              <w:rPr>
                <w:noProof/>
                <w:sz w:val="20"/>
                <w:lang w:val="es-ES" w:eastAsia="en-GB"/>
              </w:rPr>
              <w:t>500</w:t>
            </w:r>
          </w:p>
        </w:tc>
        <w:tc>
          <w:tcPr>
            <w:tcW w:w="1194" w:type="dxa"/>
            <w:shd w:val="clear" w:color="auto" w:fill="FFFFFF" w:themeFill="background1"/>
            <w:noWrap/>
            <w:vAlign w:val="center"/>
          </w:tcPr>
          <w:p>
            <w:pPr>
              <w:jc w:val="right"/>
              <w:rPr>
                <w:noProof/>
                <w:sz w:val="20"/>
                <w:lang w:eastAsia="en-GB"/>
              </w:rPr>
            </w:pPr>
            <w:r>
              <w:rPr>
                <w:noProof/>
                <w:sz w:val="20"/>
                <w:lang w:val="es-ES" w:eastAsia="en-GB"/>
              </w:rPr>
              <w:t>100%</w:t>
            </w:r>
          </w:p>
        </w:tc>
      </w:tr>
      <w:tr>
        <w:trPr>
          <w:cantSplit/>
          <w:trHeight w:val="44"/>
        </w:trPr>
        <w:tc>
          <w:tcPr>
            <w:tcW w:w="2056" w:type="dxa"/>
            <w:vMerge/>
            <w:shd w:val="clear" w:color="auto" w:fill="auto"/>
            <w:noWrap/>
            <w:vAlign w:val="center"/>
          </w:tcPr>
          <w:p>
            <w:pPr>
              <w:rPr>
                <w:noProof/>
                <w:sz w:val="20"/>
                <w:lang w:eastAsia="en-GB"/>
              </w:rPr>
            </w:pPr>
          </w:p>
        </w:tc>
        <w:tc>
          <w:tcPr>
            <w:tcW w:w="1307" w:type="dxa"/>
            <w:vMerge/>
            <w:shd w:val="clear" w:color="auto" w:fill="auto"/>
            <w:noWrap/>
            <w:vAlign w:val="center"/>
          </w:tcPr>
          <w:p>
            <w:pPr>
              <w:jc w:val="right"/>
              <w:rPr>
                <w:noProof/>
                <w:sz w:val="20"/>
                <w:lang w:eastAsia="en-GB"/>
              </w:rPr>
            </w:pPr>
          </w:p>
        </w:tc>
        <w:tc>
          <w:tcPr>
            <w:tcW w:w="1848" w:type="dxa"/>
            <w:vMerge/>
            <w:shd w:val="clear" w:color="auto" w:fill="auto"/>
            <w:noWrap/>
            <w:vAlign w:val="center"/>
          </w:tcPr>
          <w:p>
            <w:pPr>
              <w:jc w:val="right"/>
              <w:rPr>
                <w:noProof/>
                <w:sz w:val="20"/>
                <w:lang w:eastAsia="en-GB"/>
              </w:rPr>
            </w:pPr>
          </w:p>
        </w:tc>
        <w:tc>
          <w:tcPr>
            <w:tcW w:w="1701" w:type="dxa"/>
            <w:vAlign w:val="center"/>
          </w:tcPr>
          <w:p>
            <w:pPr>
              <w:keepNext/>
              <w:rPr>
                <w:i/>
                <w:noProof/>
                <w:sz w:val="20"/>
                <w:lang w:eastAsia="en-GB"/>
              </w:rPr>
            </w:pPr>
            <w:r>
              <w:rPr>
                <w:rFonts w:eastAsia="Times New Roman"/>
                <w:noProof/>
                <w:color w:val="000000" w:themeColor="text1"/>
                <w:sz w:val="20"/>
                <w:lang w:eastAsia="en-GB"/>
              </w:rPr>
              <w:t>Nicaragua</w:t>
            </w:r>
          </w:p>
        </w:tc>
        <w:tc>
          <w:tcPr>
            <w:tcW w:w="1182" w:type="dxa"/>
            <w:vAlign w:val="center"/>
          </w:tcPr>
          <w:p>
            <w:pPr>
              <w:jc w:val="right"/>
              <w:rPr>
                <w:noProof/>
                <w:sz w:val="20"/>
                <w:lang w:eastAsia="en-GB"/>
              </w:rPr>
            </w:pPr>
            <w:r>
              <w:rPr>
                <w:noProof/>
                <w:sz w:val="20"/>
                <w:lang w:val="es-ES" w:eastAsia="en-GB"/>
              </w:rPr>
              <w:t>0</w:t>
            </w:r>
          </w:p>
        </w:tc>
        <w:tc>
          <w:tcPr>
            <w:tcW w:w="1194" w:type="dxa"/>
            <w:shd w:val="clear" w:color="auto" w:fill="FFFFFF" w:themeFill="background1"/>
            <w:noWrap/>
            <w:vAlign w:val="center"/>
          </w:tcPr>
          <w:p>
            <w:pPr>
              <w:jc w:val="right"/>
              <w:rPr>
                <w:noProof/>
                <w:sz w:val="20"/>
                <w:lang w:eastAsia="en-GB"/>
              </w:rPr>
            </w:pPr>
            <w:r>
              <w:rPr>
                <w:noProof/>
                <w:sz w:val="20"/>
                <w:lang w:val="es-ES" w:eastAsia="en-GB"/>
              </w:rPr>
              <w:t>0%</w:t>
            </w:r>
          </w:p>
        </w:tc>
      </w:tr>
      <w:tr>
        <w:trPr>
          <w:cantSplit/>
          <w:trHeight w:val="44"/>
        </w:trPr>
        <w:tc>
          <w:tcPr>
            <w:tcW w:w="2056" w:type="dxa"/>
            <w:vMerge/>
            <w:shd w:val="clear" w:color="auto" w:fill="auto"/>
            <w:noWrap/>
            <w:vAlign w:val="center"/>
          </w:tcPr>
          <w:p>
            <w:pPr>
              <w:rPr>
                <w:noProof/>
                <w:sz w:val="20"/>
                <w:lang w:eastAsia="en-GB"/>
              </w:rPr>
            </w:pPr>
          </w:p>
        </w:tc>
        <w:tc>
          <w:tcPr>
            <w:tcW w:w="1307" w:type="dxa"/>
            <w:vMerge/>
            <w:shd w:val="clear" w:color="auto" w:fill="auto"/>
            <w:noWrap/>
            <w:vAlign w:val="center"/>
          </w:tcPr>
          <w:p>
            <w:pPr>
              <w:jc w:val="right"/>
              <w:rPr>
                <w:noProof/>
                <w:sz w:val="20"/>
                <w:lang w:eastAsia="en-GB"/>
              </w:rPr>
            </w:pPr>
          </w:p>
        </w:tc>
        <w:tc>
          <w:tcPr>
            <w:tcW w:w="1848" w:type="dxa"/>
            <w:vMerge/>
            <w:shd w:val="clear" w:color="auto" w:fill="auto"/>
            <w:noWrap/>
            <w:vAlign w:val="center"/>
          </w:tcPr>
          <w:p>
            <w:pPr>
              <w:jc w:val="right"/>
              <w:rPr>
                <w:noProof/>
                <w:sz w:val="20"/>
                <w:lang w:eastAsia="en-GB"/>
              </w:rPr>
            </w:pPr>
          </w:p>
        </w:tc>
        <w:tc>
          <w:tcPr>
            <w:tcW w:w="1701" w:type="dxa"/>
            <w:vAlign w:val="center"/>
          </w:tcPr>
          <w:p>
            <w:pPr>
              <w:rPr>
                <w:i/>
                <w:noProof/>
                <w:sz w:val="20"/>
                <w:lang w:eastAsia="en-GB"/>
              </w:rPr>
            </w:pPr>
            <w:r>
              <w:rPr>
                <w:rFonts w:eastAsia="Times New Roman"/>
                <w:noProof/>
                <w:color w:val="000000" w:themeColor="text1"/>
                <w:sz w:val="20"/>
                <w:lang w:eastAsia="en-GB"/>
              </w:rPr>
              <w:t>Panama</w:t>
            </w:r>
          </w:p>
        </w:tc>
        <w:tc>
          <w:tcPr>
            <w:tcW w:w="1182" w:type="dxa"/>
            <w:vAlign w:val="center"/>
          </w:tcPr>
          <w:p>
            <w:pPr>
              <w:jc w:val="right"/>
              <w:rPr>
                <w:noProof/>
                <w:sz w:val="20"/>
                <w:lang w:eastAsia="en-GB"/>
              </w:rPr>
            </w:pPr>
            <w:r>
              <w:rPr>
                <w:noProof/>
                <w:sz w:val="20"/>
                <w:lang w:val="es-ES" w:eastAsia="en-GB"/>
              </w:rPr>
              <w:t>545</w:t>
            </w:r>
          </w:p>
        </w:tc>
        <w:tc>
          <w:tcPr>
            <w:tcW w:w="1194" w:type="dxa"/>
            <w:shd w:val="clear" w:color="auto" w:fill="FFFFFF" w:themeFill="background1"/>
            <w:noWrap/>
            <w:vAlign w:val="center"/>
          </w:tcPr>
          <w:p>
            <w:pPr>
              <w:jc w:val="right"/>
              <w:rPr>
                <w:noProof/>
                <w:sz w:val="20"/>
                <w:lang w:eastAsia="en-GB"/>
              </w:rPr>
            </w:pPr>
            <w:r>
              <w:rPr>
                <w:noProof/>
                <w:sz w:val="20"/>
                <w:lang w:val="es-ES" w:eastAsia="en-GB"/>
              </w:rPr>
              <w:t>87%</w:t>
            </w:r>
          </w:p>
        </w:tc>
      </w:tr>
      <w:tr>
        <w:trPr>
          <w:cantSplit/>
          <w:trHeight w:val="49"/>
        </w:trPr>
        <w:tc>
          <w:tcPr>
            <w:tcW w:w="2056" w:type="dxa"/>
            <w:vMerge w:val="restart"/>
            <w:shd w:val="clear" w:color="auto" w:fill="auto"/>
            <w:noWrap/>
            <w:vAlign w:val="center"/>
            <w:hideMark/>
          </w:tcPr>
          <w:p>
            <w:pPr>
              <w:keepNext/>
              <w:keepLines/>
              <w:rPr>
                <w:noProof/>
                <w:sz w:val="20"/>
                <w:lang w:eastAsia="en-GB"/>
              </w:rPr>
            </w:pPr>
            <w:r>
              <w:rPr>
                <w:noProof/>
                <w:sz w:val="20"/>
                <w:lang w:eastAsia="en-GB"/>
              </w:rPr>
              <w:t>Cheese</w:t>
            </w:r>
            <w:r>
              <w:rPr>
                <w:noProof/>
                <w:sz w:val="20"/>
                <w:lang w:eastAsia="en-GB"/>
              </w:rPr>
              <w:br/>
              <w:t>(6 country-specific quotas)</w:t>
            </w:r>
          </w:p>
        </w:tc>
        <w:tc>
          <w:tcPr>
            <w:tcW w:w="1307" w:type="dxa"/>
            <w:vMerge w:val="restart"/>
            <w:shd w:val="clear" w:color="auto" w:fill="auto"/>
            <w:noWrap/>
            <w:vAlign w:val="center"/>
            <w:hideMark/>
          </w:tcPr>
          <w:p>
            <w:pPr>
              <w:jc w:val="right"/>
              <w:rPr>
                <w:noProof/>
                <w:sz w:val="20"/>
                <w:lang w:eastAsia="en-GB"/>
              </w:rPr>
            </w:pPr>
            <w:r>
              <w:rPr>
                <w:noProof/>
                <w:sz w:val="20"/>
                <w:lang w:eastAsia="en-GB"/>
              </w:rPr>
              <w:t>3 750</w:t>
            </w:r>
          </w:p>
        </w:tc>
        <w:tc>
          <w:tcPr>
            <w:tcW w:w="1848" w:type="dxa"/>
            <w:vMerge w:val="restart"/>
            <w:shd w:val="clear" w:color="auto" w:fill="auto"/>
            <w:noWrap/>
            <w:vAlign w:val="center"/>
            <w:hideMark/>
          </w:tcPr>
          <w:p>
            <w:pPr>
              <w:jc w:val="right"/>
              <w:rPr>
                <w:noProof/>
                <w:sz w:val="20"/>
                <w:lang w:eastAsia="en-GB"/>
              </w:rPr>
            </w:pPr>
            <w:r>
              <w:rPr>
                <w:noProof/>
                <w:sz w:val="20"/>
                <w:lang w:eastAsia="en-GB"/>
              </w:rPr>
              <w:t>150</w:t>
            </w:r>
          </w:p>
        </w:tc>
        <w:tc>
          <w:tcPr>
            <w:tcW w:w="1701" w:type="dxa"/>
            <w:vAlign w:val="center"/>
          </w:tcPr>
          <w:p>
            <w:pPr>
              <w:keepNext/>
              <w:rPr>
                <w:i/>
                <w:noProof/>
                <w:sz w:val="20"/>
                <w:lang w:eastAsia="en-GB"/>
              </w:rPr>
            </w:pPr>
            <w:r>
              <w:rPr>
                <w:rFonts w:eastAsia="Times New Roman"/>
                <w:noProof/>
                <w:color w:val="000000" w:themeColor="text1"/>
                <w:sz w:val="20"/>
                <w:lang w:eastAsia="en-GB"/>
              </w:rPr>
              <w:t>Costa Rica</w:t>
            </w:r>
          </w:p>
        </w:tc>
        <w:tc>
          <w:tcPr>
            <w:tcW w:w="1182" w:type="dxa"/>
            <w:vAlign w:val="center"/>
          </w:tcPr>
          <w:p>
            <w:pPr>
              <w:jc w:val="right"/>
              <w:rPr>
                <w:noProof/>
                <w:sz w:val="20"/>
                <w:lang w:eastAsia="en-GB"/>
              </w:rPr>
            </w:pPr>
            <w:r>
              <w:rPr>
                <w:noProof/>
                <w:sz w:val="20"/>
                <w:lang w:eastAsia="en-GB"/>
              </w:rPr>
              <w:t>396</w:t>
            </w:r>
          </w:p>
        </w:tc>
        <w:tc>
          <w:tcPr>
            <w:tcW w:w="1194" w:type="dxa"/>
            <w:shd w:val="clear" w:color="auto" w:fill="FFFFFF" w:themeFill="background1"/>
            <w:noWrap/>
            <w:vAlign w:val="center"/>
          </w:tcPr>
          <w:p>
            <w:pPr>
              <w:jc w:val="right"/>
              <w:rPr>
                <w:noProof/>
                <w:sz w:val="20"/>
                <w:lang w:eastAsia="en-GB"/>
              </w:rPr>
            </w:pPr>
            <w:r>
              <w:rPr>
                <w:noProof/>
                <w:sz w:val="20"/>
                <w:lang w:eastAsia="en-GB"/>
              </w:rPr>
              <w:t>100%</w:t>
            </w:r>
          </w:p>
        </w:tc>
      </w:tr>
      <w:tr>
        <w:trPr>
          <w:cantSplit/>
          <w:trHeight w:val="44"/>
        </w:trPr>
        <w:tc>
          <w:tcPr>
            <w:tcW w:w="2056" w:type="dxa"/>
            <w:vMerge/>
            <w:shd w:val="clear" w:color="auto" w:fill="auto"/>
            <w:noWrap/>
            <w:vAlign w:val="center"/>
          </w:tcPr>
          <w:p>
            <w:pPr>
              <w:rPr>
                <w:noProof/>
                <w:sz w:val="20"/>
                <w:lang w:eastAsia="en-GB"/>
              </w:rPr>
            </w:pPr>
          </w:p>
        </w:tc>
        <w:tc>
          <w:tcPr>
            <w:tcW w:w="1307" w:type="dxa"/>
            <w:vMerge/>
            <w:shd w:val="clear" w:color="auto" w:fill="auto"/>
            <w:noWrap/>
            <w:vAlign w:val="center"/>
          </w:tcPr>
          <w:p>
            <w:pPr>
              <w:jc w:val="right"/>
              <w:rPr>
                <w:noProof/>
                <w:sz w:val="20"/>
                <w:lang w:eastAsia="en-GB"/>
              </w:rPr>
            </w:pPr>
          </w:p>
        </w:tc>
        <w:tc>
          <w:tcPr>
            <w:tcW w:w="1848" w:type="dxa"/>
            <w:vMerge/>
            <w:shd w:val="clear" w:color="auto" w:fill="auto"/>
            <w:noWrap/>
            <w:vAlign w:val="center"/>
          </w:tcPr>
          <w:p>
            <w:pPr>
              <w:jc w:val="right"/>
              <w:rPr>
                <w:noProof/>
                <w:sz w:val="20"/>
                <w:lang w:eastAsia="en-GB"/>
              </w:rPr>
            </w:pPr>
          </w:p>
        </w:tc>
        <w:tc>
          <w:tcPr>
            <w:tcW w:w="1701" w:type="dxa"/>
            <w:vAlign w:val="center"/>
          </w:tcPr>
          <w:p>
            <w:pPr>
              <w:keepNext/>
              <w:rPr>
                <w:i/>
                <w:noProof/>
                <w:sz w:val="20"/>
                <w:lang w:eastAsia="en-GB"/>
              </w:rPr>
            </w:pPr>
            <w:r>
              <w:rPr>
                <w:rFonts w:eastAsia="Times New Roman"/>
                <w:noProof/>
                <w:color w:val="000000" w:themeColor="text1"/>
                <w:sz w:val="20"/>
                <w:lang w:eastAsia="en-GB"/>
              </w:rPr>
              <w:t>El Salvador</w:t>
            </w:r>
          </w:p>
        </w:tc>
        <w:tc>
          <w:tcPr>
            <w:tcW w:w="1182" w:type="dxa"/>
            <w:vAlign w:val="center"/>
          </w:tcPr>
          <w:p>
            <w:pPr>
              <w:jc w:val="right"/>
              <w:rPr>
                <w:noProof/>
                <w:sz w:val="20"/>
                <w:lang w:eastAsia="en-GB"/>
              </w:rPr>
            </w:pPr>
            <w:r>
              <w:rPr>
                <w:noProof/>
                <w:sz w:val="20"/>
                <w:lang w:val="es-ES" w:eastAsia="en-GB"/>
              </w:rPr>
              <w:t>165</w:t>
            </w:r>
          </w:p>
        </w:tc>
        <w:tc>
          <w:tcPr>
            <w:tcW w:w="1194" w:type="dxa"/>
            <w:shd w:val="clear" w:color="auto" w:fill="FFFFFF" w:themeFill="background1"/>
            <w:noWrap/>
            <w:vAlign w:val="center"/>
          </w:tcPr>
          <w:p>
            <w:pPr>
              <w:jc w:val="right"/>
              <w:rPr>
                <w:noProof/>
                <w:sz w:val="20"/>
                <w:lang w:eastAsia="en-GB"/>
              </w:rPr>
            </w:pPr>
            <w:r>
              <w:rPr>
                <w:noProof/>
                <w:sz w:val="20"/>
                <w:lang w:val="es-ES" w:eastAsia="en-GB"/>
              </w:rPr>
              <w:t>23%</w:t>
            </w:r>
          </w:p>
        </w:tc>
      </w:tr>
      <w:tr>
        <w:trPr>
          <w:cantSplit/>
          <w:trHeight w:val="44"/>
        </w:trPr>
        <w:tc>
          <w:tcPr>
            <w:tcW w:w="2056" w:type="dxa"/>
            <w:vMerge/>
            <w:shd w:val="clear" w:color="auto" w:fill="auto"/>
            <w:noWrap/>
            <w:vAlign w:val="center"/>
          </w:tcPr>
          <w:p>
            <w:pPr>
              <w:rPr>
                <w:noProof/>
                <w:sz w:val="20"/>
                <w:lang w:eastAsia="en-GB"/>
              </w:rPr>
            </w:pPr>
          </w:p>
        </w:tc>
        <w:tc>
          <w:tcPr>
            <w:tcW w:w="1307" w:type="dxa"/>
            <w:vMerge/>
            <w:shd w:val="clear" w:color="auto" w:fill="auto"/>
            <w:noWrap/>
            <w:vAlign w:val="center"/>
          </w:tcPr>
          <w:p>
            <w:pPr>
              <w:jc w:val="right"/>
              <w:rPr>
                <w:noProof/>
                <w:sz w:val="20"/>
                <w:lang w:eastAsia="en-GB"/>
              </w:rPr>
            </w:pPr>
          </w:p>
        </w:tc>
        <w:tc>
          <w:tcPr>
            <w:tcW w:w="1848" w:type="dxa"/>
            <w:vMerge/>
            <w:shd w:val="clear" w:color="auto" w:fill="auto"/>
            <w:noWrap/>
            <w:vAlign w:val="center"/>
          </w:tcPr>
          <w:p>
            <w:pPr>
              <w:jc w:val="right"/>
              <w:rPr>
                <w:noProof/>
                <w:sz w:val="20"/>
                <w:lang w:eastAsia="en-GB"/>
              </w:rPr>
            </w:pPr>
          </w:p>
        </w:tc>
        <w:tc>
          <w:tcPr>
            <w:tcW w:w="1701" w:type="dxa"/>
            <w:vAlign w:val="center"/>
          </w:tcPr>
          <w:p>
            <w:pPr>
              <w:keepNext/>
              <w:rPr>
                <w:i/>
                <w:noProof/>
                <w:sz w:val="20"/>
                <w:lang w:eastAsia="en-GB"/>
              </w:rPr>
            </w:pPr>
            <w:r>
              <w:rPr>
                <w:rFonts w:eastAsia="Times New Roman"/>
                <w:noProof/>
                <w:color w:val="000000" w:themeColor="text1"/>
                <w:sz w:val="20"/>
                <w:lang w:eastAsia="en-GB"/>
              </w:rPr>
              <w:t>Guatemala</w:t>
            </w:r>
          </w:p>
        </w:tc>
        <w:tc>
          <w:tcPr>
            <w:tcW w:w="1182" w:type="dxa"/>
            <w:vAlign w:val="center"/>
          </w:tcPr>
          <w:p>
            <w:pPr>
              <w:jc w:val="right"/>
              <w:rPr>
                <w:noProof/>
                <w:sz w:val="20"/>
                <w:lang w:eastAsia="en-GB"/>
              </w:rPr>
            </w:pPr>
            <w:r>
              <w:rPr>
                <w:noProof/>
                <w:sz w:val="20"/>
                <w:lang w:val="es-ES" w:eastAsia="en-GB"/>
              </w:rPr>
              <w:t>332</w:t>
            </w:r>
          </w:p>
        </w:tc>
        <w:tc>
          <w:tcPr>
            <w:tcW w:w="1194" w:type="dxa"/>
            <w:shd w:val="clear" w:color="auto" w:fill="FFFFFF" w:themeFill="background1"/>
            <w:noWrap/>
            <w:vAlign w:val="center"/>
          </w:tcPr>
          <w:p>
            <w:pPr>
              <w:jc w:val="right"/>
              <w:rPr>
                <w:noProof/>
                <w:sz w:val="20"/>
                <w:lang w:eastAsia="en-GB"/>
              </w:rPr>
            </w:pPr>
            <w:r>
              <w:rPr>
                <w:noProof/>
                <w:sz w:val="20"/>
                <w:lang w:val="es-ES" w:eastAsia="en-GB"/>
              </w:rPr>
              <w:t>44%</w:t>
            </w:r>
          </w:p>
        </w:tc>
      </w:tr>
      <w:tr>
        <w:trPr>
          <w:cantSplit/>
          <w:trHeight w:val="44"/>
        </w:trPr>
        <w:tc>
          <w:tcPr>
            <w:tcW w:w="2056" w:type="dxa"/>
            <w:vMerge/>
            <w:shd w:val="clear" w:color="auto" w:fill="auto"/>
            <w:noWrap/>
            <w:vAlign w:val="center"/>
          </w:tcPr>
          <w:p>
            <w:pPr>
              <w:rPr>
                <w:noProof/>
                <w:sz w:val="20"/>
                <w:lang w:eastAsia="en-GB"/>
              </w:rPr>
            </w:pPr>
          </w:p>
        </w:tc>
        <w:tc>
          <w:tcPr>
            <w:tcW w:w="1307" w:type="dxa"/>
            <w:vMerge/>
            <w:shd w:val="clear" w:color="auto" w:fill="auto"/>
            <w:noWrap/>
            <w:vAlign w:val="center"/>
          </w:tcPr>
          <w:p>
            <w:pPr>
              <w:jc w:val="right"/>
              <w:rPr>
                <w:noProof/>
                <w:sz w:val="20"/>
                <w:lang w:eastAsia="en-GB"/>
              </w:rPr>
            </w:pPr>
          </w:p>
        </w:tc>
        <w:tc>
          <w:tcPr>
            <w:tcW w:w="1848" w:type="dxa"/>
            <w:vMerge/>
            <w:shd w:val="clear" w:color="auto" w:fill="auto"/>
            <w:noWrap/>
            <w:vAlign w:val="center"/>
          </w:tcPr>
          <w:p>
            <w:pPr>
              <w:jc w:val="right"/>
              <w:rPr>
                <w:noProof/>
                <w:sz w:val="20"/>
                <w:lang w:eastAsia="en-GB"/>
              </w:rPr>
            </w:pPr>
          </w:p>
        </w:tc>
        <w:tc>
          <w:tcPr>
            <w:tcW w:w="1701" w:type="dxa"/>
            <w:vAlign w:val="center"/>
          </w:tcPr>
          <w:p>
            <w:pPr>
              <w:keepNext/>
              <w:rPr>
                <w:i/>
                <w:noProof/>
                <w:sz w:val="20"/>
                <w:lang w:eastAsia="en-GB"/>
              </w:rPr>
            </w:pPr>
            <w:r>
              <w:rPr>
                <w:rFonts w:eastAsia="Times New Roman"/>
                <w:noProof/>
                <w:color w:val="000000" w:themeColor="text1"/>
                <w:sz w:val="20"/>
                <w:lang w:eastAsia="en-GB"/>
              </w:rPr>
              <w:t>Honduras</w:t>
            </w:r>
          </w:p>
        </w:tc>
        <w:tc>
          <w:tcPr>
            <w:tcW w:w="1182" w:type="dxa"/>
            <w:vAlign w:val="center"/>
          </w:tcPr>
          <w:p>
            <w:pPr>
              <w:jc w:val="right"/>
              <w:rPr>
                <w:noProof/>
                <w:sz w:val="20"/>
                <w:lang w:eastAsia="en-GB"/>
              </w:rPr>
            </w:pPr>
            <w:r>
              <w:rPr>
                <w:noProof/>
                <w:sz w:val="20"/>
                <w:lang w:val="es-ES" w:eastAsia="en-GB"/>
              </w:rPr>
              <w:t>312</w:t>
            </w:r>
          </w:p>
        </w:tc>
        <w:tc>
          <w:tcPr>
            <w:tcW w:w="1194" w:type="dxa"/>
            <w:shd w:val="clear" w:color="auto" w:fill="FFFFFF" w:themeFill="background1"/>
            <w:noWrap/>
            <w:vAlign w:val="center"/>
          </w:tcPr>
          <w:p>
            <w:pPr>
              <w:jc w:val="right"/>
              <w:rPr>
                <w:noProof/>
                <w:sz w:val="20"/>
                <w:lang w:eastAsia="en-GB"/>
              </w:rPr>
            </w:pPr>
            <w:r>
              <w:rPr>
                <w:noProof/>
                <w:sz w:val="20"/>
                <w:lang w:eastAsia="en-GB"/>
              </w:rPr>
              <w:t>50%</w:t>
            </w:r>
          </w:p>
        </w:tc>
      </w:tr>
      <w:tr>
        <w:trPr>
          <w:cantSplit/>
          <w:trHeight w:val="44"/>
        </w:trPr>
        <w:tc>
          <w:tcPr>
            <w:tcW w:w="2056" w:type="dxa"/>
            <w:vMerge/>
            <w:shd w:val="clear" w:color="auto" w:fill="auto"/>
            <w:noWrap/>
            <w:vAlign w:val="center"/>
          </w:tcPr>
          <w:p>
            <w:pPr>
              <w:rPr>
                <w:noProof/>
                <w:sz w:val="20"/>
                <w:lang w:eastAsia="en-GB"/>
              </w:rPr>
            </w:pPr>
          </w:p>
        </w:tc>
        <w:tc>
          <w:tcPr>
            <w:tcW w:w="1307" w:type="dxa"/>
            <w:vMerge/>
            <w:shd w:val="clear" w:color="auto" w:fill="auto"/>
            <w:noWrap/>
            <w:vAlign w:val="center"/>
          </w:tcPr>
          <w:p>
            <w:pPr>
              <w:jc w:val="right"/>
              <w:rPr>
                <w:noProof/>
                <w:sz w:val="20"/>
                <w:lang w:eastAsia="en-GB"/>
              </w:rPr>
            </w:pPr>
          </w:p>
        </w:tc>
        <w:tc>
          <w:tcPr>
            <w:tcW w:w="1848" w:type="dxa"/>
            <w:vMerge/>
            <w:shd w:val="clear" w:color="auto" w:fill="auto"/>
            <w:noWrap/>
            <w:vAlign w:val="center"/>
          </w:tcPr>
          <w:p>
            <w:pPr>
              <w:jc w:val="right"/>
              <w:rPr>
                <w:noProof/>
                <w:sz w:val="20"/>
                <w:lang w:eastAsia="en-GB"/>
              </w:rPr>
            </w:pPr>
          </w:p>
        </w:tc>
        <w:tc>
          <w:tcPr>
            <w:tcW w:w="1701" w:type="dxa"/>
            <w:vAlign w:val="center"/>
          </w:tcPr>
          <w:p>
            <w:pPr>
              <w:keepNext/>
              <w:rPr>
                <w:i/>
                <w:noProof/>
                <w:sz w:val="20"/>
                <w:lang w:eastAsia="en-GB"/>
              </w:rPr>
            </w:pPr>
            <w:r>
              <w:rPr>
                <w:rFonts w:eastAsia="Times New Roman"/>
                <w:noProof/>
                <w:color w:val="000000" w:themeColor="text1"/>
                <w:sz w:val="20"/>
                <w:lang w:eastAsia="en-GB"/>
              </w:rPr>
              <w:t>Nicaragua</w:t>
            </w:r>
          </w:p>
        </w:tc>
        <w:tc>
          <w:tcPr>
            <w:tcW w:w="1182" w:type="dxa"/>
            <w:vAlign w:val="center"/>
          </w:tcPr>
          <w:p>
            <w:pPr>
              <w:jc w:val="right"/>
              <w:rPr>
                <w:noProof/>
                <w:sz w:val="20"/>
                <w:lang w:eastAsia="en-GB"/>
              </w:rPr>
            </w:pPr>
            <w:r>
              <w:rPr>
                <w:noProof/>
                <w:sz w:val="20"/>
                <w:lang w:val="es-ES" w:eastAsia="en-GB"/>
              </w:rPr>
              <w:t>0</w:t>
            </w:r>
          </w:p>
        </w:tc>
        <w:tc>
          <w:tcPr>
            <w:tcW w:w="1194" w:type="dxa"/>
            <w:shd w:val="clear" w:color="auto" w:fill="FFFFFF" w:themeFill="background1"/>
            <w:noWrap/>
            <w:vAlign w:val="center"/>
          </w:tcPr>
          <w:p>
            <w:pPr>
              <w:jc w:val="right"/>
              <w:rPr>
                <w:noProof/>
                <w:sz w:val="20"/>
                <w:lang w:eastAsia="en-GB"/>
              </w:rPr>
            </w:pPr>
            <w:r>
              <w:rPr>
                <w:noProof/>
                <w:sz w:val="20"/>
                <w:lang w:val="es-ES" w:eastAsia="en-GB"/>
              </w:rPr>
              <w:t>0%</w:t>
            </w:r>
          </w:p>
        </w:tc>
      </w:tr>
      <w:tr>
        <w:trPr>
          <w:cantSplit/>
          <w:trHeight w:val="44"/>
        </w:trPr>
        <w:tc>
          <w:tcPr>
            <w:tcW w:w="2056" w:type="dxa"/>
            <w:vMerge/>
            <w:shd w:val="clear" w:color="auto" w:fill="auto"/>
            <w:noWrap/>
            <w:vAlign w:val="center"/>
          </w:tcPr>
          <w:p>
            <w:pPr>
              <w:rPr>
                <w:noProof/>
                <w:sz w:val="20"/>
                <w:lang w:eastAsia="en-GB"/>
              </w:rPr>
            </w:pPr>
          </w:p>
        </w:tc>
        <w:tc>
          <w:tcPr>
            <w:tcW w:w="1307" w:type="dxa"/>
            <w:vMerge/>
            <w:shd w:val="clear" w:color="auto" w:fill="auto"/>
            <w:noWrap/>
            <w:vAlign w:val="center"/>
          </w:tcPr>
          <w:p>
            <w:pPr>
              <w:jc w:val="right"/>
              <w:rPr>
                <w:noProof/>
                <w:sz w:val="20"/>
                <w:lang w:eastAsia="en-GB"/>
              </w:rPr>
            </w:pPr>
          </w:p>
        </w:tc>
        <w:tc>
          <w:tcPr>
            <w:tcW w:w="1848" w:type="dxa"/>
            <w:vMerge/>
            <w:shd w:val="clear" w:color="auto" w:fill="auto"/>
            <w:noWrap/>
            <w:vAlign w:val="center"/>
          </w:tcPr>
          <w:p>
            <w:pPr>
              <w:jc w:val="right"/>
              <w:rPr>
                <w:noProof/>
                <w:sz w:val="20"/>
                <w:lang w:eastAsia="en-GB"/>
              </w:rPr>
            </w:pPr>
          </w:p>
        </w:tc>
        <w:tc>
          <w:tcPr>
            <w:tcW w:w="1701" w:type="dxa"/>
            <w:vAlign w:val="center"/>
          </w:tcPr>
          <w:p>
            <w:pPr>
              <w:rPr>
                <w:i/>
                <w:noProof/>
                <w:sz w:val="20"/>
                <w:lang w:eastAsia="en-GB"/>
              </w:rPr>
            </w:pPr>
            <w:r>
              <w:rPr>
                <w:rFonts w:eastAsia="Times New Roman"/>
                <w:noProof/>
                <w:color w:val="000000" w:themeColor="text1"/>
                <w:sz w:val="20"/>
                <w:lang w:eastAsia="en-GB"/>
              </w:rPr>
              <w:t>Panama</w:t>
            </w:r>
          </w:p>
        </w:tc>
        <w:tc>
          <w:tcPr>
            <w:tcW w:w="1182" w:type="dxa"/>
            <w:vAlign w:val="center"/>
          </w:tcPr>
          <w:p>
            <w:pPr>
              <w:jc w:val="right"/>
              <w:rPr>
                <w:noProof/>
                <w:sz w:val="20"/>
                <w:lang w:eastAsia="en-GB"/>
              </w:rPr>
            </w:pPr>
            <w:r>
              <w:rPr>
                <w:noProof/>
                <w:sz w:val="20"/>
                <w:lang w:val="es-ES" w:eastAsia="en-GB"/>
              </w:rPr>
              <w:t>594</w:t>
            </w:r>
          </w:p>
        </w:tc>
        <w:tc>
          <w:tcPr>
            <w:tcW w:w="1194" w:type="dxa"/>
            <w:shd w:val="clear" w:color="auto" w:fill="FFFFFF" w:themeFill="background1"/>
            <w:noWrap/>
            <w:vAlign w:val="center"/>
          </w:tcPr>
          <w:p>
            <w:pPr>
              <w:jc w:val="right"/>
              <w:rPr>
                <w:noProof/>
                <w:sz w:val="20"/>
                <w:lang w:eastAsia="en-GB"/>
              </w:rPr>
            </w:pPr>
            <w:r>
              <w:rPr>
                <w:noProof/>
                <w:sz w:val="20"/>
                <w:lang w:val="es-ES" w:eastAsia="en-GB"/>
              </w:rPr>
              <w:t>79%</w:t>
            </w:r>
          </w:p>
        </w:tc>
      </w:tr>
    </w:tbl>
    <w:p>
      <w:pPr>
        <w:rPr>
          <w:i/>
          <w:noProof/>
          <w:sz w:val="20"/>
          <w:lang w:eastAsia="en-GB"/>
        </w:rPr>
      </w:pPr>
      <w:r>
        <w:rPr>
          <w:i/>
          <w:noProof/>
          <w:sz w:val="20"/>
          <w:lang w:eastAsia="en-GB"/>
        </w:rPr>
        <w:t>Source: Data collected at national level in the Central American countries.</w:t>
      </w:r>
    </w:p>
    <w:p>
      <w:pPr>
        <w:pStyle w:val="ManualHeading2"/>
      </w:pPr>
      <w:bookmarkStart w:id="480" w:name="_Toc8833483"/>
      <w:bookmarkStart w:id="481" w:name="_Toc8835310"/>
      <w:bookmarkStart w:id="482" w:name="_Toc8833940"/>
      <w:bookmarkStart w:id="483" w:name="_Toc8909403"/>
      <w:bookmarkStart w:id="484" w:name="_Toc8910615"/>
      <w:bookmarkStart w:id="485" w:name="_Toc8911652"/>
      <w:bookmarkStart w:id="486" w:name="_Toc8974455"/>
      <w:bookmarkStart w:id="487" w:name="_Toc9008126"/>
      <w:bookmarkStart w:id="488" w:name="_Toc9008529"/>
      <w:bookmarkStart w:id="489" w:name="_Toc9348524"/>
      <w:bookmarkStart w:id="490" w:name="_Toc9607975"/>
      <w:bookmarkStart w:id="491" w:name="_Toc16000550"/>
      <w:r>
        <w:t>2.3</w:t>
      </w:r>
      <w:r>
        <w:tab/>
        <w:t>Trade in Services and Foreign Direct investment (FDIs)</w:t>
      </w:r>
      <w:bookmarkEnd w:id="480"/>
      <w:bookmarkEnd w:id="481"/>
      <w:bookmarkEnd w:id="482"/>
      <w:bookmarkEnd w:id="483"/>
      <w:bookmarkEnd w:id="484"/>
      <w:bookmarkEnd w:id="485"/>
      <w:bookmarkEnd w:id="486"/>
      <w:bookmarkEnd w:id="487"/>
      <w:bookmarkEnd w:id="488"/>
      <w:bookmarkEnd w:id="489"/>
      <w:bookmarkEnd w:id="490"/>
      <w:bookmarkEnd w:id="491"/>
    </w:p>
    <w:p>
      <w:pPr>
        <w:pStyle w:val="Heading3"/>
        <w:ind w:left="0" w:firstLine="0"/>
        <w:rPr>
          <w:noProof/>
        </w:rPr>
      </w:pPr>
      <w:bookmarkStart w:id="492" w:name="_Toc8833484"/>
      <w:bookmarkStart w:id="493" w:name="_Toc8835311"/>
      <w:bookmarkStart w:id="494" w:name="_Toc8833941"/>
      <w:bookmarkStart w:id="495" w:name="_Toc8909404"/>
      <w:bookmarkStart w:id="496" w:name="_Toc8910616"/>
      <w:bookmarkStart w:id="497" w:name="_Toc8911653"/>
      <w:bookmarkStart w:id="498" w:name="_Toc8974456"/>
      <w:bookmarkStart w:id="499" w:name="_Toc9008127"/>
      <w:bookmarkStart w:id="500" w:name="_Toc9008530"/>
      <w:bookmarkStart w:id="501" w:name="_Toc9348525"/>
      <w:bookmarkStart w:id="502" w:name="_Toc9607976"/>
      <w:bookmarkStart w:id="503" w:name="_Toc16000551"/>
      <w:r>
        <w:rPr>
          <w:noProof/>
        </w:rPr>
        <w:t>Trade in Services</w:t>
      </w:r>
      <w:bookmarkEnd w:id="492"/>
      <w:bookmarkEnd w:id="493"/>
      <w:bookmarkEnd w:id="494"/>
      <w:bookmarkEnd w:id="495"/>
      <w:bookmarkEnd w:id="496"/>
      <w:bookmarkEnd w:id="497"/>
      <w:bookmarkEnd w:id="498"/>
      <w:bookmarkEnd w:id="499"/>
      <w:bookmarkEnd w:id="500"/>
      <w:bookmarkEnd w:id="501"/>
      <w:bookmarkEnd w:id="502"/>
      <w:bookmarkEnd w:id="503"/>
    </w:p>
    <w:p>
      <w:pPr>
        <w:rPr>
          <w:noProof/>
        </w:rPr>
      </w:pPr>
      <w:r>
        <w:rPr>
          <w:noProof/>
        </w:rPr>
        <w:t xml:space="preserve">As in previous years, trade in services between the two regions accounted for around 40% of total trade in goods and services. In 2017, total trade in services amounted to €7.8 billion, out of which Panama made up over 60%. Costa Rica was next in line with a share of almost 20% in total trade in services. </w:t>
      </w:r>
    </w:p>
    <w:p>
      <w:pPr>
        <w:rPr>
          <w:noProof/>
        </w:rPr>
      </w:pPr>
    </w:p>
    <w:p>
      <w:pPr>
        <w:jc w:val="both"/>
        <w:rPr>
          <w:noProof/>
        </w:rPr>
      </w:pPr>
      <w:r>
        <w:rPr>
          <w:noProof/>
        </w:rPr>
        <w:t>Similarly to the trade in goods, three countries stand out as the top recipients of EU exports of services (85% in total): Panama (58%), Costa Rica (18%) and Guatemala (8%). The same countries are the three top destinations for EU exports of goods.</w:t>
      </w:r>
    </w:p>
    <w:p>
      <w:pPr>
        <w:jc w:val="both"/>
        <w:rPr>
          <w:noProof/>
        </w:rPr>
      </w:pPr>
    </w:p>
    <w:tbl>
      <w:tblPr>
        <w:tblW w:w="5000" w:type="pct"/>
        <w:tblLook w:val="04A0" w:firstRow="1" w:lastRow="0" w:firstColumn="1" w:lastColumn="0" w:noHBand="0" w:noVBand="1"/>
      </w:tblPr>
      <w:tblGrid>
        <w:gridCol w:w="1243"/>
        <w:gridCol w:w="1222"/>
        <w:gridCol w:w="1233"/>
        <w:gridCol w:w="907"/>
        <w:gridCol w:w="716"/>
        <w:gridCol w:w="1222"/>
        <w:gridCol w:w="1233"/>
        <w:gridCol w:w="796"/>
        <w:gridCol w:w="716"/>
      </w:tblGrid>
      <w:tr>
        <w:trPr>
          <w:trHeight w:val="315"/>
        </w:trPr>
        <w:tc>
          <w:tcPr>
            <w:tcW w:w="69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rFonts w:eastAsia="Times New Roman"/>
                <w:b/>
                <w:bCs/>
                <w:noProof/>
                <w:color w:val="000000" w:themeColor="text1"/>
                <w:sz w:val="20"/>
                <w:szCs w:val="20"/>
                <w:lang w:eastAsia="en-GB"/>
              </w:rPr>
            </w:pPr>
            <w:r>
              <w:rPr>
                <w:rFonts w:eastAsia="Times New Roman"/>
                <w:b/>
                <w:bCs/>
                <w:noProof/>
                <w:color w:val="000000" w:themeColor="text1"/>
                <w:sz w:val="20"/>
                <w:szCs w:val="20"/>
                <w:lang w:eastAsia="en-GB"/>
              </w:rPr>
              <w:t>Country</w:t>
            </w:r>
          </w:p>
        </w:tc>
        <w:tc>
          <w:tcPr>
            <w:tcW w:w="2207" w:type="pct"/>
            <w:gridSpan w:val="4"/>
            <w:tcBorders>
              <w:top w:val="single" w:sz="4" w:space="0" w:color="auto"/>
              <w:left w:val="nil"/>
              <w:bottom w:val="single" w:sz="4" w:space="0" w:color="auto"/>
              <w:right w:val="single" w:sz="4" w:space="0" w:color="auto"/>
            </w:tcBorders>
            <w:shd w:val="clear" w:color="auto" w:fill="auto"/>
            <w:noWrap/>
            <w:vAlign w:val="center"/>
            <w:hideMark/>
          </w:tcPr>
          <w:p>
            <w:pPr>
              <w:jc w:val="center"/>
              <w:rPr>
                <w:rFonts w:eastAsia="Times New Roman"/>
                <w:b/>
                <w:bCs/>
                <w:noProof/>
                <w:color w:val="000000" w:themeColor="text1"/>
                <w:sz w:val="20"/>
                <w:szCs w:val="20"/>
                <w:lang w:eastAsia="en-GB"/>
              </w:rPr>
            </w:pPr>
            <w:r>
              <w:rPr>
                <w:rFonts w:eastAsia="Times New Roman"/>
                <w:b/>
                <w:bCs/>
                <w:noProof/>
                <w:color w:val="000000" w:themeColor="text1"/>
                <w:sz w:val="20"/>
                <w:szCs w:val="20"/>
                <w:lang w:eastAsia="en-GB"/>
              </w:rPr>
              <w:t>2016</w:t>
            </w:r>
          </w:p>
        </w:tc>
        <w:tc>
          <w:tcPr>
            <w:tcW w:w="2103" w:type="pct"/>
            <w:gridSpan w:val="4"/>
            <w:tcBorders>
              <w:top w:val="single" w:sz="4" w:space="0" w:color="auto"/>
              <w:left w:val="nil"/>
              <w:bottom w:val="single" w:sz="4" w:space="0" w:color="auto"/>
              <w:right w:val="single" w:sz="4" w:space="0" w:color="000000" w:themeColor="text1"/>
            </w:tcBorders>
            <w:shd w:val="clear" w:color="auto" w:fill="auto"/>
            <w:noWrap/>
            <w:vAlign w:val="center"/>
            <w:hideMark/>
          </w:tcPr>
          <w:p>
            <w:pPr>
              <w:jc w:val="center"/>
              <w:rPr>
                <w:rFonts w:eastAsia="Times New Roman"/>
                <w:b/>
                <w:bCs/>
                <w:noProof/>
                <w:color w:val="000000" w:themeColor="text1"/>
                <w:sz w:val="20"/>
                <w:szCs w:val="20"/>
                <w:lang w:eastAsia="en-GB"/>
              </w:rPr>
            </w:pPr>
            <w:r>
              <w:rPr>
                <w:rFonts w:eastAsia="Times New Roman"/>
                <w:b/>
                <w:bCs/>
                <w:noProof/>
                <w:color w:val="000000" w:themeColor="text1"/>
                <w:sz w:val="20"/>
                <w:szCs w:val="20"/>
                <w:lang w:eastAsia="en-GB"/>
              </w:rPr>
              <w:t>2017</w:t>
            </w:r>
          </w:p>
        </w:tc>
      </w:tr>
      <w:tr>
        <w:trPr>
          <w:trHeight w:val="315"/>
        </w:trPr>
        <w:tc>
          <w:tcPr>
            <w:tcW w:w="690" w:type="pct"/>
            <w:vMerge/>
            <w:tcBorders>
              <w:top w:val="single" w:sz="4" w:space="0" w:color="auto"/>
              <w:left w:val="single" w:sz="4" w:space="0" w:color="auto"/>
              <w:bottom w:val="single" w:sz="4" w:space="0" w:color="auto"/>
              <w:right w:val="single" w:sz="4" w:space="0" w:color="auto"/>
            </w:tcBorders>
            <w:vAlign w:val="center"/>
            <w:hideMark/>
          </w:tcPr>
          <w:p>
            <w:pPr>
              <w:rPr>
                <w:rFonts w:eastAsia="Times New Roman"/>
                <w:b/>
                <w:bCs/>
                <w:noProof/>
                <w:color w:val="000000"/>
                <w:sz w:val="20"/>
                <w:szCs w:val="20"/>
                <w:lang w:eastAsia="en-GB"/>
              </w:rPr>
            </w:pPr>
          </w:p>
        </w:tc>
        <w:tc>
          <w:tcPr>
            <w:tcW w:w="650" w:type="pct"/>
            <w:tcBorders>
              <w:top w:val="nil"/>
              <w:left w:val="nil"/>
              <w:bottom w:val="single" w:sz="4" w:space="0" w:color="auto"/>
              <w:right w:val="single" w:sz="4" w:space="0" w:color="auto"/>
            </w:tcBorders>
            <w:shd w:val="clear" w:color="auto" w:fill="auto"/>
            <w:noWrap/>
            <w:vAlign w:val="center"/>
            <w:hideMark/>
          </w:tcPr>
          <w:p>
            <w:pPr>
              <w:jc w:val="center"/>
              <w:rPr>
                <w:rFonts w:eastAsia="Times New Roman"/>
                <w:b/>
                <w:bCs/>
                <w:noProof/>
                <w:color w:val="000000" w:themeColor="text1"/>
                <w:sz w:val="20"/>
                <w:szCs w:val="20"/>
                <w:lang w:eastAsia="en-GB"/>
              </w:rPr>
            </w:pPr>
            <w:r>
              <w:rPr>
                <w:rFonts w:eastAsia="Times New Roman"/>
                <w:b/>
                <w:bCs/>
                <w:noProof/>
                <w:color w:val="000000" w:themeColor="text1"/>
                <w:sz w:val="20"/>
                <w:szCs w:val="20"/>
                <w:lang w:eastAsia="en-GB"/>
              </w:rPr>
              <w:t>EU Exports</w:t>
            </w:r>
          </w:p>
        </w:tc>
        <w:tc>
          <w:tcPr>
            <w:tcW w:w="657" w:type="pct"/>
            <w:tcBorders>
              <w:top w:val="nil"/>
              <w:left w:val="nil"/>
              <w:bottom w:val="single" w:sz="4" w:space="0" w:color="auto"/>
              <w:right w:val="single" w:sz="4" w:space="0" w:color="auto"/>
            </w:tcBorders>
            <w:shd w:val="clear" w:color="auto" w:fill="auto"/>
            <w:noWrap/>
            <w:vAlign w:val="center"/>
            <w:hideMark/>
          </w:tcPr>
          <w:p>
            <w:pPr>
              <w:jc w:val="center"/>
              <w:rPr>
                <w:rFonts w:eastAsia="Times New Roman"/>
                <w:b/>
                <w:bCs/>
                <w:noProof/>
                <w:color w:val="000000" w:themeColor="text1"/>
                <w:sz w:val="20"/>
                <w:szCs w:val="20"/>
                <w:lang w:eastAsia="en-GB"/>
              </w:rPr>
            </w:pPr>
            <w:r>
              <w:rPr>
                <w:rFonts w:eastAsia="Times New Roman"/>
                <w:b/>
                <w:bCs/>
                <w:noProof/>
                <w:color w:val="000000" w:themeColor="text1"/>
                <w:sz w:val="20"/>
                <w:szCs w:val="20"/>
                <w:lang w:eastAsia="en-GB"/>
              </w:rPr>
              <w:t>EU Imports</w:t>
            </w:r>
          </w:p>
        </w:tc>
        <w:tc>
          <w:tcPr>
            <w:tcW w:w="509" w:type="pct"/>
            <w:tcBorders>
              <w:top w:val="nil"/>
              <w:left w:val="nil"/>
              <w:bottom w:val="single" w:sz="4" w:space="0" w:color="auto"/>
              <w:right w:val="single" w:sz="4" w:space="0" w:color="auto"/>
            </w:tcBorders>
            <w:shd w:val="clear" w:color="auto" w:fill="auto"/>
            <w:vAlign w:val="center"/>
            <w:hideMark/>
          </w:tcPr>
          <w:p>
            <w:pPr>
              <w:jc w:val="center"/>
              <w:rPr>
                <w:rFonts w:eastAsia="Times New Roman"/>
                <w:b/>
                <w:bCs/>
                <w:noProof/>
                <w:color w:val="000000" w:themeColor="text1"/>
                <w:sz w:val="20"/>
                <w:szCs w:val="20"/>
                <w:lang w:eastAsia="en-GB"/>
              </w:rPr>
            </w:pPr>
            <w:r>
              <w:rPr>
                <w:rFonts w:eastAsia="Times New Roman"/>
                <w:b/>
                <w:bCs/>
                <w:noProof/>
                <w:color w:val="000000" w:themeColor="text1"/>
                <w:sz w:val="20"/>
                <w:szCs w:val="20"/>
                <w:lang w:eastAsia="en-GB"/>
              </w:rPr>
              <w:t>Total</w:t>
            </w:r>
          </w:p>
        </w:tc>
        <w:tc>
          <w:tcPr>
            <w:tcW w:w="391" w:type="pct"/>
            <w:tcBorders>
              <w:top w:val="nil"/>
              <w:left w:val="nil"/>
              <w:bottom w:val="single" w:sz="4" w:space="0" w:color="auto"/>
              <w:right w:val="single" w:sz="4" w:space="0" w:color="auto"/>
            </w:tcBorders>
            <w:shd w:val="clear" w:color="auto" w:fill="auto"/>
            <w:vAlign w:val="center"/>
            <w:hideMark/>
          </w:tcPr>
          <w:p>
            <w:pPr>
              <w:jc w:val="center"/>
              <w:rPr>
                <w:rFonts w:eastAsia="Times New Roman"/>
                <w:b/>
                <w:bCs/>
                <w:noProof/>
                <w:color w:val="000000" w:themeColor="text1"/>
                <w:sz w:val="20"/>
                <w:szCs w:val="20"/>
                <w:lang w:eastAsia="en-GB"/>
              </w:rPr>
            </w:pPr>
            <w:r>
              <w:rPr>
                <w:rFonts w:eastAsia="Times New Roman"/>
                <w:b/>
                <w:bCs/>
                <w:noProof/>
                <w:color w:val="000000" w:themeColor="text1"/>
                <w:sz w:val="20"/>
                <w:szCs w:val="20"/>
                <w:lang w:eastAsia="en-GB"/>
              </w:rPr>
              <w:t>%</w:t>
            </w:r>
          </w:p>
        </w:tc>
        <w:tc>
          <w:tcPr>
            <w:tcW w:w="633" w:type="pct"/>
            <w:tcBorders>
              <w:top w:val="nil"/>
              <w:left w:val="nil"/>
              <w:bottom w:val="single" w:sz="4" w:space="0" w:color="auto"/>
              <w:right w:val="single" w:sz="4" w:space="0" w:color="auto"/>
            </w:tcBorders>
            <w:shd w:val="clear" w:color="auto" w:fill="auto"/>
            <w:noWrap/>
            <w:vAlign w:val="center"/>
            <w:hideMark/>
          </w:tcPr>
          <w:p>
            <w:pPr>
              <w:jc w:val="center"/>
              <w:rPr>
                <w:rFonts w:eastAsia="Times New Roman"/>
                <w:b/>
                <w:bCs/>
                <w:noProof/>
                <w:color w:val="000000" w:themeColor="text1"/>
                <w:sz w:val="20"/>
                <w:szCs w:val="20"/>
                <w:lang w:eastAsia="en-GB"/>
              </w:rPr>
            </w:pPr>
            <w:r>
              <w:rPr>
                <w:rFonts w:eastAsia="Times New Roman"/>
                <w:b/>
                <w:bCs/>
                <w:noProof/>
                <w:color w:val="000000" w:themeColor="text1"/>
                <w:sz w:val="20"/>
                <w:szCs w:val="20"/>
                <w:lang w:eastAsia="en-GB"/>
              </w:rPr>
              <w:t>EU Exports</w:t>
            </w:r>
          </w:p>
        </w:tc>
        <w:tc>
          <w:tcPr>
            <w:tcW w:w="640" w:type="pct"/>
            <w:tcBorders>
              <w:top w:val="nil"/>
              <w:left w:val="nil"/>
              <w:bottom w:val="single" w:sz="4" w:space="0" w:color="auto"/>
              <w:right w:val="single" w:sz="4" w:space="0" w:color="auto"/>
            </w:tcBorders>
            <w:shd w:val="clear" w:color="auto" w:fill="auto"/>
            <w:noWrap/>
            <w:vAlign w:val="center"/>
            <w:hideMark/>
          </w:tcPr>
          <w:p>
            <w:pPr>
              <w:jc w:val="center"/>
              <w:rPr>
                <w:rFonts w:eastAsia="Times New Roman"/>
                <w:b/>
                <w:bCs/>
                <w:noProof/>
                <w:color w:val="000000" w:themeColor="text1"/>
                <w:sz w:val="20"/>
                <w:szCs w:val="20"/>
                <w:lang w:eastAsia="en-GB"/>
              </w:rPr>
            </w:pPr>
            <w:r>
              <w:rPr>
                <w:rFonts w:eastAsia="Times New Roman"/>
                <w:b/>
                <w:bCs/>
                <w:noProof/>
                <w:color w:val="000000" w:themeColor="text1"/>
                <w:sz w:val="20"/>
                <w:szCs w:val="20"/>
                <w:lang w:eastAsia="en-GB"/>
              </w:rPr>
              <w:t>EU Imports</w:t>
            </w:r>
          </w:p>
        </w:tc>
        <w:tc>
          <w:tcPr>
            <w:tcW w:w="465" w:type="pct"/>
            <w:tcBorders>
              <w:top w:val="nil"/>
              <w:left w:val="nil"/>
              <w:bottom w:val="single" w:sz="4" w:space="0" w:color="auto"/>
              <w:right w:val="single" w:sz="4" w:space="0" w:color="auto"/>
            </w:tcBorders>
            <w:shd w:val="clear" w:color="auto" w:fill="auto"/>
            <w:vAlign w:val="center"/>
            <w:hideMark/>
          </w:tcPr>
          <w:p>
            <w:pPr>
              <w:jc w:val="center"/>
              <w:rPr>
                <w:rFonts w:eastAsia="Times New Roman"/>
                <w:b/>
                <w:bCs/>
                <w:noProof/>
                <w:color w:val="000000" w:themeColor="text1"/>
                <w:sz w:val="20"/>
                <w:szCs w:val="20"/>
                <w:lang w:eastAsia="en-GB"/>
              </w:rPr>
            </w:pPr>
            <w:r>
              <w:rPr>
                <w:rFonts w:eastAsia="Times New Roman"/>
                <w:b/>
                <w:bCs/>
                <w:noProof/>
                <w:color w:val="000000" w:themeColor="text1"/>
                <w:sz w:val="20"/>
                <w:szCs w:val="20"/>
                <w:lang w:eastAsia="en-GB"/>
              </w:rPr>
              <w:t>Total</w:t>
            </w:r>
          </w:p>
        </w:tc>
        <w:tc>
          <w:tcPr>
            <w:tcW w:w="366" w:type="pct"/>
            <w:tcBorders>
              <w:top w:val="nil"/>
              <w:left w:val="nil"/>
              <w:bottom w:val="single" w:sz="4" w:space="0" w:color="auto"/>
              <w:right w:val="single" w:sz="4" w:space="0" w:color="auto"/>
            </w:tcBorders>
            <w:shd w:val="clear" w:color="auto" w:fill="auto"/>
            <w:vAlign w:val="center"/>
            <w:hideMark/>
          </w:tcPr>
          <w:p>
            <w:pPr>
              <w:jc w:val="center"/>
              <w:rPr>
                <w:rFonts w:eastAsia="Times New Roman"/>
                <w:b/>
                <w:bCs/>
                <w:noProof/>
                <w:color w:val="000000" w:themeColor="text1"/>
                <w:sz w:val="20"/>
                <w:szCs w:val="20"/>
                <w:lang w:eastAsia="en-GB"/>
              </w:rPr>
            </w:pPr>
            <w:r>
              <w:rPr>
                <w:rFonts w:eastAsia="Times New Roman"/>
                <w:b/>
                <w:bCs/>
                <w:noProof/>
                <w:color w:val="000000" w:themeColor="text1"/>
                <w:sz w:val="20"/>
                <w:szCs w:val="20"/>
                <w:lang w:eastAsia="en-GB"/>
              </w:rPr>
              <w:t>%</w:t>
            </w:r>
          </w:p>
        </w:tc>
      </w:tr>
      <w:tr>
        <w:trPr>
          <w:trHeight w:val="315"/>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pPr>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Costa Rica</w:t>
            </w:r>
          </w:p>
        </w:tc>
        <w:tc>
          <w:tcPr>
            <w:tcW w:w="650" w:type="pct"/>
            <w:tcBorders>
              <w:top w:val="nil"/>
              <w:left w:val="nil"/>
              <w:bottom w:val="single" w:sz="4" w:space="0" w:color="auto"/>
              <w:right w:val="single" w:sz="4" w:space="0" w:color="auto"/>
            </w:tcBorders>
            <w:shd w:val="clear" w:color="auto" w:fill="auto"/>
            <w:noWrap/>
            <w:vAlign w:val="center"/>
            <w:hideMark/>
          </w:tcPr>
          <w:p>
            <w:pPr>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786</w:t>
            </w:r>
          </w:p>
        </w:tc>
        <w:tc>
          <w:tcPr>
            <w:tcW w:w="657" w:type="pct"/>
            <w:tcBorders>
              <w:top w:val="nil"/>
              <w:left w:val="nil"/>
              <w:bottom w:val="single" w:sz="4" w:space="0" w:color="auto"/>
              <w:right w:val="single" w:sz="4" w:space="0" w:color="auto"/>
            </w:tcBorders>
            <w:shd w:val="clear" w:color="auto" w:fill="auto"/>
            <w:noWrap/>
            <w:vAlign w:val="center"/>
            <w:hideMark/>
          </w:tcPr>
          <w:p>
            <w:pPr>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555</w:t>
            </w:r>
          </w:p>
        </w:tc>
        <w:tc>
          <w:tcPr>
            <w:tcW w:w="509" w:type="pct"/>
            <w:tcBorders>
              <w:top w:val="nil"/>
              <w:left w:val="nil"/>
              <w:bottom w:val="single" w:sz="4" w:space="0" w:color="auto"/>
              <w:right w:val="single" w:sz="4" w:space="0" w:color="auto"/>
            </w:tcBorders>
            <w:shd w:val="clear" w:color="auto" w:fill="auto"/>
            <w:vAlign w:val="center"/>
            <w:hideMark/>
          </w:tcPr>
          <w:p>
            <w:pPr>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1341</w:t>
            </w:r>
          </w:p>
        </w:tc>
        <w:tc>
          <w:tcPr>
            <w:tcW w:w="391" w:type="pct"/>
            <w:tcBorders>
              <w:top w:val="nil"/>
              <w:left w:val="nil"/>
              <w:bottom w:val="single" w:sz="4" w:space="0" w:color="auto"/>
              <w:right w:val="single" w:sz="4" w:space="0" w:color="auto"/>
            </w:tcBorders>
            <w:shd w:val="clear" w:color="auto" w:fill="auto"/>
            <w:vAlign w:val="center"/>
            <w:hideMark/>
          </w:tcPr>
          <w:p>
            <w:pPr>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18%</w:t>
            </w:r>
          </w:p>
        </w:tc>
        <w:tc>
          <w:tcPr>
            <w:tcW w:w="633" w:type="pct"/>
            <w:tcBorders>
              <w:top w:val="nil"/>
              <w:left w:val="nil"/>
              <w:bottom w:val="single" w:sz="4" w:space="0" w:color="auto"/>
              <w:right w:val="single" w:sz="4" w:space="0" w:color="auto"/>
            </w:tcBorders>
            <w:shd w:val="clear" w:color="auto" w:fill="auto"/>
            <w:noWrap/>
            <w:vAlign w:val="center"/>
            <w:hideMark/>
          </w:tcPr>
          <w:p>
            <w:pPr>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770</w:t>
            </w:r>
          </w:p>
        </w:tc>
        <w:tc>
          <w:tcPr>
            <w:tcW w:w="640" w:type="pct"/>
            <w:tcBorders>
              <w:top w:val="nil"/>
              <w:left w:val="nil"/>
              <w:bottom w:val="single" w:sz="4" w:space="0" w:color="auto"/>
              <w:right w:val="single" w:sz="4" w:space="0" w:color="auto"/>
            </w:tcBorders>
            <w:shd w:val="clear" w:color="auto" w:fill="auto"/>
            <w:noWrap/>
            <w:vAlign w:val="center"/>
            <w:hideMark/>
          </w:tcPr>
          <w:p>
            <w:pPr>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749</w:t>
            </w:r>
          </w:p>
        </w:tc>
        <w:tc>
          <w:tcPr>
            <w:tcW w:w="465" w:type="pct"/>
            <w:tcBorders>
              <w:top w:val="nil"/>
              <w:left w:val="nil"/>
              <w:bottom w:val="single" w:sz="4" w:space="0" w:color="auto"/>
              <w:right w:val="single" w:sz="4" w:space="0" w:color="auto"/>
            </w:tcBorders>
            <w:shd w:val="clear" w:color="auto" w:fill="auto"/>
            <w:vAlign w:val="center"/>
            <w:hideMark/>
          </w:tcPr>
          <w:p>
            <w:pPr>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1519</w:t>
            </w:r>
          </w:p>
        </w:tc>
        <w:tc>
          <w:tcPr>
            <w:tcW w:w="366" w:type="pct"/>
            <w:tcBorders>
              <w:top w:val="nil"/>
              <w:left w:val="nil"/>
              <w:bottom w:val="single" w:sz="4" w:space="0" w:color="auto"/>
              <w:right w:val="single" w:sz="4" w:space="0" w:color="auto"/>
            </w:tcBorders>
            <w:shd w:val="clear" w:color="auto" w:fill="auto"/>
            <w:vAlign w:val="center"/>
            <w:hideMark/>
          </w:tcPr>
          <w:p>
            <w:pPr>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19%</w:t>
            </w:r>
          </w:p>
        </w:tc>
      </w:tr>
      <w:tr>
        <w:trPr>
          <w:trHeight w:val="315"/>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pPr>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El Salvador</w:t>
            </w:r>
          </w:p>
        </w:tc>
        <w:tc>
          <w:tcPr>
            <w:tcW w:w="650" w:type="pct"/>
            <w:tcBorders>
              <w:top w:val="nil"/>
              <w:left w:val="nil"/>
              <w:bottom w:val="single" w:sz="4" w:space="0" w:color="auto"/>
              <w:right w:val="single" w:sz="4" w:space="0" w:color="auto"/>
            </w:tcBorders>
            <w:shd w:val="clear" w:color="auto" w:fill="auto"/>
            <w:noWrap/>
            <w:vAlign w:val="center"/>
            <w:hideMark/>
          </w:tcPr>
          <w:p>
            <w:pPr>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258</w:t>
            </w:r>
          </w:p>
        </w:tc>
        <w:tc>
          <w:tcPr>
            <w:tcW w:w="657" w:type="pct"/>
            <w:tcBorders>
              <w:top w:val="nil"/>
              <w:left w:val="nil"/>
              <w:bottom w:val="single" w:sz="4" w:space="0" w:color="auto"/>
              <w:right w:val="single" w:sz="4" w:space="0" w:color="auto"/>
            </w:tcBorders>
            <w:shd w:val="clear" w:color="auto" w:fill="auto"/>
            <w:noWrap/>
            <w:vAlign w:val="center"/>
            <w:hideMark/>
          </w:tcPr>
          <w:p>
            <w:pPr>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94</w:t>
            </w:r>
          </w:p>
        </w:tc>
        <w:tc>
          <w:tcPr>
            <w:tcW w:w="509" w:type="pct"/>
            <w:tcBorders>
              <w:top w:val="nil"/>
              <w:left w:val="nil"/>
              <w:bottom w:val="single" w:sz="4" w:space="0" w:color="auto"/>
              <w:right w:val="single" w:sz="4" w:space="0" w:color="auto"/>
            </w:tcBorders>
            <w:shd w:val="clear" w:color="auto" w:fill="auto"/>
            <w:vAlign w:val="center"/>
            <w:hideMark/>
          </w:tcPr>
          <w:p>
            <w:pPr>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352</w:t>
            </w:r>
          </w:p>
        </w:tc>
        <w:tc>
          <w:tcPr>
            <w:tcW w:w="391" w:type="pct"/>
            <w:tcBorders>
              <w:top w:val="nil"/>
              <w:left w:val="nil"/>
              <w:bottom w:val="single" w:sz="4" w:space="0" w:color="auto"/>
              <w:right w:val="single" w:sz="4" w:space="0" w:color="auto"/>
            </w:tcBorders>
            <w:shd w:val="clear" w:color="auto" w:fill="auto"/>
            <w:vAlign w:val="center"/>
            <w:hideMark/>
          </w:tcPr>
          <w:p>
            <w:pPr>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5%</w:t>
            </w:r>
          </w:p>
        </w:tc>
        <w:tc>
          <w:tcPr>
            <w:tcW w:w="633" w:type="pct"/>
            <w:tcBorders>
              <w:top w:val="nil"/>
              <w:left w:val="nil"/>
              <w:bottom w:val="single" w:sz="4" w:space="0" w:color="auto"/>
              <w:right w:val="single" w:sz="4" w:space="0" w:color="auto"/>
            </w:tcBorders>
            <w:shd w:val="clear" w:color="auto" w:fill="auto"/>
            <w:noWrap/>
            <w:vAlign w:val="center"/>
            <w:hideMark/>
          </w:tcPr>
          <w:p>
            <w:pPr>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229</w:t>
            </w:r>
          </w:p>
        </w:tc>
        <w:tc>
          <w:tcPr>
            <w:tcW w:w="640" w:type="pct"/>
            <w:tcBorders>
              <w:top w:val="nil"/>
              <w:left w:val="nil"/>
              <w:bottom w:val="single" w:sz="4" w:space="0" w:color="auto"/>
              <w:right w:val="single" w:sz="4" w:space="0" w:color="auto"/>
            </w:tcBorders>
            <w:shd w:val="clear" w:color="auto" w:fill="auto"/>
            <w:noWrap/>
            <w:vAlign w:val="center"/>
            <w:hideMark/>
          </w:tcPr>
          <w:p>
            <w:pPr>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91</w:t>
            </w:r>
          </w:p>
        </w:tc>
        <w:tc>
          <w:tcPr>
            <w:tcW w:w="465" w:type="pct"/>
            <w:tcBorders>
              <w:top w:val="nil"/>
              <w:left w:val="nil"/>
              <w:bottom w:val="single" w:sz="4" w:space="0" w:color="auto"/>
              <w:right w:val="single" w:sz="4" w:space="0" w:color="auto"/>
            </w:tcBorders>
            <w:shd w:val="clear" w:color="auto" w:fill="auto"/>
            <w:vAlign w:val="center"/>
            <w:hideMark/>
          </w:tcPr>
          <w:p>
            <w:pPr>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320</w:t>
            </w:r>
          </w:p>
        </w:tc>
        <w:tc>
          <w:tcPr>
            <w:tcW w:w="366" w:type="pct"/>
            <w:tcBorders>
              <w:top w:val="nil"/>
              <w:left w:val="nil"/>
              <w:bottom w:val="single" w:sz="4" w:space="0" w:color="auto"/>
              <w:right w:val="single" w:sz="4" w:space="0" w:color="auto"/>
            </w:tcBorders>
            <w:shd w:val="clear" w:color="auto" w:fill="auto"/>
            <w:vAlign w:val="center"/>
            <w:hideMark/>
          </w:tcPr>
          <w:p>
            <w:pPr>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4%</w:t>
            </w:r>
          </w:p>
        </w:tc>
      </w:tr>
      <w:tr>
        <w:trPr>
          <w:trHeight w:val="315"/>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pPr>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Guatemala</w:t>
            </w:r>
          </w:p>
        </w:tc>
        <w:tc>
          <w:tcPr>
            <w:tcW w:w="650" w:type="pct"/>
            <w:tcBorders>
              <w:top w:val="nil"/>
              <w:left w:val="nil"/>
              <w:bottom w:val="single" w:sz="4" w:space="0" w:color="auto"/>
              <w:right w:val="single" w:sz="4" w:space="0" w:color="auto"/>
            </w:tcBorders>
            <w:shd w:val="clear" w:color="auto" w:fill="auto"/>
            <w:noWrap/>
            <w:vAlign w:val="center"/>
            <w:hideMark/>
          </w:tcPr>
          <w:p>
            <w:pPr>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298</w:t>
            </w:r>
          </w:p>
        </w:tc>
        <w:tc>
          <w:tcPr>
            <w:tcW w:w="657" w:type="pct"/>
            <w:tcBorders>
              <w:top w:val="nil"/>
              <w:left w:val="nil"/>
              <w:bottom w:val="single" w:sz="4" w:space="0" w:color="auto"/>
              <w:right w:val="single" w:sz="4" w:space="0" w:color="auto"/>
            </w:tcBorders>
            <w:shd w:val="clear" w:color="auto" w:fill="auto"/>
            <w:noWrap/>
            <w:vAlign w:val="center"/>
            <w:hideMark/>
          </w:tcPr>
          <w:p>
            <w:pPr>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249</w:t>
            </w:r>
          </w:p>
        </w:tc>
        <w:tc>
          <w:tcPr>
            <w:tcW w:w="509" w:type="pct"/>
            <w:tcBorders>
              <w:top w:val="nil"/>
              <w:left w:val="nil"/>
              <w:bottom w:val="single" w:sz="4" w:space="0" w:color="auto"/>
              <w:right w:val="single" w:sz="4" w:space="0" w:color="auto"/>
            </w:tcBorders>
            <w:shd w:val="clear" w:color="auto" w:fill="auto"/>
            <w:vAlign w:val="center"/>
            <w:hideMark/>
          </w:tcPr>
          <w:p>
            <w:pPr>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547</w:t>
            </w:r>
          </w:p>
        </w:tc>
        <w:tc>
          <w:tcPr>
            <w:tcW w:w="391" w:type="pct"/>
            <w:tcBorders>
              <w:top w:val="nil"/>
              <w:left w:val="nil"/>
              <w:bottom w:val="single" w:sz="4" w:space="0" w:color="auto"/>
              <w:right w:val="single" w:sz="4" w:space="0" w:color="auto"/>
            </w:tcBorders>
            <w:shd w:val="clear" w:color="auto" w:fill="auto"/>
            <w:vAlign w:val="center"/>
            <w:hideMark/>
          </w:tcPr>
          <w:p>
            <w:pPr>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7%</w:t>
            </w:r>
          </w:p>
        </w:tc>
        <w:tc>
          <w:tcPr>
            <w:tcW w:w="633" w:type="pct"/>
            <w:tcBorders>
              <w:top w:val="nil"/>
              <w:left w:val="nil"/>
              <w:bottom w:val="single" w:sz="4" w:space="0" w:color="auto"/>
              <w:right w:val="single" w:sz="4" w:space="0" w:color="auto"/>
            </w:tcBorders>
            <w:shd w:val="clear" w:color="auto" w:fill="auto"/>
            <w:noWrap/>
            <w:vAlign w:val="center"/>
            <w:hideMark/>
          </w:tcPr>
          <w:p>
            <w:pPr>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316</w:t>
            </w:r>
          </w:p>
        </w:tc>
        <w:tc>
          <w:tcPr>
            <w:tcW w:w="640" w:type="pct"/>
            <w:tcBorders>
              <w:top w:val="nil"/>
              <w:left w:val="nil"/>
              <w:bottom w:val="single" w:sz="4" w:space="0" w:color="auto"/>
              <w:right w:val="single" w:sz="4" w:space="0" w:color="auto"/>
            </w:tcBorders>
            <w:shd w:val="clear" w:color="auto" w:fill="auto"/>
            <w:noWrap/>
            <w:vAlign w:val="center"/>
            <w:hideMark/>
          </w:tcPr>
          <w:p>
            <w:pPr>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306</w:t>
            </w:r>
          </w:p>
        </w:tc>
        <w:tc>
          <w:tcPr>
            <w:tcW w:w="465" w:type="pct"/>
            <w:tcBorders>
              <w:top w:val="nil"/>
              <w:left w:val="nil"/>
              <w:bottom w:val="single" w:sz="4" w:space="0" w:color="auto"/>
              <w:right w:val="single" w:sz="4" w:space="0" w:color="auto"/>
            </w:tcBorders>
            <w:shd w:val="clear" w:color="auto" w:fill="auto"/>
            <w:vAlign w:val="center"/>
            <w:hideMark/>
          </w:tcPr>
          <w:p>
            <w:pPr>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622</w:t>
            </w:r>
          </w:p>
        </w:tc>
        <w:tc>
          <w:tcPr>
            <w:tcW w:w="366" w:type="pct"/>
            <w:tcBorders>
              <w:top w:val="nil"/>
              <w:left w:val="nil"/>
              <w:bottom w:val="single" w:sz="4" w:space="0" w:color="auto"/>
              <w:right w:val="single" w:sz="4" w:space="0" w:color="auto"/>
            </w:tcBorders>
            <w:shd w:val="clear" w:color="auto" w:fill="auto"/>
            <w:vAlign w:val="center"/>
            <w:hideMark/>
          </w:tcPr>
          <w:p>
            <w:pPr>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8%</w:t>
            </w:r>
          </w:p>
        </w:tc>
      </w:tr>
      <w:tr>
        <w:trPr>
          <w:trHeight w:val="315"/>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pPr>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Honduras</w:t>
            </w:r>
          </w:p>
        </w:tc>
        <w:tc>
          <w:tcPr>
            <w:tcW w:w="650" w:type="pct"/>
            <w:tcBorders>
              <w:top w:val="nil"/>
              <w:left w:val="nil"/>
              <w:bottom w:val="single" w:sz="4" w:space="0" w:color="auto"/>
              <w:right w:val="single" w:sz="4" w:space="0" w:color="auto"/>
            </w:tcBorders>
            <w:shd w:val="clear" w:color="auto" w:fill="auto"/>
            <w:noWrap/>
            <w:vAlign w:val="center"/>
            <w:hideMark/>
          </w:tcPr>
          <w:p>
            <w:pPr>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171</w:t>
            </w:r>
          </w:p>
        </w:tc>
        <w:tc>
          <w:tcPr>
            <w:tcW w:w="657" w:type="pct"/>
            <w:tcBorders>
              <w:top w:val="nil"/>
              <w:left w:val="nil"/>
              <w:bottom w:val="single" w:sz="4" w:space="0" w:color="auto"/>
              <w:right w:val="single" w:sz="4" w:space="0" w:color="auto"/>
            </w:tcBorders>
            <w:shd w:val="clear" w:color="auto" w:fill="auto"/>
            <w:noWrap/>
            <w:vAlign w:val="center"/>
            <w:hideMark/>
          </w:tcPr>
          <w:p>
            <w:pPr>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94</w:t>
            </w:r>
          </w:p>
        </w:tc>
        <w:tc>
          <w:tcPr>
            <w:tcW w:w="509" w:type="pct"/>
            <w:tcBorders>
              <w:top w:val="nil"/>
              <w:left w:val="nil"/>
              <w:bottom w:val="single" w:sz="4" w:space="0" w:color="auto"/>
              <w:right w:val="single" w:sz="4" w:space="0" w:color="auto"/>
            </w:tcBorders>
            <w:shd w:val="clear" w:color="auto" w:fill="auto"/>
            <w:vAlign w:val="center"/>
            <w:hideMark/>
          </w:tcPr>
          <w:p>
            <w:pPr>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265</w:t>
            </w:r>
          </w:p>
        </w:tc>
        <w:tc>
          <w:tcPr>
            <w:tcW w:w="391" w:type="pct"/>
            <w:tcBorders>
              <w:top w:val="nil"/>
              <w:left w:val="nil"/>
              <w:bottom w:val="single" w:sz="4" w:space="0" w:color="auto"/>
              <w:right w:val="single" w:sz="4" w:space="0" w:color="auto"/>
            </w:tcBorders>
            <w:shd w:val="clear" w:color="auto" w:fill="auto"/>
            <w:vAlign w:val="center"/>
            <w:hideMark/>
          </w:tcPr>
          <w:p>
            <w:pPr>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4%</w:t>
            </w:r>
          </w:p>
        </w:tc>
        <w:tc>
          <w:tcPr>
            <w:tcW w:w="633" w:type="pct"/>
            <w:tcBorders>
              <w:top w:val="nil"/>
              <w:left w:val="nil"/>
              <w:bottom w:val="single" w:sz="4" w:space="0" w:color="auto"/>
              <w:right w:val="single" w:sz="4" w:space="0" w:color="auto"/>
            </w:tcBorders>
            <w:shd w:val="clear" w:color="auto" w:fill="auto"/>
            <w:noWrap/>
            <w:vAlign w:val="center"/>
            <w:hideMark/>
          </w:tcPr>
          <w:p>
            <w:pPr>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205</w:t>
            </w:r>
          </w:p>
        </w:tc>
        <w:tc>
          <w:tcPr>
            <w:tcW w:w="640" w:type="pct"/>
            <w:tcBorders>
              <w:top w:val="nil"/>
              <w:left w:val="nil"/>
              <w:bottom w:val="single" w:sz="4" w:space="0" w:color="auto"/>
              <w:right w:val="single" w:sz="4" w:space="0" w:color="auto"/>
            </w:tcBorders>
            <w:shd w:val="clear" w:color="auto" w:fill="auto"/>
            <w:noWrap/>
            <w:vAlign w:val="center"/>
            <w:hideMark/>
          </w:tcPr>
          <w:p>
            <w:pPr>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124</w:t>
            </w:r>
          </w:p>
        </w:tc>
        <w:tc>
          <w:tcPr>
            <w:tcW w:w="465" w:type="pct"/>
            <w:tcBorders>
              <w:top w:val="nil"/>
              <w:left w:val="nil"/>
              <w:bottom w:val="single" w:sz="4" w:space="0" w:color="auto"/>
              <w:right w:val="single" w:sz="4" w:space="0" w:color="auto"/>
            </w:tcBorders>
            <w:shd w:val="clear" w:color="auto" w:fill="auto"/>
            <w:vAlign w:val="center"/>
            <w:hideMark/>
          </w:tcPr>
          <w:p>
            <w:pPr>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329</w:t>
            </w:r>
          </w:p>
        </w:tc>
        <w:tc>
          <w:tcPr>
            <w:tcW w:w="366" w:type="pct"/>
            <w:tcBorders>
              <w:top w:val="nil"/>
              <w:left w:val="nil"/>
              <w:bottom w:val="single" w:sz="4" w:space="0" w:color="auto"/>
              <w:right w:val="single" w:sz="4" w:space="0" w:color="auto"/>
            </w:tcBorders>
            <w:shd w:val="clear" w:color="auto" w:fill="auto"/>
            <w:vAlign w:val="center"/>
            <w:hideMark/>
          </w:tcPr>
          <w:p>
            <w:pPr>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4%</w:t>
            </w:r>
          </w:p>
        </w:tc>
      </w:tr>
      <w:tr>
        <w:trPr>
          <w:trHeight w:val="315"/>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pPr>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Nicaragua</w:t>
            </w:r>
          </w:p>
        </w:tc>
        <w:tc>
          <w:tcPr>
            <w:tcW w:w="650" w:type="pct"/>
            <w:tcBorders>
              <w:top w:val="nil"/>
              <w:left w:val="nil"/>
              <w:bottom w:val="single" w:sz="4" w:space="0" w:color="auto"/>
              <w:right w:val="single" w:sz="4" w:space="0" w:color="auto"/>
            </w:tcBorders>
            <w:shd w:val="clear" w:color="auto" w:fill="auto"/>
            <w:noWrap/>
            <w:vAlign w:val="center"/>
            <w:hideMark/>
          </w:tcPr>
          <w:p>
            <w:pPr>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176</w:t>
            </w:r>
          </w:p>
        </w:tc>
        <w:tc>
          <w:tcPr>
            <w:tcW w:w="657" w:type="pct"/>
            <w:tcBorders>
              <w:top w:val="nil"/>
              <w:left w:val="nil"/>
              <w:bottom w:val="single" w:sz="4" w:space="0" w:color="auto"/>
              <w:right w:val="single" w:sz="4" w:space="0" w:color="auto"/>
            </w:tcBorders>
            <w:shd w:val="clear" w:color="auto" w:fill="auto"/>
            <w:noWrap/>
            <w:vAlign w:val="center"/>
            <w:hideMark/>
          </w:tcPr>
          <w:p>
            <w:pPr>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69</w:t>
            </w:r>
          </w:p>
        </w:tc>
        <w:tc>
          <w:tcPr>
            <w:tcW w:w="509" w:type="pct"/>
            <w:tcBorders>
              <w:top w:val="nil"/>
              <w:left w:val="nil"/>
              <w:bottom w:val="single" w:sz="4" w:space="0" w:color="auto"/>
              <w:right w:val="single" w:sz="4" w:space="0" w:color="auto"/>
            </w:tcBorders>
            <w:shd w:val="clear" w:color="auto" w:fill="auto"/>
            <w:vAlign w:val="center"/>
            <w:hideMark/>
          </w:tcPr>
          <w:p>
            <w:pPr>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245</w:t>
            </w:r>
          </w:p>
        </w:tc>
        <w:tc>
          <w:tcPr>
            <w:tcW w:w="391" w:type="pct"/>
            <w:tcBorders>
              <w:top w:val="nil"/>
              <w:left w:val="nil"/>
              <w:bottom w:val="single" w:sz="4" w:space="0" w:color="auto"/>
              <w:right w:val="single" w:sz="4" w:space="0" w:color="auto"/>
            </w:tcBorders>
            <w:shd w:val="clear" w:color="auto" w:fill="auto"/>
            <w:vAlign w:val="center"/>
            <w:hideMark/>
          </w:tcPr>
          <w:p>
            <w:pPr>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3%</w:t>
            </w:r>
          </w:p>
        </w:tc>
        <w:tc>
          <w:tcPr>
            <w:tcW w:w="633" w:type="pct"/>
            <w:tcBorders>
              <w:top w:val="nil"/>
              <w:left w:val="nil"/>
              <w:bottom w:val="single" w:sz="4" w:space="0" w:color="auto"/>
              <w:right w:val="single" w:sz="4" w:space="0" w:color="auto"/>
            </w:tcBorders>
            <w:shd w:val="clear" w:color="auto" w:fill="auto"/>
            <w:noWrap/>
            <w:vAlign w:val="center"/>
            <w:hideMark/>
          </w:tcPr>
          <w:p>
            <w:pPr>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178</w:t>
            </w:r>
          </w:p>
        </w:tc>
        <w:tc>
          <w:tcPr>
            <w:tcW w:w="640" w:type="pct"/>
            <w:tcBorders>
              <w:top w:val="nil"/>
              <w:left w:val="nil"/>
              <w:bottom w:val="single" w:sz="4" w:space="0" w:color="auto"/>
              <w:right w:val="single" w:sz="4" w:space="0" w:color="auto"/>
            </w:tcBorders>
            <w:shd w:val="clear" w:color="auto" w:fill="auto"/>
            <w:noWrap/>
            <w:vAlign w:val="center"/>
            <w:hideMark/>
          </w:tcPr>
          <w:p>
            <w:pPr>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96</w:t>
            </w:r>
          </w:p>
        </w:tc>
        <w:tc>
          <w:tcPr>
            <w:tcW w:w="465" w:type="pct"/>
            <w:tcBorders>
              <w:top w:val="nil"/>
              <w:left w:val="nil"/>
              <w:bottom w:val="single" w:sz="4" w:space="0" w:color="auto"/>
              <w:right w:val="single" w:sz="4" w:space="0" w:color="auto"/>
            </w:tcBorders>
            <w:shd w:val="clear" w:color="auto" w:fill="auto"/>
            <w:vAlign w:val="center"/>
            <w:hideMark/>
          </w:tcPr>
          <w:p>
            <w:pPr>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274</w:t>
            </w:r>
          </w:p>
        </w:tc>
        <w:tc>
          <w:tcPr>
            <w:tcW w:w="366" w:type="pct"/>
            <w:tcBorders>
              <w:top w:val="nil"/>
              <w:left w:val="nil"/>
              <w:bottom w:val="single" w:sz="4" w:space="0" w:color="auto"/>
              <w:right w:val="single" w:sz="4" w:space="0" w:color="auto"/>
            </w:tcBorders>
            <w:shd w:val="clear" w:color="auto" w:fill="auto"/>
            <w:vAlign w:val="center"/>
            <w:hideMark/>
          </w:tcPr>
          <w:p>
            <w:pPr>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4%</w:t>
            </w:r>
          </w:p>
        </w:tc>
      </w:tr>
      <w:tr>
        <w:trPr>
          <w:trHeight w:val="315"/>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pPr>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Panama</w:t>
            </w:r>
          </w:p>
        </w:tc>
        <w:tc>
          <w:tcPr>
            <w:tcW w:w="650" w:type="pct"/>
            <w:tcBorders>
              <w:top w:val="nil"/>
              <w:left w:val="nil"/>
              <w:bottom w:val="single" w:sz="4" w:space="0" w:color="auto"/>
              <w:right w:val="single" w:sz="4" w:space="0" w:color="auto"/>
            </w:tcBorders>
            <w:shd w:val="clear" w:color="auto" w:fill="auto"/>
            <w:noWrap/>
            <w:vAlign w:val="center"/>
            <w:hideMark/>
          </w:tcPr>
          <w:p>
            <w:pPr>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2 330</w:t>
            </w:r>
          </w:p>
        </w:tc>
        <w:tc>
          <w:tcPr>
            <w:tcW w:w="657" w:type="pct"/>
            <w:tcBorders>
              <w:top w:val="nil"/>
              <w:left w:val="nil"/>
              <w:bottom w:val="single" w:sz="4" w:space="0" w:color="auto"/>
              <w:right w:val="single" w:sz="4" w:space="0" w:color="auto"/>
            </w:tcBorders>
            <w:shd w:val="clear" w:color="auto" w:fill="auto"/>
            <w:noWrap/>
            <w:vAlign w:val="center"/>
            <w:hideMark/>
          </w:tcPr>
          <w:p>
            <w:pPr>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2 403</w:t>
            </w:r>
          </w:p>
        </w:tc>
        <w:tc>
          <w:tcPr>
            <w:tcW w:w="509" w:type="pct"/>
            <w:tcBorders>
              <w:top w:val="nil"/>
              <w:left w:val="nil"/>
              <w:bottom w:val="single" w:sz="4" w:space="0" w:color="auto"/>
              <w:right w:val="single" w:sz="4" w:space="0" w:color="auto"/>
            </w:tcBorders>
            <w:shd w:val="clear" w:color="auto" w:fill="auto"/>
            <w:vAlign w:val="center"/>
            <w:hideMark/>
          </w:tcPr>
          <w:p>
            <w:pPr>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4 733</w:t>
            </w:r>
          </w:p>
        </w:tc>
        <w:tc>
          <w:tcPr>
            <w:tcW w:w="391" w:type="pct"/>
            <w:tcBorders>
              <w:top w:val="nil"/>
              <w:left w:val="nil"/>
              <w:bottom w:val="single" w:sz="4" w:space="0" w:color="auto"/>
              <w:right w:val="single" w:sz="4" w:space="0" w:color="auto"/>
            </w:tcBorders>
            <w:shd w:val="clear" w:color="auto" w:fill="auto"/>
            <w:vAlign w:val="center"/>
            <w:hideMark/>
          </w:tcPr>
          <w:p>
            <w:pPr>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63%</w:t>
            </w:r>
          </w:p>
        </w:tc>
        <w:tc>
          <w:tcPr>
            <w:tcW w:w="633" w:type="pct"/>
            <w:tcBorders>
              <w:top w:val="nil"/>
              <w:left w:val="nil"/>
              <w:bottom w:val="single" w:sz="4" w:space="0" w:color="auto"/>
              <w:right w:val="single" w:sz="4" w:space="0" w:color="auto"/>
            </w:tcBorders>
            <w:shd w:val="clear" w:color="auto" w:fill="auto"/>
            <w:noWrap/>
            <w:vAlign w:val="center"/>
            <w:hideMark/>
          </w:tcPr>
          <w:p>
            <w:pPr>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2 306</w:t>
            </w:r>
          </w:p>
        </w:tc>
        <w:tc>
          <w:tcPr>
            <w:tcW w:w="640" w:type="pct"/>
            <w:tcBorders>
              <w:top w:val="nil"/>
              <w:left w:val="nil"/>
              <w:bottom w:val="single" w:sz="4" w:space="0" w:color="auto"/>
              <w:right w:val="single" w:sz="4" w:space="0" w:color="auto"/>
            </w:tcBorders>
            <w:shd w:val="clear" w:color="auto" w:fill="auto"/>
            <w:noWrap/>
            <w:vAlign w:val="center"/>
            <w:hideMark/>
          </w:tcPr>
          <w:p>
            <w:pPr>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2 435</w:t>
            </w:r>
          </w:p>
        </w:tc>
        <w:tc>
          <w:tcPr>
            <w:tcW w:w="465" w:type="pct"/>
            <w:tcBorders>
              <w:top w:val="nil"/>
              <w:left w:val="nil"/>
              <w:bottom w:val="single" w:sz="4" w:space="0" w:color="auto"/>
              <w:right w:val="single" w:sz="4" w:space="0" w:color="auto"/>
            </w:tcBorders>
            <w:shd w:val="clear" w:color="auto" w:fill="auto"/>
            <w:vAlign w:val="center"/>
            <w:hideMark/>
          </w:tcPr>
          <w:p>
            <w:pPr>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4 741</w:t>
            </w:r>
          </w:p>
        </w:tc>
        <w:tc>
          <w:tcPr>
            <w:tcW w:w="366" w:type="pct"/>
            <w:tcBorders>
              <w:top w:val="nil"/>
              <w:left w:val="nil"/>
              <w:bottom w:val="single" w:sz="4" w:space="0" w:color="auto"/>
              <w:right w:val="single" w:sz="4" w:space="0" w:color="auto"/>
            </w:tcBorders>
            <w:shd w:val="clear" w:color="auto" w:fill="auto"/>
            <w:vAlign w:val="center"/>
            <w:hideMark/>
          </w:tcPr>
          <w:p>
            <w:pPr>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61%</w:t>
            </w:r>
          </w:p>
        </w:tc>
      </w:tr>
      <w:tr>
        <w:trPr>
          <w:trHeight w:val="315"/>
        </w:trPr>
        <w:tc>
          <w:tcPr>
            <w:tcW w:w="690" w:type="pct"/>
            <w:tcBorders>
              <w:top w:val="nil"/>
              <w:left w:val="single" w:sz="4" w:space="0" w:color="auto"/>
              <w:bottom w:val="single" w:sz="4" w:space="0" w:color="auto"/>
              <w:right w:val="single" w:sz="4" w:space="0" w:color="auto"/>
            </w:tcBorders>
            <w:shd w:val="clear" w:color="auto" w:fill="auto"/>
            <w:noWrap/>
            <w:vAlign w:val="center"/>
            <w:hideMark/>
          </w:tcPr>
          <w:p>
            <w:pPr>
              <w:jc w:val="center"/>
              <w:rPr>
                <w:rFonts w:eastAsia="Times New Roman"/>
                <w:b/>
                <w:bCs/>
                <w:noProof/>
                <w:color w:val="000000" w:themeColor="text1"/>
                <w:sz w:val="20"/>
                <w:szCs w:val="20"/>
                <w:lang w:eastAsia="en-GB"/>
              </w:rPr>
            </w:pPr>
            <w:r>
              <w:rPr>
                <w:rFonts w:eastAsia="Times New Roman"/>
                <w:b/>
                <w:bCs/>
                <w:noProof/>
                <w:color w:val="000000" w:themeColor="text1"/>
                <w:sz w:val="20"/>
                <w:szCs w:val="20"/>
                <w:lang w:eastAsia="en-GB"/>
              </w:rPr>
              <w:t>Total</w:t>
            </w:r>
          </w:p>
        </w:tc>
        <w:tc>
          <w:tcPr>
            <w:tcW w:w="650" w:type="pct"/>
            <w:tcBorders>
              <w:top w:val="nil"/>
              <w:left w:val="nil"/>
              <w:bottom w:val="single" w:sz="4" w:space="0" w:color="auto"/>
              <w:right w:val="single" w:sz="4" w:space="0" w:color="auto"/>
            </w:tcBorders>
            <w:shd w:val="clear" w:color="auto" w:fill="auto"/>
            <w:noWrap/>
            <w:vAlign w:val="center"/>
            <w:hideMark/>
          </w:tcPr>
          <w:p>
            <w:pPr>
              <w:jc w:val="center"/>
              <w:rPr>
                <w:rFonts w:eastAsia="Times New Roman"/>
                <w:b/>
                <w:bCs/>
                <w:noProof/>
                <w:color w:val="000000" w:themeColor="text1"/>
                <w:sz w:val="20"/>
                <w:szCs w:val="20"/>
                <w:lang w:eastAsia="en-GB"/>
              </w:rPr>
            </w:pPr>
            <w:r>
              <w:rPr>
                <w:rFonts w:eastAsia="Times New Roman"/>
                <w:b/>
                <w:bCs/>
                <w:noProof/>
                <w:color w:val="000000" w:themeColor="text1"/>
                <w:sz w:val="20"/>
                <w:szCs w:val="20"/>
                <w:lang w:eastAsia="en-GB"/>
              </w:rPr>
              <w:t>4 019</w:t>
            </w:r>
          </w:p>
        </w:tc>
        <w:tc>
          <w:tcPr>
            <w:tcW w:w="657" w:type="pct"/>
            <w:tcBorders>
              <w:top w:val="nil"/>
              <w:left w:val="nil"/>
              <w:bottom w:val="single" w:sz="4" w:space="0" w:color="auto"/>
              <w:right w:val="single" w:sz="4" w:space="0" w:color="auto"/>
            </w:tcBorders>
            <w:shd w:val="clear" w:color="auto" w:fill="auto"/>
            <w:noWrap/>
            <w:vAlign w:val="center"/>
            <w:hideMark/>
          </w:tcPr>
          <w:p>
            <w:pPr>
              <w:jc w:val="center"/>
              <w:rPr>
                <w:rFonts w:eastAsia="Times New Roman"/>
                <w:b/>
                <w:bCs/>
                <w:noProof/>
                <w:color w:val="000000" w:themeColor="text1"/>
                <w:sz w:val="20"/>
                <w:szCs w:val="20"/>
                <w:lang w:eastAsia="en-GB"/>
              </w:rPr>
            </w:pPr>
            <w:r>
              <w:rPr>
                <w:rFonts w:eastAsia="Times New Roman"/>
                <w:b/>
                <w:bCs/>
                <w:noProof/>
                <w:color w:val="000000" w:themeColor="text1"/>
                <w:sz w:val="20"/>
                <w:szCs w:val="20"/>
                <w:lang w:eastAsia="en-GB"/>
              </w:rPr>
              <w:t>3 464</w:t>
            </w:r>
          </w:p>
        </w:tc>
        <w:tc>
          <w:tcPr>
            <w:tcW w:w="509" w:type="pct"/>
            <w:tcBorders>
              <w:top w:val="nil"/>
              <w:left w:val="nil"/>
              <w:bottom w:val="single" w:sz="4" w:space="0" w:color="auto"/>
              <w:right w:val="single" w:sz="4" w:space="0" w:color="auto"/>
            </w:tcBorders>
            <w:shd w:val="clear" w:color="auto" w:fill="auto"/>
            <w:noWrap/>
            <w:vAlign w:val="center"/>
            <w:hideMark/>
          </w:tcPr>
          <w:p>
            <w:pPr>
              <w:jc w:val="center"/>
              <w:rPr>
                <w:rFonts w:eastAsia="Times New Roman"/>
                <w:b/>
                <w:bCs/>
                <w:noProof/>
                <w:color w:val="000000" w:themeColor="text1"/>
                <w:sz w:val="20"/>
                <w:szCs w:val="20"/>
                <w:lang w:eastAsia="en-GB"/>
              </w:rPr>
            </w:pPr>
            <w:r>
              <w:rPr>
                <w:rFonts w:eastAsia="Times New Roman"/>
                <w:b/>
                <w:bCs/>
                <w:noProof/>
                <w:color w:val="000000" w:themeColor="text1"/>
                <w:sz w:val="20"/>
                <w:szCs w:val="20"/>
                <w:lang w:eastAsia="en-GB"/>
              </w:rPr>
              <w:t>7 483</w:t>
            </w:r>
          </w:p>
        </w:tc>
        <w:tc>
          <w:tcPr>
            <w:tcW w:w="391" w:type="pct"/>
            <w:tcBorders>
              <w:top w:val="nil"/>
              <w:left w:val="nil"/>
              <w:bottom w:val="single" w:sz="4" w:space="0" w:color="auto"/>
              <w:right w:val="single" w:sz="4" w:space="0" w:color="auto"/>
            </w:tcBorders>
            <w:shd w:val="clear" w:color="auto" w:fill="auto"/>
            <w:vAlign w:val="center"/>
            <w:hideMark/>
          </w:tcPr>
          <w:p>
            <w:pPr>
              <w:jc w:val="center"/>
              <w:rPr>
                <w:rFonts w:eastAsia="Times New Roman"/>
                <w:b/>
                <w:bCs/>
                <w:noProof/>
                <w:color w:val="000000" w:themeColor="text1"/>
                <w:sz w:val="20"/>
                <w:szCs w:val="20"/>
                <w:lang w:eastAsia="en-GB"/>
              </w:rPr>
            </w:pPr>
            <w:r>
              <w:rPr>
                <w:rFonts w:eastAsia="Times New Roman"/>
                <w:b/>
                <w:bCs/>
                <w:noProof/>
                <w:color w:val="000000" w:themeColor="text1"/>
                <w:sz w:val="20"/>
                <w:szCs w:val="20"/>
                <w:lang w:eastAsia="en-GB"/>
              </w:rPr>
              <w:t>100%</w:t>
            </w:r>
          </w:p>
        </w:tc>
        <w:tc>
          <w:tcPr>
            <w:tcW w:w="633" w:type="pct"/>
            <w:tcBorders>
              <w:top w:val="nil"/>
              <w:left w:val="nil"/>
              <w:bottom w:val="single" w:sz="4" w:space="0" w:color="auto"/>
              <w:right w:val="single" w:sz="4" w:space="0" w:color="auto"/>
            </w:tcBorders>
            <w:shd w:val="clear" w:color="auto" w:fill="auto"/>
            <w:noWrap/>
            <w:vAlign w:val="center"/>
            <w:hideMark/>
          </w:tcPr>
          <w:p>
            <w:pPr>
              <w:jc w:val="center"/>
              <w:rPr>
                <w:rFonts w:eastAsia="Times New Roman"/>
                <w:b/>
                <w:bCs/>
                <w:noProof/>
                <w:color w:val="000000" w:themeColor="text1"/>
                <w:sz w:val="20"/>
                <w:szCs w:val="20"/>
                <w:lang w:eastAsia="en-GB"/>
              </w:rPr>
            </w:pPr>
            <w:r>
              <w:rPr>
                <w:rFonts w:eastAsia="Times New Roman"/>
                <w:b/>
                <w:bCs/>
                <w:noProof/>
                <w:color w:val="000000" w:themeColor="text1"/>
                <w:sz w:val="20"/>
                <w:szCs w:val="20"/>
                <w:lang w:eastAsia="en-GB"/>
              </w:rPr>
              <w:t>4 004</w:t>
            </w:r>
          </w:p>
        </w:tc>
        <w:tc>
          <w:tcPr>
            <w:tcW w:w="640" w:type="pct"/>
            <w:tcBorders>
              <w:top w:val="nil"/>
              <w:left w:val="nil"/>
              <w:bottom w:val="single" w:sz="4" w:space="0" w:color="auto"/>
              <w:right w:val="single" w:sz="4" w:space="0" w:color="auto"/>
            </w:tcBorders>
            <w:shd w:val="clear" w:color="auto" w:fill="auto"/>
            <w:noWrap/>
            <w:vAlign w:val="center"/>
            <w:hideMark/>
          </w:tcPr>
          <w:p>
            <w:pPr>
              <w:jc w:val="center"/>
              <w:rPr>
                <w:rFonts w:eastAsia="Times New Roman"/>
                <w:b/>
                <w:bCs/>
                <w:noProof/>
                <w:color w:val="000000" w:themeColor="text1"/>
                <w:sz w:val="20"/>
                <w:szCs w:val="20"/>
                <w:lang w:eastAsia="en-GB"/>
              </w:rPr>
            </w:pPr>
            <w:r>
              <w:rPr>
                <w:rFonts w:eastAsia="Times New Roman"/>
                <w:b/>
                <w:bCs/>
                <w:noProof/>
                <w:color w:val="000000" w:themeColor="text1"/>
                <w:sz w:val="20"/>
                <w:szCs w:val="20"/>
                <w:lang w:eastAsia="en-GB"/>
              </w:rPr>
              <w:t>3 801</w:t>
            </w:r>
          </w:p>
        </w:tc>
        <w:tc>
          <w:tcPr>
            <w:tcW w:w="465" w:type="pct"/>
            <w:tcBorders>
              <w:top w:val="nil"/>
              <w:left w:val="nil"/>
              <w:bottom w:val="single" w:sz="4" w:space="0" w:color="auto"/>
              <w:right w:val="single" w:sz="4" w:space="0" w:color="auto"/>
            </w:tcBorders>
            <w:shd w:val="clear" w:color="auto" w:fill="auto"/>
            <w:noWrap/>
            <w:vAlign w:val="center"/>
            <w:hideMark/>
          </w:tcPr>
          <w:p>
            <w:pPr>
              <w:jc w:val="center"/>
              <w:rPr>
                <w:rFonts w:eastAsia="Times New Roman"/>
                <w:b/>
                <w:bCs/>
                <w:noProof/>
                <w:color w:val="000000" w:themeColor="text1"/>
                <w:sz w:val="20"/>
                <w:szCs w:val="20"/>
                <w:lang w:eastAsia="en-GB"/>
              </w:rPr>
            </w:pPr>
            <w:r>
              <w:rPr>
                <w:rFonts w:eastAsia="Times New Roman"/>
                <w:b/>
                <w:bCs/>
                <w:noProof/>
                <w:color w:val="000000" w:themeColor="text1"/>
                <w:sz w:val="20"/>
                <w:szCs w:val="20"/>
                <w:lang w:eastAsia="en-GB"/>
              </w:rPr>
              <w:t>7 805</w:t>
            </w:r>
          </w:p>
        </w:tc>
        <w:tc>
          <w:tcPr>
            <w:tcW w:w="366" w:type="pct"/>
            <w:tcBorders>
              <w:top w:val="nil"/>
              <w:left w:val="nil"/>
              <w:bottom w:val="single" w:sz="4" w:space="0" w:color="auto"/>
              <w:right w:val="single" w:sz="4" w:space="0" w:color="auto"/>
            </w:tcBorders>
            <w:shd w:val="clear" w:color="auto" w:fill="auto"/>
            <w:vAlign w:val="center"/>
            <w:hideMark/>
          </w:tcPr>
          <w:p>
            <w:pPr>
              <w:jc w:val="center"/>
              <w:rPr>
                <w:rFonts w:eastAsia="Times New Roman"/>
                <w:b/>
                <w:bCs/>
                <w:noProof/>
                <w:color w:val="000000" w:themeColor="text1"/>
                <w:sz w:val="20"/>
                <w:szCs w:val="20"/>
                <w:lang w:eastAsia="en-GB"/>
              </w:rPr>
            </w:pPr>
            <w:r>
              <w:rPr>
                <w:rFonts w:eastAsia="Times New Roman"/>
                <w:b/>
                <w:bCs/>
                <w:noProof/>
                <w:color w:val="000000" w:themeColor="text1"/>
                <w:sz w:val="20"/>
                <w:szCs w:val="20"/>
                <w:lang w:eastAsia="en-GB"/>
              </w:rPr>
              <w:t>100%</w:t>
            </w:r>
          </w:p>
        </w:tc>
      </w:tr>
    </w:tbl>
    <w:p>
      <w:pPr>
        <w:spacing w:after="200"/>
        <w:rPr>
          <w:rFonts w:eastAsia="Calibri"/>
          <w:i/>
          <w:iCs/>
          <w:noProof/>
          <w:color w:val="44546A"/>
          <w:sz w:val="18"/>
          <w:szCs w:val="18"/>
        </w:rPr>
      </w:pPr>
      <w:r>
        <w:rPr>
          <w:rFonts w:eastAsia="Calibri"/>
          <w:i/>
          <w:iCs/>
          <w:noProof/>
          <w:color w:val="44546A"/>
          <w:sz w:val="18"/>
          <w:szCs w:val="18"/>
        </w:rPr>
        <w:t>Source: Eurostat</w:t>
      </w:r>
    </w:p>
    <w:p>
      <w:pPr>
        <w:pStyle w:val="Heading3"/>
        <w:ind w:left="0" w:firstLine="0"/>
        <w:rPr>
          <w:noProof/>
        </w:rPr>
      </w:pPr>
      <w:bookmarkStart w:id="504" w:name="_Toc8833485"/>
      <w:bookmarkStart w:id="505" w:name="_Toc8835312"/>
      <w:bookmarkStart w:id="506" w:name="_Toc8833942"/>
      <w:bookmarkStart w:id="507" w:name="_Toc8909405"/>
      <w:bookmarkStart w:id="508" w:name="_Toc8910617"/>
      <w:bookmarkStart w:id="509" w:name="_Toc8911654"/>
      <w:bookmarkStart w:id="510" w:name="_Toc8974457"/>
      <w:bookmarkStart w:id="511" w:name="_Toc9008128"/>
      <w:bookmarkStart w:id="512" w:name="_Toc9008531"/>
      <w:bookmarkStart w:id="513" w:name="_Toc9348526"/>
      <w:bookmarkStart w:id="514" w:name="_Toc9607977"/>
      <w:bookmarkStart w:id="515" w:name="_Toc16000552"/>
      <w:r>
        <w:rPr>
          <w:noProof/>
        </w:rPr>
        <w:t>Development of Foreign Direct investment</w:t>
      </w:r>
      <w:bookmarkEnd w:id="504"/>
      <w:bookmarkEnd w:id="505"/>
      <w:bookmarkEnd w:id="506"/>
      <w:bookmarkEnd w:id="507"/>
      <w:bookmarkEnd w:id="508"/>
      <w:r>
        <w:rPr>
          <w:noProof/>
        </w:rPr>
        <w:t xml:space="preserve"> (FDI)</w:t>
      </w:r>
      <w:bookmarkEnd w:id="509"/>
      <w:bookmarkEnd w:id="510"/>
      <w:bookmarkEnd w:id="511"/>
      <w:bookmarkEnd w:id="512"/>
      <w:bookmarkEnd w:id="513"/>
      <w:bookmarkEnd w:id="514"/>
      <w:bookmarkEnd w:id="515"/>
    </w:p>
    <w:p>
      <w:pPr>
        <w:jc w:val="both"/>
        <w:rPr>
          <w:noProof/>
        </w:rPr>
      </w:pPr>
      <w:r>
        <w:rPr>
          <w:noProof/>
        </w:rPr>
        <w:t>As in previous years, in 2018 EU’s FDI concentrated in three countries: Panama, Costa Rica and Guatemala, with Panama alone benefiting from around 75% of investment in the region.  The overall outward investment of EU’s investors in the economies of the six countries slightly decreased (by 6%), still representing a figure that is comparable to the investment made in Colombia and Peru all together. Except for Guatemala and Nicaragua, Central American countries saw some decline in the value of stocks of EU’s direct investment in the region.</w:t>
      </w:r>
    </w:p>
    <w:p>
      <w:pPr>
        <w:jc w:val="both"/>
        <w:rPr>
          <w:rFonts w:eastAsia="Calibri"/>
          <w:noProof/>
        </w:rPr>
      </w:pPr>
    </w:p>
    <w:p>
      <w:pPr>
        <w:jc w:val="both"/>
        <w:rPr>
          <w:rFonts w:eastAsia="Calibri"/>
          <w:noProof/>
        </w:rPr>
      </w:pPr>
      <w:r>
        <w:rPr>
          <w:rFonts w:eastAsia="Calibri"/>
          <w:noProof/>
        </w:rPr>
        <w:t>In 2017, a noticeable downturn in inward investment occurred, with Panamanian investors cutting their stocks in the EU by around half. As a result, the total value of stocks held by Central American investors in the EU was over 40% lower in 2017 compared to 2016.</w:t>
      </w:r>
    </w:p>
    <w:p>
      <w:pPr>
        <w:jc w:val="both"/>
        <w:rPr>
          <w:rFonts w:eastAsia="Calibri"/>
          <w:noProof/>
        </w:rPr>
      </w:pPr>
    </w:p>
    <w:tbl>
      <w:tblPr>
        <w:tblW w:w="5000" w:type="pct"/>
        <w:tblLook w:val="04A0" w:firstRow="1" w:lastRow="0" w:firstColumn="1" w:lastColumn="0" w:noHBand="0" w:noVBand="1"/>
      </w:tblPr>
      <w:tblGrid>
        <w:gridCol w:w="1476"/>
        <w:gridCol w:w="1063"/>
        <w:gridCol w:w="1295"/>
        <w:gridCol w:w="929"/>
        <w:gridCol w:w="795"/>
        <w:gridCol w:w="907"/>
        <w:gridCol w:w="1103"/>
        <w:gridCol w:w="981"/>
        <w:gridCol w:w="739"/>
      </w:tblGrid>
      <w:tr>
        <w:trPr>
          <w:cantSplit/>
          <w:trHeight w:val="315"/>
        </w:trPr>
        <w:tc>
          <w:tcPr>
            <w:tcW w:w="79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pPr>
              <w:keepNext/>
              <w:jc w:val="center"/>
              <w:rPr>
                <w:rFonts w:eastAsia="Times New Roman"/>
                <w:b/>
                <w:bCs/>
                <w:noProof/>
                <w:color w:val="000000" w:themeColor="text1"/>
                <w:sz w:val="20"/>
                <w:szCs w:val="20"/>
                <w:lang w:eastAsia="en-GB"/>
              </w:rPr>
            </w:pPr>
            <w:r>
              <w:rPr>
                <w:rFonts w:eastAsia="Times New Roman"/>
                <w:b/>
                <w:bCs/>
                <w:noProof/>
                <w:color w:val="000000" w:themeColor="text1"/>
                <w:sz w:val="20"/>
                <w:szCs w:val="20"/>
                <w:lang w:eastAsia="en-GB"/>
              </w:rPr>
              <w:t>Country</w:t>
            </w:r>
          </w:p>
        </w:tc>
        <w:tc>
          <w:tcPr>
            <w:tcW w:w="2197" w:type="pct"/>
            <w:gridSpan w:val="4"/>
            <w:tcBorders>
              <w:top w:val="single" w:sz="4" w:space="0" w:color="auto"/>
              <w:left w:val="nil"/>
              <w:bottom w:val="single" w:sz="4" w:space="0" w:color="auto"/>
              <w:right w:val="single" w:sz="4" w:space="0" w:color="000000" w:themeColor="text1"/>
            </w:tcBorders>
            <w:shd w:val="clear" w:color="auto" w:fill="auto"/>
            <w:noWrap/>
            <w:vAlign w:val="center"/>
            <w:hideMark/>
          </w:tcPr>
          <w:p>
            <w:pPr>
              <w:keepNext/>
              <w:jc w:val="center"/>
              <w:rPr>
                <w:rFonts w:eastAsia="Times New Roman"/>
                <w:b/>
                <w:bCs/>
                <w:noProof/>
                <w:color w:val="000000" w:themeColor="text1"/>
                <w:sz w:val="20"/>
                <w:szCs w:val="20"/>
                <w:lang w:eastAsia="en-GB"/>
              </w:rPr>
            </w:pPr>
            <w:r>
              <w:rPr>
                <w:rFonts w:eastAsia="Times New Roman"/>
                <w:b/>
                <w:bCs/>
                <w:noProof/>
                <w:color w:val="000000" w:themeColor="text1"/>
                <w:sz w:val="20"/>
                <w:szCs w:val="20"/>
                <w:lang w:eastAsia="en-GB"/>
              </w:rPr>
              <w:t>2016</w:t>
            </w:r>
          </w:p>
        </w:tc>
        <w:tc>
          <w:tcPr>
            <w:tcW w:w="2008" w:type="pct"/>
            <w:gridSpan w:val="4"/>
            <w:tcBorders>
              <w:top w:val="single" w:sz="4" w:space="0" w:color="auto"/>
              <w:left w:val="nil"/>
              <w:bottom w:val="single" w:sz="4" w:space="0" w:color="auto"/>
              <w:right w:val="single" w:sz="4" w:space="0" w:color="000000" w:themeColor="text1"/>
            </w:tcBorders>
            <w:shd w:val="clear" w:color="auto" w:fill="auto"/>
            <w:noWrap/>
            <w:vAlign w:val="center"/>
            <w:hideMark/>
          </w:tcPr>
          <w:p>
            <w:pPr>
              <w:keepNext/>
              <w:jc w:val="center"/>
              <w:rPr>
                <w:rFonts w:eastAsia="Times New Roman"/>
                <w:b/>
                <w:bCs/>
                <w:noProof/>
                <w:color w:val="000000" w:themeColor="text1"/>
                <w:sz w:val="20"/>
                <w:szCs w:val="20"/>
                <w:lang w:eastAsia="en-GB"/>
              </w:rPr>
            </w:pPr>
            <w:r>
              <w:rPr>
                <w:rFonts w:eastAsia="Times New Roman"/>
                <w:b/>
                <w:bCs/>
                <w:noProof/>
                <w:color w:val="000000" w:themeColor="text1"/>
                <w:sz w:val="20"/>
                <w:szCs w:val="20"/>
                <w:lang w:eastAsia="en-GB"/>
              </w:rPr>
              <w:t>2017</w:t>
            </w:r>
          </w:p>
        </w:tc>
      </w:tr>
      <w:tr>
        <w:trPr>
          <w:trHeight w:val="300"/>
        </w:trPr>
        <w:tc>
          <w:tcPr>
            <w:tcW w:w="795" w:type="pct"/>
            <w:vMerge/>
            <w:tcBorders>
              <w:top w:val="single" w:sz="4" w:space="0" w:color="auto"/>
              <w:left w:val="single" w:sz="4" w:space="0" w:color="auto"/>
              <w:bottom w:val="single" w:sz="4" w:space="0" w:color="auto"/>
              <w:right w:val="single" w:sz="4" w:space="0" w:color="auto"/>
            </w:tcBorders>
            <w:vAlign w:val="center"/>
            <w:hideMark/>
          </w:tcPr>
          <w:p>
            <w:pPr>
              <w:keepNext/>
              <w:rPr>
                <w:rFonts w:eastAsia="Times New Roman"/>
                <w:b/>
                <w:bCs/>
                <w:noProof/>
                <w:color w:val="000000"/>
                <w:sz w:val="20"/>
                <w:szCs w:val="20"/>
                <w:lang w:eastAsia="en-GB"/>
              </w:rPr>
            </w:pPr>
          </w:p>
        </w:tc>
        <w:tc>
          <w:tcPr>
            <w:tcW w:w="572" w:type="pct"/>
            <w:tcBorders>
              <w:top w:val="nil"/>
              <w:left w:val="nil"/>
              <w:bottom w:val="single" w:sz="4" w:space="0" w:color="auto"/>
              <w:right w:val="single" w:sz="4" w:space="0" w:color="auto"/>
            </w:tcBorders>
            <w:shd w:val="clear" w:color="auto" w:fill="auto"/>
            <w:noWrap/>
            <w:vAlign w:val="center"/>
            <w:hideMark/>
          </w:tcPr>
          <w:p>
            <w:pPr>
              <w:keepNext/>
              <w:jc w:val="center"/>
              <w:rPr>
                <w:rFonts w:eastAsia="Times New Roman"/>
                <w:b/>
                <w:bCs/>
                <w:noProof/>
                <w:color w:val="000000" w:themeColor="text1"/>
                <w:sz w:val="20"/>
                <w:szCs w:val="20"/>
                <w:lang w:eastAsia="en-GB"/>
              </w:rPr>
            </w:pPr>
            <w:r>
              <w:rPr>
                <w:rFonts w:eastAsia="Times New Roman"/>
                <w:b/>
                <w:bCs/>
                <w:noProof/>
                <w:color w:val="000000" w:themeColor="text1"/>
                <w:sz w:val="20"/>
                <w:szCs w:val="20"/>
                <w:lang w:eastAsia="en-GB"/>
              </w:rPr>
              <w:t>Inward</w:t>
            </w:r>
          </w:p>
        </w:tc>
        <w:tc>
          <w:tcPr>
            <w:tcW w:w="697" w:type="pct"/>
            <w:tcBorders>
              <w:top w:val="nil"/>
              <w:left w:val="nil"/>
              <w:bottom w:val="single" w:sz="4" w:space="0" w:color="auto"/>
              <w:right w:val="single" w:sz="4" w:space="0" w:color="auto"/>
            </w:tcBorders>
            <w:shd w:val="clear" w:color="auto" w:fill="auto"/>
            <w:noWrap/>
            <w:vAlign w:val="center"/>
            <w:hideMark/>
          </w:tcPr>
          <w:p>
            <w:pPr>
              <w:keepNext/>
              <w:jc w:val="center"/>
              <w:rPr>
                <w:rFonts w:eastAsia="Times New Roman"/>
                <w:b/>
                <w:bCs/>
                <w:noProof/>
                <w:color w:val="000000" w:themeColor="text1"/>
                <w:sz w:val="20"/>
                <w:szCs w:val="20"/>
                <w:lang w:eastAsia="en-GB"/>
              </w:rPr>
            </w:pPr>
            <w:r>
              <w:rPr>
                <w:rFonts w:eastAsia="Times New Roman"/>
                <w:b/>
                <w:bCs/>
                <w:noProof/>
                <w:color w:val="000000" w:themeColor="text1"/>
                <w:sz w:val="20"/>
                <w:szCs w:val="20"/>
                <w:lang w:eastAsia="en-GB"/>
              </w:rPr>
              <w:t>Outward</w:t>
            </w:r>
          </w:p>
        </w:tc>
        <w:tc>
          <w:tcPr>
            <w:tcW w:w="500" w:type="pct"/>
            <w:tcBorders>
              <w:top w:val="nil"/>
              <w:left w:val="nil"/>
              <w:bottom w:val="single" w:sz="4" w:space="0" w:color="auto"/>
              <w:right w:val="single" w:sz="4" w:space="0" w:color="auto"/>
            </w:tcBorders>
            <w:shd w:val="clear" w:color="auto" w:fill="auto"/>
            <w:noWrap/>
            <w:vAlign w:val="center"/>
            <w:hideMark/>
          </w:tcPr>
          <w:p>
            <w:pPr>
              <w:keepNext/>
              <w:jc w:val="center"/>
              <w:rPr>
                <w:rFonts w:eastAsia="Times New Roman"/>
                <w:b/>
                <w:bCs/>
                <w:noProof/>
                <w:color w:val="000000" w:themeColor="text1"/>
                <w:sz w:val="20"/>
                <w:szCs w:val="20"/>
                <w:lang w:eastAsia="en-GB"/>
              </w:rPr>
            </w:pPr>
            <w:r>
              <w:rPr>
                <w:rFonts w:eastAsia="Times New Roman"/>
                <w:b/>
                <w:bCs/>
                <w:noProof/>
                <w:color w:val="000000" w:themeColor="text1"/>
                <w:sz w:val="20"/>
                <w:szCs w:val="20"/>
                <w:lang w:eastAsia="en-GB"/>
              </w:rPr>
              <w:t>Total</w:t>
            </w:r>
          </w:p>
        </w:tc>
        <w:tc>
          <w:tcPr>
            <w:tcW w:w="428" w:type="pct"/>
            <w:tcBorders>
              <w:top w:val="nil"/>
              <w:left w:val="nil"/>
              <w:bottom w:val="single" w:sz="4" w:space="0" w:color="auto"/>
              <w:right w:val="single" w:sz="4" w:space="0" w:color="auto"/>
            </w:tcBorders>
            <w:shd w:val="clear" w:color="auto" w:fill="auto"/>
            <w:noWrap/>
            <w:vAlign w:val="center"/>
            <w:hideMark/>
          </w:tcPr>
          <w:p>
            <w:pPr>
              <w:keepNext/>
              <w:jc w:val="center"/>
              <w:rPr>
                <w:rFonts w:eastAsia="Times New Roman"/>
                <w:b/>
                <w:bCs/>
                <w:noProof/>
                <w:color w:val="000000" w:themeColor="text1"/>
                <w:sz w:val="20"/>
                <w:szCs w:val="20"/>
                <w:lang w:eastAsia="en-GB"/>
              </w:rPr>
            </w:pPr>
            <w:r>
              <w:rPr>
                <w:rFonts w:eastAsia="Times New Roman"/>
                <w:b/>
                <w:bCs/>
                <w:noProof/>
                <w:color w:val="000000" w:themeColor="text1"/>
                <w:sz w:val="20"/>
                <w:szCs w:val="20"/>
                <w:lang w:eastAsia="en-GB"/>
              </w:rPr>
              <w:t>%</w:t>
            </w:r>
          </w:p>
        </w:tc>
        <w:tc>
          <w:tcPr>
            <w:tcW w:w="488" w:type="pct"/>
            <w:tcBorders>
              <w:top w:val="nil"/>
              <w:left w:val="nil"/>
              <w:bottom w:val="single" w:sz="4" w:space="0" w:color="auto"/>
              <w:right w:val="single" w:sz="4" w:space="0" w:color="auto"/>
            </w:tcBorders>
            <w:shd w:val="clear" w:color="auto" w:fill="auto"/>
            <w:noWrap/>
            <w:vAlign w:val="center"/>
            <w:hideMark/>
          </w:tcPr>
          <w:p>
            <w:pPr>
              <w:keepNext/>
              <w:jc w:val="center"/>
              <w:rPr>
                <w:rFonts w:eastAsia="Times New Roman"/>
                <w:b/>
                <w:bCs/>
                <w:noProof/>
                <w:color w:val="000000" w:themeColor="text1"/>
                <w:sz w:val="20"/>
                <w:szCs w:val="20"/>
                <w:lang w:eastAsia="en-GB"/>
              </w:rPr>
            </w:pPr>
            <w:r>
              <w:rPr>
                <w:rFonts w:eastAsia="Times New Roman"/>
                <w:b/>
                <w:bCs/>
                <w:noProof/>
                <w:color w:val="000000" w:themeColor="text1"/>
                <w:sz w:val="20"/>
                <w:szCs w:val="20"/>
                <w:lang w:eastAsia="en-GB"/>
              </w:rPr>
              <w:t>Inward</w:t>
            </w:r>
          </w:p>
        </w:tc>
        <w:tc>
          <w:tcPr>
            <w:tcW w:w="594" w:type="pct"/>
            <w:tcBorders>
              <w:top w:val="nil"/>
              <w:left w:val="nil"/>
              <w:bottom w:val="single" w:sz="4" w:space="0" w:color="auto"/>
              <w:right w:val="single" w:sz="4" w:space="0" w:color="auto"/>
            </w:tcBorders>
            <w:shd w:val="clear" w:color="auto" w:fill="auto"/>
            <w:noWrap/>
            <w:vAlign w:val="center"/>
            <w:hideMark/>
          </w:tcPr>
          <w:p>
            <w:pPr>
              <w:keepNext/>
              <w:jc w:val="center"/>
              <w:rPr>
                <w:rFonts w:eastAsia="Times New Roman"/>
                <w:b/>
                <w:bCs/>
                <w:noProof/>
                <w:color w:val="000000" w:themeColor="text1"/>
                <w:sz w:val="20"/>
                <w:szCs w:val="20"/>
                <w:lang w:eastAsia="en-GB"/>
              </w:rPr>
            </w:pPr>
            <w:r>
              <w:rPr>
                <w:rFonts w:eastAsia="Times New Roman"/>
                <w:b/>
                <w:bCs/>
                <w:noProof/>
                <w:color w:val="000000" w:themeColor="text1"/>
                <w:sz w:val="20"/>
                <w:szCs w:val="20"/>
                <w:lang w:eastAsia="en-GB"/>
              </w:rPr>
              <w:t>Outward</w:t>
            </w:r>
          </w:p>
        </w:tc>
        <w:tc>
          <w:tcPr>
            <w:tcW w:w="528" w:type="pct"/>
            <w:tcBorders>
              <w:top w:val="nil"/>
              <w:left w:val="nil"/>
              <w:bottom w:val="single" w:sz="4" w:space="0" w:color="auto"/>
              <w:right w:val="single" w:sz="4" w:space="0" w:color="auto"/>
            </w:tcBorders>
            <w:shd w:val="clear" w:color="auto" w:fill="auto"/>
            <w:vAlign w:val="center"/>
            <w:hideMark/>
          </w:tcPr>
          <w:p>
            <w:pPr>
              <w:keepNext/>
              <w:jc w:val="center"/>
              <w:rPr>
                <w:rFonts w:eastAsia="Times New Roman"/>
                <w:b/>
                <w:bCs/>
                <w:noProof/>
                <w:color w:val="000000" w:themeColor="text1"/>
                <w:sz w:val="20"/>
                <w:szCs w:val="20"/>
                <w:lang w:eastAsia="en-GB"/>
              </w:rPr>
            </w:pPr>
            <w:r>
              <w:rPr>
                <w:rFonts w:eastAsia="Times New Roman"/>
                <w:b/>
                <w:bCs/>
                <w:noProof/>
                <w:color w:val="000000" w:themeColor="text1"/>
                <w:sz w:val="20"/>
                <w:szCs w:val="20"/>
                <w:lang w:eastAsia="en-GB"/>
              </w:rPr>
              <w:t>Total</w:t>
            </w:r>
          </w:p>
        </w:tc>
        <w:tc>
          <w:tcPr>
            <w:tcW w:w="398" w:type="pct"/>
            <w:tcBorders>
              <w:top w:val="nil"/>
              <w:left w:val="nil"/>
              <w:bottom w:val="single" w:sz="4" w:space="0" w:color="auto"/>
              <w:right w:val="single" w:sz="4" w:space="0" w:color="auto"/>
            </w:tcBorders>
            <w:shd w:val="clear" w:color="auto" w:fill="auto"/>
            <w:vAlign w:val="center"/>
            <w:hideMark/>
          </w:tcPr>
          <w:p>
            <w:pPr>
              <w:keepNext/>
              <w:jc w:val="center"/>
              <w:rPr>
                <w:rFonts w:eastAsia="Times New Roman"/>
                <w:b/>
                <w:bCs/>
                <w:noProof/>
                <w:color w:val="000000" w:themeColor="text1"/>
                <w:sz w:val="20"/>
                <w:szCs w:val="20"/>
                <w:lang w:eastAsia="en-GB"/>
              </w:rPr>
            </w:pPr>
            <w:r>
              <w:rPr>
                <w:rFonts w:eastAsia="Times New Roman"/>
                <w:b/>
                <w:bCs/>
                <w:noProof/>
                <w:color w:val="000000" w:themeColor="text1"/>
                <w:sz w:val="20"/>
                <w:szCs w:val="20"/>
                <w:lang w:eastAsia="en-GB"/>
              </w:rPr>
              <w:t>%</w:t>
            </w:r>
          </w:p>
        </w:tc>
      </w:tr>
      <w:tr>
        <w:trPr>
          <w:cantSplit/>
          <w:trHeight w:val="300"/>
        </w:trPr>
        <w:tc>
          <w:tcPr>
            <w:tcW w:w="795" w:type="pct"/>
            <w:tcBorders>
              <w:top w:val="nil"/>
              <w:left w:val="single" w:sz="4" w:space="0" w:color="auto"/>
              <w:bottom w:val="single" w:sz="4" w:space="0" w:color="auto"/>
              <w:right w:val="single" w:sz="4" w:space="0" w:color="auto"/>
            </w:tcBorders>
            <w:shd w:val="clear" w:color="auto" w:fill="auto"/>
            <w:noWrap/>
            <w:vAlign w:val="center"/>
            <w:hideMark/>
          </w:tcPr>
          <w:p>
            <w:pPr>
              <w:keepNext/>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Costa Rica</w:t>
            </w:r>
          </w:p>
        </w:tc>
        <w:tc>
          <w:tcPr>
            <w:tcW w:w="572" w:type="pct"/>
            <w:tcBorders>
              <w:top w:val="nil"/>
              <w:left w:val="nil"/>
              <w:bottom w:val="single" w:sz="4" w:space="0" w:color="auto"/>
              <w:right w:val="single" w:sz="4" w:space="0" w:color="auto"/>
            </w:tcBorders>
            <w:shd w:val="clear" w:color="auto" w:fill="auto"/>
            <w:noWrap/>
            <w:vAlign w:val="center"/>
            <w:hideMark/>
          </w:tcPr>
          <w:p>
            <w:pPr>
              <w:keepNext/>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1 157</w:t>
            </w:r>
          </w:p>
        </w:tc>
        <w:tc>
          <w:tcPr>
            <w:tcW w:w="697" w:type="pct"/>
            <w:tcBorders>
              <w:top w:val="nil"/>
              <w:left w:val="nil"/>
              <w:bottom w:val="single" w:sz="4" w:space="0" w:color="auto"/>
              <w:right w:val="single" w:sz="4" w:space="0" w:color="auto"/>
            </w:tcBorders>
            <w:shd w:val="clear" w:color="auto" w:fill="auto"/>
            <w:noWrap/>
            <w:vAlign w:val="center"/>
            <w:hideMark/>
          </w:tcPr>
          <w:p>
            <w:pPr>
              <w:keepNext/>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3 499</w:t>
            </w:r>
          </w:p>
        </w:tc>
        <w:tc>
          <w:tcPr>
            <w:tcW w:w="500" w:type="pct"/>
            <w:tcBorders>
              <w:top w:val="nil"/>
              <w:left w:val="nil"/>
              <w:bottom w:val="single" w:sz="4" w:space="0" w:color="auto"/>
              <w:right w:val="single" w:sz="4" w:space="0" w:color="auto"/>
            </w:tcBorders>
            <w:shd w:val="clear" w:color="auto" w:fill="auto"/>
            <w:noWrap/>
            <w:vAlign w:val="center"/>
            <w:hideMark/>
          </w:tcPr>
          <w:p>
            <w:pPr>
              <w:keepNext/>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4 656</w:t>
            </w:r>
          </w:p>
        </w:tc>
        <w:tc>
          <w:tcPr>
            <w:tcW w:w="428" w:type="pct"/>
            <w:tcBorders>
              <w:top w:val="nil"/>
              <w:left w:val="nil"/>
              <w:bottom w:val="single" w:sz="4" w:space="0" w:color="auto"/>
              <w:right w:val="single" w:sz="4" w:space="0" w:color="auto"/>
            </w:tcBorders>
            <w:shd w:val="clear" w:color="auto" w:fill="auto"/>
            <w:noWrap/>
            <w:vAlign w:val="center"/>
            <w:hideMark/>
          </w:tcPr>
          <w:p>
            <w:pPr>
              <w:keepNext/>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8%</w:t>
            </w:r>
          </w:p>
        </w:tc>
        <w:tc>
          <w:tcPr>
            <w:tcW w:w="488" w:type="pct"/>
            <w:tcBorders>
              <w:top w:val="nil"/>
              <w:left w:val="nil"/>
              <w:bottom w:val="single" w:sz="4" w:space="0" w:color="auto"/>
              <w:right w:val="single" w:sz="4" w:space="0" w:color="auto"/>
            </w:tcBorders>
            <w:shd w:val="clear" w:color="auto" w:fill="auto"/>
            <w:noWrap/>
            <w:vAlign w:val="center"/>
            <w:hideMark/>
          </w:tcPr>
          <w:p>
            <w:pPr>
              <w:keepNext/>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1 272</w:t>
            </w:r>
          </w:p>
        </w:tc>
        <w:tc>
          <w:tcPr>
            <w:tcW w:w="594" w:type="pct"/>
            <w:tcBorders>
              <w:top w:val="nil"/>
              <w:left w:val="nil"/>
              <w:bottom w:val="single" w:sz="4" w:space="0" w:color="auto"/>
              <w:right w:val="single" w:sz="4" w:space="0" w:color="auto"/>
            </w:tcBorders>
            <w:shd w:val="clear" w:color="auto" w:fill="auto"/>
            <w:noWrap/>
            <w:vAlign w:val="center"/>
            <w:hideMark/>
          </w:tcPr>
          <w:p>
            <w:pPr>
              <w:keepNext/>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3 113</w:t>
            </w:r>
          </w:p>
        </w:tc>
        <w:tc>
          <w:tcPr>
            <w:tcW w:w="528" w:type="pct"/>
            <w:tcBorders>
              <w:top w:val="nil"/>
              <w:left w:val="nil"/>
              <w:bottom w:val="single" w:sz="4" w:space="0" w:color="auto"/>
              <w:right w:val="single" w:sz="4" w:space="0" w:color="auto"/>
            </w:tcBorders>
            <w:shd w:val="clear" w:color="auto" w:fill="auto"/>
            <w:vAlign w:val="center"/>
            <w:hideMark/>
          </w:tcPr>
          <w:p>
            <w:pPr>
              <w:keepNext/>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4 385</w:t>
            </w:r>
          </w:p>
        </w:tc>
        <w:tc>
          <w:tcPr>
            <w:tcW w:w="398" w:type="pct"/>
            <w:tcBorders>
              <w:top w:val="nil"/>
              <w:left w:val="nil"/>
              <w:bottom w:val="single" w:sz="4" w:space="0" w:color="auto"/>
              <w:right w:val="single" w:sz="4" w:space="0" w:color="auto"/>
            </w:tcBorders>
            <w:shd w:val="clear" w:color="auto" w:fill="auto"/>
            <w:vAlign w:val="center"/>
            <w:hideMark/>
          </w:tcPr>
          <w:p>
            <w:pPr>
              <w:keepNext/>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10%</w:t>
            </w:r>
          </w:p>
        </w:tc>
      </w:tr>
      <w:tr>
        <w:trPr>
          <w:cantSplit/>
          <w:trHeight w:val="300"/>
        </w:trPr>
        <w:tc>
          <w:tcPr>
            <w:tcW w:w="795" w:type="pct"/>
            <w:tcBorders>
              <w:top w:val="nil"/>
              <w:left w:val="single" w:sz="4" w:space="0" w:color="auto"/>
              <w:bottom w:val="single" w:sz="4" w:space="0" w:color="auto"/>
              <w:right w:val="single" w:sz="4" w:space="0" w:color="auto"/>
            </w:tcBorders>
            <w:shd w:val="clear" w:color="auto" w:fill="auto"/>
            <w:noWrap/>
            <w:vAlign w:val="center"/>
            <w:hideMark/>
          </w:tcPr>
          <w:p>
            <w:pPr>
              <w:keepNext/>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El Salvador</w:t>
            </w:r>
          </w:p>
        </w:tc>
        <w:tc>
          <w:tcPr>
            <w:tcW w:w="572" w:type="pct"/>
            <w:tcBorders>
              <w:top w:val="nil"/>
              <w:left w:val="nil"/>
              <w:bottom w:val="single" w:sz="4" w:space="0" w:color="auto"/>
              <w:right w:val="single" w:sz="4" w:space="0" w:color="auto"/>
            </w:tcBorders>
            <w:shd w:val="clear" w:color="auto" w:fill="auto"/>
            <w:noWrap/>
            <w:vAlign w:val="center"/>
            <w:hideMark/>
          </w:tcPr>
          <w:p>
            <w:pPr>
              <w:keepNext/>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29</w:t>
            </w:r>
          </w:p>
        </w:tc>
        <w:tc>
          <w:tcPr>
            <w:tcW w:w="697" w:type="pct"/>
            <w:tcBorders>
              <w:top w:val="nil"/>
              <w:left w:val="nil"/>
              <w:bottom w:val="single" w:sz="4" w:space="0" w:color="auto"/>
              <w:right w:val="single" w:sz="4" w:space="0" w:color="auto"/>
            </w:tcBorders>
            <w:shd w:val="clear" w:color="auto" w:fill="auto"/>
            <w:noWrap/>
            <w:vAlign w:val="center"/>
            <w:hideMark/>
          </w:tcPr>
          <w:p>
            <w:pPr>
              <w:keepNext/>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984</w:t>
            </w:r>
          </w:p>
        </w:tc>
        <w:tc>
          <w:tcPr>
            <w:tcW w:w="500" w:type="pct"/>
            <w:tcBorders>
              <w:top w:val="nil"/>
              <w:left w:val="nil"/>
              <w:bottom w:val="single" w:sz="4" w:space="0" w:color="auto"/>
              <w:right w:val="single" w:sz="4" w:space="0" w:color="auto"/>
            </w:tcBorders>
            <w:shd w:val="clear" w:color="auto" w:fill="auto"/>
            <w:noWrap/>
            <w:vAlign w:val="center"/>
            <w:hideMark/>
          </w:tcPr>
          <w:p>
            <w:pPr>
              <w:keepNext/>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1 013</w:t>
            </w:r>
          </w:p>
        </w:tc>
        <w:tc>
          <w:tcPr>
            <w:tcW w:w="428" w:type="pct"/>
            <w:tcBorders>
              <w:top w:val="nil"/>
              <w:left w:val="nil"/>
              <w:bottom w:val="single" w:sz="4" w:space="0" w:color="auto"/>
              <w:right w:val="single" w:sz="4" w:space="0" w:color="auto"/>
            </w:tcBorders>
            <w:shd w:val="clear" w:color="auto" w:fill="auto"/>
            <w:noWrap/>
            <w:vAlign w:val="center"/>
            <w:hideMark/>
          </w:tcPr>
          <w:p>
            <w:pPr>
              <w:keepNext/>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2%</w:t>
            </w:r>
          </w:p>
        </w:tc>
        <w:tc>
          <w:tcPr>
            <w:tcW w:w="488" w:type="pct"/>
            <w:tcBorders>
              <w:top w:val="nil"/>
              <w:left w:val="nil"/>
              <w:bottom w:val="single" w:sz="4" w:space="0" w:color="auto"/>
              <w:right w:val="single" w:sz="4" w:space="0" w:color="auto"/>
            </w:tcBorders>
            <w:shd w:val="clear" w:color="auto" w:fill="auto"/>
            <w:noWrap/>
            <w:vAlign w:val="center"/>
            <w:hideMark/>
          </w:tcPr>
          <w:p>
            <w:pPr>
              <w:keepNext/>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147</w:t>
            </w:r>
          </w:p>
        </w:tc>
        <w:tc>
          <w:tcPr>
            <w:tcW w:w="594" w:type="pct"/>
            <w:tcBorders>
              <w:top w:val="nil"/>
              <w:left w:val="nil"/>
              <w:bottom w:val="single" w:sz="4" w:space="0" w:color="auto"/>
              <w:right w:val="single" w:sz="4" w:space="0" w:color="auto"/>
            </w:tcBorders>
            <w:shd w:val="clear" w:color="auto" w:fill="auto"/>
            <w:noWrap/>
            <w:vAlign w:val="center"/>
            <w:hideMark/>
          </w:tcPr>
          <w:p>
            <w:pPr>
              <w:keepNext/>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854</w:t>
            </w:r>
          </w:p>
        </w:tc>
        <w:tc>
          <w:tcPr>
            <w:tcW w:w="528" w:type="pct"/>
            <w:tcBorders>
              <w:top w:val="nil"/>
              <w:left w:val="nil"/>
              <w:bottom w:val="single" w:sz="4" w:space="0" w:color="auto"/>
              <w:right w:val="single" w:sz="4" w:space="0" w:color="auto"/>
            </w:tcBorders>
            <w:shd w:val="clear" w:color="auto" w:fill="auto"/>
            <w:vAlign w:val="center"/>
            <w:hideMark/>
          </w:tcPr>
          <w:p>
            <w:pPr>
              <w:keepNext/>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1 001</w:t>
            </w:r>
          </w:p>
        </w:tc>
        <w:tc>
          <w:tcPr>
            <w:tcW w:w="398" w:type="pct"/>
            <w:tcBorders>
              <w:top w:val="nil"/>
              <w:left w:val="nil"/>
              <w:bottom w:val="single" w:sz="4" w:space="0" w:color="auto"/>
              <w:right w:val="single" w:sz="4" w:space="0" w:color="auto"/>
            </w:tcBorders>
            <w:shd w:val="clear" w:color="auto" w:fill="auto"/>
            <w:vAlign w:val="center"/>
            <w:hideMark/>
          </w:tcPr>
          <w:p>
            <w:pPr>
              <w:keepNext/>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2%</w:t>
            </w:r>
          </w:p>
        </w:tc>
      </w:tr>
      <w:tr>
        <w:trPr>
          <w:cantSplit/>
          <w:trHeight w:val="300"/>
        </w:trPr>
        <w:tc>
          <w:tcPr>
            <w:tcW w:w="795" w:type="pct"/>
            <w:tcBorders>
              <w:top w:val="nil"/>
              <w:left w:val="single" w:sz="4" w:space="0" w:color="auto"/>
              <w:bottom w:val="single" w:sz="4" w:space="0" w:color="auto"/>
              <w:right w:val="single" w:sz="4" w:space="0" w:color="auto"/>
            </w:tcBorders>
            <w:shd w:val="clear" w:color="auto" w:fill="auto"/>
            <w:noWrap/>
            <w:vAlign w:val="center"/>
            <w:hideMark/>
          </w:tcPr>
          <w:p>
            <w:pPr>
              <w:keepNext/>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Guatemala</w:t>
            </w:r>
          </w:p>
        </w:tc>
        <w:tc>
          <w:tcPr>
            <w:tcW w:w="572" w:type="pct"/>
            <w:tcBorders>
              <w:top w:val="nil"/>
              <w:left w:val="nil"/>
              <w:bottom w:val="single" w:sz="4" w:space="0" w:color="auto"/>
              <w:right w:val="single" w:sz="4" w:space="0" w:color="auto"/>
            </w:tcBorders>
            <w:shd w:val="clear" w:color="auto" w:fill="auto"/>
            <w:noWrap/>
            <w:vAlign w:val="center"/>
            <w:hideMark/>
          </w:tcPr>
          <w:p>
            <w:pPr>
              <w:keepNext/>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1 374</w:t>
            </w:r>
          </w:p>
        </w:tc>
        <w:tc>
          <w:tcPr>
            <w:tcW w:w="697" w:type="pct"/>
            <w:tcBorders>
              <w:top w:val="nil"/>
              <w:left w:val="nil"/>
              <w:bottom w:val="single" w:sz="4" w:space="0" w:color="auto"/>
              <w:right w:val="single" w:sz="4" w:space="0" w:color="auto"/>
            </w:tcBorders>
            <w:shd w:val="clear" w:color="auto" w:fill="auto"/>
            <w:noWrap/>
            <w:vAlign w:val="center"/>
            <w:hideMark/>
          </w:tcPr>
          <w:p>
            <w:pPr>
              <w:keepNext/>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2 387</w:t>
            </w:r>
          </w:p>
        </w:tc>
        <w:tc>
          <w:tcPr>
            <w:tcW w:w="500" w:type="pct"/>
            <w:tcBorders>
              <w:top w:val="nil"/>
              <w:left w:val="nil"/>
              <w:bottom w:val="single" w:sz="4" w:space="0" w:color="auto"/>
              <w:right w:val="single" w:sz="4" w:space="0" w:color="auto"/>
            </w:tcBorders>
            <w:shd w:val="clear" w:color="auto" w:fill="auto"/>
            <w:noWrap/>
            <w:vAlign w:val="center"/>
            <w:hideMark/>
          </w:tcPr>
          <w:p>
            <w:pPr>
              <w:keepNext/>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3 761</w:t>
            </w:r>
          </w:p>
        </w:tc>
        <w:tc>
          <w:tcPr>
            <w:tcW w:w="428" w:type="pct"/>
            <w:tcBorders>
              <w:top w:val="nil"/>
              <w:left w:val="nil"/>
              <w:bottom w:val="single" w:sz="4" w:space="0" w:color="auto"/>
              <w:right w:val="single" w:sz="4" w:space="0" w:color="auto"/>
            </w:tcBorders>
            <w:shd w:val="clear" w:color="auto" w:fill="auto"/>
            <w:noWrap/>
            <w:vAlign w:val="center"/>
            <w:hideMark/>
          </w:tcPr>
          <w:p>
            <w:pPr>
              <w:keepNext/>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6%</w:t>
            </w:r>
          </w:p>
        </w:tc>
        <w:tc>
          <w:tcPr>
            <w:tcW w:w="488" w:type="pct"/>
            <w:tcBorders>
              <w:top w:val="nil"/>
              <w:left w:val="nil"/>
              <w:bottom w:val="single" w:sz="4" w:space="0" w:color="auto"/>
              <w:right w:val="single" w:sz="4" w:space="0" w:color="auto"/>
            </w:tcBorders>
            <w:shd w:val="clear" w:color="auto" w:fill="auto"/>
            <w:noWrap/>
            <w:vAlign w:val="center"/>
            <w:hideMark/>
          </w:tcPr>
          <w:p>
            <w:pPr>
              <w:keepNext/>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2 729</w:t>
            </w:r>
          </w:p>
        </w:tc>
        <w:tc>
          <w:tcPr>
            <w:tcW w:w="594" w:type="pct"/>
            <w:tcBorders>
              <w:top w:val="nil"/>
              <w:left w:val="nil"/>
              <w:bottom w:val="single" w:sz="4" w:space="0" w:color="auto"/>
              <w:right w:val="single" w:sz="4" w:space="0" w:color="auto"/>
            </w:tcBorders>
            <w:shd w:val="clear" w:color="auto" w:fill="auto"/>
            <w:noWrap/>
            <w:vAlign w:val="center"/>
            <w:hideMark/>
          </w:tcPr>
          <w:p>
            <w:pPr>
              <w:keepNext/>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2 615</w:t>
            </w:r>
          </w:p>
        </w:tc>
        <w:tc>
          <w:tcPr>
            <w:tcW w:w="528" w:type="pct"/>
            <w:tcBorders>
              <w:top w:val="nil"/>
              <w:left w:val="nil"/>
              <w:bottom w:val="single" w:sz="4" w:space="0" w:color="auto"/>
              <w:right w:val="single" w:sz="4" w:space="0" w:color="auto"/>
            </w:tcBorders>
            <w:shd w:val="clear" w:color="auto" w:fill="auto"/>
            <w:vAlign w:val="center"/>
            <w:hideMark/>
          </w:tcPr>
          <w:p>
            <w:pPr>
              <w:keepNext/>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5 344</w:t>
            </w:r>
          </w:p>
        </w:tc>
        <w:tc>
          <w:tcPr>
            <w:tcW w:w="398" w:type="pct"/>
            <w:tcBorders>
              <w:top w:val="nil"/>
              <w:left w:val="nil"/>
              <w:bottom w:val="single" w:sz="4" w:space="0" w:color="auto"/>
              <w:right w:val="single" w:sz="4" w:space="0" w:color="auto"/>
            </w:tcBorders>
            <w:shd w:val="clear" w:color="auto" w:fill="auto"/>
            <w:vAlign w:val="center"/>
            <w:hideMark/>
          </w:tcPr>
          <w:p>
            <w:pPr>
              <w:keepNext/>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12%</w:t>
            </w:r>
          </w:p>
        </w:tc>
      </w:tr>
      <w:tr>
        <w:trPr>
          <w:cantSplit/>
          <w:trHeight w:val="300"/>
        </w:trPr>
        <w:tc>
          <w:tcPr>
            <w:tcW w:w="795" w:type="pct"/>
            <w:tcBorders>
              <w:top w:val="nil"/>
              <w:left w:val="single" w:sz="4" w:space="0" w:color="auto"/>
              <w:bottom w:val="single" w:sz="4" w:space="0" w:color="auto"/>
              <w:right w:val="single" w:sz="4" w:space="0" w:color="auto"/>
            </w:tcBorders>
            <w:shd w:val="clear" w:color="auto" w:fill="auto"/>
            <w:noWrap/>
            <w:vAlign w:val="center"/>
            <w:hideMark/>
          </w:tcPr>
          <w:p>
            <w:pPr>
              <w:keepNext/>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Honduras</w:t>
            </w:r>
          </w:p>
        </w:tc>
        <w:tc>
          <w:tcPr>
            <w:tcW w:w="572" w:type="pct"/>
            <w:tcBorders>
              <w:top w:val="nil"/>
              <w:left w:val="nil"/>
              <w:bottom w:val="single" w:sz="4" w:space="0" w:color="auto"/>
              <w:right w:val="single" w:sz="4" w:space="0" w:color="auto"/>
            </w:tcBorders>
            <w:shd w:val="clear" w:color="auto" w:fill="auto"/>
            <w:noWrap/>
            <w:vAlign w:val="center"/>
            <w:hideMark/>
          </w:tcPr>
          <w:p>
            <w:pPr>
              <w:keepNext/>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15</w:t>
            </w:r>
          </w:p>
        </w:tc>
        <w:tc>
          <w:tcPr>
            <w:tcW w:w="697" w:type="pct"/>
            <w:tcBorders>
              <w:top w:val="nil"/>
              <w:left w:val="nil"/>
              <w:bottom w:val="single" w:sz="4" w:space="0" w:color="auto"/>
              <w:right w:val="single" w:sz="4" w:space="0" w:color="auto"/>
            </w:tcBorders>
            <w:shd w:val="clear" w:color="auto" w:fill="auto"/>
            <w:noWrap/>
            <w:vAlign w:val="center"/>
            <w:hideMark/>
          </w:tcPr>
          <w:p>
            <w:pPr>
              <w:keepNext/>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480</w:t>
            </w:r>
          </w:p>
        </w:tc>
        <w:tc>
          <w:tcPr>
            <w:tcW w:w="500" w:type="pct"/>
            <w:tcBorders>
              <w:top w:val="nil"/>
              <w:left w:val="nil"/>
              <w:bottom w:val="single" w:sz="4" w:space="0" w:color="auto"/>
              <w:right w:val="single" w:sz="4" w:space="0" w:color="auto"/>
            </w:tcBorders>
            <w:shd w:val="clear" w:color="auto" w:fill="auto"/>
            <w:noWrap/>
            <w:vAlign w:val="center"/>
            <w:hideMark/>
          </w:tcPr>
          <w:p>
            <w:pPr>
              <w:keepNext/>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495</w:t>
            </w:r>
          </w:p>
        </w:tc>
        <w:tc>
          <w:tcPr>
            <w:tcW w:w="428" w:type="pct"/>
            <w:tcBorders>
              <w:top w:val="nil"/>
              <w:left w:val="nil"/>
              <w:bottom w:val="single" w:sz="4" w:space="0" w:color="auto"/>
              <w:right w:val="single" w:sz="4" w:space="0" w:color="auto"/>
            </w:tcBorders>
            <w:shd w:val="clear" w:color="auto" w:fill="auto"/>
            <w:noWrap/>
            <w:vAlign w:val="center"/>
            <w:hideMark/>
          </w:tcPr>
          <w:p>
            <w:pPr>
              <w:keepNext/>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1%</w:t>
            </w:r>
          </w:p>
        </w:tc>
        <w:tc>
          <w:tcPr>
            <w:tcW w:w="488" w:type="pct"/>
            <w:tcBorders>
              <w:top w:val="nil"/>
              <w:left w:val="nil"/>
              <w:bottom w:val="single" w:sz="4" w:space="0" w:color="auto"/>
              <w:right w:val="single" w:sz="4" w:space="0" w:color="auto"/>
            </w:tcBorders>
            <w:shd w:val="clear" w:color="auto" w:fill="auto"/>
            <w:noWrap/>
            <w:vAlign w:val="center"/>
            <w:hideMark/>
          </w:tcPr>
          <w:p>
            <w:pPr>
              <w:keepNext/>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32</w:t>
            </w:r>
          </w:p>
        </w:tc>
        <w:tc>
          <w:tcPr>
            <w:tcW w:w="594" w:type="pct"/>
            <w:tcBorders>
              <w:top w:val="nil"/>
              <w:left w:val="nil"/>
              <w:bottom w:val="single" w:sz="4" w:space="0" w:color="auto"/>
              <w:right w:val="single" w:sz="4" w:space="0" w:color="auto"/>
            </w:tcBorders>
            <w:shd w:val="clear" w:color="auto" w:fill="auto"/>
            <w:noWrap/>
            <w:vAlign w:val="center"/>
            <w:hideMark/>
          </w:tcPr>
          <w:p>
            <w:pPr>
              <w:keepNext/>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384</w:t>
            </w:r>
          </w:p>
        </w:tc>
        <w:tc>
          <w:tcPr>
            <w:tcW w:w="528" w:type="pct"/>
            <w:tcBorders>
              <w:top w:val="nil"/>
              <w:left w:val="nil"/>
              <w:bottom w:val="single" w:sz="4" w:space="0" w:color="auto"/>
              <w:right w:val="single" w:sz="4" w:space="0" w:color="auto"/>
            </w:tcBorders>
            <w:shd w:val="clear" w:color="auto" w:fill="auto"/>
            <w:vAlign w:val="center"/>
            <w:hideMark/>
          </w:tcPr>
          <w:p>
            <w:pPr>
              <w:keepNext/>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416</w:t>
            </w:r>
          </w:p>
        </w:tc>
        <w:tc>
          <w:tcPr>
            <w:tcW w:w="398" w:type="pct"/>
            <w:tcBorders>
              <w:top w:val="nil"/>
              <w:left w:val="nil"/>
              <w:bottom w:val="single" w:sz="4" w:space="0" w:color="auto"/>
              <w:right w:val="single" w:sz="4" w:space="0" w:color="auto"/>
            </w:tcBorders>
            <w:shd w:val="clear" w:color="auto" w:fill="auto"/>
            <w:vAlign w:val="center"/>
            <w:hideMark/>
          </w:tcPr>
          <w:p>
            <w:pPr>
              <w:keepNext/>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1%</w:t>
            </w:r>
          </w:p>
        </w:tc>
      </w:tr>
      <w:tr>
        <w:trPr>
          <w:cantSplit/>
          <w:trHeight w:val="300"/>
        </w:trPr>
        <w:tc>
          <w:tcPr>
            <w:tcW w:w="795" w:type="pct"/>
            <w:tcBorders>
              <w:top w:val="nil"/>
              <w:left w:val="single" w:sz="4" w:space="0" w:color="auto"/>
              <w:bottom w:val="single" w:sz="4" w:space="0" w:color="auto"/>
              <w:right w:val="single" w:sz="4" w:space="0" w:color="auto"/>
            </w:tcBorders>
            <w:shd w:val="clear" w:color="auto" w:fill="auto"/>
            <w:noWrap/>
            <w:vAlign w:val="center"/>
            <w:hideMark/>
          </w:tcPr>
          <w:p>
            <w:pPr>
              <w:keepNext/>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Nicaragua</w:t>
            </w:r>
          </w:p>
        </w:tc>
        <w:tc>
          <w:tcPr>
            <w:tcW w:w="572" w:type="pct"/>
            <w:tcBorders>
              <w:top w:val="nil"/>
              <w:left w:val="nil"/>
              <w:bottom w:val="single" w:sz="4" w:space="0" w:color="auto"/>
              <w:right w:val="single" w:sz="4" w:space="0" w:color="auto"/>
            </w:tcBorders>
            <w:shd w:val="clear" w:color="auto" w:fill="auto"/>
            <w:noWrap/>
            <w:vAlign w:val="center"/>
            <w:hideMark/>
          </w:tcPr>
          <w:p>
            <w:pPr>
              <w:keepNext/>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57</w:t>
            </w:r>
          </w:p>
        </w:tc>
        <w:tc>
          <w:tcPr>
            <w:tcW w:w="697" w:type="pct"/>
            <w:tcBorders>
              <w:top w:val="nil"/>
              <w:left w:val="nil"/>
              <w:bottom w:val="single" w:sz="4" w:space="0" w:color="auto"/>
              <w:right w:val="single" w:sz="4" w:space="0" w:color="auto"/>
            </w:tcBorders>
            <w:shd w:val="clear" w:color="auto" w:fill="auto"/>
            <w:noWrap/>
            <w:vAlign w:val="center"/>
            <w:hideMark/>
          </w:tcPr>
          <w:p>
            <w:pPr>
              <w:keepNext/>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345</w:t>
            </w:r>
          </w:p>
        </w:tc>
        <w:tc>
          <w:tcPr>
            <w:tcW w:w="500" w:type="pct"/>
            <w:tcBorders>
              <w:top w:val="nil"/>
              <w:left w:val="nil"/>
              <w:bottom w:val="single" w:sz="4" w:space="0" w:color="auto"/>
              <w:right w:val="single" w:sz="4" w:space="0" w:color="auto"/>
            </w:tcBorders>
            <w:shd w:val="clear" w:color="auto" w:fill="auto"/>
            <w:noWrap/>
            <w:vAlign w:val="center"/>
            <w:hideMark/>
          </w:tcPr>
          <w:p>
            <w:pPr>
              <w:keepNext/>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402</w:t>
            </w:r>
          </w:p>
        </w:tc>
        <w:tc>
          <w:tcPr>
            <w:tcW w:w="428" w:type="pct"/>
            <w:tcBorders>
              <w:top w:val="nil"/>
              <w:left w:val="nil"/>
              <w:bottom w:val="single" w:sz="4" w:space="0" w:color="auto"/>
              <w:right w:val="single" w:sz="4" w:space="0" w:color="auto"/>
            </w:tcBorders>
            <w:shd w:val="clear" w:color="auto" w:fill="auto"/>
            <w:noWrap/>
            <w:vAlign w:val="center"/>
            <w:hideMark/>
          </w:tcPr>
          <w:p>
            <w:pPr>
              <w:keepNext/>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1%</w:t>
            </w:r>
          </w:p>
        </w:tc>
        <w:tc>
          <w:tcPr>
            <w:tcW w:w="488" w:type="pct"/>
            <w:tcBorders>
              <w:top w:val="nil"/>
              <w:left w:val="nil"/>
              <w:bottom w:val="single" w:sz="4" w:space="0" w:color="auto"/>
              <w:right w:val="single" w:sz="4" w:space="0" w:color="auto"/>
            </w:tcBorders>
            <w:shd w:val="clear" w:color="auto" w:fill="auto"/>
            <w:noWrap/>
            <w:vAlign w:val="center"/>
            <w:hideMark/>
          </w:tcPr>
          <w:p>
            <w:pPr>
              <w:keepNext/>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95</w:t>
            </w:r>
          </w:p>
        </w:tc>
        <w:tc>
          <w:tcPr>
            <w:tcW w:w="594" w:type="pct"/>
            <w:tcBorders>
              <w:top w:val="nil"/>
              <w:left w:val="nil"/>
              <w:bottom w:val="single" w:sz="4" w:space="0" w:color="auto"/>
              <w:right w:val="single" w:sz="4" w:space="0" w:color="auto"/>
            </w:tcBorders>
            <w:shd w:val="clear" w:color="auto" w:fill="auto"/>
            <w:noWrap/>
            <w:vAlign w:val="center"/>
            <w:hideMark/>
          </w:tcPr>
          <w:p>
            <w:pPr>
              <w:keepNext/>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428</w:t>
            </w:r>
          </w:p>
        </w:tc>
        <w:tc>
          <w:tcPr>
            <w:tcW w:w="528" w:type="pct"/>
            <w:tcBorders>
              <w:top w:val="nil"/>
              <w:left w:val="nil"/>
              <w:bottom w:val="single" w:sz="4" w:space="0" w:color="auto"/>
              <w:right w:val="single" w:sz="4" w:space="0" w:color="auto"/>
            </w:tcBorders>
            <w:shd w:val="clear" w:color="auto" w:fill="auto"/>
            <w:vAlign w:val="center"/>
            <w:hideMark/>
          </w:tcPr>
          <w:p>
            <w:pPr>
              <w:keepNext/>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523</w:t>
            </w:r>
          </w:p>
        </w:tc>
        <w:tc>
          <w:tcPr>
            <w:tcW w:w="398" w:type="pct"/>
            <w:tcBorders>
              <w:top w:val="nil"/>
              <w:left w:val="nil"/>
              <w:bottom w:val="single" w:sz="4" w:space="0" w:color="auto"/>
              <w:right w:val="single" w:sz="4" w:space="0" w:color="auto"/>
            </w:tcBorders>
            <w:shd w:val="clear" w:color="auto" w:fill="auto"/>
            <w:vAlign w:val="center"/>
            <w:hideMark/>
          </w:tcPr>
          <w:p>
            <w:pPr>
              <w:keepNext/>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1%</w:t>
            </w:r>
          </w:p>
        </w:tc>
      </w:tr>
      <w:tr>
        <w:trPr>
          <w:cantSplit/>
          <w:trHeight w:val="300"/>
        </w:trPr>
        <w:tc>
          <w:tcPr>
            <w:tcW w:w="795" w:type="pct"/>
            <w:tcBorders>
              <w:top w:val="nil"/>
              <w:left w:val="single" w:sz="4" w:space="0" w:color="auto"/>
              <w:bottom w:val="single" w:sz="4" w:space="0" w:color="auto"/>
              <w:right w:val="single" w:sz="4" w:space="0" w:color="auto"/>
            </w:tcBorders>
            <w:shd w:val="clear" w:color="auto" w:fill="auto"/>
            <w:noWrap/>
            <w:vAlign w:val="center"/>
            <w:hideMark/>
          </w:tcPr>
          <w:p>
            <w:pPr>
              <w:keepNext/>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Panama</w:t>
            </w:r>
          </w:p>
        </w:tc>
        <w:tc>
          <w:tcPr>
            <w:tcW w:w="572" w:type="pct"/>
            <w:tcBorders>
              <w:top w:val="nil"/>
              <w:left w:val="nil"/>
              <w:bottom w:val="single" w:sz="4" w:space="0" w:color="auto"/>
              <w:right w:val="single" w:sz="4" w:space="0" w:color="auto"/>
            </w:tcBorders>
            <w:shd w:val="clear" w:color="auto" w:fill="auto"/>
            <w:noWrap/>
            <w:vAlign w:val="center"/>
            <w:hideMark/>
          </w:tcPr>
          <w:p>
            <w:pPr>
              <w:keepNext/>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25 593</w:t>
            </w:r>
          </w:p>
        </w:tc>
        <w:tc>
          <w:tcPr>
            <w:tcW w:w="697" w:type="pct"/>
            <w:tcBorders>
              <w:top w:val="nil"/>
              <w:left w:val="nil"/>
              <w:bottom w:val="single" w:sz="4" w:space="0" w:color="auto"/>
              <w:right w:val="single" w:sz="4" w:space="0" w:color="auto"/>
            </w:tcBorders>
            <w:shd w:val="clear" w:color="auto" w:fill="auto"/>
            <w:noWrap/>
            <w:vAlign w:val="center"/>
            <w:hideMark/>
          </w:tcPr>
          <w:p>
            <w:pPr>
              <w:keepNext/>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23 688</w:t>
            </w:r>
          </w:p>
        </w:tc>
        <w:tc>
          <w:tcPr>
            <w:tcW w:w="500" w:type="pct"/>
            <w:tcBorders>
              <w:top w:val="nil"/>
              <w:left w:val="nil"/>
              <w:bottom w:val="single" w:sz="4" w:space="0" w:color="auto"/>
              <w:right w:val="single" w:sz="4" w:space="0" w:color="auto"/>
            </w:tcBorders>
            <w:shd w:val="clear" w:color="auto" w:fill="auto"/>
            <w:noWrap/>
            <w:vAlign w:val="center"/>
            <w:hideMark/>
          </w:tcPr>
          <w:p>
            <w:pPr>
              <w:keepNext/>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49 281</w:t>
            </w:r>
          </w:p>
        </w:tc>
        <w:tc>
          <w:tcPr>
            <w:tcW w:w="428" w:type="pct"/>
            <w:tcBorders>
              <w:top w:val="nil"/>
              <w:left w:val="nil"/>
              <w:bottom w:val="single" w:sz="4" w:space="0" w:color="auto"/>
              <w:right w:val="single" w:sz="4" w:space="0" w:color="auto"/>
            </w:tcBorders>
            <w:shd w:val="clear" w:color="auto" w:fill="auto"/>
            <w:noWrap/>
            <w:vAlign w:val="center"/>
            <w:hideMark/>
          </w:tcPr>
          <w:p>
            <w:pPr>
              <w:keepNext/>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83%</w:t>
            </w:r>
          </w:p>
        </w:tc>
        <w:tc>
          <w:tcPr>
            <w:tcW w:w="488" w:type="pct"/>
            <w:tcBorders>
              <w:top w:val="nil"/>
              <w:left w:val="nil"/>
              <w:bottom w:val="single" w:sz="4" w:space="0" w:color="auto"/>
              <w:right w:val="single" w:sz="4" w:space="0" w:color="auto"/>
            </w:tcBorders>
            <w:shd w:val="clear" w:color="auto" w:fill="auto"/>
            <w:noWrap/>
            <w:vAlign w:val="center"/>
            <w:hideMark/>
          </w:tcPr>
          <w:p>
            <w:pPr>
              <w:keepNext/>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11 551</w:t>
            </w:r>
          </w:p>
        </w:tc>
        <w:tc>
          <w:tcPr>
            <w:tcW w:w="594" w:type="pct"/>
            <w:tcBorders>
              <w:top w:val="nil"/>
              <w:left w:val="nil"/>
              <w:bottom w:val="single" w:sz="4" w:space="0" w:color="auto"/>
              <w:right w:val="single" w:sz="4" w:space="0" w:color="auto"/>
            </w:tcBorders>
            <w:shd w:val="clear" w:color="auto" w:fill="auto"/>
            <w:noWrap/>
            <w:vAlign w:val="center"/>
            <w:hideMark/>
          </w:tcPr>
          <w:p>
            <w:pPr>
              <w:keepNext/>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21 987</w:t>
            </w:r>
          </w:p>
        </w:tc>
        <w:tc>
          <w:tcPr>
            <w:tcW w:w="528" w:type="pct"/>
            <w:tcBorders>
              <w:top w:val="nil"/>
              <w:left w:val="nil"/>
              <w:bottom w:val="single" w:sz="4" w:space="0" w:color="auto"/>
              <w:right w:val="single" w:sz="4" w:space="0" w:color="auto"/>
            </w:tcBorders>
            <w:shd w:val="clear" w:color="auto" w:fill="auto"/>
            <w:vAlign w:val="center"/>
            <w:hideMark/>
          </w:tcPr>
          <w:p>
            <w:pPr>
              <w:keepNext/>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33 538</w:t>
            </w:r>
          </w:p>
        </w:tc>
        <w:tc>
          <w:tcPr>
            <w:tcW w:w="398" w:type="pct"/>
            <w:tcBorders>
              <w:top w:val="nil"/>
              <w:left w:val="nil"/>
              <w:bottom w:val="single" w:sz="4" w:space="0" w:color="auto"/>
              <w:right w:val="single" w:sz="4" w:space="0" w:color="auto"/>
            </w:tcBorders>
            <w:shd w:val="clear" w:color="auto" w:fill="auto"/>
            <w:vAlign w:val="center"/>
            <w:hideMark/>
          </w:tcPr>
          <w:p>
            <w:pPr>
              <w:keepNext/>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74%</w:t>
            </w:r>
          </w:p>
        </w:tc>
      </w:tr>
      <w:tr>
        <w:trPr>
          <w:cantSplit/>
          <w:trHeight w:val="300"/>
        </w:trPr>
        <w:tc>
          <w:tcPr>
            <w:tcW w:w="795" w:type="pct"/>
            <w:tcBorders>
              <w:top w:val="nil"/>
              <w:left w:val="single" w:sz="4" w:space="0" w:color="auto"/>
              <w:bottom w:val="single" w:sz="4" w:space="0" w:color="auto"/>
              <w:right w:val="single" w:sz="4" w:space="0" w:color="auto"/>
            </w:tcBorders>
            <w:shd w:val="clear" w:color="auto" w:fill="auto"/>
            <w:noWrap/>
            <w:vAlign w:val="center"/>
            <w:hideMark/>
          </w:tcPr>
          <w:p>
            <w:pPr>
              <w:keepNext/>
              <w:jc w:val="center"/>
              <w:rPr>
                <w:rFonts w:eastAsia="Times New Roman"/>
                <w:b/>
                <w:bCs/>
                <w:noProof/>
                <w:color w:val="000000" w:themeColor="text1"/>
                <w:sz w:val="20"/>
                <w:szCs w:val="20"/>
                <w:lang w:eastAsia="en-GB"/>
              </w:rPr>
            </w:pPr>
            <w:r>
              <w:rPr>
                <w:rFonts w:eastAsia="Times New Roman"/>
                <w:b/>
                <w:bCs/>
                <w:noProof/>
                <w:color w:val="000000" w:themeColor="text1"/>
                <w:sz w:val="20"/>
                <w:szCs w:val="20"/>
                <w:lang w:eastAsia="en-GB"/>
              </w:rPr>
              <w:t>Total</w:t>
            </w:r>
          </w:p>
        </w:tc>
        <w:tc>
          <w:tcPr>
            <w:tcW w:w="572" w:type="pct"/>
            <w:tcBorders>
              <w:top w:val="nil"/>
              <w:left w:val="nil"/>
              <w:bottom w:val="single" w:sz="4" w:space="0" w:color="auto"/>
              <w:right w:val="single" w:sz="4" w:space="0" w:color="auto"/>
            </w:tcBorders>
            <w:shd w:val="clear" w:color="auto" w:fill="auto"/>
            <w:noWrap/>
            <w:vAlign w:val="center"/>
            <w:hideMark/>
          </w:tcPr>
          <w:p>
            <w:pPr>
              <w:keepNext/>
              <w:jc w:val="center"/>
              <w:rPr>
                <w:rFonts w:eastAsia="Times New Roman"/>
                <w:b/>
                <w:bCs/>
                <w:noProof/>
                <w:color w:val="000000" w:themeColor="text1"/>
                <w:sz w:val="20"/>
                <w:szCs w:val="20"/>
                <w:lang w:eastAsia="en-GB"/>
              </w:rPr>
            </w:pPr>
            <w:r>
              <w:rPr>
                <w:rFonts w:eastAsia="Times New Roman"/>
                <w:b/>
                <w:bCs/>
                <w:noProof/>
                <w:color w:val="000000" w:themeColor="text1"/>
                <w:sz w:val="20"/>
                <w:szCs w:val="20"/>
                <w:lang w:eastAsia="en-GB"/>
              </w:rPr>
              <w:t>28 225</w:t>
            </w:r>
          </w:p>
        </w:tc>
        <w:tc>
          <w:tcPr>
            <w:tcW w:w="697" w:type="pct"/>
            <w:tcBorders>
              <w:top w:val="nil"/>
              <w:left w:val="nil"/>
              <w:bottom w:val="single" w:sz="4" w:space="0" w:color="auto"/>
              <w:right w:val="single" w:sz="4" w:space="0" w:color="auto"/>
            </w:tcBorders>
            <w:shd w:val="clear" w:color="auto" w:fill="auto"/>
            <w:noWrap/>
            <w:vAlign w:val="center"/>
            <w:hideMark/>
          </w:tcPr>
          <w:p>
            <w:pPr>
              <w:keepNext/>
              <w:jc w:val="center"/>
              <w:rPr>
                <w:rFonts w:eastAsia="Times New Roman"/>
                <w:b/>
                <w:bCs/>
                <w:noProof/>
                <w:color w:val="000000" w:themeColor="text1"/>
                <w:sz w:val="20"/>
                <w:szCs w:val="20"/>
                <w:lang w:eastAsia="en-GB"/>
              </w:rPr>
            </w:pPr>
            <w:r>
              <w:rPr>
                <w:rFonts w:eastAsia="Times New Roman"/>
                <w:b/>
                <w:bCs/>
                <w:noProof/>
                <w:color w:val="000000" w:themeColor="text1"/>
                <w:sz w:val="20"/>
                <w:szCs w:val="20"/>
                <w:lang w:eastAsia="en-GB"/>
              </w:rPr>
              <w:t>31 383</w:t>
            </w:r>
          </w:p>
        </w:tc>
        <w:tc>
          <w:tcPr>
            <w:tcW w:w="500" w:type="pct"/>
            <w:tcBorders>
              <w:top w:val="nil"/>
              <w:left w:val="nil"/>
              <w:bottom w:val="single" w:sz="4" w:space="0" w:color="auto"/>
              <w:right w:val="single" w:sz="4" w:space="0" w:color="auto"/>
            </w:tcBorders>
            <w:shd w:val="clear" w:color="auto" w:fill="auto"/>
            <w:noWrap/>
            <w:vAlign w:val="center"/>
            <w:hideMark/>
          </w:tcPr>
          <w:p>
            <w:pPr>
              <w:keepNext/>
              <w:jc w:val="center"/>
              <w:rPr>
                <w:rFonts w:eastAsia="Times New Roman"/>
                <w:b/>
                <w:bCs/>
                <w:noProof/>
                <w:color w:val="000000" w:themeColor="text1"/>
                <w:sz w:val="20"/>
                <w:szCs w:val="20"/>
                <w:lang w:eastAsia="en-GB"/>
              </w:rPr>
            </w:pPr>
            <w:r>
              <w:rPr>
                <w:rFonts w:eastAsia="Times New Roman"/>
                <w:b/>
                <w:bCs/>
                <w:noProof/>
                <w:color w:val="000000" w:themeColor="text1"/>
                <w:sz w:val="20"/>
                <w:szCs w:val="20"/>
                <w:lang w:eastAsia="en-GB"/>
              </w:rPr>
              <w:t>59 608</w:t>
            </w:r>
          </w:p>
        </w:tc>
        <w:tc>
          <w:tcPr>
            <w:tcW w:w="428" w:type="pct"/>
            <w:tcBorders>
              <w:top w:val="nil"/>
              <w:left w:val="nil"/>
              <w:bottom w:val="single" w:sz="4" w:space="0" w:color="auto"/>
              <w:right w:val="single" w:sz="4" w:space="0" w:color="auto"/>
            </w:tcBorders>
            <w:shd w:val="clear" w:color="auto" w:fill="auto"/>
            <w:noWrap/>
            <w:vAlign w:val="center"/>
            <w:hideMark/>
          </w:tcPr>
          <w:p>
            <w:pPr>
              <w:keepNext/>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100%</w:t>
            </w:r>
          </w:p>
        </w:tc>
        <w:tc>
          <w:tcPr>
            <w:tcW w:w="488" w:type="pct"/>
            <w:tcBorders>
              <w:top w:val="nil"/>
              <w:left w:val="nil"/>
              <w:bottom w:val="single" w:sz="4" w:space="0" w:color="auto"/>
              <w:right w:val="single" w:sz="4" w:space="0" w:color="auto"/>
            </w:tcBorders>
            <w:shd w:val="clear" w:color="auto" w:fill="auto"/>
            <w:noWrap/>
            <w:vAlign w:val="center"/>
            <w:hideMark/>
          </w:tcPr>
          <w:p>
            <w:pPr>
              <w:keepNext/>
              <w:jc w:val="center"/>
              <w:rPr>
                <w:rFonts w:eastAsia="Times New Roman"/>
                <w:b/>
                <w:bCs/>
                <w:noProof/>
                <w:color w:val="000000" w:themeColor="text1"/>
                <w:sz w:val="20"/>
                <w:szCs w:val="20"/>
                <w:lang w:eastAsia="en-GB"/>
              </w:rPr>
            </w:pPr>
            <w:r>
              <w:rPr>
                <w:rFonts w:eastAsia="Times New Roman"/>
                <w:b/>
                <w:bCs/>
                <w:noProof/>
                <w:color w:val="000000" w:themeColor="text1"/>
                <w:sz w:val="20"/>
                <w:szCs w:val="20"/>
                <w:lang w:eastAsia="en-GB"/>
              </w:rPr>
              <w:t>15 826</w:t>
            </w:r>
          </w:p>
        </w:tc>
        <w:tc>
          <w:tcPr>
            <w:tcW w:w="594" w:type="pct"/>
            <w:tcBorders>
              <w:top w:val="nil"/>
              <w:left w:val="nil"/>
              <w:bottom w:val="single" w:sz="4" w:space="0" w:color="auto"/>
              <w:right w:val="single" w:sz="4" w:space="0" w:color="auto"/>
            </w:tcBorders>
            <w:shd w:val="clear" w:color="auto" w:fill="auto"/>
            <w:noWrap/>
            <w:vAlign w:val="center"/>
            <w:hideMark/>
          </w:tcPr>
          <w:p>
            <w:pPr>
              <w:keepNext/>
              <w:jc w:val="center"/>
              <w:rPr>
                <w:rFonts w:eastAsia="Times New Roman"/>
                <w:b/>
                <w:bCs/>
                <w:noProof/>
                <w:color w:val="000000" w:themeColor="text1"/>
                <w:sz w:val="20"/>
                <w:szCs w:val="20"/>
                <w:lang w:eastAsia="en-GB"/>
              </w:rPr>
            </w:pPr>
            <w:r>
              <w:rPr>
                <w:rFonts w:eastAsia="Times New Roman"/>
                <w:b/>
                <w:bCs/>
                <w:noProof/>
                <w:color w:val="000000" w:themeColor="text1"/>
                <w:sz w:val="20"/>
                <w:szCs w:val="20"/>
                <w:lang w:eastAsia="en-GB"/>
              </w:rPr>
              <w:t>29 381</w:t>
            </w:r>
          </w:p>
        </w:tc>
        <w:tc>
          <w:tcPr>
            <w:tcW w:w="528" w:type="pct"/>
            <w:tcBorders>
              <w:top w:val="nil"/>
              <w:left w:val="nil"/>
              <w:bottom w:val="single" w:sz="4" w:space="0" w:color="auto"/>
              <w:right w:val="single" w:sz="4" w:space="0" w:color="auto"/>
            </w:tcBorders>
            <w:shd w:val="clear" w:color="auto" w:fill="auto"/>
            <w:noWrap/>
            <w:vAlign w:val="center"/>
            <w:hideMark/>
          </w:tcPr>
          <w:p>
            <w:pPr>
              <w:keepNext/>
              <w:jc w:val="center"/>
              <w:rPr>
                <w:rFonts w:eastAsia="Times New Roman"/>
                <w:b/>
                <w:bCs/>
                <w:noProof/>
                <w:color w:val="000000" w:themeColor="text1"/>
                <w:sz w:val="20"/>
                <w:szCs w:val="20"/>
                <w:lang w:eastAsia="en-GB"/>
              </w:rPr>
            </w:pPr>
            <w:r>
              <w:rPr>
                <w:rFonts w:eastAsia="Times New Roman"/>
                <w:b/>
                <w:bCs/>
                <w:noProof/>
                <w:color w:val="000000" w:themeColor="text1"/>
                <w:sz w:val="20"/>
                <w:szCs w:val="20"/>
                <w:lang w:eastAsia="en-GB"/>
              </w:rPr>
              <w:t>45 207</w:t>
            </w:r>
          </w:p>
        </w:tc>
        <w:tc>
          <w:tcPr>
            <w:tcW w:w="398" w:type="pct"/>
            <w:tcBorders>
              <w:top w:val="nil"/>
              <w:left w:val="nil"/>
              <w:bottom w:val="single" w:sz="4" w:space="0" w:color="auto"/>
              <w:right w:val="single" w:sz="4" w:space="0" w:color="auto"/>
            </w:tcBorders>
            <w:shd w:val="clear" w:color="auto" w:fill="auto"/>
            <w:vAlign w:val="center"/>
            <w:hideMark/>
          </w:tcPr>
          <w:p>
            <w:pPr>
              <w:keepNext/>
              <w:jc w:val="center"/>
              <w:rPr>
                <w:rFonts w:eastAsia="Times New Roman"/>
                <w:noProof/>
                <w:color w:val="000000" w:themeColor="text1"/>
                <w:sz w:val="20"/>
                <w:szCs w:val="20"/>
                <w:lang w:eastAsia="en-GB"/>
              </w:rPr>
            </w:pPr>
            <w:r>
              <w:rPr>
                <w:rFonts w:eastAsia="Times New Roman"/>
                <w:noProof/>
                <w:color w:val="000000" w:themeColor="text1"/>
                <w:sz w:val="20"/>
                <w:szCs w:val="20"/>
                <w:lang w:eastAsia="en-GB"/>
              </w:rPr>
              <w:t>100%</w:t>
            </w:r>
          </w:p>
        </w:tc>
      </w:tr>
    </w:tbl>
    <w:p>
      <w:pPr>
        <w:pStyle w:val="ManualHeading1"/>
      </w:pPr>
      <w:bookmarkStart w:id="516" w:name="_Toc8833486"/>
      <w:bookmarkStart w:id="517" w:name="_Toc8835313"/>
      <w:bookmarkStart w:id="518" w:name="_Toc8833943"/>
      <w:bookmarkStart w:id="519" w:name="_Toc8909406"/>
      <w:bookmarkStart w:id="520" w:name="_Toc8910618"/>
      <w:bookmarkStart w:id="521" w:name="_Toc8911655"/>
      <w:bookmarkStart w:id="522" w:name="_Toc8974458"/>
      <w:bookmarkStart w:id="523" w:name="_Toc9008129"/>
      <w:bookmarkStart w:id="524" w:name="_Toc9008532"/>
      <w:bookmarkStart w:id="525" w:name="_Toc9348527"/>
      <w:bookmarkStart w:id="526" w:name="_Toc9607978"/>
      <w:bookmarkStart w:id="527" w:name="_Toc16000553"/>
      <w:r>
        <w:t>3</w:t>
      </w:r>
      <w:r>
        <w:tab/>
        <w:t>Activities of the implementation bodies</w:t>
      </w:r>
      <w:bookmarkEnd w:id="516"/>
      <w:bookmarkEnd w:id="517"/>
      <w:bookmarkEnd w:id="518"/>
      <w:bookmarkEnd w:id="519"/>
      <w:bookmarkEnd w:id="520"/>
      <w:bookmarkEnd w:id="521"/>
      <w:bookmarkEnd w:id="522"/>
      <w:bookmarkEnd w:id="523"/>
      <w:bookmarkEnd w:id="524"/>
      <w:bookmarkEnd w:id="525"/>
      <w:bookmarkEnd w:id="526"/>
      <w:bookmarkEnd w:id="527"/>
    </w:p>
    <w:p>
      <w:pPr>
        <w:jc w:val="both"/>
        <w:rPr>
          <w:noProof/>
        </w:rPr>
      </w:pPr>
      <w:r>
        <w:rPr>
          <w:noProof/>
        </w:rPr>
        <w:t>The body implementing the agreement is the</w:t>
      </w:r>
      <w:r>
        <w:rPr>
          <w:b/>
          <w:bCs/>
          <w:noProof/>
        </w:rPr>
        <w:t xml:space="preserve"> </w:t>
      </w:r>
      <w:r>
        <w:rPr>
          <w:b/>
          <w:noProof/>
        </w:rPr>
        <w:t>Association Committee</w:t>
      </w:r>
      <w:r>
        <w:rPr>
          <w:noProof/>
        </w:rPr>
        <w:t xml:space="preserve">. It met in June 2018. The meeting of Association Committee and the meeting of its sub-committees (Market access, Customs and rules of origin, Technical Barriers to Trade (TBT), SPS, Intellectual Property Rights (Geographical Indications), Board on Trade and Sustainable Development, Government Procurement) were reported on in the </w:t>
      </w:r>
      <w:hyperlink r:id="rId31" w:history="1">
        <w:r>
          <w:rPr>
            <w:rStyle w:val="Hyperlink"/>
            <w:noProof/>
          </w:rPr>
          <w:t>2018 Staff Working Document on FTA Implementation (2018) 454 final/2.</w:t>
        </w:r>
      </w:hyperlink>
      <w:r>
        <w:rPr>
          <w:noProof/>
        </w:rPr>
        <w:t xml:space="preserve">  During the Association Committee of June 2018, the Parties reached an agreement on the incorporation of Croatia to the Association Agreement, including the offer on compensation for bananas as submitted earlier by the EU. In order to start the final administrative procedures to adopt the relevant protocol, after the Committee meeting in 2018, the EU submitted a final revised text of the Croatia Protocol to Central America for confirmation so that the procedure for incorporation of Croatia into the agreement could eventually be completed.</w:t>
      </w:r>
    </w:p>
    <w:p>
      <w:pPr>
        <w:jc w:val="both"/>
        <w:rPr>
          <w:noProof/>
        </w:rPr>
      </w:pPr>
    </w:p>
    <w:p>
      <w:pPr>
        <w:jc w:val="both"/>
        <w:rPr>
          <w:noProof/>
        </w:rPr>
      </w:pPr>
      <w:r>
        <w:rPr>
          <w:noProof/>
        </w:rPr>
        <w:t xml:space="preserve">The Parties continued to work on the collection of </w:t>
      </w:r>
      <w:r>
        <w:rPr>
          <w:b/>
          <w:bCs/>
          <w:noProof/>
        </w:rPr>
        <w:t xml:space="preserve">reliable data on the use of tariff preferences by EU exporters </w:t>
      </w:r>
      <w:r>
        <w:rPr>
          <w:noProof/>
        </w:rPr>
        <w:t>as deficiencies in this regard had been identified in previous years. Both parties had technical exchanges which aimed at finding a solution to the issue.</w:t>
      </w:r>
    </w:p>
    <w:p>
      <w:pPr>
        <w:jc w:val="both"/>
        <w:rPr>
          <w:noProof/>
        </w:rPr>
      </w:pPr>
    </w:p>
    <w:p>
      <w:pPr>
        <w:jc w:val="both"/>
        <w:rPr>
          <w:rFonts w:eastAsia="Calibri"/>
          <w:noProof/>
        </w:rPr>
      </w:pPr>
      <w:r>
        <w:rPr>
          <w:rFonts w:eastAsia="Calibri"/>
          <w:noProof/>
        </w:rPr>
        <w:t xml:space="preserve">In the course of 2018, the Parties also worked on the preparation of several procedural decisions that were pending in the area of customs and rules of origin. </w:t>
      </w:r>
    </w:p>
    <w:p>
      <w:pPr>
        <w:jc w:val="both"/>
        <w:rPr>
          <w:rFonts w:eastAsia="Calibri"/>
          <w:noProof/>
        </w:rPr>
      </w:pPr>
    </w:p>
    <w:p>
      <w:pPr>
        <w:jc w:val="both"/>
        <w:rPr>
          <w:rFonts w:eastAsia="Calibri"/>
          <w:noProof/>
        </w:rPr>
      </w:pPr>
      <w:r>
        <w:rPr>
          <w:rFonts w:eastAsia="Calibri"/>
          <w:noProof/>
        </w:rPr>
        <w:t>During the 2018 Committee, Central America insisted on the need to establish clear and workable procedures for cumulation of origin with other countries of Latin America. In this regard, the EU clarified that it is awaiting the confirmation of existence of administrative cooperation arrangements between the countries of Andean Community and Central America.</w:t>
      </w:r>
    </w:p>
    <w:p>
      <w:pPr>
        <w:jc w:val="both"/>
        <w:rPr>
          <w:rFonts w:eastAsia="Calibri"/>
          <w:noProof/>
        </w:rPr>
      </w:pPr>
    </w:p>
    <w:p>
      <w:pPr>
        <w:jc w:val="both"/>
        <w:rPr>
          <w:rFonts w:eastAsia="Calibri"/>
          <w:noProof/>
        </w:rPr>
      </w:pPr>
      <w:r>
        <w:rPr>
          <w:rFonts w:eastAsia="Calibri"/>
          <w:noProof/>
        </w:rPr>
        <w:t xml:space="preserve">The fourth meeting of the </w:t>
      </w:r>
      <w:r>
        <w:rPr>
          <w:rFonts w:eastAsia="Calibri"/>
          <w:b/>
          <w:noProof/>
        </w:rPr>
        <w:t>sub-committee on Sanitary and Phytosanitary Measures (SPS)</w:t>
      </w:r>
      <w:r>
        <w:rPr>
          <w:rFonts w:eastAsia="Calibri"/>
          <w:noProof/>
        </w:rPr>
        <w:t xml:space="preserve">, held on 4-5 June 2018, delivered positive outcomes and consolidated progress was made to date. The EU highlighted the following issues: </w:t>
      </w:r>
    </w:p>
    <w:p>
      <w:pPr>
        <w:jc w:val="both"/>
        <w:rPr>
          <w:rFonts w:eastAsia="Calibri"/>
          <w:noProof/>
        </w:rPr>
      </w:pPr>
    </w:p>
    <w:p>
      <w:pPr>
        <w:pStyle w:val="ListParagraph"/>
        <w:numPr>
          <w:ilvl w:val="0"/>
          <w:numId w:val="34"/>
        </w:numPr>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importance for Central America to fulfil procedures established in the Association Agreement to ensure that market access requests are handled in a timely and transparent manner, including the approval of lists of establishments and verifications, among others. </w:t>
      </w:r>
    </w:p>
    <w:p>
      <w:pPr>
        <w:pStyle w:val="ListParagraph"/>
        <w:numPr>
          <w:ilvl w:val="0"/>
          <w:numId w:val="34"/>
        </w:numPr>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importance of complying with standards, guidelines and recommendations of the international standard setting organisations.</w:t>
      </w:r>
    </w:p>
    <w:p>
      <w:pPr>
        <w:pStyle w:val="ManualHeading1"/>
      </w:pPr>
      <w:bookmarkStart w:id="528" w:name="_Toc8833487"/>
      <w:bookmarkStart w:id="529" w:name="_Toc8835314"/>
      <w:bookmarkStart w:id="530" w:name="_Toc8833944"/>
      <w:bookmarkStart w:id="531" w:name="_Toc8909407"/>
      <w:bookmarkStart w:id="532" w:name="_Toc8910619"/>
      <w:bookmarkStart w:id="533" w:name="_Toc8911656"/>
      <w:bookmarkStart w:id="534" w:name="_Toc8974469"/>
      <w:bookmarkStart w:id="535" w:name="_Toc9008130"/>
      <w:bookmarkStart w:id="536" w:name="_Toc9008533"/>
      <w:bookmarkStart w:id="537" w:name="_Toc9348528"/>
      <w:bookmarkStart w:id="538" w:name="_Toc9607979"/>
      <w:bookmarkStart w:id="539" w:name="_Toc16000554"/>
      <w:r>
        <w:t>4</w:t>
      </w:r>
      <w:r>
        <w:tab/>
        <w:t>Implementation of the provisions on trade and sustainable development</w:t>
      </w:r>
      <w:bookmarkEnd w:id="528"/>
      <w:bookmarkEnd w:id="529"/>
      <w:bookmarkEnd w:id="530"/>
      <w:bookmarkEnd w:id="531"/>
      <w:bookmarkEnd w:id="532"/>
      <w:bookmarkEnd w:id="533"/>
      <w:bookmarkEnd w:id="534"/>
      <w:bookmarkEnd w:id="535"/>
      <w:bookmarkEnd w:id="536"/>
      <w:bookmarkEnd w:id="537"/>
      <w:bookmarkEnd w:id="538"/>
      <w:bookmarkEnd w:id="539"/>
    </w:p>
    <w:p>
      <w:pPr>
        <w:jc w:val="both"/>
        <w:rPr>
          <w:iCs/>
          <w:noProof/>
        </w:rPr>
      </w:pPr>
      <w:r>
        <w:rPr>
          <w:iCs/>
          <w:noProof/>
        </w:rPr>
        <w:t xml:space="preserve">Representatives of the EU and of the six Central American countries met in the Trade and Sustainable Development (TSD) Board established under the EU Central America Association Agreement on 11-12 June 2018 in Brussels. A </w:t>
      </w:r>
      <w:hyperlink r:id="rId32" w:history="1">
        <w:r>
          <w:rPr>
            <w:rStyle w:val="Hyperlink"/>
            <w:iCs/>
            <w:noProof/>
          </w:rPr>
          <w:t>report</w:t>
        </w:r>
      </w:hyperlink>
      <w:r>
        <w:rPr>
          <w:iCs/>
          <w:noProof/>
        </w:rPr>
        <w:t xml:space="preserve"> on the meeting is available.  A Civil Society Forum took place on 13 June 2018.  </w:t>
      </w:r>
    </w:p>
    <w:p>
      <w:pPr>
        <w:jc w:val="both"/>
        <w:rPr>
          <w:iCs/>
          <w:noProof/>
        </w:rPr>
      </w:pPr>
    </w:p>
    <w:p>
      <w:pPr>
        <w:jc w:val="both"/>
        <w:rPr>
          <w:iCs/>
          <w:noProof/>
        </w:rPr>
      </w:pPr>
      <w:r>
        <w:rPr>
          <w:iCs/>
          <w:noProof/>
        </w:rPr>
        <w:t xml:space="preserve">Implementation activities were framed by the </w:t>
      </w:r>
      <w:hyperlink r:id="rId33" w:history="1">
        <w:r>
          <w:rPr>
            <w:rFonts w:eastAsia="Times New Roman"/>
            <w:noProof/>
            <w:color w:val="0563C1"/>
            <w:u w:val="single"/>
            <w:lang w:eastAsia="en-GB"/>
          </w:rPr>
          <w:t>15-point action plan</w:t>
        </w:r>
      </w:hyperlink>
      <w:r>
        <w:rPr>
          <w:iCs/>
          <w:noProof/>
        </w:rPr>
        <w:t xml:space="preserve"> published by the Commission in February 2018. The EU continued to provide support to the ILO Regional Office for Central America to assist its efforts to support implementation of the fundamental ILO Conventions in Guatemala and El Salvador. Commission’s services (DG TRADE and DG EMPL) also held several videoconferences with Guatemala regarding its implementation of a country-specific ILO Roadmap. Some progress was made in Guatemala, notably the establishment of a tripartite Labour Council. Nonetheless, significant challenges remain with regards to ensuring labour rights and the implementation of the fundamental ILO Conventions, particularly in Guatemala, El Salvador and Honduras.</w:t>
      </w:r>
    </w:p>
    <w:p>
      <w:pPr>
        <w:jc w:val="both"/>
        <w:rPr>
          <w:iCs/>
          <w:noProof/>
        </w:rPr>
      </w:pPr>
    </w:p>
    <w:p>
      <w:pPr>
        <w:jc w:val="both"/>
        <w:rPr>
          <w:iCs/>
          <w:noProof/>
        </w:rPr>
      </w:pPr>
      <w:r>
        <w:rPr>
          <w:iCs/>
          <w:noProof/>
        </w:rPr>
        <w:t>A seminar and workshop on “Decent Work, Corporate Responsibility and the EU-Central America Association Agreement” was held in Guatemala City on 15-16 May 2018 with the participation of representatives of OECD and the ILO and support of the regional project ATEPECA and Guatemala government. The event drew considerable interest with over 200 participants, including from other Central American countries. The EU Delegation in Costa Rica also provided support to the Costa Rican government for the development and implementation of a new national policy on Corporate Social Responsibility, which takes into account Costa Rica’s international commitments and the Sustainable Development Goals (SDGs).</w:t>
      </w:r>
    </w:p>
    <w:p>
      <w:pPr>
        <w:jc w:val="both"/>
        <w:rPr>
          <w:iCs/>
          <w:noProof/>
        </w:rPr>
      </w:pPr>
    </w:p>
    <w:p>
      <w:pPr>
        <w:jc w:val="both"/>
        <w:rPr>
          <w:iCs/>
          <w:noProof/>
        </w:rPr>
      </w:pPr>
      <w:r>
        <w:rPr>
          <w:iCs/>
          <w:noProof/>
        </w:rPr>
        <w:t>In addition, the EU, through in-country meetings and other contacts, encouraged Central American domestic advisory groups (DAGs) established under the Association Agreement to take an active role in implementation of the Trade and Sustainable Development Chapter.</w:t>
      </w:r>
    </w:p>
    <w:p>
      <w:pPr>
        <w:pStyle w:val="ManualHeading1"/>
      </w:pPr>
      <w:bookmarkStart w:id="540" w:name="_Toc8833488"/>
      <w:bookmarkStart w:id="541" w:name="_Toc8835315"/>
      <w:bookmarkStart w:id="542" w:name="_Toc8833945"/>
      <w:bookmarkStart w:id="543" w:name="_Toc8909408"/>
      <w:bookmarkStart w:id="544" w:name="_Toc8910620"/>
      <w:bookmarkStart w:id="545" w:name="_Toc8911657"/>
      <w:bookmarkStart w:id="546" w:name="_Toc8974470"/>
      <w:bookmarkStart w:id="547" w:name="_Toc9008131"/>
      <w:bookmarkStart w:id="548" w:name="_Toc9008534"/>
      <w:bookmarkStart w:id="549" w:name="_Toc9348529"/>
      <w:bookmarkStart w:id="550" w:name="_Toc9607980"/>
      <w:bookmarkStart w:id="551" w:name="_Toc16000555"/>
      <w:r>
        <w:t>5</w:t>
      </w:r>
      <w:r>
        <w:tab/>
        <w:t>Specific areas subject to reporting or monitoring</w:t>
      </w:r>
      <w:bookmarkEnd w:id="540"/>
      <w:bookmarkEnd w:id="541"/>
      <w:bookmarkEnd w:id="542"/>
      <w:bookmarkEnd w:id="543"/>
      <w:bookmarkEnd w:id="544"/>
      <w:bookmarkEnd w:id="545"/>
      <w:bookmarkEnd w:id="546"/>
      <w:bookmarkEnd w:id="547"/>
      <w:bookmarkEnd w:id="548"/>
      <w:bookmarkEnd w:id="549"/>
      <w:bookmarkEnd w:id="550"/>
      <w:bookmarkEnd w:id="551"/>
    </w:p>
    <w:p>
      <w:pPr>
        <w:keepNext/>
        <w:jc w:val="both"/>
        <w:rPr>
          <w:i/>
          <w:iCs/>
          <w:noProof/>
        </w:rPr>
      </w:pPr>
      <w:r>
        <w:rPr>
          <w:i/>
          <w:iCs/>
          <w:noProof/>
        </w:rPr>
        <w:t>Political situation</w:t>
      </w:r>
    </w:p>
    <w:p>
      <w:pPr>
        <w:keepNext/>
        <w:jc w:val="both"/>
        <w:rPr>
          <w:i/>
          <w:iCs/>
          <w:noProof/>
        </w:rPr>
      </w:pPr>
    </w:p>
    <w:p>
      <w:pPr>
        <w:jc w:val="both"/>
        <w:rPr>
          <w:noProof/>
        </w:rPr>
      </w:pPr>
      <w:r>
        <w:rPr>
          <w:noProof/>
        </w:rPr>
        <w:t>In the course of last year, the EU monitored closely the situation of the civil society in Nicaragua in the context of human rights’ violation. The EU condemned the repression of peaceful demonstrations, independent media and civil society. It is to be noted that the respect of the rule of law and human rights constitute an essential element of the EU-Central America Association Agreement.</w:t>
      </w:r>
    </w:p>
    <w:p>
      <w:pPr>
        <w:jc w:val="both"/>
        <w:rPr>
          <w:noProof/>
        </w:rPr>
      </w:pPr>
    </w:p>
    <w:p>
      <w:pPr>
        <w:jc w:val="both"/>
        <w:rPr>
          <w:noProof/>
          <w:lang w:val="en-US"/>
        </w:rPr>
      </w:pPr>
      <w:r>
        <w:rPr>
          <w:noProof/>
          <w:lang w:val="en-US"/>
        </w:rPr>
        <w:t>The EU continues to monitor an alarming situation in Guatemala with respect to the rule of law and respect of human rights, while it continues to make diplomatic efforts to encourage a peaceful solution of the crisis.</w:t>
      </w:r>
    </w:p>
    <w:p>
      <w:pPr>
        <w:rPr>
          <w:noProof/>
          <w:lang w:val="en-US"/>
        </w:rPr>
      </w:pPr>
    </w:p>
    <w:p>
      <w:pPr>
        <w:keepNext/>
        <w:jc w:val="both"/>
        <w:rPr>
          <w:i/>
          <w:iCs/>
          <w:noProof/>
          <w:lang w:val="en-US"/>
        </w:rPr>
      </w:pPr>
      <w:r>
        <w:rPr>
          <w:i/>
          <w:iCs/>
          <w:noProof/>
          <w:lang w:val="en-US"/>
        </w:rPr>
        <w:t>Special clauses: banana mechanism</w:t>
      </w:r>
    </w:p>
    <w:p>
      <w:pPr>
        <w:keepNext/>
        <w:jc w:val="both"/>
        <w:rPr>
          <w:i/>
          <w:iCs/>
          <w:noProof/>
          <w:lang w:val="en-US"/>
        </w:rPr>
      </w:pPr>
    </w:p>
    <w:p>
      <w:pPr>
        <w:jc w:val="both"/>
        <w:rPr>
          <w:rFonts w:eastAsia="Calibri"/>
          <w:noProof/>
        </w:rPr>
      </w:pPr>
      <w:r>
        <w:rPr>
          <w:rFonts w:eastAsia="Calibri"/>
          <w:noProof/>
        </w:rPr>
        <w:t xml:space="preserve">The Agreement provides a </w:t>
      </w:r>
      <w:r>
        <w:rPr>
          <w:rFonts w:eastAsia="Calibri"/>
          <w:b/>
          <w:noProof/>
        </w:rPr>
        <w:t xml:space="preserve">preferential customs duty on bananas </w:t>
      </w:r>
      <w:r>
        <w:rPr>
          <w:rFonts w:eastAsia="Calibri"/>
          <w:noProof/>
        </w:rPr>
        <w:t xml:space="preserve">under heading 0803.00.19 (fresh bananas), progressively reduced since the date of application of the Agreement until the year 2020 (following the schedule indicated in a tariff reduction table). This special treatment is linked to a </w:t>
      </w:r>
      <w:r>
        <w:rPr>
          <w:rFonts w:eastAsia="Calibri"/>
          <w:b/>
          <w:noProof/>
        </w:rPr>
        <w:t>stabilisation clause that sets out an annual trigger volume for imports</w:t>
      </w:r>
      <w:r>
        <w:rPr>
          <w:rFonts w:eastAsia="Calibri"/>
          <w:noProof/>
        </w:rPr>
        <w:t xml:space="preserve"> from each Central American country during the transition period. If as a result of the reduction of customs duties the level of imports of bananas is such as to cause or threaten to cause serious injury to the EU banana sector, the Regulation establishes the appropriate procedures to be adopted to avoid serious harm to this sector. </w:t>
      </w:r>
    </w:p>
    <w:p>
      <w:pPr>
        <w:jc w:val="both"/>
        <w:rPr>
          <w:b/>
          <w:i/>
          <w:noProof/>
        </w:rPr>
      </w:pPr>
    </w:p>
    <w:p>
      <w:pPr>
        <w:keepNext/>
        <w:keepLines/>
        <w:jc w:val="both"/>
        <w:rPr>
          <w:b/>
          <w:i/>
          <w:noProof/>
        </w:rPr>
      </w:pPr>
      <w:r>
        <w:rPr>
          <w:b/>
          <w:i/>
          <w:noProof/>
        </w:rPr>
        <w:t>Implementation of Regulation (No) 20/2013</w:t>
      </w:r>
    </w:p>
    <w:p>
      <w:pPr>
        <w:keepNext/>
        <w:keepLines/>
        <w:jc w:val="both"/>
        <w:rPr>
          <w:b/>
          <w:i/>
          <w:noProof/>
        </w:rPr>
      </w:pPr>
    </w:p>
    <w:p>
      <w:pPr>
        <w:keepNext/>
        <w:keepLines/>
        <w:jc w:val="both"/>
        <w:rPr>
          <w:noProof/>
        </w:rPr>
      </w:pPr>
      <w:r>
        <w:rPr>
          <w:noProof/>
        </w:rPr>
        <w:t>Article 15 of Regulation (EU) No 20/2013</w:t>
      </w:r>
      <w:r>
        <w:rPr>
          <w:rStyle w:val="FootnoteReference"/>
          <w:noProof/>
        </w:rPr>
        <w:footnoteReference w:id="22"/>
      </w:r>
      <w:r>
        <w:rPr>
          <w:noProof/>
        </w:rPr>
        <w:t xml:space="preserve"> provides for the stabilisation mechanism for fresh bananas (HS code 08 03 90 10). When the annual trigger volume of imports per country as set in the agreement is met, the Commission examines the impact of these imports on the situation of the Union market for bananas and takes a decision to either temporarily suspend the preferential customs duty or determines that such suspension is not appropriate. The stabilisation mechanism shall apply until 31 December 2019. </w:t>
      </w:r>
    </w:p>
    <w:p>
      <w:pPr>
        <w:jc w:val="both"/>
        <w:rPr>
          <w:noProof/>
        </w:rPr>
      </w:pPr>
    </w:p>
    <w:p>
      <w:pPr>
        <w:jc w:val="both"/>
        <w:rPr>
          <w:noProof/>
        </w:rPr>
      </w:pPr>
      <w:r>
        <w:rPr>
          <w:noProof/>
        </w:rPr>
        <w:t>In this context and in accordance with Articles 3 and 13 of Regulation 20/2013, the Commission has been monitoring the evolution of imports of fresh bananas from the Central American countries party to the free trade agreement (</w:t>
      </w:r>
      <w:r>
        <w:rPr>
          <w:i/>
          <w:noProof/>
        </w:rPr>
        <w:t>Guatemala, Honduras, Nicaragua, Panama, Costa Rica and El Salvador</w:t>
      </w:r>
      <w:r>
        <w:rPr>
          <w:noProof/>
        </w:rPr>
        <w:t>).</w:t>
      </w:r>
    </w:p>
    <w:p>
      <w:pPr>
        <w:jc w:val="both"/>
        <w:rPr>
          <w:noProof/>
        </w:rPr>
      </w:pPr>
    </w:p>
    <w:p>
      <w:pPr>
        <w:keepNext/>
        <w:rPr>
          <w:i/>
          <w:noProof/>
        </w:rPr>
      </w:pPr>
      <w:r>
        <w:rPr>
          <w:i/>
          <w:noProof/>
        </w:rPr>
        <w:t xml:space="preserve">2018 EU imports of fresh bananas from Central America </w:t>
      </w:r>
    </w:p>
    <w:tbl>
      <w:tblPr>
        <w:tblW w:w="8240" w:type="dxa"/>
        <w:tblInd w:w="108" w:type="dxa"/>
        <w:tblLook w:val="04A0" w:firstRow="1" w:lastRow="0" w:firstColumn="1" w:lastColumn="0" w:noHBand="0" w:noVBand="1"/>
      </w:tblPr>
      <w:tblGrid>
        <w:gridCol w:w="2500"/>
        <w:gridCol w:w="2340"/>
        <w:gridCol w:w="2260"/>
        <w:gridCol w:w="1140"/>
      </w:tblGrid>
      <w:tr>
        <w:trPr>
          <w:trHeight w:val="290"/>
        </w:trPr>
        <w:tc>
          <w:tcPr>
            <w:tcW w:w="2500" w:type="dxa"/>
            <w:tcBorders>
              <w:top w:val="nil"/>
              <w:left w:val="nil"/>
              <w:bottom w:val="nil"/>
              <w:right w:val="nil"/>
            </w:tcBorders>
            <w:shd w:val="clear" w:color="auto" w:fill="auto"/>
            <w:noWrap/>
            <w:hideMark/>
          </w:tcPr>
          <w:p>
            <w:pPr>
              <w:keepNext/>
              <w:rPr>
                <w:rFonts w:eastAsia="Times New Roman"/>
                <w:b/>
                <w:bCs/>
                <w:noProof/>
                <w:color w:val="000000"/>
                <w:lang w:eastAsia="en-GB"/>
              </w:rPr>
            </w:pPr>
            <w:r>
              <w:rPr>
                <w:rFonts w:eastAsia="Times New Roman"/>
                <w:b/>
                <w:bCs/>
                <w:noProof/>
                <w:color w:val="000000"/>
                <w:lang w:eastAsia="en-GB"/>
              </w:rPr>
              <w:t>Country</w:t>
            </w:r>
          </w:p>
        </w:tc>
        <w:tc>
          <w:tcPr>
            <w:tcW w:w="2340" w:type="dxa"/>
            <w:tcBorders>
              <w:top w:val="nil"/>
              <w:left w:val="nil"/>
              <w:bottom w:val="nil"/>
              <w:right w:val="nil"/>
            </w:tcBorders>
            <w:shd w:val="clear" w:color="auto" w:fill="auto"/>
            <w:noWrap/>
            <w:hideMark/>
          </w:tcPr>
          <w:p>
            <w:pPr>
              <w:keepNext/>
              <w:jc w:val="center"/>
              <w:rPr>
                <w:rFonts w:eastAsia="Times New Roman"/>
                <w:b/>
                <w:bCs/>
                <w:noProof/>
                <w:color w:val="000000"/>
                <w:lang w:eastAsia="en-GB"/>
              </w:rPr>
            </w:pPr>
            <w:r>
              <w:rPr>
                <w:rFonts w:eastAsia="Times New Roman"/>
                <w:b/>
                <w:bCs/>
                <w:noProof/>
                <w:color w:val="000000"/>
                <w:lang w:eastAsia="en-GB"/>
              </w:rPr>
              <w:t>Used volume</w:t>
            </w:r>
          </w:p>
        </w:tc>
        <w:tc>
          <w:tcPr>
            <w:tcW w:w="2260" w:type="dxa"/>
            <w:tcBorders>
              <w:top w:val="nil"/>
              <w:left w:val="nil"/>
              <w:bottom w:val="nil"/>
              <w:right w:val="nil"/>
            </w:tcBorders>
            <w:shd w:val="clear" w:color="auto" w:fill="auto"/>
            <w:noWrap/>
            <w:hideMark/>
          </w:tcPr>
          <w:p>
            <w:pPr>
              <w:keepNext/>
              <w:jc w:val="center"/>
              <w:rPr>
                <w:rFonts w:eastAsia="Times New Roman"/>
                <w:b/>
                <w:bCs/>
                <w:noProof/>
                <w:color w:val="000000"/>
                <w:lang w:eastAsia="en-GB"/>
              </w:rPr>
            </w:pPr>
            <w:r>
              <w:rPr>
                <w:rFonts w:eastAsia="Times New Roman"/>
                <w:b/>
                <w:bCs/>
                <w:noProof/>
                <w:color w:val="000000"/>
                <w:lang w:eastAsia="en-GB"/>
              </w:rPr>
              <w:t>Trigger level</w:t>
            </w:r>
          </w:p>
        </w:tc>
        <w:tc>
          <w:tcPr>
            <w:tcW w:w="1140" w:type="dxa"/>
            <w:tcBorders>
              <w:top w:val="nil"/>
              <w:left w:val="nil"/>
              <w:bottom w:val="nil"/>
              <w:right w:val="nil"/>
            </w:tcBorders>
            <w:shd w:val="clear" w:color="auto" w:fill="auto"/>
            <w:noWrap/>
            <w:hideMark/>
          </w:tcPr>
          <w:p>
            <w:pPr>
              <w:keepNext/>
              <w:jc w:val="center"/>
              <w:rPr>
                <w:rFonts w:eastAsia="Times New Roman"/>
                <w:b/>
                <w:bCs/>
                <w:noProof/>
                <w:color w:val="000000"/>
                <w:lang w:eastAsia="en-GB"/>
              </w:rPr>
            </w:pPr>
            <w:r>
              <w:rPr>
                <w:rFonts w:eastAsia="Times New Roman"/>
                <w:b/>
                <w:bCs/>
                <w:noProof/>
                <w:color w:val="000000"/>
                <w:lang w:eastAsia="en-GB"/>
              </w:rPr>
              <w:t>%</w:t>
            </w:r>
          </w:p>
        </w:tc>
      </w:tr>
      <w:tr>
        <w:trPr>
          <w:trHeight w:val="290"/>
        </w:trPr>
        <w:tc>
          <w:tcPr>
            <w:tcW w:w="2500" w:type="dxa"/>
            <w:tcBorders>
              <w:top w:val="single" w:sz="4" w:space="0" w:color="000000"/>
              <w:left w:val="nil"/>
              <w:bottom w:val="nil"/>
              <w:right w:val="nil"/>
            </w:tcBorders>
            <w:shd w:val="clear" w:color="D9D9D9" w:fill="D9D9D9"/>
            <w:noWrap/>
            <w:vAlign w:val="bottom"/>
            <w:hideMark/>
          </w:tcPr>
          <w:p>
            <w:pPr>
              <w:keepNext/>
              <w:rPr>
                <w:rFonts w:eastAsia="Times New Roman"/>
                <w:noProof/>
                <w:color w:val="000000"/>
                <w:lang w:eastAsia="en-GB"/>
              </w:rPr>
            </w:pPr>
            <w:r>
              <w:rPr>
                <w:rFonts w:eastAsia="Times New Roman"/>
                <w:noProof/>
                <w:color w:val="000000"/>
                <w:lang w:eastAsia="en-GB"/>
              </w:rPr>
              <w:t>Guatemala</w:t>
            </w:r>
          </w:p>
        </w:tc>
        <w:tc>
          <w:tcPr>
            <w:tcW w:w="2340" w:type="dxa"/>
            <w:tcBorders>
              <w:top w:val="single" w:sz="4" w:space="0" w:color="000000"/>
              <w:left w:val="nil"/>
              <w:bottom w:val="nil"/>
              <w:right w:val="nil"/>
            </w:tcBorders>
            <w:shd w:val="clear" w:color="D9D9D9" w:fill="D9D9D9"/>
            <w:noWrap/>
            <w:hideMark/>
          </w:tcPr>
          <w:p>
            <w:pPr>
              <w:keepNext/>
              <w:jc w:val="right"/>
              <w:rPr>
                <w:rFonts w:eastAsia="Times New Roman"/>
                <w:noProof/>
                <w:color w:val="000000"/>
                <w:lang w:eastAsia="en-GB"/>
              </w:rPr>
            </w:pPr>
            <w:r>
              <w:rPr>
                <w:rFonts w:eastAsia="Times New Roman"/>
                <w:noProof/>
                <w:color w:val="000000"/>
                <w:lang w:eastAsia="en-GB"/>
              </w:rPr>
              <w:t xml:space="preserve">149.509.230 </w:t>
            </w:r>
          </w:p>
        </w:tc>
        <w:tc>
          <w:tcPr>
            <w:tcW w:w="2260" w:type="dxa"/>
            <w:tcBorders>
              <w:top w:val="single" w:sz="4" w:space="0" w:color="000000"/>
              <w:left w:val="nil"/>
              <w:bottom w:val="nil"/>
              <w:right w:val="nil"/>
            </w:tcBorders>
            <w:shd w:val="clear" w:color="D9D9D9" w:fill="D9D9D9"/>
            <w:noWrap/>
            <w:hideMark/>
          </w:tcPr>
          <w:p>
            <w:pPr>
              <w:keepNext/>
              <w:jc w:val="right"/>
              <w:rPr>
                <w:rFonts w:eastAsia="Times New Roman"/>
                <w:noProof/>
                <w:color w:val="000000"/>
                <w:lang w:eastAsia="en-GB"/>
              </w:rPr>
            </w:pPr>
            <w:r>
              <w:rPr>
                <w:rFonts w:eastAsia="Times New Roman"/>
                <w:noProof/>
                <w:color w:val="000000"/>
                <w:lang w:eastAsia="en-GB"/>
              </w:rPr>
              <w:t xml:space="preserve">70.000.000 </w:t>
            </w:r>
          </w:p>
        </w:tc>
        <w:tc>
          <w:tcPr>
            <w:tcW w:w="1140" w:type="dxa"/>
            <w:tcBorders>
              <w:top w:val="single" w:sz="4" w:space="0" w:color="000000"/>
              <w:left w:val="nil"/>
              <w:bottom w:val="nil"/>
              <w:right w:val="nil"/>
            </w:tcBorders>
            <w:shd w:val="clear" w:color="D9D9D9" w:fill="D9D9D9"/>
            <w:noWrap/>
            <w:hideMark/>
          </w:tcPr>
          <w:p>
            <w:pPr>
              <w:keepNext/>
              <w:jc w:val="right"/>
              <w:rPr>
                <w:rFonts w:eastAsia="Times New Roman"/>
                <w:noProof/>
                <w:color w:val="000000"/>
                <w:lang w:eastAsia="en-GB"/>
              </w:rPr>
            </w:pPr>
            <w:r>
              <w:rPr>
                <w:rFonts w:eastAsia="Times New Roman"/>
                <w:noProof/>
                <w:color w:val="000000"/>
                <w:lang w:eastAsia="en-GB"/>
              </w:rPr>
              <w:t>214%</w:t>
            </w:r>
          </w:p>
        </w:tc>
      </w:tr>
      <w:tr>
        <w:trPr>
          <w:trHeight w:val="290"/>
        </w:trPr>
        <w:tc>
          <w:tcPr>
            <w:tcW w:w="2500" w:type="dxa"/>
            <w:tcBorders>
              <w:top w:val="nil"/>
              <w:left w:val="nil"/>
              <w:bottom w:val="nil"/>
              <w:right w:val="nil"/>
            </w:tcBorders>
            <w:shd w:val="clear" w:color="auto" w:fill="auto"/>
            <w:noWrap/>
            <w:vAlign w:val="bottom"/>
            <w:hideMark/>
          </w:tcPr>
          <w:p>
            <w:pPr>
              <w:keepNext/>
              <w:rPr>
                <w:rFonts w:eastAsia="Times New Roman"/>
                <w:noProof/>
                <w:color w:val="000000"/>
                <w:lang w:eastAsia="en-GB"/>
              </w:rPr>
            </w:pPr>
            <w:r>
              <w:rPr>
                <w:rFonts w:eastAsia="Times New Roman"/>
                <w:noProof/>
                <w:color w:val="000000"/>
                <w:lang w:eastAsia="en-GB"/>
              </w:rPr>
              <w:t>Honduras</w:t>
            </w:r>
          </w:p>
        </w:tc>
        <w:tc>
          <w:tcPr>
            <w:tcW w:w="2340" w:type="dxa"/>
            <w:tcBorders>
              <w:top w:val="nil"/>
              <w:left w:val="nil"/>
              <w:bottom w:val="nil"/>
              <w:right w:val="nil"/>
            </w:tcBorders>
            <w:shd w:val="clear" w:color="auto" w:fill="auto"/>
            <w:noWrap/>
            <w:hideMark/>
          </w:tcPr>
          <w:p>
            <w:pPr>
              <w:keepNext/>
              <w:jc w:val="right"/>
              <w:rPr>
                <w:rFonts w:eastAsia="Times New Roman"/>
                <w:noProof/>
                <w:color w:val="000000"/>
                <w:lang w:eastAsia="en-GB"/>
              </w:rPr>
            </w:pPr>
            <w:r>
              <w:rPr>
                <w:rFonts w:eastAsia="Times New Roman"/>
                <w:noProof/>
                <w:color w:val="000000"/>
                <w:lang w:eastAsia="en-GB"/>
              </w:rPr>
              <w:t xml:space="preserve">20.759.675 </w:t>
            </w:r>
          </w:p>
        </w:tc>
        <w:tc>
          <w:tcPr>
            <w:tcW w:w="2260" w:type="dxa"/>
            <w:tcBorders>
              <w:top w:val="nil"/>
              <w:left w:val="nil"/>
              <w:bottom w:val="nil"/>
              <w:right w:val="nil"/>
            </w:tcBorders>
            <w:shd w:val="clear" w:color="auto" w:fill="auto"/>
            <w:noWrap/>
            <w:hideMark/>
          </w:tcPr>
          <w:p>
            <w:pPr>
              <w:keepNext/>
              <w:jc w:val="right"/>
              <w:rPr>
                <w:rFonts w:eastAsia="Times New Roman"/>
                <w:noProof/>
                <w:color w:val="000000"/>
                <w:lang w:eastAsia="en-GB"/>
              </w:rPr>
            </w:pPr>
            <w:r>
              <w:rPr>
                <w:rFonts w:eastAsia="Times New Roman"/>
                <w:noProof/>
                <w:color w:val="000000"/>
                <w:lang w:eastAsia="en-GB"/>
              </w:rPr>
              <w:t xml:space="preserve">70.000.000 </w:t>
            </w:r>
          </w:p>
        </w:tc>
        <w:tc>
          <w:tcPr>
            <w:tcW w:w="1140" w:type="dxa"/>
            <w:tcBorders>
              <w:top w:val="nil"/>
              <w:left w:val="nil"/>
              <w:bottom w:val="nil"/>
              <w:right w:val="nil"/>
            </w:tcBorders>
            <w:shd w:val="clear" w:color="auto" w:fill="auto"/>
            <w:noWrap/>
            <w:hideMark/>
          </w:tcPr>
          <w:p>
            <w:pPr>
              <w:keepNext/>
              <w:jc w:val="right"/>
              <w:rPr>
                <w:rFonts w:eastAsia="Times New Roman"/>
                <w:noProof/>
                <w:color w:val="000000"/>
                <w:lang w:eastAsia="en-GB"/>
              </w:rPr>
            </w:pPr>
            <w:r>
              <w:rPr>
                <w:rFonts w:eastAsia="Times New Roman"/>
                <w:noProof/>
                <w:color w:val="000000"/>
                <w:lang w:eastAsia="en-GB"/>
              </w:rPr>
              <w:t>30%</w:t>
            </w:r>
          </w:p>
        </w:tc>
      </w:tr>
      <w:tr>
        <w:trPr>
          <w:trHeight w:val="290"/>
        </w:trPr>
        <w:tc>
          <w:tcPr>
            <w:tcW w:w="2500" w:type="dxa"/>
            <w:tcBorders>
              <w:top w:val="nil"/>
              <w:left w:val="nil"/>
              <w:bottom w:val="nil"/>
              <w:right w:val="nil"/>
            </w:tcBorders>
            <w:shd w:val="clear" w:color="D9D9D9" w:fill="D9D9D9"/>
            <w:noWrap/>
            <w:vAlign w:val="bottom"/>
            <w:hideMark/>
          </w:tcPr>
          <w:p>
            <w:pPr>
              <w:keepNext/>
              <w:rPr>
                <w:rFonts w:eastAsia="Times New Roman"/>
                <w:noProof/>
                <w:color w:val="000000"/>
                <w:lang w:eastAsia="en-GB"/>
              </w:rPr>
            </w:pPr>
            <w:r>
              <w:rPr>
                <w:rFonts w:eastAsia="Times New Roman"/>
                <w:noProof/>
                <w:color w:val="000000"/>
                <w:lang w:eastAsia="en-GB"/>
              </w:rPr>
              <w:t>Nicaragua</w:t>
            </w:r>
          </w:p>
        </w:tc>
        <w:tc>
          <w:tcPr>
            <w:tcW w:w="2340" w:type="dxa"/>
            <w:tcBorders>
              <w:top w:val="nil"/>
              <w:left w:val="nil"/>
              <w:bottom w:val="nil"/>
              <w:right w:val="nil"/>
            </w:tcBorders>
            <w:shd w:val="clear" w:color="D9D9D9" w:fill="D9D9D9"/>
            <w:noWrap/>
            <w:hideMark/>
          </w:tcPr>
          <w:p>
            <w:pPr>
              <w:keepNext/>
              <w:jc w:val="right"/>
              <w:rPr>
                <w:rFonts w:eastAsia="Times New Roman"/>
                <w:noProof/>
                <w:color w:val="000000"/>
                <w:lang w:eastAsia="en-GB"/>
              </w:rPr>
            </w:pPr>
            <w:r>
              <w:rPr>
                <w:rFonts w:eastAsia="Times New Roman"/>
                <w:noProof/>
                <w:color w:val="000000"/>
                <w:lang w:eastAsia="en-GB"/>
              </w:rPr>
              <w:t xml:space="preserve">80.097.320 </w:t>
            </w:r>
          </w:p>
        </w:tc>
        <w:tc>
          <w:tcPr>
            <w:tcW w:w="2260" w:type="dxa"/>
            <w:tcBorders>
              <w:top w:val="nil"/>
              <w:left w:val="nil"/>
              <w:bottom w:val="nil"/>
              <w:right w:val="nil"/>
            </w:tcBorders>
            <w:shd w:val="clear" w:color="D9D9D9" w:fill="D9D9D9"/>
            <w:noWrap/>
            <w:hideMark/>
          </w:tcPr>
          <w:p>
            <w:pPr>
              <w:keepNext/>
              <w:jc w:val="right"/>
              <w:rPr>
                <w:rFonts w:eastAsia="Times New Roman"/>
                <w:noProof/>
                <w:color w:val="000000"/>
                <w:lang w:eastAsia="en-GB"/>
              </w:rPr>
            </w:pPr>
            <w:r>
              <w:rPr>
                <w:rFonts w:eastAsia="Times New Roman"/>
                <w:noProof/>
                <w:color w:val="000000"/>
                <w:lang w:eastAsia="en-GB"/>
              </w:rPr>
              <w:t xml:space="preserve">14.000.000 </w:t>
            </w:r>
          </w:p>
        </w:tc>
        <w:tc>
          <w:tcPr>
            <w:tcW w:w="1140" w:type="dxa"/>
            <w:tcBorders>
              <w:top w:val="nil"/>
              <w:left w:val="nil"/>
              <w:bottom w:val="nil"/>
              <w:right w:val="nil"/>
            </w:tcBorders>
            <w:shd w:val="clear" w:color="D9D9D9" w:fill="D9D9D9"/>
            <w:noWrap/>
            <w:hideMark/>
          </w:tcPr>
          <w:p>
            <w:pPr>
              <w:keepNext/>
              <w:jc w:val="right"/>
              <w:rPr>
                <w:rFonts w:eastAsia="Times New Roman"/>
                <w:noProof/>
                <w:color w:val="000000"/>
                <w:lang w:eastAsia="en-GB"/>
              </w:rPr>
            </w:pPr>
            <w:r>
              <w:rPr>
                <w:rFonts w:eastAsia="Times New Roman"/>
                <w:noProof/>
                <w:color w:val="000000"/>
                <w:lang w:eastAsia="en-GB"/>
              </w:rPr>
              <w:t>572%</w:t>
            </w:r>
          </w:p>
        </w:tc>
      </w:tr>
      <w:tr>
        <w:trPr>
          <w:trHeight w:val="290"/>
        </w:trPr>
        <w:tc>
          <w:tcPr>
            <w:tcW w:w="2500" w:type="dxa"/>
            <w:tcBorders>
              <w:top w:val="nil"/>
              <w:left w:val="nil"/>
              <w:bottom w:val="nil"/>
              <w:right w:val="nil"/>
            </w:tcBorders>
            <w:shd w:val="clear" w:color="auto" w:fill="auto"/>
            <w:noWrap/>
            <w:vAlign w:val="bottom"/>
            <w:hideMark/>
          </w:tcPr>
          <w:p>
            <w:pPr>
              <w:keepNext/>
              <w:rPr>
                <w:rFonts w:eastAsia="Times New Roman"/>
                <w:noProof/>
                <w:color w:val="000000"/>
                <w:lang w:eastAsia="en-GB"/>
              </w:rPr>
            </w:pPr>
            <w:r>
              <w:rPr>
                <w:rFonts w:eastAsia="Times New Roman"/>
                <w:noProof/>
                <w:color w:val="000000"/>
                <w:lang w:eastAsia="en-GB"/>
              </w:rPr>
              <w:t>Panama</w:t>
            </w:r>
          </w:p>
        </w:tc>
        <w:tc>
          <w:tcPr>
            <w:tcW w:w="2340" w:type="dxa"/>
            <w:tcBorders>
              <w:top w:val="nil"/>
              <w:left w:val="nil"/>
              <w:bottom w:val="nil"/>
              <w:right w:val="nil"/>
            </w:tcBorders>
            <w:shd w:val="clear" w:color="auto" w:fill="auto"/>
            <w:noWrap/>
            <w:hideMark/>
          </w:tcPr>
          <w:p>
            <w:pPr>
              <w:keepNext/>
              <w:jc w:val="right"/>
              <w:rPr>
                <w:rFonts w:eastAsia="Times New Roman"/>
                <w:noProof/>
                <w:color w:val="000000"/>
                <w:lang w:eastAsia="en-GB"/>
              </w:rPr>
            </w:pPr>
            <w:r>
              <w:rPr>
                <w:rFonts w:eastAsia="Times New Roman"/>
                <w:noProof/>
                <w:color w:val="000000"/>
                <w:lang w:eastAsia="en-GB"/>
              </w:rPr>
              <w:t xml:space="preserve">253.458.920 </w:t>
            </w:r>
          </w:p>
        </w:tc>
        <w:tc>
          <w:tcPr>
            <w:tcW w:w="2260" w:type="dxa"/>
            <w:tcBorders>
              <w:top w:val="nil"/>
              <w:left w:val="nil"/>
              <w:bottom w:val="nil"/>
              <w:right w:val="nil"/>
            </w:tcBorders>
            <w:shd w:val="clear" w:color="auto" w:fill="auto"/>
            <w:noWrap/>
            <w:hideMark/>
          </w:tcPr>
          <w:p>
            <w:pPr>
              <w:keepNext/>
              <w:jc w:val="right"/>
              <w:rPr>
                <w:rFonts w:eastAsia="Times New Roman"/>
                <w:noProof/>
                <w:color w:val="000000"/>
                <w:lang w:eastAsia="en-GB"/>
              </w:rPr>
            </w:pPr>
            <w:r>
              <w:rPr>
                <w:rFonts w:eastAsia="Times New Roman"/>
                <w:noProof/>
                <w:color w:val="000000"/>
                <w:lang w:eastAsia="en-GB"/>
              </w:rPr>
              <w:t xml:space="preserve">525.000.000 </w:t>
            </w:r>
          </w:p>
        </w:tc>
        <w:tc>
          <w:tcPr>
            <w:tcW w:w="1140" w:type="dxa"/>
            <w:tcBorders>
              <w:top w:val="nil"/>
              <w:left w:val="nil"/>
              <w:bottom w:val="nil"/>
              <w:right w:val="nil"/>
            </w:tcBorders>
            <w:shd w:val="clear" w:color="auto" w:fill="auto"/>
            <w:noWrap/>
            <w:hideMark/>
          </w:tcPr>
          <w:p>
            <w:pPr>
              <w:keepNext/>
              <w:jc w:val="right"/>
              <w:rPr>
                <w:rFonts w:eastAsia="Times New Roman"/>
                <w:noProof/>
                <w:color w:val="000000"/>
                <w:lang w:eastAsia="en-GB"/>
              </w:rPr>
            </w:pPr>
            <w:r>
              <w:rPr>
                <w:rFonts w:eastAsia="Times New Roman"/>
                <w:noProof/>
                <w:color w:val="000000"/>
                <w:lang w:eastAsia="en-GB"/>
              </w:rPr>
              <w:t>48%</w:t>
            </w:r>
          </w:p>
        </w:tc>
      </w:tr>
      <w:tr>
        <w:trPr>
          <w:trHeight w:val="290"/>
        </w:trPr>
        <w:tc>
          <w:tcPr>
            <w:tcW w:w="2500" w:type="dxa"/>
            <w:tcBorders>
              <w:top w:val="nil"/>
              <w:left w:val="nil"/>
              <w:bottom w:val="nil"/>
              <w:right w:val="nil"/>
            </w:tcBorders>
            <w:shd w:val="clear" w:color="D9D9D9" w:fill="D9D9D9"/>
            <w:noWrap/>
            <w:vAlign w:val="bottom"/>
            <w:hideMark/>
          </w:tcPr>
          <w:p>
            <w:pPr>
              <w:keepNext/>
              <w:rPr>
                <w:rFonts w:eastAsia="Times New Roman"/>
                <w:noProof/>
                <w:color w:val="000000"/>
                <w:lang w:eastAsia="en-GB"/>
              </w:rPr>
            </w:pPr>
            <w:r>
              <w:rPr>
                <w:rFonts w:eastAsia="Times New Roman"/>
                <w:noProof/>
                <w:color w:val="000000"/>
                <w:lang w:eastAsia="en-GB"/>
              </w:rPr>
              <w:t>Costa Rica</w:t>
            </w:r>
          </w:p>
        </w:tc>
        <w:tc>
          <w:tcPr>
            <w:tcW w:w="2340" w:type="dxa"/>
            <w:tcBorders>
              <w:top w:val="nil"/>
              <w:left w:val="nil"/>
              <w:bottom w:val="nil"/>
              <w:right w:val="nil"/>
            </w:tcBorders>
            <w:shd w:val="clear" w:color="D9D9D9" w:fill="D9D9D9"/>
            <w:noWrap/>
            <w:hideMark/>
          </w:tcPr>
          <w:p>
            <w:pPr>
              <w:keepNext/>
              <w:jc w:val="right"/>
              <w:rPr>
                <w:rFonts w:eastAsia="Times New Roman"/>
                <w:noProof/>
                <w:color w:val="000000"/>
                <w:lang w:eastAsia="en-GB"/>
              </w:rPr>
            </w:pPr>
            <w:r>
              <w:rPr>
                <w:rFonts w:eastAsia="Times New Roman"/>
                <w:noProof/>
                <w:color w:val="000000"/>
                <w:lang w:eastAsia="en-GB"/>
              </w:rPr>
              <w:t xml:space="preserve">1.188.350.193 </w:t>
            </w:r>
          </w:p>
        </w:tc>
        <w:tc>
          <w:tcPr>
            <w:tcW w:w="2260" w:type="dxa"/>
            <w:tcBorders>
              <w:top w:val="nil"/>
              <w:left w:val="nil"/>
              <w:bottom w:val="nil"/>
              <w:right w:val="nil"/>
            </w:tcBorders>
            <w:shd w:val="clear" w:color="D9D9D9" w:fill="D9D9D9"/>
            <w:noWrap/>
            <w:hideMark/>
          </w:tcPr>
          <w:p>
            <w:pPr>
              <w:keepNext/>
              <w:jc w:val="right"/>
              <w:rPr>
                <w:rFonts w:eastAsia="Times New Roman"/>
                <w:noProof/>
                <w:color w:val="000000"/>
                <w:lang w:eastAsia="en-GB"/>
              </w:rPr>
            </w:pPr>
            <w:r>
              <w:rPr>
                <w:rFonts w:eastAsia="Times New Roman"/>
                <w:noProof/>
                <w:color w:val="000000"/>
                <w:lang w:eastAsia="en-GB"/>
              </w:rPr>
              <w:t xml:space="preserve">1.435.000.000 </w:t>
            </w:r>
          </w:p>
        </w:tc>
        <w:tc>
          <w:tcPr>
            <w:tcW w:w="1140" w:type="dxa"/>
            <w:tcBorders>
              <w:top w:val="nil"/>
              <w:left w:val="nil"/>
              <w:bottom w:val="nil"/>
              <w:right w:val="nil"/>
            </w:tcBorders>
            <w:shd w:val="clear" w:color="D9D9D9" w:fill="D9D9D9"/>
            <w:noWrap/>
            <w:hideMark/>
          </w:tcPr>
          <w:p>
            <w:pPr>
              <w:keepNext/>
              <w:jc w:val="right"/>
              <w:rPr>
                <w:rFonts w:eastAsia="Times New Roman"/>
                <w:noProof/>
                <w:color w:val="000000"/>
                <w:lang w:eastAsia="en-GB"/>
              </w:rPr>
            </w:pPr>
            <w:r>
              <w:rPr>
                <w:rFonts w:eastAsia="Times New Roman"/>
                <w:noProof/>
                <w:color w:val="000000"/>
                <w:lang w:eastAsia="en-GB"/>
              </w:rPr>
              <w:t>83%</w:t>
            </w:r>
          </w:p>
        </w:tc>
      </w:tr>
      <w:tr>
        <w:trPr>
          <w:trHeight w:val="290"/>
        </w:trPr>
        <w:tc>
          <w:tcPr>
            <w:tcW w:w="2500" w:type="dxa"/>
            <w:tcBorders>
              <w:top w:val="nil"/>
              <w:left w:val="nil"/>
              <w:bottom w:val="nil"/>
              <w:right w:val="nil"/>
            </w:tcBorders>
            <w:shd w:val="clear" w:color="auto" w:fill="auto"/>
            <w:noWrap/>
            <w:vAlign w:val="bottom"/>
            <w:hideMark/>
          </w:tcPr>
          <w:p>
            <w:pPr>
              <w:keepNext/>
              <w:rPr>
                <w:rFonts w:eastAsia="Times New Roman"/>
                <w:noProof/>
                <w:color w:val="000000"/>
                <w:lang w:eastAsia="en-GB"/>
              </w:rPr>
            </w:pPr>
            <w:r>
              <w:rPr>
                <w:rFonts w:eastAsia="Times New Roman"/>
                <w:noProof/>
                <w:color w:val="000000"/>
                <w:lang w:eastAsia="en-GB"/>
              </w:rPr>
              <w:t>El Salvador</w:t>
            </w:r>
          </w:p>
        </w:tc>
        <w:tc>
          <w:tcPr>
            <w:tcW w:w="2340" w:type="dxa"/>
            <w:tcBorders>
              <w:top w:val="nil"/>
              <w:left w:val="nil"/>
              <w:bottom w:val="nil"/>
              <w:right w:val="nil"/>
            </w:tcBorders>
            <w:shd w:val="clear" w:color="auto" w:fill="auto"/>
            <w:noWrap/>
            <w:hideMark/>
          </w:tcPr>
          <w:p>
            <w:pPr>
              <w:keepNext/>
              <w:jc w:val="right"/>
              <w:rPr>
                <w:rFonts w:eastAsia="Times New Roman"/>
                <w:noProof/>
                <w:color w:val="000000"/>
                <w:lang w:eastAsia="en-GB"/>
              </w:rPr>
            </w:pPr>
            <w:r>
              <w:rPr>
                <w:rFonts w:eastAsia="Times New Roman"/>
                <w:noProof/>
                <w:color w:val="000000"/>
                <w:lang w:eastAsia="en-GB"/>
              </w:rPr>
              <w:t xml:space="preserve">0 </w:t>
            </w:r>
          </w:p>
        </w:tc>
        <w:tc>
          <w:tcPr>
            <w:tcW w:w="2260" w:type="dxa"/>
            <w:tcBorders>
              <w:top w:val="nil"/>
              <w:left w:val="nil"/>
              <w:bottom w:val="nil"/>
              <w:right w:val="nil"/>
            </w:tcBorders>
            <w:shd w:val="clear" w:color="auto" w:fill="auto"/>
            <w:noWrap/>
            <w:hideMark/>
          </w:tcPr>
          <w:p>
            <w:pPr>
              <w:keepNext/>
              <w:jc w:val="right"/>
              <w:rPr>
                <w:rFonts w:eastAsia="Times New Roman"/>
                <w:noProof/>
                <w:color w:val="000000"/>
                <w:lang w:eastAsia="en-GB"/>
              </w:rPr>
            </w:pPr>
            <w:r>
              <w:rPr>
                <w:rFonts w:eastAsia="Times New Roman"/>
                <w:noProof/>
                <w:color w:val="000000"/>
                <w:lang w:eastAsia="en-GB"/>
              </w:rPr>
              <w:t xml:space="preserve">2.800.000 </w:t>
            </w:r>
          </w:p>
        </w:tc>
        <w:tc>
          <w:tcPr>
            <w:tcW w:w="1140" w:type="dxa"/>
            <w:tcBorders>
              <w:top w:val="nil"/>
              <w:left w:val="nil"/>
              <w:bottom w:val="nil"/>
              <w:right w:val="nil"/>
            </w:tcBorders>
            <w:shd w:val="clear" w:color="auto" w:fill="auto"/>
            <w:noWrap/>
            <w:hideMark/>
          </w:tcPr>
          <w:p>
            <w:pPr>
              <w:keepNext/>
              <w:jc w:val="right"/>
              <w:rPr>
                <w:rFonts w:eastAsia="Times New Roman"/>
                <w:noProof/>
                <w:color w:val="000000"/>
                <w:lang w:eastAsia="en-GB"/>
              </w:rPr>
            </w:pPr>
            <w:r>
              <w:rPr>
                <w:rFonts w:eastAsia="Times New Roman"/>
                <w:noProof/>
                <w:color w:val="000000"/>
                <w:lang w:eastAsia="en-GB"/>
              </w:rPr>
              <w:t>0</w:t>
            </w:r>
          </w:p>
        </w:tc>
      </w:tr>
      <w:tr>
        <w:trPr>
          <w:trHeight w:val="290"/>
        </w:trPr>
        <w:tc>
          <w:tcPr>
            <w:tcW w:w="2500" w:type="dxa"/>
            <w:tcBorders>
              <w:top w:val="nil"/>
              <w:left w:val="nil"/>
              <w:bottom w:val="single" w:sz="4" w:space="0" w:color="000000"/>
              <w:right w:val="nil"/>
            </w:tcBorders>
            <w:shd w:val="clear" w:color="D9D9D9" w:fill="D9D9D9"/>
            <w:noWrap/>
            <w:hideMark/>
          </w:tcPr>
          <w:p>
            <w:pPr>
              <w:keepNext/>
              <w:rPr>
                <w:rFonts w:eastAsia="Times New Roman"/>
                <w:b/>
                <w:bCs/>
                <w:noProof/>
                <w:color w:val="000000"/>
                <w:lang w:eastAsia="en-GB"/>
              </w:rPr>
            </w:pPr>
            <w:r>
              <w:rPr>
                <w:rFonts w:eastAsia="Times New Roman"/>
                <w:b/>
                <w:bCs/>
                <w:noProof/>
                <w:color w:val="000000"/>
                <w:lang w:eastAsia="en-GB"/>
              </w:rPr>
              <w:t>Total</w:t>
            </w:r>
          </w:p>
        </w:tc>
        <w:tc>
          <w:tcPr>
            <w:tcW w:w="2340" w:type="dxa"/>
            <w:tcBorders>
              <w:top w:val="nil"/>
              <w:left w:val="nil"/>
              <w:bottom w:val="single" w:sz="4" w:space="0" w:color="000000"/>
              <w:right w:val="nil"/>
            </w:tcBorders>
            <w:shd w:val="clear" w:color="D9D9D9" w:fill="D9D9D9"/>
            <w:noWrap/>
            <w:hideMark/>
          </w:tcPr>
          <w:p>
            <w:pPr>
              <w:keepNext/>
              <w:jc w:val="right"/>
              <w:rPr>
                <w:rFonts w:eastAsia="Times New Roman"/>
                <w:b/>
                <w:bCs/>
                <w:noProof/>
                <w:color w:val="000000"/>
                <w:lang w:eastAsia="en-GB"/>
              </w:rPr>
            </w:pPr>
            <w:r>
              <w:rPr>
                <w:rFonts w:eastAsia="Times New Roman"/>
                <w:b/>
                <w:bCs/>
                <w:noProof/>
                <w:color w:val="000000"/>
                <w:lang w:eastAsia="en-GB"/>
              </w:rPr>
              <w:t xml:space="preserve">1.692.175.338 </w:t>
            </w:r>
          </w:p>
        </w:tc>
        <w:tc>
          <w:tcPr>
            <w:tcW w:w="2260" w:type="dxa"/>
            <w:tcBorders>
              <w:top w:val="nil"/>
              <w:left w:val="nil"/>
              <w:bottom w:val="single" w:sz="4" w:space="0" w:color="000000"/>
              <w:right w:val="nil"/>
            </w:tcBorders>
            <w:shd w:val="clear" w:color="D9D9D9" w:fill="D9D9D9"/>
            <w:noWrap/>
            <w:hideMark/>
          </w:tcPr>
          <w:p>
            <w:pPr>
              <w:keepNext/>
              <w:jc w:val="right"/>
              <w:rPr>
                <w:rFonts w:eastAsia="Times New Roman"/>
                <w:b/>
                <w:bCs/>
                <w:noProof/>
                <w:color w:val="000000"/>
                <w:lang w:eastAsia="en-GB"/>
              </w:rPr>
            </w:pPr>
            <w:r>
              <w:rPr>
                <w:rFonts w:eastAsia="Times New Roman"/>
                <w:b/>
                <w:bCs/>
                <w:noProof/>
                <w:color w:val="000000"/>
                <w:lang w:eastAsia="en-GB"/>
              </w:rPr>
              <w:t xml:space="preserve">2.116.800.000 </w:t>
            </w:r>
          </w:p>
        </w:tc>
        <w:tc>
          <w:tcPr>
            <w:tcW w:w="1140" w:type="dxa"/>
            <w:tcBorders>
              <w:top w:val="nil"/>
              <w:left w:val="nil"/>
              <w:bottom w:val="single" w:sz="4" w:space="0" w:color="000000"/>
              <w:right w:val="nil"/>
            </w:tcBorders>
            <w:shd w:val="clear" w:color="D9D9D9" w:fill="D9D9D9"/>
            <w:noWrap/>
            <w:hideMark/>
          </w:tcPr>
          <w:p>
            <w:pPr>
              <w:keepNext/>
              <w:jc w:val="right"/>
              <w:rPr>
                <w:rFonts w:eastAsia="Times New Roman"/>
                <w:b/>
                <w:bCs/>
                <w:noProof/>
                <w:color w:val="000000"/>
                <w:lang w:eastAsia="en-GB"/>
              </w:rPr>
            </w:pPr>
            <w:r>
              <w:rPr>
                <w:rFonts w:eastAsia="Times New Roman"/>
                <w:b/>
                <w:bCs/>
                <w:noProof/>
                <w:color w:val="000000"/>
                <w:lang w:eastAsia="en-GB"/>
              </w:rPr>
              <w:t>80%</w:t>
            </w:r>
          </w:p>
        </w:tc>
      </w:tr>
    </w:tbl>
    <w:p>
      <w:pPr>
        <w:keepNext/>
        <w:rPr>
          <w:i/>
          <w:noProof/>
          <w:sz w:val="20"/>
          <w:szCs w:val="20"/>
        </w:rPr>
      </w:pPr>
      <w:r>
        <w:rPr>
          <w:i/>
          <w:noProof/>
          <w:sz w:val="20"/>
          <w:szCs w:val="20"/>
        </w:rPr>
        <w:t xml:space="preserve">Source: Eurostat </w:t>
      </w:r>
    </w:p>
    <w:p>
      <w:pPr>
        <w:jc w:val="both"/>
        <w:rPr>
          <w:noProof/>
        </w:rPr>
      </w:pPr>
    </w:p>
    <w:p>
      <w:pPr>
        <w:jc w:val="both"/>
        <w:rPr>
          <w:noProof/>
        </w:rPr>
      </w:pPr>
      <w:r>
        <w:rPr>
          <w:noProof/>
        </w:rPr>
        <w:t xml:space="preserve">Imports of fresh bananas from Central America as a whole did not reach their trigger level under the stabilisation mechanism. At the end of 2018, the overall total import volume that had benefitted from preferential treatment in Central America was 80%. These import volumes were higher, but still close to the 74.4% reached in the previous year, and did not threaten the EU banana sector.  </w:t>
      </w:r>
    </w:p>
    <w:p>
      <w:pPr>
        <w:jc w:val="both"/>
        <w:rPr>
          <w:noProof/>
        </w:rPr>
      </w:pPr>
    </w:p>
    <w:p>
      <w:pPr>
        <w:jc w:val="both"/>
        <w:rPr>
          <w:noProof/>
        </w:rPr>
      </w:pPr>
      <w:r>
        <w:rPr>
          <w:noProof/>
        </w:rPr>
        <w:t xml:space="preserve">Nevertheless, banana imports from both Guatemala and Nicaragua exceeded their individual trigger level for 2018, as they did in previous years, by 114% and 472% respectively. In line with Article 15(3) of the Regulation, the Commission examined the impact on the EU market taking into account, </w:t>
      </w:r>
      <w:r>
        <w:rPr>
          <w:i/>
          <w:noProof/>
        </w:rPr>
        <w:t>inter alia</w:t>
      </w:r>
      <w:r>
        <w:rPr>
          <w:noProof/>
        </w:rPr>
        <w:t xml:space="preserve">, the effects on the price level, developments of imports from other sources and the overall stability of the EU market. </w:t>
      </w:r>
    </w:p>
    <w:p>
      <w:pPr>
        <w:jc w:val="both"/>
        <w:rPr>
          <w:noProof/>
        </w:rPr>
      </w:pPr>
    </w:p>
    <w:p>
      <w:pPr>
        <w:jc w:val="both"/>
        <w:rPr>
          <w:noProof/>
        </w:rPr>
      </w:pPr>
      <w:r>
        <w:rPr>
          <w:noProof/>
        </w:rPr>
        <w:t>Notwithstanding these individual countries’ level of exports, the Commission concluded that the suspension of the preferential duty on imports of fresh bananas originating in Guatemala and Nicaragua was not appropriate as</w:t>
      </w:r>
      <w:r>
        <w:rPr>
          <w:rStyle w:val="FootnoteReference"/>
          <w:noProof/>
        </w:rPr>
        <w:footnoteReference w:id="23"/>
      </w:r>
      <w:r>
        <w:rPr>
          <w:noProof/>
        </w:rPr>
        <w:t xml:space="preserve"> the share of imports from these two countries (1.2% for Nicaragua and 2.95% for Guatemala) in the </w:t>
      </w:r>
      <w:r>
        <w:rPr>
          <w:i/>
          <w:noProof/>
        </w:rPr>
        <w:t>overall</w:t>
      </w:r>
      <w:r>
        <w:rPr>
          <w:noProof/>
        </w:rPr>
        <w:t xml:space="preserve"> imports of bananas was very small at the moment the respective thresholds were exceeded; imports from the other countries remained far below the thresholds defined for them at the moment the respective thresholds were exceeded; and these imports did not show any negative effect on the EU wholesale price for bananas, which remained fairly stable in 2018. </w:t>
      </w:r>
    </w:p>
    <w:p>
      <w:pPr>
        <w:pStyle w:val="ManualHeading1"/>
      </w:pPr>
      <w:bookmarkStart w:id="552" w:name="_Toc8833489"/>
      <w:bookmarkStart w:id="553" w:name="_Toc8835316"/>
      <w:bookmarkStart w:id="554" w:name="_Toc8833946"/>
      <w:bookmarkStart w:id="555" w:name="_Toc8909409"/>
      <w:bookmarkStart w:id="556" w:name="_Toc8910621"/>
      <w:bookmarkStart w:id="557" w:name="_Toc8911658"/>
      <w:bookmarkStart w:id="558" w:name="_Toc8974471"/>
      <w:bookmarkStart w:id="559" w:name="_Toc9008132"/>
      <w:bookmarkStart w:id="560" w:name="_Toc9008535"/>
      <w:bookmarkStart w:id="561" w:name="_Toc9348530"/>
      <w:bookmarkStart w:id="562" w:name="_Toc9607981"/>
      <w:bookmarkStart w:id="563" w:name="_Toc16000556"/>
      <w:r>
        <w:t>6</w:t>
      </w:r>
      <w:r>
        <w:tab/>
        <w:t>Conclusions and outlook</w:t>
      </w:r>
      <w:bookmarkEnd w:id="552"/>
      <w:bookmarkEnd w:id="553"/>
      <w:bookmarkEnd w:id="554"/>
      <w:bookmarkEnd w:id="555"/>
      <w:bookmarkEnd w:id="556"/>
      <w:bookmarkEnd w:id="557"/>
      <w:bookmarkEnd w:id="558"/>
      <w:bookmarkEnd w:id="559"/>
      <w:bookmarkEnd w:id="560"/>
      <w:bookmarkEnd w:id="561"/>
      <w:bookmarkEnd w:id="562"/>
      <w:bookmarkEnd w:id="563"/>
    </w:p>
    <w:p>
      <w:pPr>
        <w:jc w:val="both"/>
        <w:rPr>
          <w:noProof/>
        </w:rPr>
      </w:pPr>
      <w:r>
        <w:rPr>
          <w:noProof/>
        </w:rPr>
        <w:t>Five</w:t>
      </w:r>
      <w:r>
        <w:rPr>
          <w:rFonts w:eastAsia="Calibri"/>
          <w:noProof/>
        </w:rPr>
        <w:t xml:space="preserve"> years after the application of the agreement, EU exports picked up to bring </w:t>
      </w:r>
      <w:r>
        <w:rPr>
          <w:noProof/>
        </w:rPr>
        <w:t xml:space="preserve">to a balance </w:t>
      </w:r>
      <w:r>
        <w:rPr>
          <w:rFonts w:eastAsia="Calibri"/>
          <w:noProof/>
        </w:rPr>
        <w:t>the trade flows between Central America and the EU. EU exports to the region were up by 11%, reaching a record high of €6 billion in 2018. Similarly to previous years, Panama was the main destination of EU exports to the region</w:t>
      </w:r>
      <w:r>
        <w:rPr>
          <w:noProof/>
        </w:rPr>
        <w:t xml:space="preserve"> and, together with El Salvador, accounted for most of the growth of EU’s annual exports.</w:t>
      </w:r>
    </w:p>
    <w:p>
      <w:pPr>
        <w:jc w:val="both"/>
        <w:rPr>
          <w:b/>
          <w:smallCaps/>
          <w:noProof/>
        </w:rPr>
      </w:pPr>
    </w:p>
    <w:p>
      <w:pPr>
        <w:jc w:val="both"/>
        <w:rPr>
          <w:noProof/>
        </w:rPr>
      </w:pPr>
      <w:r>
        <w:rPr>
          <w:noProof/>
        </w:rPr>
        <w:t xml:space="preserve">The correct functioning of the institutions created by the Agreement is necessary for its proper implementation. </w:t>
      </w:r>
    </w:p>
    <w:p>
      <w:pPr>
        <w:jc w:val="both"/>
        <w:rPr>
          <w:b/>
          <w:smallCaps/>
          <w:noProof/>
        </w:rPr>
      </w:pPr>
    </w:p>
    <w:p>
      <w:pPr>
        <w:jc w:val="both"/>
        <w:rPr>
          <w:noProof/>
        </w:rPr>
      </w:pPr>
      <w:r>
        <w:rPr>
          <w:noProof/>
        </w:rPr>
        <w:t>Building upon the positive cooperation now established with Central America is an ongoing priority for the EU, so as to continue contributing to the common aim of achieving a complete and correct implementation of the Agreement by all relevant actors. This has allowed economic operators, consumers and civil society from both regions to take advantage of numerous opportunities provided by the Agreement.</w:t>
      </w:r>
    </w:p>
    <w:p>
      <w:pPr>
        <w:jc w:val="both"/>
        <w:rPr>
          <w:b/>
          <w:smallCaps/>
          <w:noProof/>
        </w:rPr>
      </w:pPr>
    </w:p>
    <w:p>
      <w:pPr>
        <w:jc w:val="both"/>
        <w:rPr>
          <w:b/>
          <w:smallCaps/>
          <w:noProof/>
        </w:rPr>
      </w:pPr>
      <w:r>
        <w:rPr>
          <w:noProof/>
        </w:rPr>
        <w:t xml:space="preserve">In 2018, the Commission will launch an ex-post evaluation study into the Agreement. The study will assess the impact of the trade pillar of the Association Agreement (economic, social and environmental impact and impact on human rights). The findings are meant to offer lessons for the further improvement of the implementation of the Agreement. </w:t>
      </w:r>
    </w:p>
    <w:p>
      <w:pPr>
        <w:pStyle w:val="ManualHeading1"/>
      </w:pPr>
      <w:bookmarkStart w:id="564" w:name="_Toc8833490"/>
      <w:bookmarkStart w:id="565" w:name="_Toc8835317"/>
      <w:bookmarkStart w:id="566" w:name="_Toc8833947"/>
      <w:bookmarkStart w:id="567" w:name="_Toc8909410"/>
      <w:bookmarkStart w:id="568" w:name="_Toc8910622"/>
      <w:bookmarkStart w:id="569" w:name="_Toc8911659"/>
      <w:bookmarkStart w:id="570" w:name="_Toc8974480"/>
      <w:bookmarkStart w:id="571" w:name="_Toc9008133"/>
      <w:bookmarkStart w:id="572" w:name="_Toc9008536"/>
      <w:bookmarkStart w:id="573" w:name="_Toc9348531"/>
      <w:bookmarkStart w:id="574" w:name="_Toc9607982"/>
      <w:bookmarkStart w:id="575" w:name="_Toc16000557"/>
      <w:r>
        <w:t>7</w:t>
      </w:r>
      <w:r>
        <w:tab/>
        <w:t>Statistics</w:t>
      </w:r>
      <w:bookmarkEnd w:id="564"/>
      <w:bookmarkEnd w:id="565"/>
      <w:bookmarkEnd w:id="566"/>
      <w:bookmarkEnd w:id="567"/>
      <w:bookmarkEnd w:id="568"/>
      <w:bookmarkEnd w:id="569"/>
      <w:bookmarkEnd w:id="570"/>
      <w:bookmarkEnd w:id="571"/>
      <w:bookmarkEnd w:id="572"/>
      <w:bookmarkEnd w:id="573"/>
      <w:bookmarkEnd w:id="574"/>
      <w:bookmarkEnd w:id="575"/>
    </w:p>
    <w:tbl>
      <w:tblPr>
        <w:tblW w:w="7846" w:type="dxa"/>
        <w:tblInd w:w="108" w:type="dxa"/>
        <w:tblLook w:val="04A0" w:firstRow="1" w:lastRow="0" w:firstColumn="1" w:lastColumn="0" w:noHBand="0" w:noVBand="1"/>
      </w:tblPr>
      <w:tblGrid>
        <w:gridCol w:w="4454"/>
        <w:gridCol w:w="624"/>
        <w:gridCol w:w="706"/>
        <w:gridCol w:w="706"/>
        <w:gridCol w:w="624"/>
        <w:gridCol w:w="732"/>
      </w:tblGrid>
      <w:tr>
        <w:trPr>
          <w:trHeight w:val="210"/>
        </w:trPr>
        <w:tc>
          <w:tcPr>
            <w:tcW w:w="7846"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Merchandise trade EU28 2014-2018</w:t>
            </w:r>
          </w:p>
        </w:tc>
      </w:tr>
      <w:tr>
        <w:trPr>
          <w:trHeight w:val="210"/>
        </w:trPr>
        <w:tc>
          <w:tcPr>
            <w:tcW w:w="4454" w:type="dxa"/>
            <w:tcBorders>
              <w:top w:val="single" w:sz="4" w:space="0" w:color="auto"/>
              <w:left w:val="nil"/>
              <w:bottom w:val="single" w:sz="4" w:space="0" w:color="auto"/>
              <w:right w:val="nil"/>
            </w:tcBorders>
            <w:shd w:val="clear" w:color="000000" w:fill="FFFFFF"/>
            <w:noWrap/>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 </w:t>
            </w:r>
          </w:p>
        </w:tc>
        <w:tc>
          <w:tcPr>
            <w:tcW w:w="624"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70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70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624"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732"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r>
      <w:tr>
        <w:trPr>
          <w:trHeight w:val="210"/>
        </w:trPr>
        <w:tc>
          <w:tcPr>
            <w:tcW w:w="4454" w:type="dxa"/>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EU28 trade with Central America 6 (mio €)</w:t>
            </w:r>
          </w:p>
        </w:tc>
        <w:tc>
          <w:tcPr>
            <w:tcW w:w="624"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n-IE" w:eastAsia="en-IE"/>
              </w:rPr>
            </w:pPr>
          </w:p>
        </w:tc>
        <w:tc>
          <w:tcPr>
            <w:tcW w:w="70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70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624"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732"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r>
      <w:tr>
        <w:trPr>
          <w:trHeight w:val="210"/>
        </w:trPr>
        <w:tc>
          <w:tcPr>
            <w:tcW w:w="445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624"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6.228</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5.215</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5.488</w:t>
            </w:r>
          </w:p>
        </w:tc>
        <w:tc>
          <w:tcPr>
            <w:tcW w:w="624"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6.097</w:t>
            </w:r>
          </w:p>
        </w:tc>
        <w:tc>
          <w:tcPr>
            <w:tcW w:w="732"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6.158</w:t>
            </w:r>
          </w:p>
        </w:tc>
      </w:tr>
      <w:tr>
        <w:trPr>
          <w:trHeight w:val="210"/>
        </w:trPr>
        <w:tc>
          <w:tcPr>
            <w:tcW w:w="445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624"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5.254</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5.719</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5.294</w:t>
            </w:r>
          </w:p>
        </w:tc>
        <w:tc>
          <w:tcPr>
            <w:tcW w:w="624"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5.446</w:t>
            </w:r>
          </w:p>
        </w:tc>
        <w:tc>
          <w:tcPr>
            <w:tcW w:w="732"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6.037</w:t>
            </w:r>
          </w:p>
        </w:tc>
      </w:tr>
      <w:tr>
        <w:trPr>
          <w:trHeight w:val="210"/>
        </w:trPr>
        <w:tc>
          <w:tcPr>
            <w:tcW w:w="445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624"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-974</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504</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-193</w:t>
            </w:r>
          </w:p>
        </w:tc>
        <w:tc>
          <w:tcPr>
            <w:tcW w:w="624"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-651</w:t>
            </w:r>
          </w:p>
        </w:tc>
        <w:tc>
          <w:tcPr>
            <w:tcW w:w="732"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-121</w:t>
            </w:r>
          </w:p>
        </w:tc>
      </w:tr>
      <w:tr>
        <w:trPr>
          <w:trHeight w:val="210"/>
        </w:trPr>
        <w:tc>
          <w:tcPr>
            <w:tcW w:w="4454" w:type="dxa"/>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Share Central America 6 in EU28 trade with Extra-EU28</w:t>
            </w:r>
          </w:p>
        </w:tc>
        <w:tc>
          <w:tcPr>
            <w:tcW w:w="624"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n-IE" w:eastAsia="en-IE"/>
              </w:rPr>
            </w:pPr>
          </w:p>
        </w:tc>
        <w:tc>
          <w:tcPr>
            <w:tcW w:w="70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70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624"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732"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r>
      <w:tr>
        <w:trPr>
          <w:trHeight w:val="210"/>
        </w:trPr>
        <w:tc>
          <w:tcPr>
            <w:tcW w:w="445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624"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0,4%</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0,3%</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0,3%</w:t>
            </w:r>
          </w:p>
        </w:tc>
        <w:tc>
          <w:tcPr>
            <w:tcW w:w="624"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0,3%</w:t>
            </w:r>
          </w:p>
        </w:tc>
        <w:tc>
          <w:tcPr>
            <w:tcW w:w="732"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0,3%</w:t>
            </w:r>
          </w:p>
        </w:tc>
      </w:tr>
      <w:tr>
        <w:trPr>
          <w:trHeight w:val="210"/>
        </w:trPr>
        <w:tc>
          <w:tcPr>
            <w:tcW w:w="445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624"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0,3%</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0,3%</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0,3%</w:t>
            </w:r>
          </w:p>
        </w:tc>
        <w:tc>
          <w:tcPr>
            <w:tcW w:w="624"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0,3%</w:t>
            </w:r>
          </w:p>
        </w:tc>
        <w:tc>
          <w:tcPr>
            <w:tcW w:w="732"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0,3%</w:t>
            </w:r>
          </w:p>
        </w:tc>
      </w:tr>
      <w:tr>
        <w:trPr>
          <w:trHeight w:val="210"/>
        </w:trPr>
        <w:tc>
          <w:tcPr>
            <w:tcW w:w="445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624"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0,3%</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0,3%</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0,3%</w:t>
            </w:r>
          </w:p>
        </w:tc>
        <w:tc>
          <w:tcPr>
            <w:tcW w:w="624"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0,3%</w:t>
            </w:r>
          </w:p>
        </w:tc>
        <w:tc>
          <w:tcPr>
            <w:tcW w:w="732"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0,3%</w:t>
            </w:r>
          </w:p>
        </w:tc>
      </w:tr>
      <w:tr>
        <w:trPr>
          <w:trHeight w:val="225"/>
        </w:trPr>
        <w:tc>
          <w:tcPr>
            <w:tcW w:w="5784" w:type="dxa"/>
            <w:gridSpan w:val="3"/>
            <w:tcBorders>
              <w:top w:val="single" w:sz="4" w:space="0" w:color="auto"/>
              <w:left w:val="nil"/>
              <w:bottom w:val="nil"/>
              <w:right w:val="nil"/>
            </w:tcBorders>
            <w:shd w:val="clear" w:color="000000" w:fill="FFFFFF"/>
            <w:noWrap/>
            <w:vAlign w:val="bottom"/>
            <w:hideMark/>
          </w:tcPr>
          <w:p>
            <w:pPr>
              <w:rPr>
                <w:rFonts w:eastAsia="Times New Roman"/>
                <w:noProof/>
                <w:sz w:val="12"/>
                <w:szCs w:val="12"/>
                <w:lang w:val="en-IE" w:eastAsia="en-IE"/>
              </w:rPr>
            </w:pPr>
            <w:r>
              <w:rPr>
                <w:rFonts w:eastAsia="Times New Roman"/>
                <w:noProof/>
                <w:sz w:val="12"/>
                <w:szCs w:val="12"/>
                <w:lang w:val="en-IE" w:eastAsia="en-IE"/>
              </w:rPr>
              <w:t xml:space="preserve">Source Trade G2 Statistics/ISDB </w:t>
            </w:r>
          </w:p>
        </w:tc>
        <w:tc>
          <w:tcPr>
            <w:tcW w:w="706"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624"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732" w:type="dxa"/>
            <w:tcBorders>
              <w:top w:val="single" w:sz="4" w:space="0" w:color="auto"/>
              <w:left w:val="nil"/>
              <w:bottom w:val="nil"/>
              <w:right w:val="nil"/>
            </w:tcBorders>
            <w:shd w:val="clear" w:color="000000" w:fill="FFFFFF"/>
            <w:noWrap/>
            <w:hideMark/>
          </w:tcPr>
          <w:p>
            <w:pPr>
              <w:jc w:val="right"/>
              <w:rPr>
                <w:rFonts w:eastAsia="Times New Roman"/>
                <w:noProof/>
                <w:sz w:val="12"/>
                <w:szCs w:val="12"/>
                <w:lang w:val="en-IE" w:eastAsia="en-IE"/>
              </w:rPr>
            </w:pPr>
            <w:r>
              <w:rPr>
                <w:rFonts w:eastAsia="Times New Roman"/>
                <w:noProof/>
                <w:sz w:val="12"/>
                <w:szCs w:val="12"/>
                <w:lang w:val="en-IE" w:eastAsia="en-IE"/>
              </w:rPr>
              <w:t>25-mars-19</w:t>
            </w:r>
          </w:p>
        </w:tc>
      </w:tr>
      <w:tr>
        <w:trPr>
          <w:trHeight w:val="210"/>
        </w:trPr>
        <w:tc>
          <w:tcPr>
            <w:tcW w:w="7114" w:type="dxa"/>
            <w:gridSpan w:val="5"/>
            <w:tcBorders>
              <w:top w:val="nil"/>
              <w:left w:val="nil"/>
              <w:bottom w:val="nil"/>
              <w:right w:val="nil"/>
            </w:tcBorders>
            <w:shd w:val="clear" w:color="000000" w:fill="FFFFFF"/>
            <w:noWrap/>
            <w:hideMark/>
          </w:tcPr>
          <w:p>
            <w:pPr>
              <w:rPr>
                <w:rFonts w:eastAsia="Times New Roman"/>
                <w:noProof/>
                <w:color w:val="000000"/>
                <w:sz w:val="12"/>
                <w:szCs w:val="12"/>
                <w:lang w:val="en-IE" w:eastAsia="en-IE"/>
              </w:rPr>
            </w:pPr>
            <w:r>
              <w:rPr>
                <w:rFonts w:eastAsia="Times New Roman"/>
                <w:noProof/>
                <w:color w:val="000000"/>
                <w:sz w:val="12"/>
                <w:szCs w:val="12"/>
                <w:lang w:val="en-IE" w:eastAsia="en-IE"/>
              </w:rPr>
              <w:t>Trade EU28: Eurostat COMEXT;  Trade Central America 6: IMF Dots</w:t>
            </w:r>
          </w:p>
        </w:tc>
        <w:tc>
          <w:tcPr>
            <w:tcW w:w="732"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10"/>
        </w:trPr>
        <w:tc>
          <w:tcPr>
            <w:tcW w:w="4454"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624"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70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70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624"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732"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25"/>
        </w:trPr>
        <w:tc>
          <w:tcPr>
            <w:tcW w:w="7846"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Total merchandise trade EU28 with Central America 6 (mio €)</w:t>
            </w:r>
          </w:p>
        </w:tc>
      </w:tr>
      <w:tr>
        <w:trPr>
          <w:trHeight w:val="225"/>
        </w:trPr>
        <w:tc>
          <w:tcPr>
            <w:tcW w:w="5078"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Central America 6</w:t>
            </w:r>
          </w:p>
        </w:tc>
        <w:tc>
          <w:tcPr>
            <w:tcW w:w="70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70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356"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5078"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70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70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624"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32"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445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62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6.097</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6.158</w:t>
            </w:r>
          </w:p>
        </w:tc>
        <w:tc>
          <w:tcPr>
            <w:tcW w:w="624"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60</w:t>
            </w:r>
          </w:p>
        </w:tc>
        <w:tc>
          <w:tcPr>
            <w:tcW w:w="732"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w:t>
            </w:r>
          </w:p>
        </w:tc>
      </w:tr>
      <w:tr>
        <w:trPr>
          <w:trHeight w:val="225"/>
        </w:trPr>
        <w:tc>
          <w:tcPr>
            <w:tcW w:w="445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62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5.446</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6.037</w:t>
            </w:r>
          </w:p>
        </w:tc>
        <w:tc>
          <w:tcPr>
            <w:tcW w:w="624"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591</w:t>
            </w:r>
          </w:p>
        </w:tc>
        <w:tc>
          <w:tcPr>
            <w:tcW w:w="732"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10,8%</w:t>
            </w:r>
          </w:p>
        </w:tc>
      </w:tr>
      <w:tr>
        <w:trPr>
          <w:trHeight w:val="225"/>
        </w:trPr>
        <w:tc>
          <w:tcPr>
            <w:tcW w:w="445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62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-651</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-121</w:t>
            </w:r>
          </w:p>
        </w:tc>
        <w:tc>
          <w:tcPr>
            <w:tcW w:w="624"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530</w:t>
            </w:r>
          </w:p>
        </w:tc>
        <w:tc>
          <w:tcPr>
            <w:tcW w:w="73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4454"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624"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0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11.543</w:t>
            </w:r>
          </w:p>
        </w:tc>
        <w:tc>
          <w:tcPr>
            <w:tcW w:w="70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12.194</w:t>
            </w:r>
          </w:p>
        </w:tc>
        <w:tc>
          <w:tcPr>
            <w:tcW w:w="624"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651</w:t>
            </w:r>
          </w:p>
        </w:tc>
        <w:tc>
          <w:tcPr>
            <w:tcW w:w="732"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5,6%</w:t>
            </w:r>
          </w:p>
        </w:tc>
      </w:tr>
      <w:tr>
        <w:trPr>
          <w:trHeight w:val="240"/>
        </w:trPr>
        <w:tc>
          <w:tcPr>
            <w:tcW w:w="6490"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624"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732"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7846"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Agrifood trade EU28 with Central America 6 (mio €)</w:t>
            </w:r>
          </w:p>
        </w:tc>
      </w:tr>
      <w:tr>
        <w:trPr>
          <w:trHeight w:val="255"/>
        </w:trPr>
        <w:tc>
          <w:tcPr>
            <w:tcW w:w="5078"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Central America 6</w:t>
            </w:r>
          </w:p>
        </w:tc>
        <w:tc>
          <w:tcPr>
            <w:tcW w:w="70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70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356"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5078"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70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70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624"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32"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445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62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4.209</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4.121</w:t>
            </w:r>
          </w:p>
        </w:tc>
        <w:tc>
          <w:tcPr>
            <w:tcW w:w="624"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-88</w:t>
            </w:r>
          </w:p>
        </w:tc>
        <w:tc>
          <w:tcPr>
            <w:tcW w:w="732"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w:t>
            </w:r>
          </w:p>
        </w:tc>
      </w:tr>
      <w:tr>
        <w:trPr>
          <w:trHeight w:val="225"/>
        </w:trPr>
        <w:tc>
          <w:tcPr>
            <w:tcW w:w="445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62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637</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679</w:t>
            </w:r>
          </w:p>
        </w:tc>
        <w:tc>
          <w:tcPr>
            <w:tcW w:w="624"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42</w:t>
            </w:r>
          </w:p>
        </w:tc>
        <w:tc>
          <w:tcPr>
            <w:tcW w:w="732"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6,6%</w:t>
            </w:r>
          </w:p>
        </w:tc>
      </w:tr>
      <w:tr>
        <w:trPr>
          <w:trHeight w:val="225"/>
        </w:trPr>
        <w:tc>
          <w:tcPr>
            <w:tcW w:w="445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62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-3.571</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-3.442</w:t>
            </w:r>
          </w:p>
        </w:tc>
        <w:tc>
          <w:tcPr>
            <w:tcW w:w="624"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130</w:t>
            </w:r>
          </w:p>
        </w:tc>
        <w:tc>
          <w:tcPr>
            <w:tcW w:w="73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4454"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62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0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4.846</w:t>
            </w:r>
          </w:p>
        </w:tc>
        <w:tc>
          <w:tcPr>
            <w:tcW w:w="70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4.800</w:t>
            </w:r>
          </w:p>
        </w:tc>
        <w:tc>
          <w:tcPr>
            <w:tcW w:w="624"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-46</w:t>
            </w:r>
          </w:p>
        </w:tc>
        <w:tc>
          <w:tcPr>
            <w:tcW w:w="732"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-0,9%</w:t>
            </w:r>
          </w:p>
        </w:tc>
      </w:tr>
      <w:tr>
        <w:trPr>
          <w:trHeight w:val="240"/>
        </w:trPr>
        <w:tc>
          <w:tcPr>
            <w:tcW w:w="6490"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624"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732"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7846"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NAMA trade EU28 with Central America 6 (mio €)</w:t>
            </w:r>
          </w:p>
        </w:tc>
      </w:tr>
      <w:tr>
        <w:trPr>
          <w:trHeight w:val="225"/>
        </w:trPr>
        <w:tc>
          <w:tcPr>
            <w:tcW w:w="5078"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Central America 6</w:t>
            </w:r>
          </w:p>
        </w:tc>
        <w:tc>
          <w:tcPr>
            <w:tcW w:w="70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70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356"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5078"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70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70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624"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32"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5078"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imports</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1.889</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2.037</w:t>
            </w:r>
          </w:p>
        </w:tc>
        <w:tc>
          <w:tcPr>
            <w:tcW w:w="624"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148</w:t>
            </w:r>
          </w:p>
        </w:tc>
        <w:tc>
          <w:tcPr>
            <w:tcW w:w="732"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7,8%</w:t>
            </w:r>
          </w:p>
        </w:tc>
      </w:tr>
      <w:tr>
        <w:trPr>
          <w:trHeight w:val="225"/>
        </w:trPr>
        <w:tc>
          <w:tcPr>
            <w:tcW w:w="5078"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exports</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4.809</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5.358</w:t>
            </w:r>
          </w:p>
        </w:tc>
        <w:tc>
          <w:tcPr>
            <w:tcW w:w="624"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549</w:t>
            </w:r>
          </w:p>
        </w:tc>
        <w:tc>
          <w:tcPr>
            <w:tcW w:w="732"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11,4%</w:t>
            </w:r>
          </w:p>
        </w:tc>
      </w:tr>
      <w:tr>
        <w:trPr>
          <w:trHeight w:val="225"/>
        </w:trPr>
        <w:tc>
          <w:tcPr>
            <w:tcW w:w="445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62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2.920</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3.321</w:t>
            </w:r>
          </w:p>
        </w:tc>
        <w:tc>
          <w:tcPr>
            <w:tcW w:w="624"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401</w:t>
            </w:r>
          </w:p>
        </w:tc>
        <w:tc>
          <w:tcPr>
            <w:tcW w:w="73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445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62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6.697</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7.394</w:t>
            </w:r>
          </w:p>
        </w:tc>
        <w:tc>
          <w:tcPr>
            <w:tcW w:w="624"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697</w:t>
            </w:r>
          </w:p>
        </w:tc>
        <w:tc>
          <w:tcPr>
            <w:tcW w:w="732"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10,4%</w:t>
            </w:r>
          </w:p>
        </w:tc>
      </w:tr>
      <w:tr>
        <w:trPr>
          <w:trHeight w:val="240"/>
        </w:trPr>
        <w:tc>
          <w:tcPr>
            <w:tcW w:w="6490"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624" w:type="dxa"/>
            <w:tcBorders>
              <w:top w:val="single" w:sz="4" w:space="0" w:color="auto"/>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732"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bl>
    <w:p>
      <w:pPr>
        <w:rPr>
          <w:noProof/>
          <w:lang w:val="en-IE"/>
        </w:rPr>
      </w:pPr>
    </w:p>
    <w:p>
      <w:pPr>
        <w:rPr>
          <w:b/>
          <w:noProof/>
        </w:rPr>
      </w:pPr>
      <w:r>
        <w:rPr>
          <w:b/>
          <w:noProof/>
        </w:rPr>
        <w:t>Costa Rica</w:t>
      </w:r>
    </w:p>
    <w:tbl>
      <w:tblPr>
        <w:tblW w:w="6432" w:type="dxa"/>
        <w:tblInd w:w="108" w:type="dxa"/>
        <w:tblLook w:val="04A0" w:firstRow="1" w:lastRow="0" w:firstColumn="1" w:lastColumn="0" w:noHBand="0" w:noVBand="1"/>
      </w:tblPr>
      <w:tblGrid>
        <w:gridCol w:w="3861"/>
        <w:gridCol w:w="630"/>
        <w:gridCol w:w="630"/>
        <w:gridCol w:w="630"/>
        <w:gridCol w:w="630"/>
        <w:gridCol w:w="703"/>
      </w:tblGrid>
      <w:tr>
        <w:trPr>
          <w:trHeight w:val="210"/>
        </w:trPr>
        <w:tc>
          <w:tcPr>
            <w:tcW w:w="6432"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Merchandise trade EU28 2014-2018</w:t>
            </w:r>
          </w:p>
        </w:tc>
      </w:tr>
      <w:tr>
        <w:trPr>
          <w:trHeight w:val="210"/>
        </w:trPr>
        <w:tc>
          <w:tcPr>
            <w:tcW w:w="3861" w:type="dxa"/>
            <w:tcBorders>
              <w:top w:val="single" w:sz="4" w:space="0" w:color="auto"/>
              <w:left w:val="nil"/>
              <w:bottom w:val="single" w:sz="4" w:space="0" w:color="auto"/>
              <w:right w:val="nil"/>
            </w:tcBorders>
            <w:shd w:val="clear" w:color="000000" w:fill="FFFFFF"/>
            <w:noWrap/>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 </w:t>
            </w:r>
          </w:p>
        </w:tc>
        <w:tc>
          <w:tcPr>
            <w:tcW w:w="467"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467"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467"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467"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703"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r>
      <w:tr>
        <w:trPr>
          <w:trHeight w:val="210"/>
        </w:trPr>
        <w:tc>
          <w:tcPr>
            <w:tcW w:w="3861" w:type="dxa"/>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EU28 trade with Costa Rica (mio €)</w:t>
            </w:r>
          </w:p>
        </w:tc>
        <w:tc>
          <w:tcPr>
            <w:tcW w:w="467"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n-IE" w:eastAsia="en-IE"/>
              </w:rPr>
            </w:pPr>
          </w:p>
        </w:tc>
        <w:tc>
          <w:tcPr>
            <w:tcW w:w="467"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467"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467"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703"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r>
      <w:tr>
        <w:trPr>
          <w:trHeight w:val="210"/>
        </w:trPr>
        <w:tc>
          <w:tcPr>
            <w:tcW w:w="386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3.771</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2.250</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2.404</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2.648</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2.689</w:t>
            </w:r>
          </w:p>
        </w:tc>
      </w:tr>
      <w:tr>
        <w:trPr>
          <w:trHeight w:val="210"/>
        </w:trPr>
        <w:tc>
          <w:tcPr>
            <w:tcW w:w="386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829</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976</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1.052</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1.095</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1.046</w:t>
            </w:r>
          </w:p>
        </w:tc>
      </w:tr>
      <w:tr>
        <w:trPr>
          <w:trHeight w:val="210"/>
        </w:trPr>
        <w:tc>
          <w:tcPr>
            <w:tcW w:w="386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-2.942</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-1.275</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-1.352</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-1.552</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-1.643</w:t>
            </w:r>
          </w:p>
        </w:tc>
      </w:tr>
      <w:tr>
        <w:trPr>
          <w:trHeight w:val="210"/>
        </w:trPr>
        <w:tc>
          <w:tcPr>
            <w:tcW w:w="3861" w:type="dxa"/>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Share Costa Rica in EU28 trade with Extra-EU28</w:t>
            </w:r>
          </w:p>
        </w:tc>
        <w:tc>
          <w:tcPr>
            <w:tcW w:w="467"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n-IE" w:eastAsia="en-IE"/>
              </w:rPr>
            </w:pPr>
          </w:p>
        </w:tc>
        <w:tc>
          <w:tcPr>
            <w:tcW w:w="467"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467"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467"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703"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r>
      <w:tr>
        <w:trPr>
          <w:trHeight w:val="210"/>
        </w:trPr>
        <w:tc>
          <w:tcPr>
            <w:tcW w:w="386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r>
      <w:tr>
        <w:trPr>
          <w:trHeight w:val="210"/>
        </w:trPr>
        <w:tc>
          <w:tcPr>
            <w:tcW w:w="386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r>
      <w:tr>
        <w:trPr>
          <w:trHeight w:val="210"/>
        </w:trPr>
        <w:tc>
          <w:tcPr>
            <w:tcW w:w="386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r>
      <w:tr>
        <w:trPr>
          <w:trHeight w:val="210"/>
        </w:trPr>
        <w:tc>
          <w:tcPr>
            <w:tcW w:w="6432"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Share EU28 in trade Costa Rica with world</w:t>
            </w:r>
          </w:p>
        </w:tc>
      </w:tr>
      <w:tr>
        <w:trPr>
          <w:trHeight w:val="210"/>
        </w:trPr>
        <w:tc>
          <w:tcPr>
            <w:tcW w:w="386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8,3%</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9,2%</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9,6%</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10,0%</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9,6%</w:t>
            </w:r>
          </w:p>
        </w:tc>
      </w:tr>
      <w:tr>
        <w:trPr>
          <w:trHeight w:val="210"/>
        </w:trPr>
        <w:tc>
          <w:tcPr>
            <w:tcW w:w="386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17,6%</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18,8%</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21,0%</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20,9%</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20,9%</w:t>
            </w:r>
          </w:p>
        </w:tc>
      </w:tr>
      <w:tr>
        <w:trPr>
          <w:trHeight w:val="210"/>
        </w:trPr>
        <w:tc>
          <w:tcPr>
            <w:tcW w:w="386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12,0%</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12,9%</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14,1%</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14,4%</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14,2%</w:t>
            </w:r>
          </w:p>
        </w:tc>
      </w:tr>
      <w:tr>
        <w:trPr>
          <w:trHeight w:val="225"/>
        </w:trPr>
        <w:tc>
          <w:tcPr>
            <w:tcW w:w="4795" w:type="dxa"/>
            <w:gridSpan w:val="3"/>
            <w:tcBorders>
              <w:top w:val="single" w:sz="4" w:space="0" w:color="auto"/>
              <w:left w:val="nil"/>
              <w:bottom w:val="nil"/>
              <w:right w:val="nil"/>
            </w:tcBorders>
            <w:shd w:val="clear" w:color="000000" w:fill="FFFFFF"/>
            <w:noWrap/>
            <w:vAlign w:val="bottom"/>
            <w:hideMark/>
          </w:tcPr>
          <w:p>
            <w:pPr>
              <w:rPr>
                <w:rFonts w:eastAsia="Times New Roman"/>
                <w:noProof/>
                <w:sz w:val="12"/>
                <w:szCs w:val="12"/>
                <w:lang w:val="en-IE" w:eastAsia="en-IE"/>
              </w:rPr>
            </w:pPr>
            <w:r>
              <w:rPr>
                <w:rFonts w:eastAsia="Times New Roman"/>
                <w:noProof/>
                <w:sz w:val="12"/>
                <w:szCs w:val="12"/>
                <w:lang w:val="en-IE" w:eastAsia="en-IE"/>
              </w:rPr>
              <w:t xml:space="preserve">Source Trade G2 Statistics/ISDB </w:t>
            </w:r>
          </w:p>
        </w:tc>
        <w:tc>
          <w:tcPr>
            <w:tcW w:w="467"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467"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703" w:type="dxa"/>
            <w:tcBorders>
              <w:top w:val="single" w:sz="4" w:space="0" w:color="auto"/>
              <w:left w:val="nil"/>
              <w:bottom w:val="nil"/>
              <w:right w:val="nil"/>
            </w:tcBorders>
            <w:shd w:val="clear" w:color="000000" w:fill="FFFFFF"/>
            <w:noWrap/>
            <w:hideMark/>
          </w:tcPr>
          <w:p>
            <w:pPr>
              <w:jc w:val="right"/>
              <w:rPr>
                <w:rFonts w:eastAsia="Times New Roman"/>
                <w:noProof/>
                <w:sz w:val="12"/>
                <w:szCs w:val="12"/>
                <w:lang w:val="en-IE" w:eastAsia="en-IE"/>
              </w:rPr>
            </w:pPr>
            <w:r>
              <w:rPr>
                <w:rFonts w:eastAsia="Times New Roman"/>
                <w:noProof/>
                <w:sz w:val="12"/>
                <w:szCs w:val="12"/>
                <w:lang w:val="en-IE" w:eastAsia="en-IE"/>
              </w:rPr>
              <w:t>25-mars-19</w:t>
            </w:r>
          </w:p>
        </w:tc>
      </w:tr>
      <w:tr>
        <w:trPr>
          <w:trHeight w:val="210"/>
        </w:trPr>
        <w:tc>
          <w:tcPr>
            <w:tcW w:w="5729" w:type="dxa"/>
            <w:gridSpan w:val="5"/>
            <w:tcBorders>
              <w:top w:val="nil"/>
              <w:left w:val="nil"/>
              <w:bottom w:val="nil"/>
              <w:right w:val="nil"/>
            </w:tcBorders>
            <w:shd w:val="clear" w:color="000000" w:fill="FFFFFF"/>
            <w:noWrap/>
            <w:hideMark/>
          </w:tcPr>
          <w:p>
            <w:pPr>
              <w:rPr>
                <w:rFonts w:eastAsia="Times New Roman"/>
                <w:noProof/>
                <w:color w:val="000000"/>
                <w:sz w:val="12"/>
                <w:szCs w:val="12"/>
                <w:lang w:val="es-ES" w:eastAsia="en-IE"/>
              </w:rPr>
            </w:pPr>
            <w:r>
              <w:rPr>
                <w:rFonts w:eastAsia="Times New Roman"/>
                <w:noProof/>
                <w:color w:val="000000"/>
                <w:sz w:val="12"/>
                <w:szCs w:val="12"/>
                <w:lang w:val="es-ES" w:eastAsia="en-IE"/>
              </w:rPr>
              <w:t>Trade EU28: Eurostat COMEXT;  Trade Costa Rica: IMF Dots</w:t>
            </w:r>
          </w:p>
        </w:tc>
        <w:tc>
          <w:tcPr>
            <w:tcW w:w="703"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s-ES" w:eastAsia="en-IE"/>
              </w:rPr>
            </w:pPr>
            <w:r>
              <w:rPr>
                <w:rFonts w:eastAsia="Times New Roman"/>
                <w:noProof/>
                <w:color w:val="000000"/>
                <w:sz w:val="16"/>
                <w:szCs w:val="16"/>
                <w:lang w:val="es-ES" w:eastAsia="en-IE"/>
              </w:rPr>
              <w:t> </w:t>
            </w:r>
          </w:p>
        </w:tc>
      </w:tr>
      <w:tr>
        <w:trPr>
          <w:trHeight w:val="210"/>
        </w:trPr>
        <w:tc>
          <w:tcPr>
            <w:tcW w:w="3861"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s-ES" w:eastAsia="en-IE"/>
              </w:rPr>
            </w:pPr>
            <w:r>
              <w:rPr>
                <w:rFonts w:eastAsia="Times New Roman"/>
                <w:noProof/>
                <w:color w:val="000000"/>
                <w:sz w:val="16"/>
                <w:szCs w:val="16"/>
                <w:lang w:val="es-ES" w:eastAsia="en-IE"/>
              </w:rPr>
              <w:t> </w:t>
            </w:r>
          </w:p>
        </w:tc>
        <w:tc>
          <w:tcPr>
            <w:tcW w:w="467"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s-ES" w:eastAsia="en-IE"/>
              </w:rPr>
            </w:pPr>
            <w:r>
              <w:rPr>
                <w:rFonts w:eastAsia="Times New Roman"/>
                <w:noProof/>
                <w:color w:val="000000"/>
                <w:sz w:val="16"/>
                <w:szCs w:val="16"/>
                <w:lang w:val="es-ES" w:eastAsia="en-IE"/>
              </w:rPr>
              <w:t> </w:t>
            </w:r>
          </w:p>
        </w:tc>
        <w:tc>
          <w:tcPr>
            <w:tcW w:w="467"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s-ES" w:eastAsia="en-IE"/>
              </w:rPr>
            </w:pPr>
            <w:r>
              <w:rPr>
                <w:rFonts w:eastAsia="Times New Roman"/>
                <w:noProof/>
                <w:color w:val="000000"/>
                <w:sz w:val="16"/>
                <w:szCs w:val="16"/>
                <w:lang w:val="es-ES" w:eastAsia="en-IE"/>
              </w:rPr>
              <w:t> </w:t>
            </w:r>
          </w:p>
        </w:tc>
        <w:tc>
          <w:tcPr>
            <w:tcW w:w="467"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s-ES" w:eastAsia="en-IE"/>
              </w:rPr>
            </w:pPr>
            <w:r>
              <w:rPr>
                <w:rFonts w:eastAsia="Times New Roman"/>
                <w:noProof/>
                <w:color w:val="000000"/>
                <w:sz w:val="16"/>
                <w:szCs w:val="16"/>
                <w:lang w:val="es-ES" w:eastAsia="en-IE"/>
              </w:rPr>
              <w:t> </w:t>
            </w:r>
          </w:p>
        </w:tc>
        <w:tc>
          <w:tcPr>
            <w:tcW w:w="467"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s-ES" w:eastAsia="en-IE"/>
              </w:rPr>
            </w:pPr>
            <w:r>
              <w:rPr>
                <w:rFonts w:eastAsia="Times New Roman"/>
                <w:noProof/>
                <w:color w:val="000000"/>
                <w:sz w:val="16"/>
                <w:szCs w:val="16"/>
                <w:lang w:val="es-ES"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s-ES" w:eastAsia="en-IE"/>
              </w:rPr>
            </w:pPr>
            <w:r>
              <w:rPr>
                <w:rFonts w:eastAsia="Times New Roman"/>
                <w:noProof/>
                <w:color w:val="000000"/>
                <w:sz w:val="16"/>
                <w:szCs w:val="16"/>
                <w:lang w:val="es-ES" w:eastAsia="en-IE"/>
              </w:rPr>
              <w:t> </w:t>
            </w:r>
          </w:p>
        </w:tc>
      </w:tr>
      <w:tr>
        <w:trPr>
          <w:trHeight w:val="225"/>
        </w:trPr>
        <w:tc>
          <w:tcPr>
            <w:tcW w:w="6432"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Total merchandise trade EU28 with Costa Rica (mio €)</w:t>
            </w:r>
          </w:p>
        </w:tc>
      </w:tr>
      <w:tr>
        <w:trPr>
          <w:trHeight w:val="225"/>
        </w:trPr>
        <w:tc>
          <w:tcPr>
            <w:tcW w:w="4328"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Costa Rica</w:t>
            </w:r>
          </w:p>
        </w:tc>
        <w:tc>
          <w:tcPr>
            <w:tcW w:w="467"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467"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170"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328"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67"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67"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67"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86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2.648</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2.689</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41</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w:t>
            </w:r>
          </w:p>
        </w:tc>
      </w:tr>
      <w:tr>
        <w:trPr>
          <w:trHeight w:val="225"/>
        </w:trPr>
        <w:tc>
          <w:tcPr>
            <w:tcW w:w="386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1.095</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1.046</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-49</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-4,5%</w:t>
            </w:r>
          </w:p>
        </w:tc>
      </w:tr>
      <w:tr>
        <w:trPr>
          <w:trHeight w:val="225"/>
        </w:trPr>
        <w:tc>
          <w:tcPr>
            <w:tcW w:w="386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-1.552</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-1.643</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-91</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861"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67"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3.743</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3.735</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r>
      <w:tr>
        <w:trPr>
          <w:trHeight w:val="240"/>
        </w:trPr>
        <w:tc>
          <w:tcPr>
            <w:tcW w:w="5262"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467"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6432"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Agrifood trade EU28 with Costa Rica (mio €)</w:t>
            </w:r>
          </w:p>
        </w:tc>
      </w:tr>
      <w:tr>
        <w:trPr>
          <w:trHeight w:val="255"/>
        </w:trPr>
        <w:tc>
          <w:tcPr>
            <w:tcW w:w="4328"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Costa Rica</w:t>
            </w:r>
          </w:p>
        </w:tc>
        <w:tc>
          <w:tcPr>
            <w:tcW w:w="467"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467"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170"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328"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67"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67"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67"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86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1.830</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1.781</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-48</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w:t>
            </w:r>
          </w:p>
        </w:tc>
      </w:tr>
      <w:tr>
        <w:trPr>
          <w:trHeight w:val="225"/>
        </w:trPr>
        <w:tc>
          <w:tcPr>
            <w:tcW w:w="386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120</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116</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-3,3%</w:t>
            </w:r>
          </w:p>
        </w:tc>
      </w:tr>
      <w:tr>
        <w:trPr>
          <w:trHeight w:val="225"/>
        </w:trPr>
        <w:tc>
          <w:tcPr>
            <w:tcW w:w="386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-1.709</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-1.665</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45</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861"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1.950</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1.897</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-52</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w:t>
            </w:r>
          </w:p>
        </w:tc>
      </w:tr>
      <w:tr>
        <w:trPr>
          <w:trHeight w:val="240"/>
        </w:trPr>
        <w:tc>
          <w:tcPr>
            <w:tcW w:w="5262"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467"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6432"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s-ES" w:eastAsia="en-IE"/>
              </w:rPr>
            </w:pPr>
            <w:r>
              <w:rPr>
                <w:rFonts w:eastAsia="Times New Roman"/>
                <w:b/>
                <w:bCs/>
                <w:noProof/>
                <w:sz w:val="16"/>
                <w:szCs w:val="16"/>
                <w:lang w:val="es-ES" w:eastAsia="en-IE"/>
              </w:rPr>
              <w:t>NAMA trade EU28 with Costa Rica (mio €)</w:t>
            </w:r>
          </w:p>
        </w:tc>
      </w:tr>
      <w:tr>
        <w:trPr>
          <w:trHeight w:val="225"/>
        </w:trPr>
        <w:tc>
          <w:tcPr>
            <w:tcW w:w="4328"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Costa Rica</w:t>
            </w:r>
          </w:p>
        </w:tc>
        <w:tc>
          <w:tcPr>
            <w:tcW w:w="467"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467"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170"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328"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67"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67"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67"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4328"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imports</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818</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908</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90</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11,0%</w:t>
            </w:r>
          </w:p>
        </w:tc>
      </w:tr>
      <w:tr>
        <w:trPr>
          <w:trHeight w:val="225"/>
        </w:trPr>
        <w:tc>
          <w:tcPr>
            <w:tcW w:w="4328"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exports</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975</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930</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-45</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-4,7%</w:t>
            </w:r>
          </w:p>
        </w:tc>
      </w:tr>
      <w:tr>
        <w:trPr>
          <w:trHeight w:val="225"/>
        </w:trPr>
        <w:tc>
          <w:tcPr>
            <w:tcW w:w="386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157</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-135</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86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1.793</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1.838</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44</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w:t>
            </w:r>
          </w:p>
        </w:tc>
      </w:tr>
      <w:tr>
        <w:trPr>
          <w:trHeight w:val="240"/>
        </w:trPr>
        <w:tc>
          <w:tcPr>
            <w:tcW w:w="5262"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467" w:type="dxa"/>
            <w:tcBorders>
              <w:top w:val="single" w:sz="4" w:space="0" w:color="auto"/>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5262" w:type="dxa"/>
            <w:gridSpan w:val="4"/>
            <w:tcBorders>
              <w:top w:val="nil"/>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Services trade EU28 with Costa Rica (mio €)</w:t>
            </w:r>
          </w:p>
        </w:tc>
        <w:tc>
          <w:tcPr>
            <w:tcW w:w="467" w:type="dxa"/>
            <w:tcBorders>
              <w:top w:val="nil"/>
              <w:left w:val="nil"/>
              <w:bottom w:val="nil"/>
              <w:right w:val="nil"/>
            </w:tcBorders>
            <w:shd w:val="clear" w:color="000000" w:fill="FFFFFF"/>
            <w:noWrap/>
            <w:vAlign w:val="center"/>
            <w:hideMark/>
          </w:tcPr>
          <w:p>
            <w:pPr>
              <w:rPr>
                <w:rFonts w:eastAsia="Times New Roman"/>
                <w:b/>
                <w:bCs/>
                <w:noProof/>
                <w:sz w:val="16"/>
                <w:szCs w:val="16"/>
                <w:lang w:val="en-IE" w:eastAsia="en-IE"/>
              </w:rPr>
            </w:pPr>
            <w:r>
              <w:rPr>
                <w:rFonts w:eastAsia="Times New Roman"/>
                <w:b/>
                <w:bCs/>
                <w:noProof/>
                <w:sz w:val="16"/>
                <w:szCs w:val="16"/>
                <w:lang w:val="en-IE" w:eastAsia="en-IE"/>
              </w:rPr>
              <w:t> </w:t>
            </w:r>
          </w:p>
        </w:tc>
        <w:tc>
          <w:tcPr>
            <w:tcW w:w="703" w:type="dxa"/>
            <w:tcBorders>
              <w:top w:val="nil"/>
              <w:left w:val="nil"/>
              <w:bottom w:val="nil"/>
              <w:right w:val="nil"/>
            </w:tcBorders>
            <w:shd w:val="clear" w:color="000000" w:fill="FFFFFF"/>
            <w:noWrap/>
            <w:vAlign w:val="center"/>
            <w:hideMark/>
          </w:tcPr>
          <w:p>
            <w:pPr>
              <w:rPr>
                <w:rFonts w:eastAsia="Times New Roman"/>
                <w:b/>
                <w:bCs/>
                <w:noProof/>
                <w:sz w:val="16"/>
                <w:szCs w:val="16"/>
                <w:lang w:val="en-IE" w:eastAsia="en-IE"/>
              </w:rPr>
            </w:pPr>
            <w:r>
              <w:rPr>
                <w:rFonts w:eastAsia="Times New Roman"/>
                <w:b/>
                <w:bCs/>
                <w:noProof/>
                <w:sz w:val="16"/>
                <w:szCs w:val="16"/>
                <w:lang w:val="en-IE" w:eastAsia="en-IE"/>
              </w:rPr>
              <w:t> </w:t>
            </w:r>
          </w:p>
        </w:tc>
      </w:tr>
      <w:tr>
        <w:trPr>
          <w:trHeight w:val="225"/>
        </w:trPr>
        <w:tc>
          <w:tcPr>
            <w:tcW w:w="4328"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Costa Rica</w:t>
            </w:r>
          </w:p>
        </w:tc>
        <w:tc>
          <w:tcPr>
            <w:tcW w:w="467"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467"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1170"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328"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67"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467"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467"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86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555</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749</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193</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34,8%</w:t>
            </w:r>
          </w:p>
        </w:tc>
      </w:tr>
      <w:tr>
        <w:trPr>
          <w:trHeight w:val="225"/>
        </w:trPr>
        <w:tc>
          <w:tcPr>
            <w:tcW w:w="386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786</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770</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w:t>
            </w:r>
          </w:p>
        </w:tc>
      </w:tr>
      <w:tr>
        <w:trPr>
          <w:trHeight w:val="225"/>
        </w:trPr>
        <w:tc>
          <w:tcPr>
            <w:tcW w:w="386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231</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-209</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861"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67"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1.341</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1.519</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178</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13,2%</w:t>
            </w:r>
          </w:p>
        </w:tc>
      </w:tr>
      <w:tr>
        <w:trPr>
          <w:trHeight w:val="240"/>
        </w:trPr>
        <w:tc>
          <w:tcPr>
            <w:tcW w:w="5729" w:type="dxa"/>
            <w:gridSpan w:val="5"/>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703"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40"/>
        </w:trPr>
        <w:tc>
          <w:tcPr>
            <w:tcW w:w="6432"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Services trade EU28 with Costa Rica (mio €)</w:t>
            </w:r>
          </w:p>
        </w:tc>
      </w:tr>
      <w:tr>
        <w:trPr>
          <w:trHeight w:val="225"/>
        </w:trPr>
        <w:tc>
          <w:tcPr>
            <w:tcW w:w="3861"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467"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467"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467"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703"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386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497</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493</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530</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555</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749</w:t>
            </w:r>
          </w:p>
        </w:tc>
      </w:tr>
      <w:tr>
        <w:trPr>
          <w:trHeight w:val="225"/>
        </w:trPr>
        <w:tc>
          <w:tcPr>
            <w:tcW w:w="386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600</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621</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617</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786</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770</w:t>
            </w:r>
          </w:p>
        </w:tc>
      </w:tr>
      <w:tr>
        <w:trPr>
          <w:trHeight w:val="225"/>
        </w:trPr>
        <w:tc>
          <w:tcPr>
            <w:tcW w:w="386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104</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128</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86</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231</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w:t>
            </w:r>
          </w:p>
        </w:tc>
      </w:tr>
      <w:tr>
        <w:trPr>
          <w:trHeight w:val="225"/>
        </w:trPr>
        <w:tc>
          <w:tcPr>
            <w:tcW w:w="3861"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1.097</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1.115</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1.147</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1.341</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1.519</w:t>
            </w:r>
          </w:p>
        </w:tc>
      </w:tr>
      <w:tr>
        <w:trPr>
          <w:trHeight w:val="225"/>
        </w:trPr>
        <w:tc>
          <w:tcPr>
            <w:tcW w:w="3861"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467"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 </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6432"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s-ES" w:eastAsia="en-IE"/>
              </w:rPr>
            </w:pPr>
            <w:r>
              <w:rPr>
                <w:rFonts w:eastAsia="Times New Roman"/>
                <w:b/>
                <w:bCs/>
                <w:noProof/>
                <w:sz w:val="16"/>
                <w:szCs w:val="16"/>
                <w:lang w:val="es-ES" w:eastAsia="en-IE"/>
              </w:rPr>
              <w:t>FDI EU28 with Costa Rica (mio €)</w:t>
            </w:r>
          </w:p>
        </w:tc>
      </w:tr>
      <w:tr>
        <w:trPr>
          <w:trHeight w:val="225"/>
        </w:trPr>
        <w:tc>
          <w:tcPr>
            <w:tcW w:w="3861"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val="es-ES" w:eastAsia="en-IE"/>
              </w:rPr>
            </w:pPr>
            <w:r>
              <w:rPr>
                <w:rFonts w:eastAsia="Times New Roman"/>
                <w:noProof/>
                <w:sz w:val="16"/>
                <w:szCs w:val="16"/>
                <w:lang w:val="es-ES" w:eastAsia="en-IE"/>
              </w:rPr>
              <w:t> </w:t>
            </w:r>
          </w:p>
        </w:tc>
        <w:tc>
          <w:tcPr>
            <w:tcW w:w="467"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467"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467"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467"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703"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6432"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Stocks</w:t>
            </w:r>
          </w:p>
        </w:tc>
      </w:tr>
      <w:tr>
        <w:trPr>
          <w:trHeight w:val="225"/>
        </w:trPr>
        <w:tc>
          <w:tcPr>
            <w:tcW w:w="386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406</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879</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880</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1.157</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1.272</w:t>
            </w:r>
          </w:p>
        </w:tc>
      </w:tr>
      <w:tr>
        <w:trPr>
          <w:trHeight w:val="225"/>
        </w:trPr>
        <w:tc>
          <w:tcPr>
            <w:tcW w:w="386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1.648</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2.339</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2.708</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3.499</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3.113</w:t>
            </w:r>
          </w:p>
        </w:tc>
      </w:tr>
      <w:tr>
        <w:trPr>
          <w:trHeight w:val="225"/>
        </w:trPr>
        <w:tc>
          <w:tcPr>
            <w:tcW w:w="6432"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Flows</w:t>
            </w:r>
          </w:p>
        </w:tc>
      </w:tr>
      <w:tr>
        <w:trPr>
          <w:trHeight w:val="225"/>
        </w:trPr>
        <w:tc>
          <w:tcPr>
            <w:tcW w:w="386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51</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60</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369</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52</w:t>
            </w:r>
          </w:p>
        </w:tc>
      </w:tr>
      <w:tr>
        <w:trPr>
          <w:trHeight w:val="225"/>
        </w:trPr>
        <w:tc>
          <w:tcPr>
            <w:tcW w:w="386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200</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140</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400</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210</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308</w:t>
            </w:r>
          </w:p>
        </w:tc>
      </w:tr>
      <w:tr>
        <w:trPr>
          <w:trHeight w:val="225"/>
        </w:trPr>
        <w:tc>
          <w:tcPr>
            <w:tcW w:w="3861" w:type="dxa"/>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467"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 </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bl>
    <w:p>
      <w:pPr>
        <w:rPr>
          <w:b/>
          <w:noProof/>
        </w:rPr>
      </w:pPr>
    </w:p>
    <w:p>
      <w:pPr>
        <w:rPr>
          <w:b/>
          <w:noProof/>
        </w:rPr>
      </w:pPr>
      <w:r>
        <w:rPr>
          <w:b/>
          <w:noProof/>
        </w:rPr>
        <w:t>El Salvador</w:t>
      </w:r>
    </w:p>
    <w:tbl>
      <w:tblPr>
        <w:tblW w:w="6261" w:type="dxa"/>
        <w:tblInd w:w="108" w:type="dxa"/>
        <w:tblLook w:val="04A0" w:firstRow="1" w:lastRow="0" w:firstColumn="1" w:lastColumn="0" w:noHBand="0" w:noVBand="1"/>
      </w:tblPr>
      <w:tblGrid>
        <w:gridCol w:w="3916"/>
        <w:gridCol w:w="550"/>
        <w:gridCol w:w="550"/>
        <w:gridCol w:w="576"/>
        <w:gridCol w:w="550"/>
        <w:gridCol w:w="703"/>
      </w:tblGrid>
      <w:tr>
        <w:trPr>
          <w:trHeight w:val="210"/>
        </w:trPr>
        <w:tc>
          <w:tcPr>
            <w:tcW w:w="6261"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Merchandise trade EU28 2014-2018</w:t>
            </w:r>
          </w:p>
        </w:tc>
      </w:tr>
      <w:tr>
        <w:trPr>
          <w:trHeight w:val="210"/>
        </w:trPr>
        <w:tc>
          <w:tcPr>
            <w:tcW w:w="3916" w:type="dxa"/>
            <w:tcBorders>
              <w:top w:val="single" w:sz="4" w:space="0" w:color="auto"/>
              <w:left w:val="nil"/>
              <w:bottom w:val="single" w:sz="4" w:space="0" w:color="auto"/>
              <w:right w:val="nil"/>
            </w:tcBorders>
            <w:shd w:val="clear" w:color="000000" w:fill="FFFFFF"/>
            <w:noWrap/>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 </w:t>
            </w:r>
          </w:p>
        </w:tc>
        <w:tc>
          <w:tcPr>
            <w:tcW w:w="408"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408"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408"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418"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703"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r>
      <w:tr>
        <w:trPr>
          <w:trHeight w:val="210"/>
        </w:trPr>
        <w:tc>
          <w:tcPr>
            <w:tcW w:w="3916" w:type="dxa"/>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s-ES" w:eastAsia="en-IE"/>
              </w:rPr>
            </w:pPr>
            <w:r>
              <w:rPr>
                <w:rFonts w:eastAsia="Times New Roman"/>
                <w:b/>
                <w:bCs/>
                <w:i/>
                <w:iCs/>
                <w:noProof/>
                <w:sz w:val="16"/>
                <w:szCs w:val="16"/>
                <w:lang w:val="es-ES" w:eastAsia="en-IE"/>
              </w:rPr>
              <w:t>EU28 trade with El Salvador (mio €)</w:t>
            </w:r>
          </w:p>
        </w:tc>
        <w:tc>
          <w:tcPr>
            <w:tcW w:w="408"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s-ES" w:eastAsia="en-IE"/>
              </w:rPr>
            </w:pPr>
          </w:p>
        </w:tc>
        <w:tc>
          <w:tcPr>
            <w:tcW w:w="408" w:type="dxa"/>
            <w:tcBorders>
              <w:top w:val="nil"/>
              <w:left w:val="nil"/>
              <w:bottom w:val="nil"/>
              <w:right w:val="nil"/>
            </w:tcBorders>
            <w:shd w:val="clear" w:color="000000" w:fill="FFFFFF"/>
            <w:noWrap/>
            <w:vAlign w:val="center"/>
            <w:hideMark/>
          </w:tcPr>
          <w:p>
            <w:pPr>
              <w:rPr>
                <w:rFonts w:eastAsia="Times New Roman"/>
                <w:b/>
                <w:bCs/>
                <w:i/>
                <w:iCs/>
                <w:noProof/>
                <w:sz w:val="16"/>
                <w:szCs w:val="16"/>
                <w:lang w:val="es-ES" w:eastAsia="en-IE"/>
              </w:rPr>
            </w:pPr>
            <w:r>
              <w:rPr>
                <w:rFonts w:eastAsia="Times New Roman"/>
                <w:b/>
                <w:bCs/>
                <w:i/>
                <w:iCs/>
                <w:noProof/>
                <w:sz w:val="16"/>
                <w:szCs w:val="16"/>
                <w:lang w:val="es-ES" w:eastAsia="en-IE"/>
              </w:rPr>
              <w:t> </w:t>
            </w:r>
          </w:p>
        </w:tc>
        <w:tc>
          <w:tcPr>
            <w:tcW w:w="408" w:type="dxa"/>
            <w:tcBorders>
              <w:top w:val="nil"/>
              <w:left w:val="nil"/>
              <w:bottom w:val="nil"/>
              <w:right w:val="nil"/>
            </w:tcBorders>
            <w:shd w:val="clear" w:color="000000" w:fill="FFFFFF"/>
            <w:noWrap/>
            <w:vAlign w:val="center"/>
            <w:hideMark/>
          </w:tcPr>
          <w:p>
            <w:pPr>
              <w:rPr>
                <w:rFonts w:eastAsia="Times New Roman"/>
                <w:b/>
                <w:bCs/>
                <w:i/>
                <w:iCs/>
                <w:noProof/>
                <w:sz w:val="16"/>
                <w:szCs w:val="16"/>
                <w:lang w:val="es-ES" w:eastAsia="en-IE"/>
              </w:rPr>
            </w:pPr>
            <w:r>
              <w:rPr>
                <w:rFonts w:eastAsia="Times New Roman"/>
                <w:b/>
                <w:bCs/>
                <w:i/>
                <w:iCs/>
                <w:noProof/>
                <w:sz w:val="16"/>
                <w:szCs w:val="16"/>
                <w:lang w:val="es-ES" w:eastAsia="en-IE"/>
              </w:rPr>
              <w:t> </w:t>
            </w:r>
          </w:p>
        </w:tc>
        <w:tc>
          <w:tcPr>
            <w:tcW w:w="418" w:type="dxa"/>
            <w:tcBorders>
              <w:top w:val="nil"/>
              <w:left w:val="nil"/>
              <w:bottom w:val="nil"/>
              <w:right w:val="nil"/>
            </w:tcBorders>
            <w:shd w:val="clear" w:color="000000" w:fill="FFFFFF"/>
            <w:noWrap/>
            <w:vAlign w:val="center"/>
            <w:hideMark/>
          </w:tcPr>
          <w:p>
            <w:pPr>
              <w:rPr>
                <w:rFonts w:eastAsia="Times New Roman"/>
                <w:b/>
                <w:bCs/>
                <w:i/>
                <w:iCs/>
                <w:noProof/>
                <w:sz w:val="16"/>
                <w:szCs w:val="16"/>
                <w:lang w:val="es-ES" w:eastAsia="en-IE"/>
              </w:rPr>
            </w:pPr>
            <w:r>
              <w:rPr>
                <w:rFonts w:eastAsia="Times New Roman"/>
                <w:b/>
                <w:bCs/>
                <w:i/>
                <w:iCs/>
                <w:noProof/>
                <w:sz w:val="16"/>
                <w:szCs w:val="16"/>
                <w:lang w:val="es-ES" w:eastAsia="en-IE"/>
              </w:rPr>
              <w:t> </w:t>
            </w:r>
          </w:p>
        </w:tc>
        <w:tc>
          <w:tcPr>
            <w:tcW w:w="703" w:type="dxa"/>
            <w:tcBorders>
              <w:top w:val="nil"/>
              <w:left w:val="nil"/>
              <w:bottom w:val="nil"/>
              <w:right w:val="nil"/>
            </w:tcBorders>
            <w:shd w:val="clear" w:color="000000" w:fill="FFFFFF"/>
            <w:noWrap/>
            <w:vAlign w:val="center"/>
            <w:hideMark/>
          </w:tcPr>
          <w:p>
            <w:pPr>
              <w:rPr>
                <w:rFonts w:eastAsia="Times New Roman"/>
                <w:b/>
                <w:bCs/>
                <w:i/>
                <w:iCs/>
                <w:noProof/>
                <w:sz w:val="16"/>
                <w:szCs w:val="16"/>
                <w:lang w:val="es-ES" w:eastAsia="en-IE"/>
              </w:rPr>
            </w:pPr>
            <w:r>
              <w:rPr>
                <w:rFonts w:eastAsia="Times New Roman"/>
                <w:b/>
                <w:bCs/>
                <w:i/>
                <w:iCs/>
                <w:noProof/>
                <w:sz w:val="16"/>
                <w:szCs w:val="16"/>
                <w:lang w:val="es-ES" w:eastAsia="en-IE"/>
              </w:rPr>
              <w:t> </w:t>
            </w:r>
          </w:p>
        </w:tc>
      </w:tr>
      <w:tr>
        <w:trPr>
          <w:trHeight w:val="210"/>
        </w:trPr>
        <w:tc>
          <w:tcPr>
            <w:tcW w:w="391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184</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195</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217</w:t>
            </w:r>
          </w:p>
        </w:tc>
        <w:tc>
          <w:tcPr>
            <w:tcW w:w="41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249</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221</w:t>
            </w:r>
          </w:p>
        </w:tc>
      </w:tr>
      <w:tr>
        <w:trPr>
          <w:trHeight w:val="210"/>
        </w:trPr>
        <w:tc>
          <w:tcPr>
            <w:tcW w:w="391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530</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546</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472</w:t>
            </w:r>
          </w:p>
        </w:tc>
        <w:tc>
          <w:tcPr>
            <w:tcW w:w="41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481</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807</w:t>
            </w:r>
          </w:p>
        </w:tc>
      </w:tr>
      <w:tr>
        <w:trPr>
          <w:trHeight w:val="210"/>
        </w:trPr>
        <w:tc>
          <w:tcPr>
            <w:tcW w:w="391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346</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351</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255</w:t>
            </w:r>
          </w:p>
        </w:tc>
        <w:tc>
          <w:tcPr>
            <w:tcW w:w="41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232</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587</w:t>
            </w:r>
          </w:p>
        </w:tc>
      </w:tr>
      <w:tr>
        <w:trPr>
          <w:trHeight w:val="210"/>
        </w:trPr>
        <w:tc>
          <w:tcPr>
            <w:tcW w:w="3916" w:type="dxa"/>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Share El Salvador in EU28 trade with Extra-EU28</w:t>
            </w:r>
          </w:p>
        </w:tc>
        <w:tc>
          <w:tcPr>
            <w:tcW w:w="408"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n-IE" w:eastAsia="en-IE"/>
              </w:rPr>
            </w:pPr>
          </w:p>
        </w:tc>
        <w:tc>
          <w:tcPr>
            <w:tcW w:w="408"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408"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418"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703"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r>
      <w:tr>
        <w:trPr>
          <w:trHeight w:val="210"/>
        </w:trPr>
        <w:tc>
          <w:tcPr>
            <w:tcW w:w="391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41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r>
      <w:tr>
        <w:trPr>
          <w:trHeight w:val="210"/>
        </w:trPr>
        <w:tc>
          <w:tcPr>
            <w:tcW w:w="391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41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r>
      <w:tr>
        <w:trPr>
          <w:trHeight w:val="210"/>
        </w:trPr>
        <w:tc>
          <w:tcPr>
            <w:tcW w:w="391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41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r>
      <w:tr>
        <w:trPr>
          <w:trHeight w:val="210"/>
        </w:trPr>
        <w:tc>
          <w:tcPr>
            <w:tcW w:w="6261"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Share EU28 in trade El Salvador with world</w:t>
            </w:r>
          </w:p>
        </w:tc>
      </w:tr>
      <w:tr>
        <w:trPr>
          <w:trHeight w:val="210"/>
        </w:trPr>
        <w:tc>
          <w:tcPr>
            <w:tcW w:w="391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5,9%</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6,4%</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4,7%</w:t>
            </w:r>
          </w:p>
        </w:tc>
        <w:tc>
          <w:tcPr>
            <w:tcW w:w="41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6,3%</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7,7%</w:t>
            </w:r>
          </w:p>
        </w:tc>
      </w:tr>
      <w:tr>
        <w:trPr>
          <w:trHeight w:val="210"/>
        </w:trPr>
        <w:tc>
          <w:tcPr>
            <w:tcW w:w="391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3,5%</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2,9%</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3,1%</w:t>
            </w:r>
          </w:p>
        </w:tc>
        <w:tc>
          <w:tcPr>
            <w:tcW w:w="41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3,1%</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2,8%</w:t>
            </w:r>
          </w:p>
        </w:tc>
      </w:tr>
      <w:tr>
        <w:trPr>
          <w:trHeight w:val="210"/>
        </w:trPr>
        <w:tc>
          <w:tcPr>
            <w:tcW w:w="391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5,1%</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5,2%</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4,1%</w:t>
            </w:r>
          </w:p>
        </w:tc>
        <w:tc>
          <w:tcPr>
            <w:tcW w:w="41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5,2%</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6,0%</w:t>
            </w:r>
          </w:p>
        </w:tc>
      </w:tr>
      <w:tr>
        <w:trPr>
          <w:trHeight w:val="225"/>
        </w:trPr>
        <w:tc>
          <w:tcPr>
            <w:tcW w:w="4732" w:type="dxa"/>
            <w:gridSpan w:val="3"/>
            <w:tcBorders>
              <w:top w:val="single" w:sz="4" w:space="0" w:color="auto"/>
              <w:left w:val="nil"/>
              <w:bottom w:val="nil"/>
              <w:right w:val="nil"/>
            </w:tcBorders>
            <w:shd w:val="clear" w:color="000000" w:fill="FFFFFF"/>
            <w:noWrap/>
            <w:vAlign w:val="bottom"/>
            <w:hideMark/>
          </w:tcPr>
          <w:p>
            <w:pPr>
              <w:rPr>
                <w:rFonts w:eastAsia="Times New Roman"/>
                <w:noProof/>
                <w:sz w:val="12"/>
                <w:szCs w:val="12"/>
                <w:lang w:val="en-IE" w:eastAsia="en-IE"/>
              </w:rPr>
            </w:pPr>
            <w:r>
              <w:rPr>
                <w:rFonts w:eastAsia="Times New Roman"/>
                <w:noProof/>
                <w:sz w:val="12"/>
                <w:szCs w:val="12"/>
                <w:lang w:val="en-IE" w:eastAsia="en-IE"/>
              </w:rPr>
              <w:t xml:space="preserve">Source Trade G2 Statistics/ISDB </w:t>
            </w:r>
          </w:p>
        </w:tc>
        <w:tc>
          <w:tcPr>
            <w:tcW w:w="408"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418"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703" w:type="dxa"/>
            <w:tcBorders>
              <w:top w:val="single" w:sz="4" w:space="0" w:color="auto"/>
              <w:left w:val="nil"/>
              <w:bottom w:val="nil"/>
              <w:right w:val="nil"/>
            </w:tcBorders>
            <w:shd w:val="clear" w:color="000000" w:fill="FFFFFF"/>
            <w:noWrap/>
            <w:hideMark/>
          </w:tcPr>
          <w:p>
            <w:pPr>
              <w:jc w:val="right"/>
              <w:rPr>
                <w:rFonts w:eastAsia="Times New Roman"/>
                <w:noProof/>
                <w:sz w:val="12"/>
                <w:szCs w:val="12"/>
                <w:lang w:val="en-IE" w:eastAsia="en-IE"/>
              </w:rPr>
            </w:pPr>
            <w:r>
              <w:rPr>
                <w:rFonts w:eastAsia="Times New Roman"/>
                <w:noProof/>
                <w:sz w:val="12"/>
                <w:szCs w:val="12"/>
                <w:lang w:val="en-IE" w:eastAsia="en-IE"/>
              </w:rPr>
              <w:t>25-mars-19</w:t>
            </w:r>
          </w:p>
        </w:tc>
      </w:tr>
      <w:tr>
        <w:trPr>
          <w:trHeight w:val="210"/>
        </w:trPr>
        <w:tc>
          <w:tcPr>
            <w:tcW w:w="5558" w:type="dxa"/>
            <w:gridSpan w:val="5"/>
            <w:tcBorders>
              <w:top w:val="nil"/>
              <w:left w:val="nil"/>
              <w:bottom w:val="nil"/>
              <w:right w:val="nil"/>
            </w:tcBorders>
            <w:shd w:val="clear" w:color="000000" w:fill="FFFFFF"/>
            <w:noWrap/>
            <w:hideMark/>
          </w:tcPr>
          <w:p>
            <w:pPr>
              <w:rPr>
                <w:rFonts w:eastAsia="Times New Roman"/>
                <w:noProof/>
                <w:color w:val="000000"/>
                <w:sz w:val="12"/>
                <w:szCs w:val="12"/>
                <w:lang w:val="es-ES" w:eastAsia="en-IE"/>
              </w:rPr>
            </w:pPr>
            <w:r>
              <w:rPr>
                <w:rFonts w:eastAsia="Times New Roman"/>
                <w:noProof/>
                <w:color w:val="000000"/>
                <w:sz w:val="12"/>
                <w:szCs w:val="12"/>
                <w:lang w:val="es-ES" w:eastAsia="en-IE"/>
              </w:rPr>
              <w:t>Trade EU28: Eurostat COMEXT;  Trade El Salvador: IMF Dots</w:t>
            </w:r>
          </w:p>
        </w:tc>
        <w:tc>
          <w:tcPr>
            <w:tcW w:w="703"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s-ES" w:eastAsia="en-IE"/>
              </w:rPr>
            </w:pPr>
            <w:r>
              <w:rPr>
                <w:rFonts w:eastAsia="Times New Roman"/>
                <w:noProof/>
                <w:color w:val="000000"/>
                <w:sz w:val="16"/>
                <w:szCs w:val="16"/>
                <w:lang w:val="es-ES" w:eastAsia="en-IE"/>
              </w:rPr>
              <w:t> </w:t>
            </w:r>
          </w:p>
        </w:tc>
      </w:tr>
      <w:tr>
        <w:trPr>
          <w:trHeight w:val="210"/>
        </w:trPr>
        <w:tc>
          <w:tcPr>
            <w:tcW w:w="391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s-ES" w:eastAsia="en-IE"/>
              </w:rPr>
            </w:pPr>
            <w:r>
              <w:rPr>
                <w:rFonts w:eastAsia="Times New Roman"/>
                <w:noProof/>
                <w:color w:val="000000"/>
                <w:sz w:val="16"/>
                <w:szCs w:val="16"/>
                <w:lang w:val="es-ES" w:eastAsia="en-IE"/>
              </w:rPr>
              <w:t> </w:t>
            </w:r>
          </w:p>
        </w:tc>
        <w:tc>
          <w:tcPr>
            <w:tcW w:w="408"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s-ES" w:eastAsia="en-IE"/>
              </w:rPr>
            </w:pPr>
            <w:r>
              <w:rPr>
                <w:rFonts w:eastAsia="Times New Roman"/>
                <w:noProof/>
                <w:color w:val="000000"/>
                <w:sz w:val="16"/>
                <w:szCs w:val="16"/>
                <w:lang w:val="es-ES" w:eastAsia="en-IE"/>
              </w:rPr>
              <w:t> </w:t>
            </w:r>
          </w:p>
        </w:tc>
        <w:tc>
          <w:tcPr>
            <w:tcW w:w="408"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s-ES" w:eastAsia="en-IE"/>
              </w:rPr>
            </w:pPr>
            <w:r>
              <w:rPr>
                <w:rFonts w:eastAsia="Times New Roman"/>
                <w:noProof/>
                <w:color w:val="000000"/>
                <w:sz w:val="16"/>
                <w:szCs w:val="16"/>
                <w:lang w:val="es-ES" w:eastAsia="en-IE"/>
              </w:rPr>
              <w:t> </w:t>
            </w:r>
          </w:p>
        </w:tc>
        <w:tc>
          <w:tcPr>
            <w:tcW w:w="408"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s-ES" w:eastAsia="en-IE"/>
              </w:rPr>
            </w:pPr>
            <w:r>
              <w:rPr>
                <w:rFonts w:eastAsia="Times New Roman"/>
                <w:noProof/>
                <w:color w:val="000000"/>
                <w:sz w:val="16"/>
                <w:szCs w:val="16"/>
                <w:lang w:val="es-ES" w:eastAsia="en-IE"/>
              </w:rPr>
              <w:t> </w:t>
            </w:r>
          </w:p>
        </w:tc>
        <w:tc>
          <w:tcPr>
            <w:tcW w:w="418"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s-ES" w:eastAsia="en-IE"/>
              </w:rPr>
            </w:pPr>
            <w:r>
              <w:rPr>
                <w:rFonts w:eastAsia="Times New Roman"/>
                <w:noProof/>
                <w:color w:val="000000"/>
                <w:sz w:val="16"/>
                <w:szCs w:val="16"/>
                <w:lang w:val="es-ES"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s-ES" w:eastAsia="en-IE"/>
              </w:rPr>
            </w:pPr>
            <w:r>
              <w:rPr>
                <w:rFonts w:eastAsia="Times New Roman"/>
                <w:noProof/>
                <w:color w:val="000000"/>
                <w:sz w:val="16"/>
                <w:szCs w:val="16"/>
                <w:lang w:val="es-ES" w:eastAsia="en-IE"/>
              </w:rPr>
              <w:t> </w:t>
            </w:r>
          </w:p>
        </w:tc>
      </w:tr>
      <w:tr>
        <w:trPr>
          <w:trHeight w:val="225"/>
        </w:trPr>
        <w:tc>
          <w:tcPr>
            <w:tcW w:w="6261"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s-ES" w:eastAsia="en-IE"/>
              </w:rPr>
            </w:pPr>
            <w:r>
              <w:rPr>
                <w:rFonts w:eastAsia="Times New Roman"/>
                <w:b/>
                <w:bCs/>
                <w:noProof/>
                <w:sz w:val="16"/>
                <w:szCs w:val="16"/>
                <w:lang w:val="es-ES" w:eastAsia="en-IE"/>
              </w:rPr>
              <w:t>Total merchandise trade EU28 with El Salvador (mio €)</w:t>
            </w:r>
          </w:p>
        </w:tc>
      </w:tr>
      <w:tr>
        <w:trPr>
          <w:trHeight w:val="225"/>
        </w:trPr>
        <w:tc>
          <w:tcPr>
            <w:tcW w:w="4324"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El Salvador</w:t>
            </w:r>
          </w:p>
        </w:tc>
        <w:tc>
          <w:tcPr>
            <w:tcW w:w="408"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408"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121"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324"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08"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08"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18"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91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0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249</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221</w:t>
            </w:r>
          </w:p>
        </w:tc>
        <w:tc>
          <w:tcPr>
            <w:tcW w:w="41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-29</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-11,5%</w:t>
            </w:r>
          </w:p>
        </w:tc>
      </w:tr>
      <w:tr>
        <w:trPr>
          <w:trHeight w:val="225"/>
        </w:trPr>
        <w:tc>
          <w:tcPr>
            <w:tcW w:w="391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0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481</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807</w:t>
            </w:r>
          </w:p>
        </w:tc>
        <w:tc>
          <w:tcPr>
            <w:tcW w:w="41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326</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67,8%</w:t>
            </w:r>
          </w:p>
        </w:tc>
      </w:tr>
      <w:tr>
        <w:trPr>
          <w:trHeight w:val="225"/>
        </w:trPr>
        <w:tc>
          <w:tcPr>
            <w:tcW w:w="391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0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232</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587</w:t>
            </w:r>
          </w:p>
        </w:tc>
        <w:tc>
          <w:tcPr>
            <w:tcW w:w="41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355</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91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08"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0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730</w:t>
            </w:r>
          </w:p>
        </w:tc>
        <w:tc>
          <w:tcPr>
            <w:tcW w:w="40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1.028</w:t>
            </w:r>
          </w:p>
        </w:tc>
        <w:tc>
          <w:tcPr>
            <w:tcW w:w="41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298</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40,8%</w:t>
            </w:r>
          </w:p>
        </w:tc>
      </w:tr>
      <w:tr>
        <w:trPr>
          <w:trHeight w:val="240"/>
        </w:trPr>
        <w:tc>
          <w:tcPr>
            <w:tcW w:w="5140"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418"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6261"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s-ES" w:eastAsia="en-IE"/>
              </w:rPr>
            </w:pPr>
            <w:r>
              <w:rPr>
                <w:rFonts w:eastAsia="Times New Roman"/>
                <w:b/>
                <w:bCs/>
                <w:noProof/>
                <w:sz w:val="16"/>
                <w:szCs w:val="16"/>
                <w:lang w:val="es-ES" w:eastAsia="en-IE"/>
              </w:rPr>
              <w:t>Agrifood trade EU28 with El Salvador (mio €)</w:t>
            </w:r>
          </w:p>
        </w:tc>
      </w:tr>
      <w:tr>
        <w:trPr>
          <w:trHeight w:val="255"/>
        </w:trPr>
        <w:tc>
          <w:tcPr>
            <w:tcW w:w="4324"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El Salvador</w:t>
            </w:r>
          </w:p>
        </w:tc>
        <w:tc>
          <w:tcPr>
            <w:tcW w:w="408"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408"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121"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324"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08"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08"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18"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91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0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69</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54</w:t>
            </w:r>
          </w:p>
        </w:tc>
        <w:tc>
          <w:tcPr>
            <w:tcW w:w="41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-21,0%</w:t>
            </w:r>
          </w:p>
        </w:tc>
      </w:tr>
      <w:tr>
        <w:trPr>
          <w:trHeight w:val="225"/>
        </w:trPr>
        <w:tc>
          <w:tcPr>
            <w:tcW w:w="391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0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48</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52</w:t>
            </w:r>
          </w:p>
        </w:tc>
        <w:tc>
          <w:tcPr>
            <w:tcW w:w="41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9,8%</w:t>
            </w:r>
          </w:p>
        </w:tc>
      </w:tr>
      <w:tr>
        <w:trPr>
          <w:trHeight w:val="225"/>
        </w:trPr>
        <w:tc>
          <w:tcPr>
            <w:tcW w:w="391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0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w:t>
            </w:r>
          </w:p>
        </w:tc>
        <w:tc>
          <w:tcPr>
            <w:tcW w:w="41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91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0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0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116</w:t>
            </w:r>
          </w:p>
        </w:tc>
        <w:tc>
          <w:tcPr>
            <w:tcW w:w="40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107</w:t>
            </w:r>
          </w:p>
        </w:tc>
        <w:tc>
          <w:tcPr>
            <w:tcW w:w="41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-8,4%</w:t>
            </w:r>
          </w:p>
        </w:tc>
      </w:tr>
      <w:tr>
        <w:trPr>
          <w:trHeight w:val="240"/>
        </w:trPr>
        <w:tc>
          <w:tcPr>
            <w:tcW w:w="5140"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418"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6261"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s-ES" w:eastAsia="en-IE"/>
              </w:rPr>
            </w:pPr>
            <w:r>
              <w:rPr>
                <w:rFonts w:eastAsia="Times New Roman"/>
                <w:b/>
                <w:bCs/>
                <w:noProof/>
                <w:sz w:val="16"/>
                <w:szCs w:val="16"/>
                <w:lang w:val="es-ES" w:eastAsia="en-IE"/>
              </w:rPr>
              <w:t>NAMA trade EU28 with El Salvador (mio €)</w:t>
            </w:r>
          </w:p>
        </w:tc>
      </w:tr>
      <w:tr>
        <w:trPr>
          <w:trHeight w:val="225"/>
        </w:trPr>
        <w:tc>
          <w:tcPr>
            <w:tcW w:w="4324"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El Salvador</w:t>
            </w:r>
          </w:p>
        </w:tc>
        <w:tc>
          <w:tcPr>
            <w:tcW w:w="408"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408"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121"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324"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08"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08"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18"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4324"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imports</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181</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166</w:t>
            </w:r>
          </w:p>
        </w:tc>
        <w:tc>
          <w:tcPr>
            <w:tcW w:w="41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-7,8%</w:t>
            </w:r>
          </w:p>
        </w:tc>
      </w:tr>
      <w:tr>
        <w:trPr>
          <w:trHeight w:val="225"/>
        </w:trPr>
        <w:tc>
          <w:tcPr>
            <w:tcW w:w="4324"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exports</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434</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755</w:t>
            </w:r>
          </w:p>
        </w:tc>
        <w:tc>
          <w:tcPr>
            <w:tcW w:w="41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322</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74,2%</w:t>
            </w:r>
          </w:p>
        </w:tc>
      </w:tr>
      <w:tr>
        <w:trPr>
          <w:trHeight w:val="225"/>
        </w:trPr>
        <w:tc>
          <w:tcPr>
            <w:tcW w:w="391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0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253</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589</w:t>
            </w:r>
          </w:p>
        </w:tc>
        <w:tc>
          <w:tcPr>
            <w:tcW w:w="41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336</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91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0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614</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922</w:t>
            </w:r>
          </w:p>
        </w:tc>
        <w:tc>
          <w:tcPr>
            <w:tcW w:w="41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308</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50,1%</w:t>
            </w:r>
          </w:p>
        </w:tc>
      </w:tr>
      <w:tr>
        <w:trPr>
          <w:trHeight w:val="240"/>
        </w:trPr>
        <w:tc>
          <w:tcPr>
            <w:tcW w:w="5140"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418" w:type="dxa"/>
            <w:tcBorders>
              <w:top w:val="single" w:sz="4" w:space="0" w:color="auto"/>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5140" w:type="dxa"/>
            <w:gridSpan w:val="4"/>
            <w:tcBorders>
              <w:top w:val="nil"/>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s-ES" w:eastAsia="en-IE"/>
              </w:rPr>
            </w:pPr>
            <w:r>
              <w:rPr>
                <w:rFonts w:eastAsia="Times New Roman"/>
                <w:b/>
                <w:bCs/>
                <w:noProof/>
                <w:sz w:val="16"/>
                <w:szCs w:val="16"/>
                <w:lang w:val="es-ES" w:eastAsia="en-IE"/>
              </w:rPr>
              <w:t>Services trade EU28 with El Salvador (mio €)</w:t>
            </w:r>
          </w:p>
        </w:tc>
        <w:tc>
          <w:tcPr>
            <w:tcW w:w="418" w:type="dxa"/>
            <w:tcBorders>
              <w:top w:val="nil"/>
              <w:left w:val="nil"/>
              <w:bottom w:val="nil"/>
              <w:right w:val="nil"/>
            </w:tcBorders>
            <w:shd w:val="clear" w:color="000000" w:fill="FFFFFF"/>
            <w:noWrap/>
            <w:vAlign w:val="center"/>
            <w:hideMark/>
          </w:tcPr>
          <w:p>
            <w:pPr>
              <w:rPr>
                <w:rFonts w:eastAsia="Times New Roman"/>
                <w:b/>
                <w:bCs/>
                <w:noProof/>
                <w:sz w:val="16"/>
                <w:szCs w:val="16"/>
                <w:lang w:val="es-ES" w:eastAsia="en-IE"/>
              </w:rPr>
            </w:pPr>
            <w:r>
              <w:rPr>
                <w:rFonts w:eastAsia="Times New Roman"/>
                <w:b/>
                <w:bCs/>
                <w:noProof/>
                <w:sz w:val="16"/>
                <w:szCs w:val="16"/>
                <w:lang w:val="es-ES" w:eastAsia="en-IE"/>
              </w:rPr>
              <w:t> </w:t>
            </w:r>
          </w:p>
        </w:tc>
        <w:tc>
          <w:tcPr>
            <w:tcW w:w="703" w:type="dxa"/>
            <w:tcBorders>
              <w:top w:val="nil"/>
              <w:left w:val="nil"/>
              <w:bottom w:val="nil"/>
              <w:right w:val="nil"/>
            </w:tcBorders>
            <w:shd w:val="clear" w:color="000000" w:fill="FFFFFF"/>
            <w:noWrap/>
            <w:vAlign w:val="center"/>
            <w:hideMark/>
          </w:tcPr>
          <w:p>
            <w:pPr>
              <w:rPr>
                <w:rFonts w:eastAsia="Times New Roman"/>
                <w:b/>
                <w:bCs/>
                <w:noProof/>
                <w:sz w:val="16"/>
                <w:szCs w:val="16"/>
                <w:lang w:val="es-ES" w:eastAsia="en-IE"/>
              </w:rPr>
            </w:pPr>
            <w:r>
              <w:rPr>
                <w:rFonts w:eastAsia="Times New Roman"/>
                <w:b/>
                <w:bCs/>
                <w:noProof/>
                <w:sz w:val="16"/>
                <w:szCs w:val="16"/>
                <w:lang w:val="es-ES" w:eastAsia="en-IE"/>
              </w:rPr>
              <w:t> </w:t>
            </w:r>
          </w:p>
        </w:tc>
      </w:tr>
      <w:tr>
        <w:trPr>
          <w:trHeight w:val="225"/>
        </w:trPr>
        <w:tc>
          <w:tcPr>
            <w:tcW w:w="4324"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El Salvador</w:t>
            </w:r>
          </w:p>
        </w:tc>
        <w:tc>
          <w:tcPr>
            <w:tcW w:w="408"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408"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1121"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324"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08"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408"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418"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91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0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94</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91</w:t>
            </w:r>
          </w:p>
        </w:tc>
        <w:tc>
          <w:tcPr>
            <w:tcW w:w="41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-3,3%</w:t>
            </w:r>
          </w:p>
        </w:tc>
      </w:tr>
      <w:tr>
        <w:trPr>
          <w:trHeight w:val="225"/>
        </w:trPr>
        <w:tc>
          <w:tcPr>
            <w:tcW w:w="391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0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258</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229</w:t>
            </w:r>
          </w:p>
        </w:tc>
        <w:tc>
          <w:tcPr>
            <w:tcW w:w="41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-29</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-11,4%</w:t>
            </w:r>
          </w:p>
        </w:tc>
      </w:tr>
      <w:tr>
        <w:trPr>
          <w:trHeight w:val="225"/>
        </w:trPr>
        <w:tc>
          <w:tcPr>
            <w:tcW w:w="391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0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164</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138</w:t>
            </w:r>
          </w:p>
        </w:tc>
        <w:tc>
          <w:tcPr>
            <w:tcW w:w="41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91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08"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0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352</w:t>
            </w:r>
          </w:p>
        </w:tc>
        <w:tc>
          <w:tcPr>
            <w:tcW w:w="40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319</w:t>
            </w:r>
          </w:p>
        </w:tc>
        <w:tc>
          <w:tcPr>
            <w:tcW w:w="41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-33</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-9,2%</w:t>
            </w:r>
          </w:p>
        </w:tc>
      </w:tr>
      <w:tr>
        <w:trPr>
          <w:trHeight w:val="240"/>
        </w:trPr>
        <w:tc>
          <w:tcPr>
            <w:tcW w:w="5558" w:type="dxa"/>
            <w:gridSpan w:val="5"/>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703"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40"/>
        </w:trPr>
        <w:tc>
          <w:tcPr>
            <w:tcW w:w="6261"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s-ES" w:eastAsia="en-IE"/>
              </w:rPr>
            </w:pPr>
            <w:r>
              <w:rPr>
                <w:rFonts w:eastAsia="Times New Roman"/>
                <w:b/>
                <w:bCs/>
                <w:noProof/>
                <w:sz w:val="16"/>
                <w:szCs w:val="16"/>
                <w:lang w:val="es-ES" w:eastAsia="en-IE"/>
              </w:rPr>
              <w:t>Services trade EU28 with El Salvador (mio €)</w:t>
            </w:r>
          </w:p>
        </w:tc>
      </w:tr>
      <w:tr>
        <w:trPr>
          <w:trHeight w:val="225"/>
        </w:trPr>
        <w:tc>
          <w:tcPr>
            <w:tcW w:w="3916"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val="es-ES" w:eastAsia="en-IE"/>
              </w:rPr>
            </w:pPr>
            <w:r>
              <w:rPr>
                <w:rFonts w:eastAsia="Times New Roman"/>
                <w:noProof/>
                <w:sz w:val="16"/>
                <w:szCs w:val="16"/>
                <w:lang w:val="es-ES" w:eastAsia="en-IE"/>
              </w:rPr>
              <w:t> </w:t>
            </w:r>
          </w:p>
        </w:tc>
        <w:tc>
          <w:tcPr>
            <w:tcW w:w="408"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408"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408"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418"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703"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391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94</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84</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106</w:t>
            </w:r>
          </w:p>
        </w:tc>
        <w:tc>
          <w:tcPr>
            <w:tcW w:w="41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94</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91</w:t>
            </w:r>
          </w:p>
        </w:tc>
      </w:tr>
      <w:tr>
        <w:trPr>
          <w:trHeight w:val="225"/>
        </w:trPr>
        <w:tc>
          <w:tcPr>
            <w:tcW w:w="391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224</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242</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276</w:t>
            </w:r>
          </w:p>
        </w:tc>
        <w:tc>
          <w:tcPr>
            <w:tcW w:w="41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258</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229</w:t>
            </w:r>
          </w:p>
        </w:tc>
      </w:tr>
      <w:tr>
        <w:trPr>
          <w:trHeight w:val="225"/>
        </w:trPr>
        <w:tc>
          <w:tcPr>
            <w:tcW w:w="391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130</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158</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170</w:t>
            </w:r>
          </w:p>
        </w:tc>
        <w:tc>
          <w:tcPr>
            <w:tcW w:w="41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164</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138</w:t>
            </w:r>
          </w:p>
        </w:tc>
      </w:tr>
      <w:tr>
        <w:trPr>
          <w:trHeight w:val="225"/>
        </w:trPr>
        <w:tc>
          <w:tcPr>
            <w:tcW w:w="391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0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318</w:t>
            </w:r>
          </w:p>
        </w:tc>
        <w:tc>
          <w:tcPr>
            <w:tcW w:w="40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327</w:t>
            </w:r>
          </w:p>
        </w:tc>
        <w:tc>
          <w:tcPr>
            <w:tcW w:w="40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382</w:t>
            </w:r>
          </w:p>
        </w:tc>
        <w:tc>
          <w:tcPr>
            <w:tcW w:w="41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352</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319</w:t>
            </w:r>
          </w:p>
        </w:tc>
      </w:tr>
      <w:tr>
        <w:trPr>
          <w:trHeight w:val="225"/>
        </w:trPr>
        <w:tc>
          <w:tcPr>
            <w:tcW w:w="3916"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408"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 </w:t>
            </w:r>
          </w:p>
        </w:tc>
        <w:tc>
          <w:tcPr>
            <w:tcW w:w="40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1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6261"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s-ES" w:eastAsia="en-IE"/>
              </w:rPr>
            </w:pPr>
            <w:r>
              <w:rPr>
                <w:rFonts w:eastAsia="Times New Roman"/>
                <w:b/>
                <w:bCs/>
                <w:noProof/>
                <w:sz w:val="16"/>
                <w:szCs w:val="16"/>
                <w:lang w:val="es-ES" w:eastAsia="en-IE"/>
              </w:rPr>
              <w:t>FDI EU28 with El Salvador (mio €)</w:t>
            </w:r>
          </w:p>
        </w:tc>
      </w:tr>
      <w:tr>
        <w:trPr>
          <w:trHeight w:val="225"/>
        </w:trPr>
        <w:tc>
          <w:tcPr>
            <w:tcW w:w="3916"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val="es-ES" w:eastAsia="en-IE"/>
              </w:rPr>
            </w:pPr>
            <w:r>
              <w:rPr>
                <w:rFonts w:eastAsia="Times New Roman"/>
                <w:noProof/>
                <w:sz w:val="16"/>
                <w:szCs w:val="16"/>
                <w:lang w:val="es-ES" w:eastAsia="en-IE"/>
              </w:rPr>
              <w:t> </w:t>
            </w:r>
          </w:p>
        </w:tc>
        <w:tc>
          <w:tcPr>
            <w:tcW w:w="408"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408"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408"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418"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703"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6261"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Stocks</w:t>
            </w:r>
          </w:p>
        </w:tc>
      </w:tr>
      <w:tr>
        <w:trPr>
          <w:trHeight w:val="225"/>
        </w:trPr>
        <w:tc>
          <w:tcPr>
            <w:tcW w:w="391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47</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48</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w:t>
            </w:r>
          </w:p>
        </w:tc>
        <w:tc>
          <w:tcPr>
            <w:tcW w:w="41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29</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147</w:t>
            </w:r>
          </w:p>
        </w:tc>
      </w:tr>
      <w:tr>
        <w:trPr>
          <w:trHeight w:val="225"/>
        </w:trPr>
        <w:tc>
          <w:tcPr>
            <w:tcW w:w="391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710</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933</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1.101</w:t>
            </w:r>
          </w:p>
        </w:tc>
        <w:tc>
          <w:tcPr>
            <w:tcW w:w="41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984</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854</w:t>
            </w:r>
          </w:p>
        </w:tc>
      </w:tr>
      <w:tr>
        <w:trPr>
          <w:trHeight w:val="225"/>
        </w:trPr>
        <w:tc>
          <w:tcPr>
            <w:tcW w:w="6261"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Flows</w:t>
            </w:r>
          </w:p>
        </w:tc>
      </w:tr>
      <w:tr>
        <w:trPr>
          <w:trHeight w:val="225"/>
        </w:trPr>
        <w:tc>
          <w:tcPr>
            <w:tcW w:w="391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w:t>
            </w:r>
          </w:p>
        </w:tc>
        <w:tc>
          <w:tcPr>
            <w:tcW w:w="41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140</w:t>
            </w:r>
          </w:p>
        </w:tc>
      </w:tr>
      <w:tr>
        <w:trPr>
          <w:trHeight w:val="225"/>
        </w:trPr>
        <w:tc>
          <w:tcPr>
            <w:tcW w:w="391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40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-408</w:t>
            </w:r>
          </w:p>
        </w:tc>
        <w:tc>
          <w:tcPr>
            <w:tcW w:w="40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326</w:t>
            </w:r>
          </w:p>
        </w:tc>
        <w:tc>
          <w:tcPr>
            <w:tcW w:w="40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213</w:t>
            </w:r>
          </w:p>
        </w:tc>
        <w:tc>
          <w:tcPr>
            <w:tcW w:w="41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-109</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-266</w:t>
            </w:r>
          </w:p>
        </w:tc>
      </w:tr>
      <w:tr>
        <w:trPr>
          <w:trHeight w:val="225"/>
        </w:trPr>
        <w:tc>
          <w:tcPr>
            <w:tcW w:w="3916" w:type="dxa"/>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408"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 </w:t>
            </w:r>
          </w:p>
        </w:tc>
        <w:tc>
          <w:tcPr>
            <w:tcW w:w="40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1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bl>
    <w:p>
      <w:pPr>
        <w:rPr>
          <w:b/>
          <w:noProof/>
          <w:lang w:val="en-IE"/>
        </w:rPr>
      </w:pPr>
    </w:p>
    <w:p>
      <w:pPr>
        <w:rPr>
          <w:b/>
          <w:noProof/>
        </w:rPr>
      </w:pPr>
    </w:p>
    <w:p>
      <w:pPr>
        <w:rPr>
          <w:b/>
          <w:noProof/>
        </w:rPr>
      </w:pPr>
      <w:r>
        <w:rPr>
          <w:b/>
          <w:noProof/>
        </w:rPr>
        <w:t>Guatemala</w:t>
      </w:r>
    </w:p>
    <w:tbl>
      <w:tblPr>
        <w:tblW w:w="6236" w:type="dxa"/>
        <w:tblInd w:w="108" w:type="dxa"/>
        <w:tblLook w:val="04A0" w:firstRow="1" w:lastRow="0" w:firstColumn="1" w:lastColumn="0" w:noHBand="0" w:noVBand="1"/>
      </w:tblPr>
      <w:tblGrid>
        <w:gridCol w:w="3891"/>
        <w:gridCol w:w="576"/>
        <w:gridCol w:w="576"/>
        <w:gridCol w:w="576"/>
        <w:gridCol w:w="576"/>
        <w:gridCol w:w="703"/>
      </w:tblGrid>
      <w:tr>
        <w:trPr>
          <w:trHeight w:val="210"/>
        </w:trPr>
        <w:tc>
          <w:tcPr>
            <w:tcW w:w="6236"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Merchandise trade EU28 2014-2018</w:t>
            </w:r>
          </w:p>
        </w:tc>
      </w:tr>
      <w:tr>
        <w:trPr>
          <w:trHeight w:val="210"/>
        </w:trPr>
        <w:tc>
          <w:tcPr>
            <w:tcW w:w="3891" w:type="dxa"/>
            <w:tcBorders>
              <w:top w:val="single" w:sz="4" w:space="0" w:color="auto"/>
              <w:left w:val="nil"/>
              <w:bottom w:val="single" w:sz="4" w:space="0" w:color="auto"/>
              <w:right w:val="nil"/>
            </w:tcBorders>
            <w:shd w:val="clear" w:color="000000" w:fill="FFFFFF"/>
            <w:noWrap/>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 </w:t>
            </w:r>
          </w:p>
        </w:tc>
        <w:tc>
          <w:tcPr>
            <w:tcW w:w="408"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408"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408"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418"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703"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r>
      <w:tr>
        <w:trPr>
          <w:trHeight w:val="210"/>
        </w:trPr>
        <w:tc>
          <w:tcPr>
            <w:tcW w:w="3891" w:type="dxa"/>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EU28 trade with Guatemala (mio €)</w:t>
            </w:r>
          </w:p>
        </w:tc>
        <w:tc>
          <w:tcPr>
            <w:tcW w:w="408"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n-IE" w:eastAsia="en-IE"/>
              </w:rPr>
            </w:pPr>
          </w:p>
        </w:tc>
        <w:tc>
          <w:tcPr>
            <w:tcW w:w="408"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408"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418"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703"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r>
      <w:tr>
        <w:trPr>
          <w:trHeight w:val="210"/>
        </w:trPr>
        <w:tc>
          <w:tcPr>
            <w:tcW w:w="389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691</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864</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920</w:t>
            </w:r>
          </w:p>
        </w:tc>
        <w:tc>
          <w:tcPr>
            <w:tcW w:w="41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1.035</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981</w:t>
            </w:r>
          </w:p>
        </w:tc>
      </w:tr>
      <w:tr>
        <w:trPr>
          <w:trHeight w:val="210"/>
        </w:trPr>
        <w:tc>
          <w:tcPr>
            <w:tcW w:w="389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894</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956</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906</w:t>
            </w:r>
          </w:p>
        </w:tc>
        <w:tc>
          <w:tcPr>
            <w:tcW w:w="41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994</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986</w:t>
            </w:r>
          </w:p>
        </w:tc>
      </w:tr>
      <w:tr>
        <w:trPr>
          <w:trHeight w:val="210"/>
        </w:trPr>
        <w:tc>
          <w:tcPr>
            <w:tcW w:w="389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203</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91</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w:t>
            </w:r>
          </w:p>
        </w:tc>
        <w:tc>
          <w:tcPr>
            <w:tcW w:w="41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-40</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w:t>
            </w:r>
          </w:p>
        </w:tc>
      </w:tr>
      <w:tr>
        <w:trPr>
          <w:trHeight w:val="210"/>
        </w:trPr>
        <w:tc>
          <w:tcPr>
            <w:tcW w:w="3891" w:type="dxa"/>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Share Guatemala in EU28 trade with Extra-EU28</w:t>
            </w:r>
          </w:p>
        </w:tc>
        <w:tc>
          <w:tcPr>
            <w:tcW w:w="408"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n-IE" w:eastAsia="en-IE"/>
              </w:rPr>
            </w:pPr>
          </w:p>
        </w:tc>
        <w:tc>
          <w:tcPr>
            <w:tcW w:w="408"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408"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418"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703"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r>
      <w:tr>
        <w:trPr>
          <w:trHeight w:val="210"/>
        </w:trPr>
        <w:tc>
          <w:tcPr>
            <w:tcW w:w="389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41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r>
      <w:tr>
        <w:trPr>
          <w:trHeight w:val="210"/>
        </w:trPr>
        <w:tc>
          <w:tcPr>
            <w:tcW w:w="389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41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r>
      <w:tr>
        <w:trPr>
          <w:trHeight w:val="210"/>
        </w:trPr>
        <w:tc>
          <w:tcPr>
            <w:tcW w:w="389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41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r>
      <w:tr>
        <w:trPr>
          <w:trHeight w:val="210"/>
        </w:trPr>
        <w:tc>
          <w:tcPr>
            <w:tcW w:w="6236"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Share EU28 in trade Guatemala with world</w:t>
            </w:r>
          </w:p>
        </w:tc>
      </w:tr>
      <w:tr>
        <w:trPr>
          <w:trHeight w:val="210"/>
        </w:trPr>
        <w:tc>
          <w:tcPr>
            <w:tcW w:w="389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7,1%</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7,5%</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7,2%</w:t>
            </w:r>
          </w:p>
        </w:tc>
        <w:tc>
          <w:tcPr>
            <w:tcW w:w="41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7,4%</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7,3%</w:t>
            </w:r>
          </w:p>
        </w:tc>
      </w:tr>
      <w:tr>
        <w:trPr>
          <w:trHeight w:val="210"/>
        </w:trPr>
        <w:tc>
          <w:tcPr>
            <w:tcW w:w="389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7,5%</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7,8%</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9,0%</w:t>
            </w:r>
          </w:p>
        </w:tc>
        <w:tc>
          <w:tcPr>
            <w:tcW w:w="41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9,1%</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9,4%</w:t>
            </w:r>
          </w:p>
        </w:tc>
      </w:tr>
      <w:tr>
        <w:trPr>
          <w:trHeight w:val="210"/>
        </w:trPr>
        <w:tc>
          <w:tcPr>
            <w:tcW w:w="389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7,3%</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7,6%</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7,9%</w:t>
            </w:r>
          </w:p>
        </w:tc>
        <w:tc>
          <w:tcPr>
            <w:tcW w:w="41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8,0%</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8,0%</w:t>
            </w:r>
          </w:p>
        </w:tc>
      </w:tr>
      <w:tr>
        <w:trPr>
          <w:trHeight w:val="225"/>
        </w:trPr>
        <w:tc>
          <w:tcPr>
            <w:tcW w:w="4707" w:type="dxa"/>
            <w:gridSpan w:val="3"/>
            <w:tcBorders>
              <w:top w:val="single" w:sz="4" w:space="0" w:color="auto"/>
              <w:left w:val="nil"/>
              <w:bottom w:val="nil"/>
              <w:right w:val="nil"/>
            </w:tcBorders>
            <w:shd w:val="clear" w:color="000000" w:fill="FFFFFF"/>
            <w:noWrap/>
            <w:vAlign w:val="bottom"/>
            <w:hideMark/>
          </w:tcPr>
          <w:p>
            <w:pPr>
              <w:rPr>
                <w:rFonts w:eastAsia="Times New Roman"/>
                <w:noProof/>
                <w:sz w:val="12"/>
                <w:szCs w:val="12"/>
                <w:lang w:val="en-IE" w:eastAsia="en-IE"/>
              </w:rPr>
            </w:pPr>
            <w:r>
              <w:rPr>
                <w:rFonts w:eastAsia="Times New Roman"/>
                <w:noProof/>
                <w:sz w:val="12"/>
                <w:szCs w:val="12"/>
                <w:lang w:val="en-IE" w:eastAsia="en-IE"/>
              </w:rPr>
              <w:t xml:space="preserve">Source Trade G2 Statistics/ISDB </w:t>
            </w:r>
          </w:p>
        </w:tc>
        <w:tc>
          <w:tcPr>
            <w:tcW w:w="408"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418"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703" w:type="dxa"/>
            <w:tcBorders>
              <w:top w:val="single" w:sz="4" w:space="0" w:color="auto"/>
              <w:left w:val="nil"/>
              <w:bottom w:val="nil"/>
              <w:right w:val="nil"/>
            </w:tcBorders>
            <w:shd w:val="clear" w:color="000000" w:fill="FFFFFF"/>
            <w:noWrap/>
            <w:hideMark/>
          </w:tcPr>
          <w:p>
            <w:pPr>
              <w:jc w:val="right"/>
              <w:rPr>
                <w:rFonts w:eastAsia="Times New Roman"/>
                <w:noProof/>
                <w:sz w:val="12"/>
                <w:szCs w:val="12"/>
                <w:lang w:val="en-IE" w:eastAsia="en-IE"/>
              </w:rPr>
            </w:pPr>
            <w:r>
              <w:rPr>
                <w:rFonts w:eastAsia="Times New Roman"/>
                <w:noProof/>
                <w:sz w:val="12"/>
                <w:szCs w:val="12"/>
                <w:lang w:val="en-IE" w:eastAsia="en-IE"/>
              </w:rPr>
              <w:t>25-mars-19</w:t>
            </w:r>
          </w:p>
        </w:tc>
      </w:tr>
      <w:tr>
        <w:trPr>
          <w:trHeight w:val="210"/>
        </w:trPr>
        <w:tc>
          <w:tcPr>
            <w:tcW w:w="5115" w:type="dxa"/>
            <w:gridSpan w:val="4"/>
            <w:tcBorders>
              <w:top w:val="nil"/>
              <w:left w:val="nil"/>
              <w:bottom w:val="nil"/>
              <w:right w:val="nil"/>
            </w:tcBorders>
            <w:shd w:val="clear" w:color="000000" w:fill="FFFFFF"/>
            <w:noWrap/>
            <w:hideMark/>
          </w:tcPr>
          <w:p>
            <w:pPr>
              <w:rPr>
                <w:rFonts w:eastAsia="Times New Roman"/>
                <w:noProof/>
                <w:color w:val="000000"/>
                <w:sz w:val="12"/>
                <w:szCs w:val="12"/>
                <w:lang w:val="en-IE" w:eastAsia="en-IE"/>
              </w:rPr>
            </w:pPr>
            <w:r>
              <w:rPr>
                <w:rFonts w:eastAsia="Times New Roman"/>
                <w:noProof/>
                <w:color w:val="000000"/>
                <w:sz w:val="12"/>
                <w:szCs w:val="12"/>
                <w:lang w:val="en-IE" w:eastAsia="en-IE"/>
              </w:rPr>
              <w:t>Trade EU28: Eurostat COMEXT;  Trade Guatemala: IMF Dots</w:t>
            </w:r>
          </w:p>
        </w:tc>
        <w:tc>
          <w:tcPr>
            <w:tcW w:w="418"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10"/>
        </w:trPr>
        <w:tc>
          <w:tcPr>
            <w:tcW w:w="3891"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408"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408"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408"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418"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25"/>
        </w:trPr>
        <w:tc>
          <w:tcPr>
            <w:tcW w:w="6236"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Total merchandise trade EU28 with Guatemala (mio €)</w:t>
            </w:r>
          </w:p>
        </w:tc>
      </w:tr>
      <w:tr>
        <w:trPr>
          <w:trHeight w:val="225"/>
        </w:trPr>
        <w:tc>
          <w:tcPr>
            <w:tcW w:w="4299"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Guatemala</w:t>
            </w:r>
          </w:p>
        </w:tc>
        <w:tc>
          <w:tcPr>
            <w:tcW w:w="408"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408"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121"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299"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08"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08"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18"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89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0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1.035</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981</w:t>
            </w:r>
          </w:p>
        </w:tc>
        <w:tc>
          <w:tcPr>
            <w:tcW w:w="41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-54</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-5,2%</w:t>
            </w:r>
          </w:p>
        </w:tc>
      </w:tr>
      <w:tr>
        <w:trPr>
          <w:trHeight w:val="225"/>
        </w:trPr>
        <w:tc>
          <w:tcPr>
            <w:tcW w:w="389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0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994</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986</w:t>
            </w:r>
          </w:p>
        </w:tc>
        <w:tc>
          <w:tcPr>
            <w:tcW w:w="41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-0,9%</w:t>
            </w:r>
          </w:p>
        </w:tc>
      </w:tr>
      <w:tr>
        <w:trPr>
          <w:trHeight w:val="225"/>
        </w:trPr>
        <w:tc>
          <w:tcPr>
            <w:tcW w:w="389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0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-40</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w:t>
            </w:r>
          </w:p>
        </w:tc>
        <w:tc>
          <w:tcPr>
            <w:tcW w:w="41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45</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891"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08"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0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2.029</w:t>
            </w:r>
          </w:p>
        </w:tc>
        <w:tc>
          <w:tcPr>
            <w:tcW w:w="40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1.967</w:t>
            </w:r>
          </w:p>
        </w:tc>
        <w:tc>
          <w:tcPr>
            <w:tcW w:w="41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-63</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-3,1%</w:t>
            </w:r>
          </w:p>
        </w:tc>
      </w:tr>
      <w:tr>
        <w:trPr>
          <w:trHeight w:val="240"/>
        </w:trPr>
        <w:tc>
          <w:tcPr>
            <w:tcW w:w="5115"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418"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6236"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Agrifood trade EU28 with Guatemala (mio €)</w:t>
            </w:r>
          </w:p>
        </w:tc>
      </w:tr>
      <w:tr>
        <w:trPr>
          <w:trHeight w:val="255"/>
        </w:trPr>
        <w:tc>
          <w:tcPr>
            <w:tcW w:w="4299"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Guatemala</w:t>
            </w:r>
          </w:p>
        </w:tc>
        <w:tc>
          <w:tcPr>
            <w:tcW w:w="408"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408"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121"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299"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08"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08"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18"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89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0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718</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787</w:t>
            </w:r>
          </w:p>
        </w:tc>
        <w:tc>
          <w:tcPr>
            <w:tcW w:w="41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68</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9,5%</w:t>
            </w:r>
          </w:p>
        </w:tc>
      </w:tr>
      <w:tr>
        <w:trPr>
          <w:trHeight w:val="225"/>
        </w:trPr>
        <w:tc>
          <w:tcPr>
            <w:tcW w:w="389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0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125</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132</w:t>
            </w:r>
          </w:p>
        </w:tc>
        <w:tc>
          <w:tcPr>
            <w:tcW w:w="41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6,0%</w:t>
            </w:r>
          </w:p>
        </w:tc>
      </w:tr>
      <w:tr>
        <w:trPr>
          <w:trHeight w:val="225"/>
        </w:trPr>
        <w:tc>
          <w:tcPr>
            <w:tcW w:w="389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0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-594</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-654</w:t>
            </w:r>
          </w:p>
        </w:tc>
        <w:tc>
          <w:tcPr>
            <w:tcW w:w="41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-61</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891"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0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0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843</w:t>
            </w:r>
          </w:p>
        </w:tc>
        <w:tc>
          <w:tcPr>
            <w:tcW w:w="40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919</w:t>
            </w:r>
          </w:p>
        </w:tc>
        <w:tc>
          <w:tcPr>
            <w:tcW w:w="41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76</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9,0%</w:t>
            </w:r>
          </w:p>
        </w:tc>
      </w:tr>
      <w:tr>
        <w:trPr>
          <w:trHeight w:val="240"/>
        </w:trPr>
        <w:tc>
          <w:tcPr>
            <w:tcW w:w="5115"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418"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6236"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NAMA trade EU28 with Guatemala (mio €)</w:t>
            </w:r>
          </w:p>
        </w:tc>
      </w:tr>
      <w:tr>
        <w:trPr>
          <w:trHeight w:val="225"/>
        </w:trPr>
        <w:tc>
          <w:tcPr>
            <w:tcW w:w="4299"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Guatemala</w:t>
            </w:r>
          </w:p>
        </w:tc>
        <w:tc>
          <w:tcPr>
            <w:tcW w:w="408"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408"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121"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299"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08"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08"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18"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4299"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imports</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316</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194</w:t>
            </w:r>
          </w:p>
        </w:tc>
        <w:tc>
          <w:tcPr>
            <w:tcW w:w="41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-122</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-38,5%</w:t>
            </w:r>
          </w:p>
        </w:tc>
      </w:tr>
      <w:tr>
        <w:trPr>
          <w:trHeight w:val="225"/>
        </w:trPr>
        <w:tc>
          <w:tcPr>
            <w:tcW w:w="4299"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exports</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870</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853</w:t>
            </w:r>
          </w:p>
        </w:tc>
        <w:tc>
          <w:tcPr>
            <w:tcW w:w="41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w:t>
            </w:r>
          </w:p>
        </w:tc>
      </w:tr>
      <w:tr>
        <w:trPr>
          <w:trHeight w:val="225"/>
        </w:trPr>
        <w:tc>
          <w:tcPr>
            <w:tcW w:w="389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0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553</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659</w:t>
            </w:r>
          </w:p>
        </w:tc>
        <w:tc>
          <w:tcPr>
            <w:tcW w:w="41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106</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89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0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1.186</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1.048</w:t>
            </w:r>
          </w:p>
        </w:tc>
        <w:tc>
          <w:tcPr>
            <w:tcW w:w="41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-138</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-11,7%</w:t>
            </w:r>
          </w:p>
        </w:tc>
      </w:tr>
      <w:tr>
        <w:trPr>
          <w:trHeight w:val="240"/>
        </w:trPr>
        <w:tc>
          <w:tcPr>
            <w:tcW w:w="5115"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418" w:type="dxa"/>
            <w:tcBorders>
              <w:top w:val="single" w:sz="4" w:space="0" w:color="auto"/>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5115" w:type="dxa"/>
            <w:gridSpan w:val="4"/>
            <w:tcBorders>
              <w:top w:val="nil"/>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Services trade EU28 with Guatemala (mio €)</w:t>
            </w:r>
          </w:p>
        </w:tc>
        <w:tc>
          <w:tcPr>
            <w:tcW w:w="418" w:type="dxa"/>
            <w:tcBorders>
              <w:top w:val="nil"/>
              <w:left w:val="nil"/>
              <w:bottom w:val="nil"/>
              <w:right w:val="nil"/>
            </w:tcBorders>
            <w:shd w:val="clear" w:color="000000" w:fill="FFFFFF"/>
            <w:noWrap/>
            <w:vAlign w:val="center"/>
            <w:hideMark/>
          </w:tcPr>
          <w:p>
            <w:pPr>
              <w:rPr>
                <w:rFonts w:eastAsia="Times New Roman"/>
                <w:b/>
                <w:bCs/>
                <w:noProof/>
                <w:sz w:val="16"/>
                <w:szCs w:val="16"/>
                <w:lang w:val="en-IE" w:eastAsia="en-IE"/>
              </w:rPr>
            </w:pPr>
            <w:r>
              <w:rPr>
                <w:rFonts w:eastAsia="Times New Roman"/>
                <w:b/>
                <w:bCs/>
                <w:noProof/>
                <w:sz w:val="16"/>
                <w:szCs w:val="16"/>
                <w:lang w:val="en-IE" w:eastAsia="en-IE"/>
              </w:rPr>
              <w:t> </w:t>
            </w:r>
          </w:p>
        </w:tc>
        <w:tc>
          <w:tcPr>
            <w:tcW w:w="703" w:type="dxa"/>
            <w:tcBorders>
              <w:top w:val="nil"/>
              <w:left w:val="nil"/>
              <w:bottom w:val="nil"/>
              <w:right w:val="nil"/>
            </w:tcBorders>
            <w:shd w:val="clear" w:color="000000" w:fill="FFFFFF"/>
            <w:noWrap/>
            <w:vAlign w:val="center"/>
            <w:hideMark/>
          </w:tcPr>
          <w:p>
            <w:pPr>
              <w:rPr>
                <w:rFonts w:eastAsia="Times New Roman"/>
                <w:b/>
                <w:bCs/>
                <w:noProof/>
                <w:sz w:val="16"/>
                <w:szCs w:val="16"/>
                <w:lang w:val="en-IE" w:eastAsia="en-IE"/>
              </w:rPr>
            </w:pPr>
            <w:r>
              <w:rPr>
                <w:rFonts w:eastAsia="Times New Roman"/>
                <w:b/>
                <w:bCs/>
                <w:noProof/>
                <w:sz w:val="16"/>
                <w:szCs w:val="16"/>
                <w:lang w:val="en-IE" w:eastAsia="en-IE"/>
              </w:rPr>
              <w:t> </w:t>
            </w:r>
          </w:p>
        </w:tc>
      </w:tr>
      <w:tr>
        <w:trPr>
          <w:trHeight w:val="225"/>
        </w:trPr>
        <w:tc>
          <w:tcPr>
            <w:tcW w:w="4299"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Guatemala</w:t>
            </w:r>
          </w:p>
        </w:tc>
        <w:tc>
          <w:tcPr>
            <w:tcW w:w="408"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408"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1121"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299"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08"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408"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418"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89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0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249</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306</w:t>
            </w:r>
          </w:p>
        </w:tc>
        <w:tc>
          <w:tcPr>
            <w:tcW w:w="41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57</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23,0%</w:t>
            </w:r>
          </w:p>
        </w:tc>
      </w:tr>
      <w:tr>
        <w:trPr>
          <w:trHeight w:val="225"/>
        </w:trPr>
        <w:tc>
          <w:tcPr>
            <w:tcW w:w="389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0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298</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316</w:t>
            </w:r>
          </w:p>
        </w:tc>
        <w:tc>
          <w:tcPr>
            <w:tcW w:w="41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6,2%</w:t>
            </w:r>
          </w:p>
        </w:tc>
      </w:tr>
      <w:tr>
        <w:trPr>
          <w:trHeight w:val="225"/>
        </w:trPr>
        <w:tc>
          <w:tcPr>
            <w:tcW w:w="389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0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49</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w:t>
            </w:r>
          </w:p>
        </w:tc>
        <w:tc>
          <w:tcPr>
            <w:tcW w:w="41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-39</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891"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08"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0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547</w:t>
            </w:r>
          </w:p>
        </w:tc>
        <w:tc>
          <w:tcPr>
            <w:tcW w:w="40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623</w:t>
            </w:r>
          </w:p>
        </w:tc>
        <w:tc>
          <w:tcPr>
            <w:tcW w:w="41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76</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13,9%</w:t>
            </w:r>
          </w:p>
        </w:tc>
      </w:tr>
      <w:tr>
        <w:trPr>
          <w:trHeight w:val="240"/>
        </w:trPr>
        <w:tc>
          <w:tcPr>
            <w:tcW w:w="5533" w:type="dxa"/>
            <w:gridSpan w:val="5"/>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703"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40"/>
        </w:trPr>
        <w:tc>
          <w:tcPr>
            <w:tcW w:w="6236"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Services trade EU28 with Guatemala (mio €)</w:t>
            </w:r>
          </w:p>
        </w:tc>
      </w:tr>
      <w:tr>
        <w:trPr>
          <w:trHeight w:val="225"/>
        </w:trPr>
        <w:tc>
          <w:tcPr>
            <w:tcW w:w="3891"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08"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408"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408"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418"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703"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389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205</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214</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297</w:t>
            </w:r>
          </w:p>
        </w:tc>
        <w:tc>
          <w:tcPr>
            <w:tcW w:w="41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249</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306</w:t>
            </w:r>
          </w:p>
        </w:tc>
      </w:tr>
      <w:tr>
        <w:trPr>
          <w:trHeight w:val="225"/>
        </w:trPr>
        <w:tc>
          <w:tcPr>
            <w:tcW w:w="389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875</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541</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343</w:t>
            </w:r>
          </w:p>
        </w:tc>
        <w:tc>
          <w:tcPr>
            <w:tcW w:w="41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298</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316</w:t>
            </w:r>
          </w:p>
        </w:tc>
      </w:tr>
      <w:tr>
        <w:trPr>
          <w:trHeight w:val="225"/>
        </w:trPr>
        <w:tc>
          <w:tcPr>
            <w:tcW w:w="389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671</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327</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46</w:t>
            </w:r>
          </w:p>
        </w:tc>
        <w:tc>
          <w:tcPr>
            <w:tcW w:w="41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49</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w:t>
            </w:r>
          </w:p>
        </w:tc>
      </w:tr>
      <w:tr>
        <w:trPr>
          <w:trHeight w:val="225"/>
        </w:trPr>
        <w:tc>
          <w:tcPr>
            <w:tcW w:w="3891"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0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1.080</w:t>
            </w:r>
          </w:p>
        </w:tc>
        <w:tc>
          <w:tcPr>
            <w:tcW w:w="40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755</w:t>
            </w:r>
          </w:p>
        </w:tc>
        <w:tc>
          <w:tcPr>
            <w:tcW w:w="40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640</w:t>
            </w:r>
          </w:p>
        </w:tc>
        <w:tc>
          <w:tcPr>
            <w:tcW w:w="41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547</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623</w:t>
            </w:r>
          </w:p>
        </w:tc>
      </w:tr>
      <w:tr>
        <w:trPr>
          <w:trHeight w:val="225"/>
        </w:trPr>
        <w:tc>
          <w:tcPr>
            <w:tcW w:w="3891"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408"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 </w:t>
            </w:r>
          </w:p>
        </w:tc>
        <w:tc>
          <w:tcPr>
            <w:tcW w:w="40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1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6236"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s-ES" w:eastAsia="en-IE"/>
              </w:rPr>
            </w:pPr>
            <w:r>
              <w:rPr>
                <w:rFonts w:eastAsia="Times New Roman"/>
                <w:b/>
                <w:bCs/>
                <w:noProof/>
                <w:sz w:val="16"/>
                <w:szCs w:val="16"/>
                <w:lang w:val="es-ES" w:eastAsia="en-IE"/>
              </w:rPr>
              <w:t>FDI EU28 with Guatemala (mio €)</w:t>
            </w:r>
          </w:p>
        </w:tc>
      </w:tr>
      <w:tr>
        <w:trPr>
          <w:trHeight w:val="225"/>
        </w:trPr>
        <w:tc>
          <w:tcPr>
            <w:tcW w:w="3891"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val="es-ES" w:eastAsia="en-IE"/>
              </w:rPr>
            </w:pPr>
            <w:r>
              <w:rPr>
                <w:rFonts w:eastAsia="Times New Roman"/>
                <w:noProof/>
                <w:sz w:val="16"/>
                <w:szCs w:val="16"/>
                <w:lang w:val="es-ES" w:eastAsia="en-IE"/>
              </w:rPr>
              <w:t> </w:t>
            </w:r>
          </w:p>
        </w:tc>
        <w:tc>
          <w:tcPr>
            <w:tcW w:w="408"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408"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408"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418"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703"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6236"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Stocks</w:t>
            </w:r>
          </w:p>
        </w:tc>
      </w:tr>
      <w:tr>
        <w:trPr>
          <w:trHeight w:val="225"/>
        </w:trPr>
        <w:tc>
          <w:tcPr>
            <w:tcW w:w="389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153</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4.041</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2.628</w:t>
            </w:r>
          </w:p>
        </w:tc>
        <w:tc>
          <w:tcPr>
            <w:tcW w:w="41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1.374</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2.729</w:t>
            </w:r>
          </w:p>
        </w:tc>
      </w:tr>
      <w:tr>
        <w:trPr>
          <w:trHeight w:val="225"/>
        </w:trPr>
        <w:tc>
          <w:tcPr>
            <w:tcW w:w="389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1.527</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1.870</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3.075</w:t>
            </w:r>
          </w:p>
        </w:tc>
        <w:tc>
          <w:tcPr>
            <w:tcW w:w="41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2.387</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2.615</w:t>
            </w:r>
          </w:p>
        </w:tc>
      </w:tr>
      <w:tr>
        <w:trPr>
          <w:trHeight w:val="225"/>
        </w:trPr>
        <w:tc>
          <w:tcPr>
            <w:tcW w:w="6236"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Flows</w:t>
            </w:r>
          </w:p>
        </w:tc>
      </w:tr>
      <w:tr>
        <w:trPr>
          <w:trHeight w:val="225"/>
        </w:trPr>
        <w:tc>
          <w:tcPr>
            <w:tcW w:w="389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-34</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421</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245</w:t>
            </w:r>
          </w:p>
        </w:tc>
        <w:tc>
          <w:tcPr>
            <w:tcW w:w="41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266</w:t>
            </w:r>
          </w:p>
        </w:tc>
      </w:tr>
      <w:tr>
        <w:trPr>
          <w:trHeight w:val="225"/>
        </w:trPr>
        <w:tc>
          <w:tcPr>
            <w:tcW w:w="389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40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127</w:t>
            </w:r>
          </w:p>
        </w:tc>
        <w:tc>
          <w:tcPr>
            <w:tcW w:w="40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140</w:t>
            </w:r>
          </w:p>
        </w:tc>
        <w:tc>
          <w:tcPr>
            <w:tcW w:w="40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618</w:t>
            </w:r>
          </w:p>
        </w:tc>
        <w:tc>
          <w:tcPr>
            <w:tcW w:w="41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234</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w:t>
            </w:r>
          </w:p>
        </w:tc>
      </w:tr>
      <w:tr>
        <w:trPr>
          <w:trHeight w:val="225"/>
        </w:trPr>
        <w:tc>
          <w:tcPr>
            <w:tcW w:w="3891" w:type="dxa"/>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408"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 </w:t>
            </w:r>
          </w:p>
        </w:tc>
        <w:tc>
          <w:tcPr>
            <w:tcW w:w="40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1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bl>
    <w:p>
      <w:pPr>
        <w:rPr>
          <w:b/>
          <w:noProof/>
        </w:rPr>
      </w:pPr>
    </w:p>
    <w:p>
      <w:pPr>
        <w:rPr>
          <w:b/>
          <w:noProof/>
        </w:rPr>
      </w:pPr>
      <w:r>
        <w:rPr>
          <w:b/>
          <w:noProof/>
        </w:rPr>
        <w:t>Honduras</w:t>
      </w:r>
    </w:p>
    <w:tbl>
      <w:tblPr>
        <w:tblW w:w="6365" w:type="dxa"/>
        <w:tblInd w:w="108" w:type="dxa"/>
        <w:tblLook w:val="04A0" w:firstRow="1" w:lastRow="0" w:firstColumn="1" w:lastColumn="0" w:noHBand="0" w:noVBand="1"/>
      </w:tblPr>
      <w:tblGrid>
        <w:gridCol w:w="3794"/>
        <w:gridCol w:w="630"/>
        <w:gridCol w:w="630"/>
        <w:gridCol w:w="630"/>
        <w:gridCol w:w="630"/>
        <w:gridCol w:w="703"/>
      </w:tblGrid>
      <w:tr>
        <w:trPr>
          <w:trHeight w:val="210"/>
        </w:trPr>
        <w:tc>
          <w:tcPr>
            <w:tcW w:w="6365"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Merchandise trade EU28 2014-2018</w:t>
            </w:r>
          </w:p>
        </w:tc>
      </w:tr>
      <w:tr>
        <w:trPr>
          <w:trHeight w:val="210"/>
        </w:trPr>
        <w:tc>
          <w:tcPr>
            <w:tcW w:w="3794" w:type="dxa"/>
            <w:tcBorders>
              <w:top w:val="single" w:sz="4" w:space="0" w:color="auto"/>
              <w:left w:val="nil"/>
              <w:bottom w:val="single" w:sz="4" w:space="0" w:color="auto"/>
              <w:right w:val="nil"/>
            </w:tcBorders>
            <w:shd w:val="clear" w:color="000000" w:fill="FFFFFF"/>
            <w:noWrap/>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 </w:t>
            </w:r>
          </w:p>
        </w:tc>
        <w:tc>
          <w:tcPr>
            <w:tcW w:w="467"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467"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467"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467"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703"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r>
      <w:tr>
        <w:trPr>
          <w:trHeight w:val="210"/>
        </w:trPr>
        <w:tc>
          <w:tcPr>
            <w:tcW w:w="3794" w:type="dxa"/>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EU28 trade with Honduras (mio €)</w:t>
            </w:r>
          </w:p>
        </w:tc>
        <w:tc>
          <w:tcPr>
            <w:tcW w:w="467"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n-IE" w:eastAsia="en-IE"/>
              </w:rPr>
            </w:pPr>
          </w:p>
        </w:tc>
        <w:tc>
          <w:tcPr>
            <w:tcW w:w="467"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467"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467"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703"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r>
      <w:tr>
        <w:trPr>
          <w:trHeight w:val="210"/>
        </w:trPr>
        <w:tc>
          <w:tcPr>
            <w:tcW w:w="379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841</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1.015</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1.048</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1.263</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1.148</w:t>
            </w:r>
          </w:p>
        </w:tc>
      </w:tr>
      <w:tr>
        <w:trPr>
          <w:trHeight w:val="210"/>
        </w:trPr>
        <w:tc>
          <w:tcPr>
            <w:tcW w:w="379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450</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496</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452</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437</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480</w:t>
            </w:r>
          </w:p>
        </w:tc>
      </w:tr>
      <w:tr>
        <w:trPr>
          <w:trHeight w:val="210"/>
        </w:trPr>
        <w:tc>
          <w:tcPr>
            <w:tcW w:w="379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-391</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-519</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-596</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-826</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-668</w:t>
            </w:r>
          </w:p>
        </w:tc>
      </w:tr>
      <w:tr>
        <w:trPr>
          <w:trHeight w:val="210"/>
        </w:trPr>
        <w:tc>
          <w:tcPr>
            <w:tcW w:w="3794" w:type="dxa"/>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Share Honduras in EU28 trade with Extra-EU28</w:t>
            </w:r>
          </w:p>
        </w:tc>
        <w:tc>
          <w:tcPr>
            <w:tcW w:w="467"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n-IE" w:eastAsia="en-IE"/>
              </w:rPr>
            </w:pPr>
          </w:p>
        </w:tc>
        <w:tc>
          <w:tcPr>
            <w:tcW w:w="467"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467"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467"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703"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r>
      <w:tr>
        <w:trPr>
          <w:trHeight w:val="210"/>
        </w:trPr>
        <w:tc>
          <w:tcPr>
            <w:tcW w:w="379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r>
      <w:tr>
        <w:trPr>
          <w:trHeight w:val="210"/>
        </w:trPr>
        <w:tc>
          <w:tcPr>
            <w:tcW w:w="379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r>
      <w:tr>
        <w:trPr>
          <w:trHeight w:val="210"/>
        </w:trPr>
        <w:tc>
          <w:tcPr>
            <w:tcW w:w="379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r>
      <w:tr>
        <w:trPr>
          <w:trHeight w:val="210"/>
        </w:trPr>
        <w:tc>
          <w:tcPr>
            <w:tcW w:w="6365"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Share EU28 in trade Honduras with world</w:t>
            </w:r>
          </w:p>
        </w:tc>
      </w:tr>
      <w:tr>
        <w:trPr>
          <w:trHeight w:val="210"/>
        </w:trPr>
        <w:tc>
          <w:tcPr>
            <w:tcW w:w="379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6,7%</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7,1%</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6,9%</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5,9%</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6,2%</w:t>
            </w:r>
          </w:p>
        </w:tc>
      </w:tr>
      <w:tr>
        <w:trPr>
          <w:trHeight w:val="210"/>
        </w:trPr>
        <w:tc>
          <w:tcPr>
            <w:tcW w:w="379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21,8%</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23,8%</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25,0%</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33,5%</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29,0%</w:t>
            </w:r>
          </w:p>
        </w:tc>
      </w:tr>
      <w:tr>
        <w:trPr>
          <w:trHeight w:val="210"/>
        </w:trPr>
        <w:tc>
          <w:tcPr>
            <w:tcW w:w="379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11,3%</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12,0%</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12,4%</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14,7%</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12,9%</w:t>
            </w:r>
          </w:p>
        </w:tc>
      </w:tr>
      <w:tr>
        <w:trPr>
          <w:trHeight w:val="225"/>
        </w:trPr>
        <w:tc>
          <w:tcPr>
            <w:tcW w:w="4728" w:type="dxa"/>
            <w:gridSpan w:val="3"/>
            <w:tcBorders>
              <w:top w:val="single" w:sz="4" w:space="0" w:color="auto"/>
              <w:left w:val="nil"/>
              <w:bottom w:val="nil"/>
              <w:right w:val="nil"/>
            </w:tcBorders>
            <w:shd w:val="clear" w:color="000000" w:fill="FFFFFF"/>
            <w:noWrap/>
            <w:vAlign w:val="bottom"/>
            <w:hideMark/>
          </w:tcPr>
          <w:p>
            <w:pPr>
              <w:rPr>
                <w:rFonts w:eastAsia="Times New Roman"/>
                <w:noProof/>
                <w:sz w:val="12"/>
                <w:szCs w:val="12"/>
                <w:lang w:val="en-IE" w:eastAsia="en-IE"/>
              </w:rPr>
            </w:pPr>
            <w:r>
              <w:rPr>
                <w:rFonts w:eastAsia="Times New Roman"/>
                <w:noProof/>
                <w:sz w:val="12"/>
                <w:szCs w:val="12"/>
                <w:lang w:val="en-IE" w:eastAsia="en-IE"/>
              </w:rPr>
              <w:t xml:space="preserve">Source Trade G2 Statistics/ISDB </w:t>
            </w:r>
          </w:p>
        </w:tc>
        <w:tc>
          <w:tcPr>
            <w:tcW w:w="467"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467"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703" w:type="dxa"/>
            <w:tcBorders>
              <w:top w:val="single" w:sz="4" w:space="0" w:color="auto"/>
              <w:left w:val="nil"/>
              <w:bottom w:val="nil"/>
              <w:right w:val="nil"/>
            </w:tcBorders>
            <w:shd w:val="clear" w:color="000000" w:fill="FFFFFF"/>
            <w:noWrap/>
            <w:hideMark/>
          </w:tcPr>
          <w:p>
            <w:pPr>
              <w:jc w:val="right"/>
              <w:rPr>
                <w:rFonts w:eastAsia="Times New Roman"/>
                <w:noProof/>
                <w:sz w:val="12"/>
                <w:szCs w:val="12"/>
                <w:lang w:val="en-IE" w:eastAsia="en-IE"/>
              </w:rPr>
            </w:pPr>
            <w:r>
              <w:rPr>
                <w:rFonts w:eastAsia="Times New Roman"/>
                <w:noProof/>
                <w:sz w:val="12"/>
                <w:szCs w:val="12"/>
                <w:lang w:val="en-IE" w:eastAsia="en-IE"/>
              </w:rPr>
              <w:t>25-mars-19</w:t>
            </w:r>
          </w:p>
        </w:tc>
      </w:tr>
      <w:tr>
        <w:trPr>
          <w:trHeight w:val="210"/>
        </w:trPr>
        <w:tc>
          <w:tcPr>
            <w:tcW w:w="5195" w:type="dxa"/>
            <w:gridSpan w:val="4"/>
            <w:tcBorders>
              <w:top w:val="nil"/>
              <w:left w:val="nil"/>
              <w:bottom w:val="nil"/>
              <w:right w:val="nil"/>
            </w:tcBorders>
            <w:shd w:val="clear" w:color="000000" w:fill="FFFFFF"/>
            <w:noWrap/>
            <w:hideMark/>
          </w:tcPr>
          <w:p>
            <w:pPr>
              <w:rPr>
                <w:rFonts w:eastAsia="Times New Roman"/>
                <w:noProof/>
                <w:color w:val="000000"/>
                <w:sz w:val="12"/>
                <w:szCs w:val="12"/>
                <w:lang w:val="fr-BE" w:eastAsia="en-IE"/>
              </w:rPr>
            </w:pPr>
            <w:r>
              <w:rPr>
                <w:rFonts w:eastAsia="Times New Roman"/>
                <w:noProof/>
                <w:color w:val="000000"/>
                <w:sz w:val="12"/>
                <w:szCs w:val="12"/>
                <w:lang w:val="fr-BE" w:eastAsia="en-IE"/>
              </w:rPr>
              <w:t>Trade EU28: Eurostat COMEXT;  Trade Honduras: IMF Dots</w:t>
            </w:r>
          </w:p>
        </w:tc>
        <w:tc>
          <w:tcPr>
            <w:tcW w:w="467"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fr-BE" w:eastAsia="en-IE"/>
              </w:rPr>
            </w:pPr>
            <w:r>
              <w:rPr>
                <w:rFonts w:eastAsia="Times New Roman"/>
                <w:noProof/>
                <w:color w:val="000000"/>
                <w:sz w:val="16"/>
                <w:szCs w:val="16"/>
                <w:lang w:val="fr-B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fr-BE" w:eastAsia="en-IE"/>
              </w:rPr>
            </w:pPr>
            <w:r>
              <w:rPr>
                <w:rFonts w:eastAsia="Times New Roman"/>
                <w:noProof/>
                <w:color w:val="000000"/>
                <w:sz w:val="16"/>
                <w:szCs w:val="16"/>
                <w:lang w:val="fr-BE" w:eastAsia="en-IE"/>
              </w:rPr>
              <w:t> </w:t>
            </w:r>
          </w:p>
        </w:tc>
      </w:tr>
      <w:tr>
        <w:trPr>
          <w:trHeight w:val="210"/>
        </w:trPr>
        <w:tc>
          <w:tcPr>
            <w:tcW w:w="3794"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fr-BE" w:eastAsia="en-IE"/>
              </w:rPr>
            </w:pPr>
            <w:r>
              <w:rPr>
                <w:rFonts w:eastAsia="Times New Roman"/>
                <w:noProof/>
                <w:color w:val="000000"/>
                <w:sz w:val="16"/>
                <w:szCs w:val="16"/>
                <w:lang w:val="fr-BE" w:eastAsia="en-IE"/>
              </w:rPr>
              <w:t> </w:t>
            </w:r>
          </w:p>
        </w:tc>
        <w:tc>
          <w:tcPr>
            <w:tcW w:w="467"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fr-BE" w:eastAsia="en-IE"/>
              </w:rPr>
            </w:pPr>
            <w:r>
              <w:rPr>
                <w:rFonts w:eastAsia="Times New Roman"/>
                <w:noProof/>
                <w:color w:val="000000"/>
                <w:sz w:val="16"/>
                <w:szCs w:val="16"/>
                <w:lang w:val="fr-BE" w:eastAsia="en-IE"/>
              </w:rPr>
              <w:t> </w:t>
            </w:r>
          </w:p>
        </w:tc>
        <w:tc>
          <w:tcPr>
            <w:tcW w:w="467"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fr-BE" w:eastAsia="en-IE"/>
              </w:rPr>
            </w:pPr>
            <w:r>
              <w:rPr>
                <w:rFonts w:eastAsia="Times New Roman"/>
                <w:noProof/>
                <w:color w:val="000000"/>
                <w:sz w:val="16"/>
                <w:szCs w:val="16"/>
                <w:lang w:val="fr-BE" w:eastAsia="en-IE"/>
              </w:rPr>
              <w:t> </w:t>
            </w:r>
          </w:p>
        </w:tc>
        <w:tc>
          <w:tcPr>
            <w:tcW w:w="467"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fr-BE" w:eastAsia="en-IE"/>
              </w:rPr>
            </w:pPr>
            <w:r>
              <w:rPr>
                <w:rFonts w:eastAsia="Times New Roman"/>
                <w:noProof/>
                <w:color w:val="000000"/>
                <w:sz w:val="16"/>
                <w:szCs w:val="16"/>
                <w:lang w:val="fr-BE" w:eastAsia="en-IE"/>
              </w:rPr>
              <w:t> </w:t>
            </w:r>
          </w:p>
        </w:tc>
        <w:tc>
          <w:tcPr>
            <w:tcW w:w="467"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fr-BE" w:eastAsia="en-IE"/>
              </w:rPr>
            </w:pPr>
            <w:r>
              <w:rPr>
                <w:rFonts w:eastAsia="Times New Roman"/>
                <w:noProof/>
                <w:color w:val="000000"/>
                <w:sz w:val="16"/>
                <w:szCs w:val="16"/>
                <w:lang w:val="fr-B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fr-BE" w:eastAsia="en-IE"/>
              </w:rPr>
            </w:pPr>
            <w:r>
              <w:rPr>
                <w:rFonts w:eastAsia="Times New Roman"/>
                <w:noProof/>
                <w:color w:val="000000"/>
                <w:sz w:val="16"/>
                <w:szCs w:val="16"/>
                <w:lang w:val="fr-BE" w:eastAsia="en-IE"/>
              </w:rPr>
              <w:t> </w:t>
            </w:r>
          </w:p>
        </w:tc>
      </w:tr>
      <w:tr>
        <w:trPr>
          <w:trHeight w:val="225"/>
        </w:trPr>
        <w:tc>
          <w:tcPr>
            <w:tcW w:w="6365"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Total merchandise trade EU28 with Honduras (mio €)</w:t>
            </w:r>
          </w:p>
        </w:tc>
      </w:tr>
      <w:tr>
        <w:trPr>
          <w:trHeight w:val="225"/>
        </w:trPr>
        <w:tc>
          <w:tcPr>
            <w:tcW w:w="4261"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Honduras</w:t>
            </w:r>
          </w:p>
        </w:tc>
        <w:tc>
          <w:tcPr>
            <w:tcW w:w="467"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467"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170"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261"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67"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67"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67"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79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1.263</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1.148</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-115</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-9,1%</w:t>
            </w:r>
          </w:p>
        </w:tc>
      </w:tr>
      <w:tr>
        <w:trPr>
          <w:trHeight w:val="225"/>
        </w:trPr>
        <w:tc>
          <w:tcPr>
            <w:tcW w:w="379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437</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480</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43</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9,8%</w:t>
            </w:r>
          </w:p>
        </w:tc>
      </w:tr>
      <w:tr>
        <w:trPr>
          <w:trHeight w:val="225"/>
        </w:trPr>
        <w:tc>
          <w:tcPr>
            <w:tcW w:w="379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-826</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-668</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158</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794"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67"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1.701</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1.629</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-72</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-4,2%</w:t>
            </w:r>
          </w:p>
        </w:tc>
      </w:tr>
      <w:tr>
        <w:trPr>
          <w:trHeight w:val="240"/>
        </w:trPr>
        <w:tc>
          <w:tcPr>
            <w:tcW w:w="5195"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467"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6365"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Agrifood trade EU28 with Honduras (mio €)</w:t>
            </w:r>
          </w:p>
        </w:tc>
      </w:tr>
      <w:tr>
        <w:trPr>
          <w:trHeight w:val="255"/>
        </w:trPr>
        <w:tc>
          <w:tcPr>
            <w:tcW w:w="4261"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Honduras</w:t>
            </w:r>
          </w:p>
        </w:tc>
        <w:tc>
          <w:tcPr>
            <w:tcW w:w="467"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467"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170"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261"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67"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67"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67"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79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1.049</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947</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-102</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-9,7%</w:t>
            </w:r>
          </w:p>
        </w:tc>
      </w:tr>
      <w:tr>
        <w:trPr>
          <w:trHeight w:val="225"/>
        </w:trPr>
        <w:tc>
          <w:tcPr>
            <w:tcW w:w="379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49</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54</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10,3%</w:t>
            </w:r>
          </w:p>
        </w:tc>
      </w:tr>
      <w:tr>
        <w:trPr>
          <w:trHeight w:val="225"/>
        </w:trPr>
        <w:tc>
          <w:tcPr>
            <w:tcW w:w="379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-1.000</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-893</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107</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794"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1.098</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1.001</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-97</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-8,8%</w:t>
            </w:r>
          </w:p>
        </w:tc>
      </w:tr>
      <w:tr>
        <w:trPr>
          <w:trHeight w:val="240"/>
        </w:trPr>
        <w:tc>
          <w:tcPr>
            <w:tcW w:w="5195"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467"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6365"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s-ES" w:eastAsia="en-IE"/>
              </w:rPr>
            </w:pPr>
            <w:r>
              <w:rPr>
                <w:rFonts w:eastAsia="Times New Roman"/>
                <w:b/>
                <w:bCs/>
                <w:noProof/>
                <w:sz w:val="16"/>
                <w:szCs w:val="16"/>
                <w:lang w:val="es-ES" w:eastAsia="en-IE"/>
              </w:rPr>
              <w:t>NAMA trade EU28 with Honduras (mio €)</w:t>
            </w:r>
          </w:p>
        </w:tc>
      </w:tr>
      <w:tr>
        <w:trPr>
          <w:trHeight w:val="225"/>
        </w:trPr>
        <w:tc>
          <w:tcPr>
            <w:tcW w:w="4261"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Honduras</w:t>
            </w:r>
          </w:p>
        </w:tc>
        <w:tc>
          <w:tcPr>
            <w:tcW w:w="467"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467"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170"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261"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67"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67"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67"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4261"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imports</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214</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201</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-6,1%</w:t>
            </w:r>
          </w:p>
        </w:tc>
      </w:tr>
      <w:tr>
        <w:trPr>
          <w:trHeight w:val="225"/>
        </w:trPr>
        <w:tc>
          <w:tcPr>
            <w:tcW w:w="4261"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exports</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388</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426</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38</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9,8%</w:t>
            </w:r>
          </w:p>
        </w:tc>
      </w:tr>
      <w:tr>
        <w:trPr>
          <w:trHeight w:val="225"/>
        </w:trPr>
        <w:tc>
          <w:tcPr>
            <w:tcW w:w="379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174</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225</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51</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79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603</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627</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4,1%</w:t>
            </w:r>
          </w:p>
        </w:tc>
      </w:tr>
      <w:tr>
        <w:trPr>
          <w:trHeight w:val="240"/>
        </w:trPr>
        <w:tc>
          <w:tcPr>
            <w:tcW w:w="5195"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467" w:type="dxa"/>
            <w:tcBorders>
              <w:top w:val="single" w:sz="4" w:space="0" w:color="auto"/>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5195" w:type="dxa"/>
            <w:gridSpan w:val="4"/>
            <w:tcBorders>
              <w:top w:val="nil"/>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Services trade EU28 with Honduras (mio €)</w:t>
            </w:r>
          </w:p>
        </w:tc>
        <w:tc>
          <w:tcPr>
            <w:tcW w:w="467" w:type="dxa"/>
            <w:tcBorders>
              <w:top w:val="nil"/>
              <w:left w:val="nil"/>
              <w:bottom w:val="nil"/>
              <w:right w:val="nil"/>
            </w:tcBorders>
            <w:shd w:val="clear" w:color="000000" w:fill="FFFFFF"/>
            <w:noWrap/>
            <w:vAlign w:val="center"/>
            <w:hideMark/>
          </w:tcPr>
          <w:p>
            <w:pPr>
              <w:rPr>
                <w:rFonts w:eastAsia="Times New Roman"/>
                <w:b/>
                <w:bCs/>
                <w:noProof/>
                <w:sz w:val="16"/>
                <w:szCs w:val="16"/>
                <w:lang w:val="en-IE" w:eastAsia="en-IE"/>
              </w:rPr>
            </w:pPr>
            <w:r>
              <w:rPr>
                <w:rFonts w:eastAsia="Times New Roman"/>
                <w:b/>
                <w:bCs/>
                <w:noProof/>
                <w:sz w:val="16"/>
                <w:szCs w:val="16"/>
                <w:lang w:val="en-IE" w:eastAsia="en-IE"/>
              </w:rPr>
              <w:t> </w:t>
            </w:r>
          </w:p>
        </w:tc>
        <w:tc>
          <w:tcPr>
            <w:tcW w:w="703" w:type="dxa"/>
            <w:tcBorders>
              <w:top w:val="nil"/>
              <w:left w:val="nil"/>
              <w:bottom w:val="nil"/>
              <w:right w:val="nil"/>
            </w:tcBorders>
            <w:shd w:val="clear" w:color="000000" w:fill="FFFFFF"/>
            <w:noWrap/>
            <w:vAlign w:val="center"/>
            <w:hideMark/>
          </w:tcPr>
          <w:p>
            <w:pPr>
              <w:rPr>
                <w:rFonts w:eastAsia="Times New Roman"/>
                <w:b/>
                <w:bCs/>
                <w:noProof/>
                <w:sz w:val="16"/>
                <w:szCs w:val="16"/>
                <w:lang w:val="en-IE" w:eastAsia="en-IE"/>
              </w:rPr>
            </w:pPr>
            <w:r>
              <w:rPr>
                <w:rFonts w:eastAsia="Times New Roman"/>
                <w:b/>
                <w:bCs/>
                <w:noProof/>
                <w:sz w:val="16"/>
                <w:szCs w:val="16"/>
                <w:lang w:val="en-IE" w:eastAsia="en-IE"/>
              </w:rPr>
              <w:t> </w:t>
            </w:r>
          </w:p>
        </w:tc>
      </w:tr>
      <w:tr>
        <w:trPr>
          <w:trHeight w:val="225"/>
        </w:trPr>
        <w:tc>
          <w:tcPr>
            <w:tcW w:w="4261"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Honduras</w:t>
            </w:r>
          </w:p>
        </w:tc>
        <w:tc>
          <w:tcPr>
            <w:tcW w:w="467"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467"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1170"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261"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67"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467"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467"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79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94</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124</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30</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32,3%</w:t>
            </w:r>
          </w:p>
        </w:tc>
      </w:tr>
      <w:tr>
        <w:trPr>
          <w:trHeight w:val="225"/>
        </w:trPr>
        <w:tc>
          <w:tcPr>
            <w:tcW w:w="379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171</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205</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34</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19,9%</w:t>
            </w:r>
          </w:p>
        </w:tc>
      </w:tr>
      <w:tr>
        <w:trPr>
          <w:trHeight w:val="225"/>
        </w:trPr>
        <w:tc>
          <w:tcPr>
            <w:tcW w:w="379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77</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81</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794"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67"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265</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329</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64</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24,3%</w:t>
            </w:r>
          </w:p>
        </w:tc>
      </w:tr>
      <w:tr>
        <w:trPr>
          <w:trHeight w:val="240"/>
        </w:trPr>
        <w:tc>
          <w:tcPr>
            <w:tcW w:w="5662" w:type="dxa"/>
            <w:gridSpan w:val="5"/>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703"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40"/>
        </w:trPr>
        <w:tc>
          <w:tcPr>
            <w:tcW w:w="6365"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Services trade EU28 with Honduras (mio €)</w:t>
            </w:r>
          </w:p>
        </w:tc>
      </w:tr>
      <w:tr>
        <w:trPr>
          <w:trHeight w:val="225"/>
        </w:trPr>
        <w:tc>
          <w:tcPr>
            <w:tcW w:w="3794"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467"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467"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467"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703"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379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187</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81</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107</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94</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124</w:t>
            </w:r>
          </w:p>
        </w:tc>
      </w:tr>
      <w:tr>
        <w:trPr>
          <w:trHeight w:val="225"/>
        </w:trPr>
        <w:tc>
          <w:tcPr>
            <w:tcW w:w="379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196</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163</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182</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171</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205</w:t>
            </w:r>
          </w:p>
        </w:tc>
      </w:tr>
      <w:tr>
        <w:trPr>
          <w:trHeight w:val="225"/>
        </w:trPr>
        <w:tc>
          <w:tcPr>
            <w:tcW w:w="379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83</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75</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77</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81</w:t>
            </w:r>
          </w:p>
        </w:tc>
      </w:tr>
      <w:tr>
        <w:trPr>
          <w:trHeight w:val="225"/>
        </w:trPr>
        <w:tc>
          <w:tcPr>
            <w:tcW w:w="3794"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383</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244</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289</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265</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329</w:t>
            </w:r>
          </w:p>
        </w:tc>
      </w:tr>
      <w:tr>
        <w:trPr>
          <w:trHeight w:val="225"/>
        </w:trPr>
        <w:tc>
          <w:tcPr>
            <w:tcW w:w="3794"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467"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 </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6365"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s-ES" w:eastAsia="en-IE"/>
              </w:rPr>
            </w:pPr>
            <w:r>
              <w:rPr>
                <w:rFonts w:eastAsia="Times New Roman"/>
                <w:b/>
                <w:bCs/>
                <w:noProof/>
                <w:sz w:val="16"/>
                <w:szCs w:val="16"/>
                <w:lang w:val="es-ES" w:eastAsia="en-IE"/>
              </w:rPr>
              <w:t>FDI EU28 with Honduras (mio €)</w:t>
            </w:r>
          </w:p>
        </w:tc>
      </w:tr>
      <w:tr>
        <w:trPr>
          <w:trHeight w:val="225"/>
        </w:trPr>
        <w:tc>
          <w:tcPr>
            <w:tcW w:w="3794"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val="es-ES" w:eastAsia="en-IE"/>
              </w:rPr>
            </w:pPr>
            <w:r>
              <w:rPr>
                <w:rFonts w:eastAsia="Times New Roman"/>
                <w:noProof/>
                <w:sz w:val="16"/>
                <w:szCs w:val="16"/>
                <w:lang w:val="es-ES" w:eastAsia="en-IE"/>
              </w:rPr>
              <w:t> </w:t>
            </w:r>
          </w:p>
        </w:tc>
        <w:tc>
          <w:tcPr>
            <w:tcW w:w="467"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467"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467"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467"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703"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6365"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Stocks</w:t>
            </w:r>
          </w:p>
        </w:tc>
      </w:tr>
      <w:tr>
        <w:trPr>
          <w:trHeight w:val="225"/>
        </w:trPr>
        <w:tc>
          <w:tcPr>
            <w:tcW w:w="379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93</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32</w:t>
            </w:r>
          </w:p>
        </w:tc>
      </w:tr>
      <w:tr>
        <w:trPr>
          <w:trHeight w:val="225"/>
        </w:trPr>
        <w:tc>
          <w:tcPr>
            <w:tcW w:w="379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372</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473</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532</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480</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384</w:t>
            </w:r>
          </w:p>
        </w:tc>
      </w:tr>
      <w:tr>
        <w:trPr>
          <w:trHeight w:val="225"/>
        </w:trPr>
        <w:tc>
          <w:tcPr>
            <w:tcW w:w="6365"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Flows</w:t>
            </w:r>
          </w:p>
        </w:tc>
      </w:tr>
      <w:tr>
        <w:trPr>
          <w:trHeight w:val="225"/>
        </w:trPr>
        <w:tc>
          <w:tcPr>
            <w:tcW w:w="379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51</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-90</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w:t>
            </w:r>
          </w:p>
        </w:tc>
      </w:tr>
      <w:tr>
        <w:trPr>
          <w:trHeight w:val="225"/>
        </w:trPr>
        <w:tc>
          <w:tcPr>
            <w:tcW w:w="379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145</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41</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-36</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-91</w:t>
            </w:r>
          </w:p>
        </w:tc>
      </w:tr>
      <w:tr>
        <w:trPr>
          <w:trHeight w:val="225"/>
        </w:trPr>
        <w:tc>
          <w:tcPr>
            <w:tcW w:w="3794" w:type="dxa"/>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467"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 </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bl>
    <w:p>
      <w:pPr>
        <w:rPr>
          <w:b/>
          <w:noProof/>
        </w:rPr>
      </w:pPr>
    </w:p>
    <w:p>
      <w:pPr>
        <w:rPr>
          <w:b/>
          <w:noProof/>
        </w:rPr>
      </w:pPr>
      <w:r>
        <w:rPr>
          <w:b/>
          <w:noProof/>
        </w:rPr>
        <w:t>Nicaragua</w:t>
      </w:r>
    </w:p>
    <w:tbl>
      <w:tblPr>
        <w:tblW w:w="6230" w:type="dxa"/>
        <w:tblInd w:w="108" w:type="dxa"/>
        <w:tblLook w:val="04A0" w:firstRow="1" w:lastRow="0" w:firstColumn="1" w:lastColumn="0" w:noHBand="0" w:noVBand="1"/>
      </w:tblPr>
      <w:tblGrid>
        <w:gridCol w:w="3836"/>
        <w:gridCol w:w="550"/>
        <w:gridCol w:w="550"/>
        <w:gridCol w:w="550"/>
        <w:gridCol w:w="630"/>
        <w:gridCol w:w="703"/>
      </w:tblGrid>
      <w:tr>
        <w:trPr>
          <w:trHeight w:val="210"/>
        </w:trPr>
        <w:tc>
          <w:tcPr>
            <w:tcW w:w="6230"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Merchandise trade EU28 2014-2018</w:t>
            </w:r>
          </w:p>
        </w:tc>
      </w:tr>
      <w:tr>
        <w:trPr>
          <w:trHeight w:val="210"/>
        </w:trPr>
        <w:tc>
          <w:tcPr>
            <w:tcW w:w="3836" w:type="dxa"/>
            <w:tcBorders>
              <w:top w:val="single" w:sz="4" w:space="0" w:color="auto"/>
              <w:left w:val="nil"/>
              <w:bottom w:val="single" w:sz="4" w:space="0" w:color="auto"/>
              <w:right w:val="nil"/>
            </w:tcBorders>
            <w:shd w:val="clear" w:color="000000" w:fill="FFFFFF"/>
            <w:noWrap/>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 </w:t>
            </w:r>
          </w:p>
        </w:tc>
        <w:tc>
          <w:tcPr>
            <w:tcW w:w="408"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408"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408"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467"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703"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r>
      <w:tr>
        <w:trPr>
          <w:trHeight w:val="210"/>
        </w:trPr>
        <w:tc>
          <w:tcPr>
            <w:tcW w:w="3836" w:type="dxa"/>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EU28 trade with Nicaragua (mio €)</w:t>
            </w:r>
          </w:p>
        </w:tc>
        <w:tc>
          <w:tcPr>
            <w:tcW w:w="408"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n-IE" w:eastAsia="en-IE"/>
              </w:rPr>
            </w:pPr>
          </w:p>
        </w:tc>
        <w:tc>
          <w:tcPr>
            <w:tcW w:w="408"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408"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467"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703"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r>
      <w:tr>
        <w:trPr>
          <w:trHeight w:val="210"/>
        </w:trPr>
        <w:tc>
          <w:tcPr>
            <w:tcW w:w="383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285</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327</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309</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375</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390</w:t>
            </w:r>
          </w:p>
        </w:tc>
      </w:tr>
      <w:tr>
        <w:trPr>
          <w:trHeight w:val="210"/>
        </w:trPr>
        <w:tc>
          <w:tcPr>
            <w:tcW w:w="383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223</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225</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236</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244</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190</w:t>
            </w:r>
          </w:p>
        </w:tc>
      </w:tr>
      <w:tr>
        <w:trPr>
          <w:trHeight w:val="210"/>
        </w:trPr>
        <w:tc>
          <w:tcPr>
            <w:tcW w:w="383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-62</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-101</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-73</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-130</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-200</w:t>
            </w:r>
          </w:p>
        </w:tc>
      </w:tr>
      <w:tr>
        <w:trPr>
          <w:trHeight w:val="210"/>
        </w:trPr>
        <w:tc>
          <w:tcPr>
            <w:tcW w:w="3836" w:type="dxa"/>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Share Nicaragua in EU28 trade with Extra-EU28</w:t>
            </w:r>
          </w:p>
        </w:tc>
        <w:tc>
          <w:tcPr>
            <w:tcW w:w="408"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n-IE" w:eastAsia="en-IE"/>
              </w:rPr>
            </w:pPr>
          </w:p>
        </w:tc>
        <w:tc>
          <w:tcPr>
            <w:tcW w:w="408"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408"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467"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703"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r>
      <w:tr>
        <w:trPr>
          <w:trHeight w:val="210"/>
        </w:trPr>
        <w:tc>
          <w:tcPr>
            <w:tcW w:w="383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r>
      <w:tr>
        <w:trPr>
          <w:trHeight w:val="210"/>
        </w:trPr>
        <w:tc>
          <w:tcPr>
            <w:tcW w:w="383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r>
      <w:tr>
        <w:trPr>
          <w:trHeight w:val="210"/>
        </w:trPr>
        <w:tc>
          <w:tcPr>
            <w:tcW w:w="383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r>
      <w:tr>
        <w:trPr>
          <w:trHeight w:val="210"/>
        </w:trPr>
        <w:tc>
          <w:tcPr>
            <w:tcW w:w="6230"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Share EU28 in trade Nicaragua with world</w:t>
            </w:r>
          </w:p>
        </w:tc>
      </w:tr>
      <w:tr>
        <w:trPr>
          <w:trHeight w:val="210"/>
        </w:trPr>
        <w:tc>
          <w:tcPr>
            <w:tcW w:w="383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6,1%</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7,6%</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5,3%</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5,4%</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4,6%</w:t>
            </w:r>
          </w:p>
        </w:tc>
      </w:tr>
      <w:tr>
        <w:trPr>
          <w:trHeight w:val="210"/>
        </w:trPr>
        <w:tc>
          <w:tcPr>
            <w:tcW w:w="383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6,5%</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6,5%</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9,1%</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11,6%</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11,7%</w:t>
            </w:r>
          </w:p>
        </w:tc>
      </w:tr>
      <w:tr>
        <w:trPr>
          <w:trHeight w:val="210"/>
        </w:trPr>
        <w:tc>
          <w:tcPr>
            <w:tcW w:w="383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6,3%</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7,1%</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6,4%</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7,2%</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7,0%</w:t>
            </w:r>
          </w:p>
        </w:tc>
      </w:tr>
      <w:tr>
        <w:trPr>
          <w:trHeight w:val="225"/>
        </w:trPr>
        <w:tc>
          <w:tcPr>
            <w:tcW w:w="4652" w:type="dxa"/>
            <w:gridSpan w:val="3"/>
            <w:tcBorders>
              <w:top w:val="single" w:sz="4" w:space="0" w:color="auto"/>
              <w:left w:val="nil"/>
              <w:bottom w:val="nil"/>
              <w:right w:val="nil"/>
            </w:tcBorders>
            <w:shd w:val="clear" w:color="000000" w:fill="FFFFFF"/>
            <w:noWrap/>
            <w:vAlign w:val="bottom"/>
            <w:hideMark/>
          </w:tcPr>
          <w:p>
            <w:pPr>
              <w:rPr>
                <w:rFonts w:eastAsia="Times New Roman"/>
                <w:noProof/>
                <w:sz w:val="12"/>
                <w:szCs w:val="12"/>
                <w:lang w:val="en-IE" w:eastAsia="en-IE"/>
              </w:rPr>
            </w:pPr>
            <w:r>
              <w:rPr>
                <w:rFonts w:eastAsia="Times New Roman"/>
                <w:noProof/>
                <w:sz w:val="12"/>
                <w:szCs w:val="12"/>
                <w:lang w:val="en-IE" w:eastAsia="en-IE"/>
              </w:rPr>
              <w:t xml:space="preserve">Source Trade G2 Statistics/ISDB </w:t>
            </w:r>
          </w:p>
        </w:tc>
        <w:tc>
          <w:tcPr>
            <w:tcW w:w="408"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467"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703" w:type="dxa"/>
            <w:tcBorders>
              <w:top w:val="single" w:sz="4" w:space="0" w:color="auto"/>
              <w:left w:val="nil"/>
              <w:bottom w:val="nil"/>
              <w:right w:val="nil"/>
            </w:tcBorders>
            <w:shd w:val="clear" w:color="000000" w:fill="FFFFFF"/>
            <w:noWrap/>
            <w:hideMark/>
          </w:tcPr>
          <w:p>
            <w:pPr>
              <w:jc w:val="right"/>
              <w:rPr>
                <w:rFonts w:eastAsia="Times New Roman"/>
                <w:noProof/>
                <w:sz w:val="12"/>
                <w:szCs w:val="12"/>
                <w:lang w:val="en-IE" w:eastAsia="en-IE"/>
              </w:rPr>
            </w:pPr>
            <w:r>
              <w:rPr>
                <w:rFonts w:eastAsia="Times New Roman"/>
                <w:noProof/>
                <w:sz w:val="12"/>
                <w:szCs w:val="12"/>
                <w:lang w:val="en-IE" w:eastAsia="en-IE"/>
              </w:rPr>
              <w:t>25-mars-19</w:t>
            </w:r>
          </w:p>
        </w:tc>
      </w:tr>
      <w:tr>
        <w:trPr>
          <w:trHeight w:val="210"/>
        </w:trPr>
        <w:tc>
          <w:tcPr>
            <w:tcW w:w="5060" w:type="dxa"/>
            <w:gridSpan w:val="4"/>
            <w:tcBorders>
              <w:top w:val="nil"/>
              <w:left w:val="nil"/>
              <w:bottom w:val="nil"/>
              <w:right w:val="nil"/>
            </w:tcBorders>
            <w:shd w:val="clear" w:color="000000" w:fill="FFFFFF"/>
            <w:noWrap/>
            <w:hideMark/>
          </w:tcPr>
          <w:p>
            <w:pPr>
              <w:rPr>
                <w:rFonts w:eastAsia="Times New Roman"/>
                <w:noProof/>
                <w:color w:val="000000"/>
                <w:sz w:val="12"/>
                <w:szCs w:val="12"/>
                <w:lang w:val="en-IE" w:eastAsia="en-IE"/>
              </w:rPr>
            </w:pPr>
            <w:r>
              <w:rPr>
                <w:rFonts w:eastAsia="Times New Roman"/>
                <w:noProof/>
                <w:color w:val="000000"/>
                <w:sz w:val="12"/>
                <w:szCs w:val="12"/>
                <w:lang w:val="en-IE" w:eastAsia="en-IE"/>
              </w:rPr>
              <w:t>Trade EU28: Eurostat COMEXT;  Trade Nicaragua: IMF Dots</w:t>
            </w:r>
          </w:p>
        </w:tc>
        <w:tc>
          <w:tcPr>
            <w:tcW w:w="467"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10"/>
        </w:trPr>
        <w:tc>
          <w:tcPr>
            <w:tcW w:w="383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408"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408"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408"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467"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25"/>
        </w:trPr>
        <w:tc>
          <w:tcPr>
            <w:tcW w:w="6230"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Total merchandise trade EU28 with Nicaragua (mio €)</w:t>
            </w:r>
          </w:p>
        </w:tc>
      </w:tr>
      <w:tr>
        <w:trPr>
          <w:trHeight w:val="225"/>
        </w:trPr>
        <w:tc>
          <w:tcPr>
            <w:tcW w:w="4244"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Nicaragua</w:t>
            </w:r>
          </w:p>
        </w:tc>
        <w:tc>
          <w:tcPr>
            <w:tcW w:w="408"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408"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170"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244"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08"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08"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67"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83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0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375</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390</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4,0%</w:t>
            </w:r>
          </w:p>
        </w:tc>
      </w:tr>
      <w:tr>
        <w:trPr>
          <w:trHeight w:val="225"/>
        </w:trPr>
        <w:tc>
          <w:tcPr>
            <w:tcW w:w="383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0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244</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190</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-54</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-22,1%</w:t>
            </w:r>
          </w:p>
        </w:tc>
      </w:tr>
      <w:tr>
        <w:trPr>
          <w:trHeight w:val="225"/>
        </w:trPr>
        <w:tc>
          <w:tcPr>
            <w:tcW w:w="383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0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-130</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-200</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-69</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83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08"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0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619</w:t>
            </w:r>
          </w:p>
        </w:tc>
        <w:tc>
          <w:tcPr>
            <w:tcW w:w="40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580</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-39</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-6,3%</w:t>
            </w:r>
          </w:p>
        </w:tc>
      </w:tr>
      <w:tr>
        <w:trPr>
          <w:trHeight w:val="240"/>
        </w:trPr>
        <w:tc>
          <w:tcPr>
            <w:tcW w:w="5060"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467"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6230"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Agrifood trade EU28 with Nicaragua (mio €)</w:t>
            </w:r>
          </w:p>
        </w:tc>
      </w:tr>
      <w:tr>
        <w:trPr>
          <w:trHeight w:val="255"/>
        </w:trPr>
        <w:tc>
          <w:tcPr>
            <w:tcW w:w="4244"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Nicaragua</w:t>
            </w:r>
          </w:p>
        </w:tc>
        <w:tc>
          <w:tcPr>
            <w:tcW w:w="408"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408"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170"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244"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08"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08"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67"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83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0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250</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260</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4,2%</w:t>
            </w:r>
          </w:p>
        </w:tc>
      </w:tr>
      <w:tr>
        <w:trPr>
          <w:trHeight w:val="225"/>
        </w:trPr>
        <w:tc>
          <w:tcPr>
            <w:tcW w:w="383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0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w:t>
            </w:r>
          </w:p>
        </w:tc>
      </w:tr>
      <w:tr>
        <w:trPr>
          <w:trHeight w:val="225"/>
        </w:trPr>
        <w:tc>
          <w:tcPr>
            <w:tcW w:w="383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0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-226</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-236</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83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0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0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274</w:t>
            </w:r>
          </w:p>
        </w:tc>
        <w:tc>
          <w:tcPr>
            <w:tcW w:w="40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285</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3,9%</w:t>
            </w:r>
          </w:p>
        </w:tc>
      </w:tr>
      <w:tr>
        <w:trPr>
          <w:trHeight w:val="240"/>
        </w:trPr>
        <w:tc>
          <w:tcPr>
            <w:tcW w:w="5060"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467"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6230"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s-ES" w:eastAsia="en-IE"/>
              </w:rPr>
            </w:pPr>
            <w:r>
              <w:rPr>
                <w:rFonts w:eastAsia="Times New Roman"/>
                <w:b/>
                <w:bCs/>
                <w:noProof/>
                <w:sz w:val="16"/>
                <w:szCs w:val="16"/>
                <w:lang w:val="es-ES" w:eastAsia="en-IE"/>
              </w:rPr>
              <w:t>NAMA trade EU28 with Nicaragua (mio €)</w:t>
            </w:r>
          </w:p>
        </w:tc>
      </w:tr>
      <w:tr>
        <w:trPr>
          <w:trHeight w:val="225"/>
        </w:trPr>
        <w:tc>
          <w:tcPr>
            <w:tcW w:w="4244"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Nicaragua</w:t>
            </w:r>
          </w:p>
        </w:tc>
        <w:tc>
          <w:tcPr>
            <w:tcW w:w="408"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408"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170"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244"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08"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08"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67"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4244"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imports</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125</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129</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3,7%</w:t>
            </w:r>
          </w:p>
        </w:tc>
      </w:tr>
      <w:tr>
        <w:trPr>
          <w:trHeight w:val="225"/>
        </w:trPr>
        <w:tc>
          <w:tcPr>
            <w:tcW w:w="4244"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exports</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220</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166</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-54</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-24,7%</w:t>
            </w:r>
          </w:p>
        </w:tc>
      </w:tr>
      <w:tr>
        <w:trPr>
          <w:trHeight w:val="225"/>
        </w:trPr>
        <w:tc>
          <w:tcPr>
            <w:tcW w:w="383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0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95</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36</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-59</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83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0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345</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295</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-50</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-14,4%</w:t>
            </w:r>
          </w:p>
        </w:tc>
      </w:tr>
      <w:tr>
        <w:trPr>
          <w:trHeight w:val="240"/>
        </w:trPr>
        <w:tc>
          <w:tcPr>
            <w:tcW w:w="5060"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467" w:type="dxa"/>
            <w:tcBorders>
              <w:top w:val="single" w:sz="4" w:space="0" w:color="auto"/>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5060" w:type="dxa"/>
            <w:gridSpan w:val="4"/>
            <w:tcBorders>
              <w:top w:val="nil"/>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s-ES" w:eastAsia="en-IE"/>
              </w:rPr>
            </w:pPr>
            <w:r>
              <w:rPr>
                <w:rFonts w:eastAsia="Times New Roman"/>
                <w:b/>
                <w:bCs/>
                <w:noProof/>
                <w:sz w:val="16"/>
                <w:szCs w:val="16"/>
                <w:lang w:val="es-ES" w:eastAsia="en-IE"/>
              </w:rPr>
              <w:t>Services trade EU28 with Nicaragua (mio €)</w:t>
            </w:r>
          </w:p>
        </w:tc>
        <w:tc>
          <w:tcPr>
            <w:tcW w:w="467" w:type="dxa"/>
            <w:tcBorders>
              <w:top w:val="nil"/>
              <w:left w:val="nil"/>
              <w:bottom w:val="nil"/>
              <w:right w:val="nil"/>
            </w:tcBorders>
            <w:shd w:val="clear" w:color="000000" w:fill="FFFFFF"/>
            <w:noWrap/>
            <w:vAlign w:val="center"/>
            <w:hideMark/>
          </w:tcPr>
          <w:p>
            <w:pPr>
              <w:rPr>
                <w:rFonts w:eastAsia="Times New Roman"/>
                <w:b/>
                <w:bCs/>
                <w:noProof/>
                <w:sz w:val="16"/>
                <w:szCs w:val="16"/>
                <w:lang w:val="es-ES" w:eastAsia="en-IE"/>
              </w:rPr>
            </w:pPr>
            <w:r>
              <w:rPr>
                <w:rFonts w:eastAsia="Times New Roman"/>
                <w:b/>
                <w:bCs/>
                <w:noProof/>
                <w:sz w:val="16"/>
                <w:szCs w:val="16"/>
                <w:lang w:val="es-ES" w:eastAsia="en-IE"/>
              </w:rPr>
              <w:t> </w:t>
            </w:r>
          </w:p>
        </w:tc>
        <w:tc>
          <w:tcPr>
            <w:tcW w:w="703" w:type="dxa"/>
            <w:tcBorders>
              <w:top w:val="nil"/>
              <w:left w:val="nil"/>
              <w:bottom w:val="nil"/>
              <w:right w:val="nil"/>
            </w:tcBorders>
            <w:shd w:val="clear" w:color="000000" w:fill="FFFFFF"/>
            <w:noWrap/>
            <w:vAlign w:val="center"/>
            <w:hideMark/>
          </w:tcPr>
          <w:p>
            <w:pPr>
              <w:rPr>
                <w:rFonts w:eastAsia="Times New Roman"/>
                <w:b/>
                <w:bCs/>
                <w:noProof/>
                <w:sz w:val="16"/>
                <w:szCs w:val="16"/>
                <w:lang w:val="es-ES" w:eastAsia="en-IE"/>
              </w:rPr>
            </w:pPr>
            <w:r>
              <w:rPr>
                <w:rFonts w:eastAsia="Times New Roman"/>
                <w:b/>
                <w:bCs/>
                <w:noProof/>
                <w:sz w:val="16"/>
                <w:szCs w:val="16"/>
                <w:lang w:val="es-ES" w:eastAsia="en-IE"/>
              </w:rPr>
              <w:t> </w:t>
            </w:r>
          </w:p>
        </w:tc>
      </w:tr>
      <w:tr>
        <w:trPr>
          <w:trHeight w:val="225"/>
        </w:trPr>
        <w:tc>
          <w:tcPr>
            <w:tcW w:w="4244"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Nicaragua</w:t>
            </w:r>
          </w:p>
        </w:tc>
        <w:tc>
          <w:tcPr>
            <w:tcW w:w="408"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408"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1170"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244"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08"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408"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467"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83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0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69</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96</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38,2%</w:t>
            </w:r>
          </w:p>
        </w:tc>
      </w:tr>
      <w:tr>
        <w:trPr>
          <w:trHeight w:val="225"/>
        </w:trPr>
        <w:tc>
          <w:tcPr>
            <w:tcW w:w="383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0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176</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178</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w:t>
            </w:r>
          </w:p>
        </w:tc>
      </w:tr>
      <w:tr>
        <w:trPr>
          <w:trHeight w:val="225"/>
        </w:trPr>
        <w:tc>
          <w:tcPr>
            <w:tcW w:w="383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0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107</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83</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83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08"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0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245</w:t>
            </w:r>
          </w:p>
        </w:tc>
        <w:tc>
          <w:tcPr>
            <w:tcW w:w="40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274</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28</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11,6%</w:t>
            </w:r>
          </w:p>
        </w:tc>
      </w:tr>
      <w:tr>
        <w:trPr>
          <w:trHeight w:val="240"/>
        </w:trPr>
        <w:tc>
          <w:tcPr>
            <w:tcW w:w="5527" w:type="dxa"/>
            <w:gridSpan w:val="5"/>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703"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40"/>
        </w:trPr>
        <w:tc>
          <w:tcPr>
            <w:tcW w:w="6230"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s-ES" w:eastAsia="en-IE"/>
              </w:rPr>
            </w:pPr>
            <w:r>
              <w:rPr>
                <w:rFonts w:eastAsia="Times New Roman"/>
                <w:b/>
                <w:bCs/>
                <w:noProof/>
                <w:sz w:val="16"/>
                <w:szCs w:val="16"/>
                <w:lang w:val="es-ES" w:eastAsia="en-IE"/>
              </w:rPr>
              <w:t>Services trade EU28 with Nicaragua (mio €)</w:t>
            </w:r>
          </w:p>
        </w:tc>
      </w:tr>
      <w:tr>
        <w:trPr>
          <w:trHeight w:val="225"/>
        </w:trPr>
        <w:tc>
          <w:tcPr>
            <w:tcW w:w="3836"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val="es-ES" w:eastAsia="en-IE"/>
              </w:rPr>
            </w:pPr>
            <w:r>
              <w:rPr>
                <w:rFonts w:eastAsia="Times New Roman"/>
                <w:noProof/>
                <w:sz w:val="16"/>
                <w:szCs w:val="16"/>
                <w:lang w:val="es-ES" w:eastAsia="en-IE"/>
              </w:rPr>
              <w:t> </w:t>
            </w:r>
          </w:p>
        </w:tc>
        <w:tc>
          <w:tcPr>
            <w:tcW w:w="408"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408"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408"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467"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703"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383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47</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90</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89</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69</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96</w:t>
            </w:r>
          </w:p>
        </w:tc>
      </w:tr>
      <w:tr>
        <w:trPr>
          <w:trHeight w:val="225"/>
        </w:trPr>
        <w:tc>
          <w:tcPr>
            <w:tcW w:w="383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206</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126</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164</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176</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178</w:t>
            </w:r>
          </w:p>
        </w:tc>
      </w:tr>
      <w:tr>
        <w:trPr>
          <w:trHeight w:val="225"/>
        </w:trPr>
        <w:tc>
          <w:tcPr>
            <w:tcW w:w="383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159</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36</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75</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107</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83</w:t>
            </w:r>
          </w:p>
        </w:tc>
      </w:tr>
      <w:tr>
        <w:trPr>
          <w:trHeight w:val="225"/>
        </w:trPr>
        <w:tc>
          <w:tcPr>
            <w:tcW w:w="383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0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253</w:t>
            </w:r>
          </w:p>
        </w:tc>
        <w:tc>
          <w:tcPr>
            <w:tcW w:w="40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217</w:t>
            </w:r>
          </w:p>
        </w:tc>
        <w:tc>
          <w:tcPr>
            <w:tcW w:w="40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252</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245</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274</w:t>
            </w:r>
          </w:p>
        </w:tc>
      </w:tr>
      <w:tr>
        <w:trPr>
          <w:trHeight w:val="225"/>
        </w:trPr>
        <w:tc>
          <w:tcPr>
            <w:tcW w:w="3836"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408"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 </w:t>
            </w:r>
          </w:p>
        </w:tc>
        <w:tc>
          <w:tcPr>
            <w:tcW w:w="40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6230"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s-ES" w:eastAsia="en-IE"/>
              </w:rPr>
            </w:pPr>
            <w:r>
              <w:rPr>
                <w:rFonts w:eastAsia="Times New Roman"/>
                <w:b/>
                <w:bCs/>
                <w:noProof/>
                <w:sz w:val="16"/>
                <w:szCs w:val="16"/>
                <w:lang w:val="es-ES" w:eastAsia="en-IE"/>
              </w:rPr>
              <w:t>FDI EU28 with Nicaragua (mio €)</w:t>
            </w:r>
          </w:p>
        </w:tc>
      </w:tr>
      <w:tr>
        <w:trPr>
          <w:trHeight w:val="225"/>
        </w:trPr>
        <w:tc>
          <w:tcPr>
            <w:tcW w:w="3836"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val="es-ES" w:eastAsia="en-IE"/>
              </w:rPr>
            </w:pPr>
            <w:r>
              <w:rPr>
                <w:rFonts w:eastAsia="Times New Roman"/>
                <w:noProof/>
                <w:sz w:val="16"/>
                <w:szCs w:val="16"/>
                <w:lang w:val="es-ES" w:eastAsia="en-IE"/>
              </w:rPr>
              <w:t> </w:t>
            </w:r>
          </w:p>
        </w:tc>
        <w:tc>
          <w:tcPr>
            <w:tcW w:w="408"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408"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408"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467"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703"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6230"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Stocks</w:t>
            </w:r>
          </w:p>
        </w:tc>
      </w:tr>
      <w:tr>
        <w:trPr>
          <w:trHeight w:val="225"/>
        </w:trPr>
        <w:tc>
          <w:tcPr>
            <w:tcW w:w="383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57</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62</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57</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95</w:t>
            </w:r>
          </w:p>
        </w:tc>
      </w:tr>
      <w:tr>
        <w:trPr>
          <w:trHeight w:val="225"/>
        </w:trPr>
        <w:tc>
          <w:tcPr>
            <w:tcW w:w="383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874</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296</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419</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345</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428</w:t>
            </w:r>
          </w:p>
        </w:tc>
      </w:tr>
      <w:tr>
        <w:trPr>
          <w:trHeight w:val="225"/>
        </w:trPr>
        <w:tc>
          <w:tcPr>
            <w:tcW w:w="6230"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Flows</w:t>
            </w:r>
          </w:p>
        </w:tc>
      </w:tr>
      <w:tr>
        <w:trPr>
          <w:trHeight w:val="225"/>
        </w:trPr>
        <w:tc>
          <w:tcPr>
            <w:tcW w:w="383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w:t>
            </w:r>
          </w:p>
        </w:tc>
        <w:tc>
          <w:tcPr>
            <w:tcW w:w="40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120</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41</w:t>
            </w:r>
          </w:p>
        </w:tc>
      </w:tr>
      <w:tr>
        <w:trPr>
          <w:trHeight w:val="225"/>
        </w:trPr>
        <w:tc>
          <w:tcPr>
            <w:tcW w:w="383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40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656</w:t>
            </w:r>
          </w:p>
        </w:tc>
        <w:tc>
          <w:tcPr>
            <w:tcW w:w="40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-572</w:t>
            </w:r>
          </w:p>
        </w:tc>
        <w:tc>
          <w:tcPr>
            <w:tcW w:w="40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48</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35</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145</w:t>
            </w:r>
          </w:p>
        </w:tc>
      </w:tr>
      <w:tr>
        <w:trPr>
          <w:trHeight w:val="225"/>
        </w:trPr>
        <w:tc>
          <w:tcPr>
            <w:tcW w:w="3836" w:type="dxa"/>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408"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 </w:t>
            </w:r>
          </w:p>
        </w:tc>
        <w:tc>
          <w:tcPr>
            <w:tcW w:w="40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bl>
    <w:p>
      <w:pPr>
        <w:rPr>
          <w:b/>
          <w:noProof/>
        </w:rPr>
      </w:pPr>
    </w:p>
    <w:p>
      <w:pPr>
        <w:rPr>
          <w:noProof/>
        </w:rPr>
      </w:pPr>
      <w:r>
        <w:rPr>
          <w:b/>
          <w:noProof/>
        </w:rPr>
        <w:t>Panama</w:t>
      </w:r>
    </w:p>
    <w:tbl>
      <w:tblPr>
        <w:tblW w:w="6330" w:type="dxa"/>
        <w:tblInd w:w="108" w:type="dxa"/>
        <w:tblLook w:val="04A0" w:firstRow="1" w:lastRow="0" w:firstColumn="1" w:lastColumn="0" w:noHBand="0" w:noVBand="1"/>
      </w:tblPr>
      <w:tblGrid>
        <w:gridCol w:w="3667"/>
        <w:gridCol w:w="656"/>
        <w:gridCol w:w="656"/>
        <w:gridCol w:w="656"/>
        <w:gridCol w:w="656"/>
        <w:gridCol w:w="703"/>
      </w:tblGrid>
      <w:tr>
        <w:trPr>
          <w:trHeight w:val="210"/>
        </w:trPr>
        <w:tc>
          <w:tcPr>
            <w:tcW w:w="6330"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Merchandise trade EU28 2014-2018</w:t>
            </w:r>
          </w:p>
        </w:tc>
      </w:tr>
      <w:tr>
        <w:trPr>
          <w:trHeight w:val="210"/>
        </w:trPr>
        <w:tc>
          <w:tcPr>
            <w:tcW w:w="3667" w:type="dxa"/>
            <w:tcBorders>
              <w:top w:val="single" w:sz="4" w:space="0" w:color="auto"/>
              <w:left w:val="nil"/>
              <w:bottom w:val="single" w:sz="4" w:space="0" w:color="auto"/>
              <w:right w:val="nil"/>
            </w:tcBorders>
            <w:shd w:val="clear" w:color="000000" w:fill="FFFFFF"/>
            <w:noWrap/>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 </w:t>
            </w:r>
          </w:p>
        </w:tc>
        <w:tc>
          <w:tcPr>
            <w:tcW w:w="490"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490"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490"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490"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703"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r>
      <w:tr>
        <w:trPr>
          <w:trHeight w:val="210"/>
        </w:trPr>
        <w:tc>
          <w:tcPr>
            <w:tcW w:w="3667" w:type="dxa"/>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EU28 trade with Panama (mio €)</w:t>
            </w:r>
          </w:p>
        </w:tc>
        <w:tc>
          <w:tcPr>
            <w:tcW w:w="490"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n-IE" w:eastAsia="en-IE"/>
              </w:rPr>
            </w:pPr>
          </w:p>
        </w:tc>
        <w:tc>
          <w:tcPr>
            <w:tcW w:w="490"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490"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490"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703"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r>
      <w:tr>
        <w:trPr>
          <w:trHeight w:val="210"/>
        </w:trPr>
        <w:tc>
          <w:tcPr>
            <w:tcW w:w="36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455</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564</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590</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528</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729</w:t>
            </w:r>
          </w:p>
        </w:tc>
      </w:tr>
      <w:tr>
        <w:trPr>
          <w:trHeight w:val="210"/>
        </w:trPr>
        <w:tc>
          <w:tcPr>
            <w:tcW w:w="36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2.327</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2.521</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2.176</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2.194</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2.527</w:t>
            </w:r>
          </w:p>
        </w:tc>
      </w:tr>
      <w:tr>
        <w:trPr>
          <w:trHeight w:val="210"/>
        </w:trPr>
        <w:tc>
          <w:tcPr>
            <w:tcW w:w="36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1.872</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1.956</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1.586</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1.666</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1.799</w:t>
            </w:r>
          </w:p>
        </w:tc>
      </w:tr>
      <w:tr>
        <w:trPr>
          <w:trHeight w:val="210"/>
        </w:trPr>
        <w:tc>
          <w:tcPr>
            <w:tcW w:w="3667" w:type="dxa"/>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Share Panama in EU28 trade with Extra-EU28</w:t>
            </w:r>
          </w:p>
        </w:tc>
        <w:tc>
          <w:tcPr>
            <w:tcW w:w="490"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n-IE" w:eastAsia="en-IE"/>
              </w:rPr>
            </w:pPr>
          </w:p>
        </w:tc>
        <w:tc>
          <w:tcPr>
            <w:tcW w:w="490"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490"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490"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703"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r>
      <w:tr>
        <w:trPr>
          <w:trHeight w:val="210"/>
        </w:trPr>
        <w:tc>
          <w:tcPr>
            <w:tcW w:w="36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r>
      <w:tr>
        <w:trPr>
          <w:trHeight w:val="210"/>
        </w:trPr>
        <w:tc>
          <w:tcPr>
            <w:tcW w:w="36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r>
      <w:tr>
        <w:trPr>
          <w:trHeight w:val="210"/>
        </w:trPr>
        <w:tc>
          <w:tcPr>
            <w:tcW w:w="36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r>
      <w:tr>
        <w:trPr>
          <w:trHeight w:val="210"/>
        </w:trPr>
        <w:tc>
          <w:tcPr>
            <w:tcW w:w="6330"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Share EU28 in trade Panama with world</w:t>
            </w:r>
          </w:p>
        </w:tc>
      </w:tr>
      <w:tr>
        <w:trPr>
          <w:trHeight w:val="210"/>
        </w:trPr>
        <w:tc>
          <w:tcPr>
            <w:tcW w:w="36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11,4%</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11,7%</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11,0%</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10,6%</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10,0%</w:t>
            </w:r>
          </w:p>
        </w:tc>
      </w:tr>
      <w:tr>
        <w:trPr>
          <w:trHeight w:val="210"/>
        </w:trPr>
        <w:tc>
          <w:tcPr>
            <w:tcW w:w="36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26,1%</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27,5%</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29,5%</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27,7%</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29,4%</w:t>
            </w:r>
          </w:p>
        </w:tc>
      </w:tr>
      <w:tr>
        <w:trPr>
          <w:trHeight w:val="210"/>
        </w:trPr>
        <w:tc>
          <w:tcPr>
            <w:tcW w:w="36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12,3%</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12,6%</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12,0%</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11,4%</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11,0%</w:t>
            </w:r>
          </w:p>
        </w:tc>
      </w:tr>
      <w:tr>
        <w:trPr>
          <w:trHeight w:val="225"/>
        </w:trPr>
        <w:tc>
          <w:tcPr>
            <w:tcW w:w="4647" w:type="dxa"/>
            <w:gridSpan w:val="3"/>
            <w:tcBorders>
              <w:top w:val="single" w:sz="4" w:space="0" w:color="auto"/>
              <w:left w:val="nil"/>
              <w:bottom w:val="nil"/>
              <w:right w:val="nil"/>
            </w:tcBorders>
            <w:shd w:val="clear" w:color="000000" w:fill="FFFFFF"/>
            <w:noWrap/>
            <w:vAlign w:val="bottom"/>
            <w:hideMark/>
          </w:tcPr>
          <w:p>
            <w:pPr>
              <w:rPr>
                <w:rFonts w:eastAsia="Times New Roman"/>
                <w:noProof/>
                <w:sz w:val="12"/>
                <w:szCs w:val="12"/>
                <w:lang w:val="en-IE" w:eastAsia="en-IE"/>
              </w:rPr>
            </w:pPr>
            <w:r>
              <w:rPr>
                <w:rFonts w:eastAsia="Times New Roman"/>
                <w:noProof/>
                <w:sz w:val="12"/>
                <w:szCs w:val="12"/>
                <w:lang w:val="en-IE" w:eastAsia="en-IE"/>
              </w:rPr>
              <w:t xml:space="preserve">Source Trade G2 Statistics/ISDB </w:t>
            </w:r>
          </w:p>
        </w:tc>
        <w:tc>
          <w:tcPr>
            <w:tcW w:w="490"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490"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703" w:type="dxa"/>
            <w:tcBorders>
              <w:top w:val="single" w:sz="4" w:space="0" w:color="auto"/>
              <w:left w:val="nil"/>
              <w:bottom w:val="nil"/>
              <w:right w:val="nil"/>
            </w:tcBorders>
            <w:shd w:val="clear" w:color="000000" w:fill="FFFFFF"/>
            <w:noWrap/>
            <w:hideMark/>
          </w:tcPr>
          <w:p>
            <w:pPr>
              <w:jc w:val="right"/>
              <w:rPr>
                <w:rFonts w:eastAsia="Times New Roman"/>
                <w:noProof/>
                <w:sz w:val="12"/>
                <w:szCs w:val="12"/>
                <w:lang w:val="en-IE" w:eastAsia="en-IE"/>
              </w:rPr>
            </w:pPr>
            <w:r>
              <w:rPr>
                <w:rFonts w:eastAsia="Times New Roman"/>
                <w:noProof/>
                <w:sz w:val="12"/>
                <w:szCs w:val="12"/>
                <w:lang w:val="en-IE" w:eastAsia="en-IE"/>
              </w:rPr>
              <w:t>25-mars-19</w:t>
            </w:r>
          </w:p>
        </w:tc>
      </w:tr>
      <w:tr>
        <w:trPr>
          <w:trHeight w:val="210"/>
        </w:trPr>
        <w:tc>
          <w:tcPr>
            <w:tcW w:w="5137" w:type="dxa"/>
            <w:gridSpan w:val="4"/>
            <w:tcBorders>
              <w:top w:val="nil"/>
              <w:left w:val="nil"/>
              <w:bottom w:val="nil"/>
              <w:right w:val="nil"/>
            </w:tcBorders>
            <w:shd w:val="clear" w:color="000000" w:fill="FFFFFF"/>
            <w:noWrap/>
            <w:hideMark/>
          </w:tcPr>
          <w:p>
            <w:pPr>
              <w:rPr>
                <w:rFonts w:eastAsia="Times New Roman"/>
                <w:noProof/>
                <w:color w:val="000000"/>
                <w:sz w:val="12"/>
                <w:szCs w:val="12"/>
                <w:lang w:val="en-IE" w:eastAsia="en-IE"/>
              </w:rPr>
            </w:pPr>
            <w:r>
              <w:rPr>
                <w:rFonts w:eastAsia="Times New Roman"/>
                <w:noProof/>
                <w:color w:val="000000"/>
                <w:sz w:val="12"/>
                <w:szCs w:val="12"/>
                <w:lang w:val="en-IE" w:eastAsia="en-IE"/>
              </w:rPr>
              <w:t>Trade EU28: Eurostat COMEXT;  Trade Panama: IMF Dots</w:t>
            </w:r>
          </w:p>
        </w:tc>
        <w:tc>
          <w:tcPr>
            <w:tcW w:w="490"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10"/>
        </w:trPr>
        <w:tc>
          <w:tcPr>
            <w:tcW w:w="3667"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490"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490"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490"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490"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25"/>
        </w:trPr>
        <w:tc>
          <w:tcPr>
            <w:tcW w:w="6330"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Total merchandise trade EU28 with Panama (mio €)</w:t>
            </w:r>
          </w:p>
        </w:tc>
      </w:tr>
      <w:tr>
        <w:trPr>
          <w:trHeight w:val="225"/>
        </w:trPr>
        <w:tc>
          <w:tcPr>
            <w:tcW w:w="4157"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Panama</w:t>
            </w:r>
          </w:p>
        </w:tc>
        <w:tc>
          <w:tcPr>
            <w:tcW w:w="49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49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193"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157"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90"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90"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90"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6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528</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729</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201</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38,1%</w:t>
            </w:r>
          </w:p>
        </w:tc>
      </w:tr>
      <w:tr>
        <w:trPr>
          <w:trHeight w:val="225"/>
        </w:trPr>
        <w:tc>
          <w:tcPr>
            <w:tcW w:w="36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2.194</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2.527</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334</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15,2%</w:t>
            </w:r>
          </w:p>
        </w:tc>
      </w:tr>
      <w:tr>
        <w:trPr>
          <w:trHeight w:val="225"/>
        </w:trPr>
        <w:tc>
          <w:tcPr>
            <w:tcW w:w="36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1.666</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1.799</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133</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667"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90"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2.721</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3.256</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535</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19,6%</w:t>
            </w:r>
          </w:p>
        </w:tc>
      </w:tr>
      <w:tr>
        <w:trPr>
          <w:trHeight w:val="240"/>
        </w:trPr>
        <w:tc>
          <w:tcPr>
            <w:tcW w:w="5137"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490"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6330"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Agrifood trade EU28 with Panama (mio €)</w:t>
            </w:r>
          </w:p>
        </w:tc>
      </w:tr>
      <w:tr>
        <w:trPr>
          <w:trHeight w:val="255"/>
        </w:trPr>
        <w:tc>
          <w:tcPr>
            <w:tcW w:w="4157"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Panama</w:t>
            </w:r>
          </w:p>
        </w:tc>
        <w:tc>
          <w:tcPr>
            <w:tcW w:w="49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49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193"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157"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90"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90"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90"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6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293</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292</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-0,6%</w:t>
            </w:r>
          </w:p>
        </w:tc>
      </w:tr>
      <w:tr>
        <w:trPr>
          <w:trHeight w:val="225"/>
        </w:trPr>
        <w:tc>
          <w:tcPr>
            <w:tcW w:w="36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271</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300</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28</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10,4%</w:t>
            </w:r>
          </w:p>
        </w:tc>
      </w:tr>
      <w:tr>
        <w:trPr>
          <w:trHeight w:val="225"/>
        </w:trPr>
        <w:tc>
          <w:tcPr>
            <w:tcW w:w="36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30</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667"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565</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591</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4,7%</w:t>
            </w:r>
          </w:p>
        </w:tc>
      </w:tr>
      <w:tr>
        <w:trPr>
          <w:trHeight w:val="240"/>
        </w:trPr>
        <w:tc>
          <w:tcPr>
            <w:tcW w:w="5137"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490"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6330"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s-ES" w:eastAsia="en-IE"/>
              </w:rPr>
            </w:pPr>
            <w:r>
              <w:rPr>
                <w:rFonts w:eastAsia="Times New Roman"/>
                <w:b/>
                <w:bCs/>
                <w:noProof/>
                <w:sz w:val="16"/>
                <w:szCs w:val="16"/>
                <w:lang w:val="es-ES" w:eastAsia="en-IE"/>
              </w:rPr>
              <w:t>NAMA trade EU28 with Panama (mio €)</w:t>
            </w:r>
          </w:p>
        </w:tc>
      </w:tr>
      <w:tr>
        <w:trPr>
          <w:trHeight w:val="225"/>
        </w:trPr>
        <w:tc>
          <w:tcPr>
            <w:tcW w:w="4157"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Panama</w:t>
            </w:r>
          </w:p>
        </w:tc>
        <w:tc>
          <w:tcPr>
            <w:tcW w:w="49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49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193"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157"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90"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90"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90"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4157"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imports</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234</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437</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203</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86,5%</w:t>
            </w:r>
          </w:p>
        </w:tc>
      </w:tr>
      <w:tr>
        <w:trPr>
          <w:trHeight w:val="225"/>
        </w:trPr>
        <w:tc>
          <w:tcPr>
            <w:tcW w:w="4157"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exports</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1.922</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2.228</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305</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15,9%</w:t>
            </w:r>
          </w:p>
        </w:tc>
      </w:tr>
      <w:tr>
        <w:trPr>
          <w:trHeight w:val="225"/>
        </w:trPr>
        <w:tc>
          <w:tcPr>
            <w:tcW w:w="36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1.688</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1.791</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103</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6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2.157</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2.665</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508</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23,6%</w:t>
            </w:r>
          </w:p>
        </w:tc>
      </w:tr>
      <w:tr>
        <w:trPr>
          <w:trHeight w:val="240"/>
        </w:trPr>
        <w:tc>
          <w:tcPr>
            <w:tcW w:w="5137"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490" w:type="dxa"/>
            <w:tcBorders>
              <w:top w:val="single" w:sz="4" w:space="0" w:color="auto"/>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5137" w:type="dxa"/>
            <w:gridSpan w:val="4"/>
            <w:tcBorders>
              <w:top w:val="nil"/>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Services trade EU28 with Panama (mio €)</w:t>
            </w:r>
          </w:p>
        </w:tc>
        <w:tc>
          <w:tcPr>
            <w:tcW w:w="490" w:type="dxa"/>
            <w:tcBorders>
              <w:top w:val="nil"/>
              <w:left w:val="nil"/>
              <w:bottom w:val="nil"/>
              <w:right w:val="nil"/>
            </w:tcBorders>
            <w:shd w:val="clear" w:color="000000" w:fill="FFFFFF"/>
            <w:noWrap/>
            <w:vAlign w:val="center"/>
            <w:hideMark/>
          </w:tcPr>
          <w:p>
            <w:pPr>
              <w:rPr>
                <w:rFonts w:eastAsia="Times New Roman"/>
                <w:b/>
                <w:bCs/>
                <w:noProof/>
                <w:sz w:val="16"/>
                <w:szCs w:val="16"/>
                <w:lang w:val="en-IE" w:eastAsia="en-IE"/>
              </w:rPr>
            </w:pPr>
            <w:r>
              <w:rPr>
                <w:rFonts w:eastAsia="Times New Roman"/>
                <w:b/>
                <w:bCs/>
                <w:noProof/>
                <w:sz w:val="16"/>
                <w:szCs w:val="16"/>
                <w:lang w:val="en-IE" w:eastAsia="en-IE"/>
              </w:rPr>
              <w:t> </w:t>
            </w:r>
          </w:p>
        </w:tc>
        <w:tc>
          <w:tcPr>
            <w:tcW w:w="703" w:type="dxa"/>
            <w:tcBorders>
              <w:top w:val="nil"/>
              <w:left w:val="nil"/>
              <w:bottom w:val="nil"/>
              <w:right w:val="nil"/>
            </w:tcBorders>
            <w:shd w:val="clear" w:color="000000" w:fill="FFFFFF"/>
            <w:noWrap/>
            <w:vAlign w:val="center"/>
            <w:hideMark/>
          </w:tcPr>
          <w:p>
            <w:pPr>
              <w:rPr>
                <w:rFonts w:eastAsia="Times New Roman"/>
                <w:b/>
                <w:bCs/>
                <w:noProof/>
                <w:sz w:val="16"/>
                <w:szCs w:val="16"/>
                <w:lang w:val="en-IE" w:eastAsia="en-IE"/>
              </w:rPr>
            </w:pPr>
            <w:r>
              <w:rPr>
                <w:rFonts w:eastAsia="Times New Roman"/>
                <w:b/>
                <w:bCs/>
                <w:noProof/>
                <w:sz w:val="16"/>
                <w:szCs w:val="16"/>
                <w:lang w:val="en-IE" w:eastAsia="en-IE"/>
              </w:rPr>
              <w:t> </w:t>
            </w:r>
          </w:p>
        </w:tc>
      </w:tr>
      <w:tr>
        <w:trPr>
          <w:trHeight w:val="225"/>
        </w:trPr>
        <w:tc>
          <w:tcPr>
            <w:tcW w:w="4157"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Panama</w:t>
            </w:r>
          </w:p>
        </w:tc>
        <w:tc>
          <w:tcPr>
            <w:tcW w:w="490"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490"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1193"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157"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90"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490"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490"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6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2.403</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2.435</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32</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w:t>
            </w:r>
          </w:p>
        </w:tc>
      </w:tr>
      <w:tr>
        <w:trPr>
          <w:trHeight w:val="225"/>
        </w:trPr>
        <w:tc>
          <w:tcPr>
            <w:tcW w:w="36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2.330</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2.306</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w:t>
            </w:r>
          </w:p>
        </w:tc>
      </w:tr>
      <w:tr>
        <w:trPr>
          <w:trHeight w:val="225"/>
        </w:trPr>
        <w:tc>
          <w:tcPr>
            <w:tcW w:w="36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-73</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-129</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-56</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667"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90"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4.732</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4.741</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r>
      <w:tr>
        <w:trPr>
          <w:trHeight w:val="240"/>
        </w:trPr>
        <w:tc>
          <w:tcPr>
            <w:tcW w:w="5627" w:type="dxa"/>
            <w:gridSpan w:val="5"/>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703"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40"/>
        </w:trPr>
        <w:tc>
          <w:tcPr>
            <w:tcW w:w="6330"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Services trade EU28 with Panama (mio €)</w:t>
            </w:r>
          </w:p>
        </w:tc>
      </w:tr>
      <w:tr>
        <w:trPr>
          <w:trHeight w:val="225"/>
        </w:trPr>
        <w:tc>
          <w:tcPr>
            <w:tcW w:w="3667"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49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49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49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703"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36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1.590</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1.689</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2.495</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2.403</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2.435</w:t>
            </w:r>
          </w:p>
        </w:tc>
      </w:tr>
      <w:tr>
        <w:trPr>
          <w:trHeight w:val="225"/>
        </w:trPr>
        <w:tc>
          <w:tcPr>
            <w:tcW w:w="36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1.533</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1.503</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2.055</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2.330</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2.306</w:t>
            </w:r>
          </w:p>
        </w:tc>
      </w:tr>
      <w:tr>
        <w:trPr>
          <w:trHeight w:val="225"/>
        </w:trPr>
        <w:tc>
          <w:tcPr>
            <w:tcW w:w="36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-58</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-186</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-440</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-73</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-129</w:t>
            </w:r>
          </w:p>
        </w:tc>
      </w:tr>
      <w:tr>
        <w:trPr>
          <w:trHeight w:val="225"/>
        </w:trPr>
        <w:tc>
          <w:tcPr>
            <w:tcW w:w="3667"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3.123</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3.192</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4.550</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4.732</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4.741</w:t>
            </w:r>
          </w:p>
        </w:tc>
      </w:tr>
      <w:tr>
        <w:trPr>
          <w:trHeight w:val="225"/>
        </w:trPr>
        <w:tc>
          <w:tcPr>
            <w:tcW w:w="3667"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490"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 </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6330"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pl-PL" w:eastAsia="en-IE"/>
              </w:rPr>
            </w:pPr>
            <w:r>
              <w:rPr>
                <w:rFonts w:eastAsia="Times New Roman"/>
                <w:b/>
                <w:bCs/>
                <w:noProof/>
                <w:sz w:val="16"/>
                <w:szCs w:val="16"/>
                <w:lang w:val="pl-PL" w:eastAsia="en-IE"/>
              </w:rPr>
              <w:t>FDI EU28 with Panama (mio €)</w:t>
            </w:r>
          </w:p>
        </w:tc>
      </w:tr>
      <w:tr>
        <w:trPr>
          <w:trHeight w:val="225"/>
        </w:trPr>
        <w:tc>
          <w:tcPr>
            <w:tcW w:w="3667"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val="pl-PL" w:eastAsia="en-IE"/>
              </w:rPr>
            </w:pPr>
            <w:r>
              <w:rPr>
                <w:rFonts w:eastAsia="Times New Roman"/>
                <w:noProof/>
                <w:sz w:val="16"/>
                <w:szCs w:val="16"/>
                <w:lang w:val="pl-PL" w:eastAsia="en-IE"/>
              </w:rPr>
              <w:t> </w:t>
            </w:r>
          </w:p>
        </w:tc>
        <w:tc>
          <w:tcPr>
            <w:tcW w:w="490"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49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49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49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703"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6330"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Stocks</w:t>
            </w:r>
          </w:p>
        </w:tc>
      </w:tr>
      <w:tr>
        <w:trPr>
          <w:trHeight w:val="225"/>
        </w:trPr>
        <w:tc>
          <w:tcPr>
            <w:tcW w:w="36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2.766</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3.815</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4.634</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25.593</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11.551</w:t>
            </w:r>
          </w:p>
        </w:tc>
      </w:tr>
      <w:tr>
        <w:trPr>
          <w:trHeight w:val="225"/>
        </w:trPr>
        <w:tc>
          <w:tcPr>
            <w:tcW w:w="36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14.240</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18.632</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38.265</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23.688</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21.987</w:t>
            </w:r>
          </w:p>
        </w:tc>
      </w:tr>
      <w:tr>
        <w:trPr>
          <w:trHeight w:val="225"/>
        </w:trPr>
        <w:tc>
          <w:tcPr>
            <w:tcW w:w="6330"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Flows</w:t>
            </w:r>
          </w:p>
        </w:tc>
      </w:tr>
      <w:tr>
        <w:trPr>
          <w:trHeight w:val="225"/>
        </w:trPr>
        <w:tc>
          <w:tcPr>
            <w:tcW w:w="36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336</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1.956</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4.765</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-1.263</w:t>
            </w:r>
          </w:p>
        </w:tc>
      </w:tr>
      <w:tr>
        <w:trPr>
          <w:trHeight w:val="225"/>
        </w:trPr>
        <w:tc>
          <w:tcPr>
            <w:tcW w:w="36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901</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1.037</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-2.432</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-2.541</w:t>
            </w:r>
          </w:p>
        </w:tc>
      </w:tr>
      <w:tr>
        <w:trPr>
          <w:trHeight w:val="225"/>
        </w:trPr>
        <w:tc>
          <w:tcPr>
            <w:tcW w:w="3667" w:type="dxa"/>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490"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 </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bl>
    <w:p>
      <w:pPr>
        <w:rPr>
          <w:noProof/>
        </w:rPr>
      </w:pPr>
    </w:p>
    <w:p>
      <w:pPr>
        <w:spacing w:after="200" w:line="276" w:lineRule="auto"/>
        <w:rPr>
          <w:noProof/>
        </w:rPr>
      </w:pPr>
      <w:r>
        <w:rPr>
          <w:noProof/>
        </w:rPr>
        <w:br w:type="page"/>
      </w:r>
    </w:p>
    <w:p>
      <w:pPr>
        <w:pStyle w:val="ChapterHead"/>
        <w:rPr>
          <w:b/>
          <w:noProof/>
        </w:rPr>
      </w:pPr>
      <w:bookmarkStart w:id="576" w:name="_Toc8833491"/>
      <w:bookmarkStart w:id="577" w:name="_Toc8835318"/>
      <w:bookmarkStart w:id="578" w:name="_Toc8833948"/>
      <w:bookmarkStart w:id="579" w:name="_Toc8909411"/>
      <w:bookmarkStart w:id="580" w:name="_Toc8910623"/>
      <w:bookmarkStart w:id="581" w:name="_Toc8911660"/>
      <w:bookmarkStart w:id="582" w:name="_Toc8974481"/>
      <w:bookmarkStart w:id="583" w:name="_Toc9008134"/>
      <w:bookmarkStart w:id="584" w:name="_Toc9008537"/>
      <w:bookmarkStart w:id="585" w:name="_Toc9348532"/>
      <w:bookmarkStart w:id="586" w:name="_Toc9607983"/>
      <w:bookmarkStart w:id="587" w:name="_Toc16000558"/>
      <w:r>
        <w:rPr>
          <w:b/>
          <w:noProof/>
        </w:rPr>
        <w:t>PART II: ANNUAL REPORT ON THE IMPLEMENTATION OF THE DEEP AND COMPREHENSIVE FREE TRADE AREA (DCFTA) BETWEEN THE EU AND UKRAINE, MOLDOVA AND GEORGIA</w:t>
      </w:r>
      <w:bookmarkEnd w:id="576"/>
      <w:bookmarkEnd w:id="577"/>
      <w:bookmarkEnd w:id="578"/>
      <w:bookmarkEnd w:id="579"/>
      <w:bookmarkEnd w:id="580"/>
      <w:bookmarkEnd w:id="581"/>
      <w:bookmarkEnd w:id="582"/>
      <w:bookmarkEnd w:id="583"/>
      <w:bookmarkEnd w:id="584"/>
      <w:bookmarkEnd w:id="585"/>
      <w:bookmarkEnd w:id="586"/>
      <w:bookmarkEnd w:id="587"/>
    </w:p>
    <w:p>
      <w:pPr>
        <w:spacing w:after="200" w:line="276" w:lineRule="auto"/>
        <w:rPr>
          <w:noProof/>
        </w:rPr>
      </w:pPr>
      <w:r>
        <w:rPr>
          <w:noProof/>
        </w:rPr>
        <w:br w:type="page"/>
      </w:r>
    </w:p>
    <w:p>
      <w:pPr>
        <w:pStyle w:val="ChapterHead"/>
        <w:jc w:val="both"/>
        <w:rPr>
          <w:b/>
          <w:noProof/>
        </w:rPr>
      </w:pPr>
      <w:bookmarkStart w:id="588" w:name="_Toc8833492"/>
      <w:bookmarkStart w:id="589" w:name="_Toc8835319"/>
      <w:bookmarkStart w:id="590" w:name="_Toc8833949"/>
      <w:bookmarkStart w:id="591" w:name="_Toc8909412"/>
      <w:bookmarkStart w:id="592" w:name="_Toc8910624"/>
      <w:bookmarkStart w:id="593" w:name="_Toc8911661"/>
      <w:bookmarkStart w:id="594" w:name="_Toc8974482"/>
      <w:bookmarkStart w:id="595" w:name="_Toc9008135"/>
      <w:bookmarkStart w:id="596" w:name="_Toc9008538"/>
      <w:bookmarkStart w:id="597" w:name="_Toc9348533"/>
      <w:bookmarkStart w:id="598" w:name="_Toc9607984"/>
      <w:bookmarkStart w:id="599" w:name="_Toc16000559"/>
      <w:r>
        <w:rPr>
          <w:b/>
          <w:noProof/>
        </w:rPr>
        <w:t xml:space="preserve">ANNUAL REPORT ON THE IMPLEMENTATION OF THE DEEP AND COMPREHENSIVE FREE TRADE AREA (DCFTA) BETWEEN THE EU AND ITS MEMBER STATES AND </w:t>
      </w:r>
      <w:r>
        <w:rPr>
          <w:b/>
          <w:bCs/>
          <w:noProof/>
        </w:rPr>
        <w:t>UKRAINE</w:t>
      </w:r>
      <w:bookmarkEnd w:id="588"/>
      <w:bookmarkEnd w:id="589"/>
      <w:bookmarkEnd w:id="590"/>
      <w:bookmarkEnd w:id="591"/>
      <w:bookmarkEnd w:id="592"/>
      <w:bookmarkEnd w:id="593"/>
      <w:bookmarkEnd w:id="594"/>
      <w:bookmarkEnd w:id="595"/>
      <w:bookmarkEnd w:id="596"/>
      <w:bookmarkEnd w:id="597"/>
      <w:bookmarkEnd w:id="598"/>
      <w:bookmarkEnd w:id="599"/>
    </w:p>
    <w:p>
      <w:pPr>
        <w:jc w:val="both"/>
        <w:rPr>
          <w:noProof/>
        </w:rPr>
      </w:pPr>
      <w:r>
        <w:rPr>
          <w:noProof/>
        </w:rPr>
        <w:t xml:space="preserve">The Deep and Comprehensive Free Trade Area part of the Association Agreement (DCFTA) with Ukraine has been in force provisionally since 1 January 2016 and formally since 1 September 2017, following ratification by all EU Member States. Ukraine’s commitments under the DCFTA are considerable in areas spanning from competition and state aid to public procurement and sanitary and phytosanitary measures. </w:t>
      </w:r>
    </w:p>
    <w:p>
      <w:pPr>
        <w:pStyle w:val="ManualHeading1"/>
      </w:pPr>
      <w:bookmarkStart w:id="600" w:name="_Toc8833493"/>
      <w:bookmarkStart w:id="601" w:name="_Toc8835320"/>
      <w:bookmarkStart w:id="602" w:name="_Toc8833950"/>
      <w:bookmarkStart w:id="603" w:name="_Toc8909413"/>
      <w:bookmarkStart w:id="604" w:name="_Toc8910625"/>
      <w:bookmarkStart w:id="605" w:name="_Toc8911662"/>
      <w:bookmarkStart w:id="606" w:name="_Toc8974483"/>
      <w:bookmarkStart w:id="607" w:name="_Toc9008136"/>
      <w:bookmarkStart w:id="608" w:name="_Toc9008539"/>
      <w:bookmarkStart w:id="609" w:name="_Toc9348534"/>
      <w:bookmarkStart w:id="610" w:name="_Toc9607985"/>
      <w:bookmarkStart w:id="611" w:name="_Toc16000560"/>
      <w:r>
        <w:t>1.</w:t>
      </w:r>
      <w:r>
        <w:tab/>
        <w:t>Evolution of trade</w:t>
      </w:r>
      <w:bookmarkEnd w:id="600"/>
      <w:bookmarkEnd w:id="601"/>
      <w:bookmarkEnd w:id="602"/>
      <w:bookmarkEnd w:id="603"/>
      <w:bookmarkEnd w:id="604"/>
      <w:bookmarkEnd w:id="605"/>
      <w:bookmarkEnd w:id="606"/>
      <w:bookmarkEnd w:id="607"/>
      <w:bookmarkEnd w:id="608"/>
      <w:bookmarkEnd w:id="609"/>
      <w:bookmarkEnd w:id="610"/>
      <w:bookmarkEnd w:id="611"/>
    </w:p>
    <w:p>
      <w:pPr>
        <w:jc w:val="both"/>
        <w:rPr>
          <w:noProof/>
        </w:rPr>
      </w:pPr>
      <w:r>
        <w:rPr>
          <w:noProof/>
        </w:rPr>
        <w:t xml:space="preserve">Bilateral trade in goods continued to increase in 2018 and EU imports from the Ukraine reached record levels in 2018 of around €18 billion. This is an increase by 8% from 2017, which was another record year of imports into the EU from Ukraine. </w:t>
      </w:r>
    </w:p>
    <w:p>
      <w:pPr>
        <w:jc w:val="both"/>
        <w:rPr>
          <w:noProof/>
        </w:rPr>
      </w:pPr>
    </w:p>
    <w:p>
      <w:pPr>
        <w:jc w:val="both"/>
        <w:rPr>
          <w:noProof/>
        </w:rPr>
      </w:pPr>
      <w:r>
        <w:rPr>
          <w:noProof/>
        </w:rPr>
        <w:t xml:space="preserve">EU exports continued to increase, too, and reached around €22 billion in 2018, up by 10% from 2017. For more than 5 years, the EU has had a positive trade in goods balance of €4 billion with Ukraine. </w:t>
      </w:r>
    </w:p>
    <w:p>
      <w:pPr>
        <w:jc w:val="both"/>
        <w:rPr>
          <w:noProof/>
        </w:rPr>
      </w:pPr>
    </w:p>
    <w:p>
      <w:pPr>
        <w:jc w:val="both"/>
        <w:rPr>
          <w:noProof/>
        </w:rPr>
      </w:pPr>
      <w:r>
        <w:rPr>
          <w:noProof/>
        </w:rPr>
        <w:t>The EU remained Ukraine’s main trading partner, representing 42% of Ukraine’s total trade, with a similar split between imports and exports. Total trade between the EU and Ukraine reached €40 billion in 2018, an increase of close to 9% when compared to 2017. Russia and China are the 2</w:t>
      </w:r>
      <w:r>
        <w:rPr>
          <w:noProof/>
          <w:vertAlign w:val="superscript"/>
        </w:rPr>
        <w:t>nd</w:t>
      </w:r>
      <w:r>
        <w:rPr>
          <w:noProof/>
        </w:rPr>
        <w:t xml:space="preserve"> and 3</w:t>
      </w:r>
      <w:r>
        <w:rPr>
          <w:noProof/>
          <w:vertAlign w:val="superscript"/>
        </w:rPr>
        <w:t>rd</w:t>
      </w:r>
      <w:r>
        <w:rPr>
          <w:noProof/>
        </w:rPr>
        <w:t xml:space="preserve"> largest trading partners of Ukraine, respectively, followed by Belarus, Turkey and the US. Ukraine is EU’s 21</w:t>
      </w:r>
      <w:r>
        <w:rPr>
          <w:noProof/>
          <w:vertAlign w:val="superscript"/>
        </w:rPr>
        <w:t>st</w:t>
      </w:r>
      <w:r>
        <w:rPr>
          <w:noProof/>
        </w:rPr>
        <w:t xml:space="preserve"> largest trading partner.</w:t>
      </w:r>
    </w:p>
    <w:p>
      <w:pPr>
        <w:pStyle w:val="Heading2"/>
        <w:tabs>
          <w:tab w:val="clear" w:pos="4570"/>
        </w:tabs>
        <w:ind w:left="567"/>
        <w:jc w:val="left"/>
      </w:pPr>
      <w:bookmarkStart w:id="612" w:name="_Toc8833494"/>
      <w:bookmarkStart w:id="613" w:name="_Toc8835321"/>
      <w:bookmarkStart w:id="614" w:name="_Toc8833951"/>
      <w:bookmarkStart w:id="615" w:name="_Toc8909414"/>
      <w:bookmarkStart w:id="616" w:name="_Toc8910626"/>
      <w:bookmarkStart w:id="617" w:name="_Toc8911663"/>
      <w:bookmarkStart w:id="618" w:name="_Toc8974484"/>
      <w:bookmarkStart w:id="619" w:name="_Toc9008137"/>
      <w:bookmarkStart w:id="620" w:name="_Toc9008540"/>
      <w:bookmarkStart w:id="621" w:name="_Toc9348535"/>
      <w:bookmarkStart w:id="622" w:name="_Toc9607986"/>
      <w:bookmarkStart w:id="623" w:name="_Toc16000561"/>
      <w:r>
        <w:t>1.1 Trade in goods overall</w:t>
      </w:r>
      <w:bookmarkEnd w:id="612"/>
      <w:bookmarkEnd w:id="613"/>
      <w:bookmarkEnd w:id="614"/>
      <w:bookmarkEnd w:id="615"/>
      <w:bookmarkEnd w:id="616"/>
      <w:bookmarkEnd w:id="617"/>
      <w:bookmarkEnd w:id="618"/>
      <w:bookmarkEnd w:id="619"/>
      <w:bookmarkEnd w:id="620"/>
      <w:bookmarkEnd w:id="621"/>
      <w:bookmarkEnd w:id="622"/>
      <w:bookmarkEnd w:id="623"/>
    </w:p>
    <w:p>
      <w:pPr>
        <w:pStyle w:val="Heading3"/>
        <w:tabs>
          <w:tab w:val="clear" w:pos="1920"/>
        </w:tabs>
        <w:ind w:left="851"/>
        <w:rPr>
          <w:noProof/>
        </w:rPr>
      </w:pPr>
      <w:bookmarkStart w:id="624" w:name="_Toc8833495"/>
      <w:bookmarkStart w:id="625" w:name="_Toc8835322"/>
      <w:bookmarkStart w:id="626" w:name="_Toc8833952"/>
      <w:bookmarkStart w:id="627" w:name="_Toc8909415"/>
      <w:bookmarkStart w:id="628" w:name="_Toc8910627"/>
      <w:bookmarkStart w:id="629" w:name="_Toc8911664"/>
      <w:bookmarkStart w:id="630" w:name="_Toc8974485"/>
      <w:bookmarkStart w:id="631" w:name="_Toc9008138"/>
      <w:bookmarkStart w:id="632" w:name="_Toc9008541"/>
      <w:bookmarkStart w:id="633" w:name="_Toc9348536"/>
      <w:bookmarkStart w:id="634" w:name="_Toc9607987"/>
      <w:bookmarkStart w:id="635" w:name="_Toc16000562"/>
      <w:r>
        <w:rPr>
          <w:noProof/>
        </w:rPr>
        <w:t>Scope of trade liberalisation</w:t>
      </w:r>
      <w:bookmarkEnd w:id="624"/>
      <w:bookmarkEnd w:id="625"/>
      <w:bookmarkEnd w:id="626"/>
      <w:bookmarkEnd w:id="627"/>
      <w:bookmarkEnd w:id="628"/>
      <w:bookmarkEnd w:id="629"/>
      <w:bookmarkEnd w:id="630"/>
      <w:bookmarkEnd w:id="631"/>
      <w:bookmarkEnd w:id="632"/>
      <w:bookmarkEnd w:id="633"/>
      <w:bookmarkEnd w:id="634"/>
      <w:bookmarkEnd w:id="635"/>
    </w:p>
    <w:p>
      <w:pPr>
        <w:jc w:val="both"/>
        <w:rPr>
          <w:noProof/>
        </w:rPr>
      </w:pPr>
      <w:r>
        <w:rPr>
          <w:noProof/>
        </w:rPr>
        <w:t xml:space="preserve">The elimination and reduction of customs duties is taking place over a transitional period, which in the case of Ukraine runs until 2026 and will ultimately result in market opening for 96% of tariff lines for products imported from the EU (98% in terms of import value). The EU will open its market earlier than Ukraine, implementing its liberalisation commitments by 2023 for 96% of tariff lines (97.8% in value) for products imported from Ukraine. </w:t>
      </w:r>
    </w:p>
    <w:p>
      <w:pPr>
        <w:jc w:val="both"/>
        <w:rPr>
          <w:noProof/>
        </w:rPr>
      </w:pPr>
    </w:p>
    <w:p>
      <w:pPr>
        <w:jc w:val="both"/>
        <w:rPr>
          <w:noProof/>
        </w:rPr>
      </w:pPr>
      <w:r>
        <w:rPr>
          <w:noProof/>
        </w:rPr>
        <w:t xml:space="preserve">The reduction and elimination of customs duties are taking place in different staging categories, depending on the specific product. Certain products are subject to annual duty-free Tariff Rate Quotas (TRQ) applied indefinitely by both sides, which foresee annual increases for some products over a five year transition period. </w:t>
      </w:r>
    </w:p>
    <w:p>
      <w:pPr>
        <w:jc w:val="both"/>
        <w:rPr>
          <w:noProof/>
        </w:rPr>
      </w:pPr>
    </w:p>
    <w:p>
      <w:pPr>
        <w:jc w:val="both"/>
        <w:rPr>
          <w:noProof/>
        </w:rPr>
      </w:pPr>
      <w:r>
        <w:rPr>
          <w:noProof/>
        </w:rPr>
        <w:t>A review clause related to trade in goods may be requested by either Party 5 years after the entry into force of the Agreement, whereby both sides may consider accelerating and broadening the scope of the elimination of tariffs between themselves. The EU granted unilateral trade concessions for a three years’ period in 2017. See more details in section 1.4.</w:t>
      </w:r>
    </w:p>
    <w:p>
      <w:pPr>
        <w:pStyle w:val="Heading3"/>
        <w:tabs>
          <w:tab w:val="clear" w:pos="1920"/>
        </w:tabs>
        <w:ind w:left="851"/>
        <w:rPr>
          <w:noProof/>
        </w:rPr>
      </w:pPr>
      <w:bookmarkStart w:id="636" w:name="_Toc8833496"/>
      <w:bookmarkStart w:id="637" w:name="_Toc8835323"/>
      <w:bookmarkStart w:id="638" w:name="_Toc8833953"/>
      <w:bookmarkStart w:id="639" w:name="_Toc8909416"/>
      <w:bookmarkStart w:id="640" w:name="_Toc8910628"/>
      <w:bookmarkStart w:id="641" w:name="_Toc8911665"/>
      <w:bookmarkStart w:id="642" w:name="_Toc8974486"/>
      <w:bookmarkStart w:id="643" w:name="_Toc9008139"/>
      <w:bookmarkStart w:id="644" w:name="_Toc9008542"/>
      <w:bookmarkStart w:id="645" w:name="_Toc9348537"/>
      <w:bookmarkStart w:id="646" w:name="_Toc9607988"/>
      <w:bookmarkStart w:id="647" w:name="_Toc16000563"/>
      <w:r>
        <w:rPr>
          <w:noProof/>
        </w:rPr>
        <w:t>Sectoral structure of EU-Ukraine trade in goods</w:t>
      </w:r>
      <w:bookmarkEnd w:id="636"/>
      <w:bookmarkEnd w:id="637"/>
      <w:bookmarkEnd w:id="638"/>
      <w:bookmarkEnd w:id="639"/>
      <w:bookmarkEnd w:id="640"/>
      <w:bookmarkEnd w:id="641"/>
      <w:bookmarkEnd w:id="642"/>
      <w:bookmarkEnd w:id="643"/>
      <w:bookmarkEnd w:id="644"/>
      <w:bookmarkEnd w:id="645"/>
      <w:bookmarkEnd w:id="646"/>
      <w:bookmarkEnd w:id="647"/>
    </w:p>
    <w:p>
      <w:pPr>
        <w:jc w:val="both"/>
        <w:rPr>
          <w:noProof/>
        </w:rPr>
      </w:pPr>
      <w:r>
        <w:rPr>
          <w:noProof/>
        </w:rPr>
        <w:t xml:space="preserve">The EU continues to have a trade surplus with Ukraine, as a result of the trade structure characterised by a growing share of goods with higher value added. The main product categories, exported by the EU to Ukraine in 2018 were machinery and appliances, chemical products, transport equipment, mineral products, plastics, rubber and articles thereof, textiles and textile articles. </w:t>
      </w:r>
    </w:p>
    <w:p>
      <w:pPr>
        <w:jc w:val="both"/>
        <w:rPr>
          <w:noProof/>
        </w:rPr>
      </w:pPr>
    </w:p>
    <w:p>
      <w:pPr>
        <w:jc w:val="both"/>
        <w:rPr>
          <w:noProof/>
        </w:rPr>
      </w:pPr>
      <w:r>
        <w:rPr>
          <w:noProof/>
        </w:rPr>
        <w:t>In 2018, Ukraine mainly exported base metals, mineral products, vegetable products, machinery and appliances and wood and charcoal. Ukraine’s export profile is now more diversified than a decade ago when 70% of exports consisted on vegetable products, base metals and mineral products. Today, other categories such as animal products, foodstuff and machinery products, feature much more prominently on the export list. Footwear and articles of stone, although still relatively low have seen exports increasing by more than 50% over the last 10 years.</w:t>
      </w:r>
    </w:p>
    <w:p>
      <w:pPr>
        <w:pStyle w:val="Heading2"/>
        <w:tabs>
          <w:tab w:val="clear" w:pos="4570"/>
        </w:tabs>
        <w:ind w:left="567"/>
      </w:pPr>
      <w:bookmarkStart w:id="648" w:name="_Toc8833497"/>
      <w:bookmarkStart w:id="649" w:name="_Toc8835324"/>
      <w:bookmarkStart w:id="650" w:name="_Toc8833954"/>
      <w:bookmarkStart w:id="651" w:name="_Toc8909417"/>
      <w:bookmarkStart w:id="652" w:name="_Toc8910629"/>
      <w:bookmarkStart w:id="653" w:name="_Toc8911666"/>
      <w:bookmarkStart w:id="654" w:name="_Toc8974487"/>
      <w:bookmarkStart w:id="655" w:name="_Toc9008140"/>
      <w:bookmarkStart w:id="656" w:name="_Toc9008543"/>
      <w:bookmarkStart w:id="657" w:name="_Toc9348538"/>
      <w:bookmarkStart w:id="658" w:name="_Toc9607989"/>
      <w:bookmarkStart w:id="659" w:name="_Toc16000564"/>
      <w:r>
        <w:t>1.2 Trade in agricultural goods</w:t>
      </w:r>
      <w:bookmarkEnd w:id="648"/>
      <w:bookmarkEnd w:id="649"/>
      <w:bookmarkEnd w:id="650"/>
      <w:bookmarkEnd w:id="651"/>
      <w:bookmarkEnd w:id="652"/>
      <w:bookmarkEnd w:id="653"/>
      <w:bookmarkEnd w:id="654"/>
      <w:bookmarkEnd w:id="655"/>
      <w:bookmarkEnd w:id="656"/>
      <w:bookmarkEnd w:id="657"/>
      <w:bookmarkEnd w:id="658"/>
      <w:bookmarkEnd w:id="659"/>
    </w:p>
    <w:p>
      <w:pPr>
        <w:jc w:val="both"/>
        <w:rPr>
          <w:noProof/>
        </w:rPr>
      </w:pPr>
      <w:r>
        <w:rPr>
          <w:noProof/>
        </w:rPr>
        <w:t>In 2018, Ukraine continued to be the EUʼs 4</w:t>
      </w:r>
      <w:r>
        <w:rPr>
          <w:noProof/>
          <w:vertAlign w:val="superscript"/>
        </w:rPr>
        <w:t>th</w:t>
      </w:r>
      <w:r>
        <w:rPr>
          <w:noProof/>
        </w:rPr>
        <w:t xml:space="preserve"> biggest supplier of agricultural products and the first origin of agri-food imports among preferential trade partners. However, EU imports of agricultural products from Ukraine increased at a slower pace than in previous years (i.e. a 4% increase between 2017 and 2018, compared to a 32% increase between 2016 and 2017) and reached €5.6 billion. EU agricultural exports to Ukraine increased by 14% to €2.1 billion. </w:t>
      </w:r>
    </w:p>
    <w:p>
      <w:pPr>
        <w:jc w:val="both"/>
        <w:rPr>
          <w:noProof/>
        </w:rPr>
      </w:pPr>
    </w:p>
    <w:p>
      <w:pPr>
        <w:jc w:val="both"/>
        <w:rPr>
          <w:noProof/>
        </w:rPr>
      </w:pPr>
      <w:r>
        <w:rPr>
          <w:noProof/>
        </w:rPr>
        <w:t>While traditional export products continue to dominate Ukrainian imports into the EU (cereals, oil seeds, animal and vegetable fats and oils represented 73% of Ukrainian agricultural exports to the EU), vegetables and meat products showed considerable increases (278%, 184%, respectively) in 2018. Increase in imports of meat products were due to poultry meat, especially to new chicken cuts which can be marketed, after a minimum transformation, as chicken breast (see further information under section “Progress made, main open issues and follow-up actions”). Imports of these cuts represented 45% of poultry imports from Ukraine in 2018.</w:t>
      </w:r>
    </w:p>
    <w:p>
      <w:pPr>
        <w:jc w:val="both"/>
        <w:rPr>
          <w:noProof/>
        </w:rPr>
      </w:pPr>
    </w:p>
    <w:p>
      <w:pPr>
        <w:jc w:val="both"/>
        <w:rPr>
          <w:noProof/>
        </w:rPr>
      </w:pPr>
      <w:r>
        <w:rPr>
          <w:noProof/>
        </w:rPr>
        <w:t>EU agricultural exports to Ukraine continued to be more diversified, with significant growth rates especially for beverages, food preparations, dairy products, meats and tobacco products.</w:t>
      </w:r>
    </w:p>
    <w:p>
      <w:pPr>
        <w:pStyle w:val="Heading3"/>
        <w:tabs>
          <w:tab w:val="clear" w:pos="1920"/>
        </w:tabs>
        <w:ind w:left="851"/>
        <w:rPr>
          <w:noProof/>
        </w:rPr>
      </w:pPr>
      <w:bookmarkStart w:id="660" w:name="_Toc8833498"/>
      <w:bookmarkStart w:id="661" w:name="_Toc8835325"/>
      <w:bookmarkStart w:id="662" w:name="_Toc8833955"/>
      <w:bookmarkStart w:id="663" w:name="_Toc8909418"/>
      <w:bookmarkStart w:id="664" w:name="_Toc8910630"/>
      <w:bookmarkStart w:id="665" w:name="_Toc8911667"/>
      <w:bookmarkStart w:id="666" w:name="_Toc8974488"/>
      <w:bookmarkStart w:id="667" w:name="_Toc9008141"/>
      <w:bookmarkStart w:id="668" w:name="_Toc9008544"/>
      <w:bookmarkStart w:id="669" w:name="_Toc9348539"/>
      <w:bookmarkStart w:id="670" w:name="_Toc9607990"/>
      <w:bookmarkStart w:id="671" w:name="_Toc16000565"/>
      <w:r>
        <w:rPr>
          <w:noProof/>
        </w:rPr>
        <w:t>Use of Tariff Rate Quotas</w:t>
      </w:r>
      <w:bookmarkEnd w:id="660"/>
      <w:bookmarkEnd w:id="661"/>
      <w:bookmarkEnd w:id="662"/>
      <w:bookmarkEnd w:id="663"/>
      <w:bookmarkEnd w:id="664"/>
      <w:bookmarkEnd w:id="665"/>
      <w:bookmarkEnd w:id="666"/>
      <w:bookmarkEnd w:id="667"/>
      <w:bookmarkEnd w:id="668"/>
      <w:bookmarkEnd w:id="669"/>
      <w:bookmarkEnd w:id="670"/>
      <w:bookmarkEnd w:id="671"/>
    </w:p>
    <w:p>
      <w:pPr>
        <w:jc w:val="both"/>
        <w:rPr>
          <w:noProof/>
        </w:rPr>
      </w:pPr>
      <w:r>
        <w:rPr>
          <w:noProof/>
        </w:rPr>
        <w:t xml:space="preserve">For products, which have not been completely liberalised under the DCFTA, tariff rate quotas are in place: 36 tariff rate quotas are granted by the EU, and five tariff rate quotas are granted by Ukraine. </w:t>
      </w:r>
    </w:p>
    <w:p>
      <w:pPr>
        <w:jc w:val="both"/>
        <w:rPr>
          <w:noProof/>
        </w:rPr>
      </w:pPr>
    </w:p>
    <w:p>
      <w:pPr>
        <w:jc w:val="both"/>
        <w:rPr>
          <w:noProof/>
        </w:rPr>
      </w:pPr>
      <w:r>
        <w:rPr>
          <w:noProof/>
        </w:rPr>
        <w:t xml:space="preserve">Ukraine was able to fully or nearly fully use the DCFTA tariff rate quotas for wheat, maize, butter, honey, garlic, barley groats and meal, malt, starch, prepared or preserved tomatoes, grape and apple juice, dextrins and glues, finishing agents and one of two TRQs for poultry meat. Other tariff rate quotas remained either not used or used only partially (see table below). </w:t>
      </w:r>
    </w:p>
    <w:p>
      <w:pPr>
        <w:rPr>
          <w:b/>
          <w:i/>
          <w:noProof/>
        </w:rPr>
      </w:pPr>
    </w:p>
    <w:p>
      <w:pPr>
        <w:rPr>
          <w:b/>
          <w:i/>
          <w:noProof/>
        </w:rPr>
      </w:pPr>
      <w:r>
        <w:rPr>
          <w:b/>
          <w:i/>
          <w:noProof/>
        </w:rPr>
        <w:t>DCFTA TRQs usage for exports by Ukraine to the EU in 2018</w:t>
      </w:r>
    </w:p>
    <w:tbl>
      <w:tblPr>
        <w:tblStyle w:val="TableGrid3"/>
        <w:tblW w:w="7900" w:type="dxa"/>
        <w:tblLook w:val="04A0" w:firstRow="1" w:lastRow="0" w:firstColumn="1" w:lastColumn="0" w:noHBand="0" w:noVBand="1"/>
      </w:tblPr>
      <w:tblGrid>
        <w:gridCol w:w="3792"/>
        <w:gridCol w:w="1039"/>
        <w:gridCol w:w="1529"/>
        <w:gridCol w:w="1540"/>
      </w:tblGrid>
      <w:tr>
        <w:trPr>
          <w:trHeight w:val="923"/>
        </w:trPr>
        <w:tc>
          <w:tcPr>
            <w:tcW w:w="3792" w:type="dxa"/>
            <w:hideMark/>
          </w:tcPr>
          <w:p>
            <w:pPr>
              <w:jc w:val="center"/>
              <w:rPr>
                <w:rFonts w:eastAsia="Times New Roman"/>
                <w:b/>
                <w:noProof/>
                <w:sz w:val="18"/>
                <w:szCs w:val="18"/>
                <w:lang w:eastAsia="en-GB"/>
              </w:rPr>
            </w:pPr>
            <w:r>
              <w:rPr>
                <w:rFonts w:eastAsia="Times New Roman"/>
                <w:b/>
                <w:noProof/>
                <w:sz w:val="18"/>
                <w:szCs w:val="18"/>
                <w:lang w:eastAsia="en-GB"/>
              </w:rPr>
              <w:t>Description</w:t>
            </w:r>
          </w:p>
        </w:tc>
        <w:tc>
          <w:tcPr>
            <w:tcW w:w="1039" w:type="dxa"/>
            <w:hideMark/>
          </w:tcPr>
          <w:p>
            <w:pPr>
              <w:jc w:val="center"/>
              <w:rPr>
                <w:rFonts w:eastAsia="Times New Roman"/>
                <w:b/>
                <w:noProof/>
                <w:sz w:val="18"/>
                <w:szCs w:val="18"/>
                <w:lang w:eastAsia="en-GB"/>
              </w:rPr>
            </w:pPr>
            <w:r>
              <w:rPr>
                <w:rFonts w:eastAsia="Times New Roman"/>
                <w:b/>
                <w:noProof/>
                <w:sz w:val="18"/>
                <w:szCs w:val="18"/>
                <w:lang w:eastAsia="en-GB"/>
              </w:rPr>
              <w:t>Volume of TRQ in 2018 (t)</w:t>
            </w:r>
          </w:p>
        </w:tc>
        <w:tc>
          <w:tcPr>
            <w:tcW w:w="1529" w:type="dxa"/>
          </w:tcPr>
          <w:p>
            <w:pPr>
              <w:jc w:val="center"/>
              <w:rPr>
                <w:rFonts w:eastAsia="Times New Roman"/>
                <w:b/>
                <w:noProof/>
                <w:color w:val="000000"/>
                <w:sz w:val="22"/>
                <w:szCs w:val="22"/>
                <w:lang w:eastAsia="en-GB"/>
              </w:rPr>
            </w:pPr>
            <w:r>
              <w:rPr>
                <w:rFonts w:eastAsia="Times New Roman"/>
                <w:b/>
                <w:noProof/>
                <w:color w:val="000000"/>
                <w:sz w:val="22"/>
                <w:szCs w:val="22"/>
                <w:lang w:eastAsia="en-GB"/>
              </w:rPr>
              <w:t>Imports in 2018 (t)</w:t>
            </w:r>
          </w:p>
        </w:tc>
        <w:tc>
          <w:tcPr>
            <w:tcW w:w="1540" w:type="dxa"/>
            <w:noWrap/>
            <w:hideMark/>
          </w:tcPr>
          <w:p>
            <w:pPr>
              <w:jc w:val="center"/>
              <w:rPr>
                <w:rFonts w:eastAsia="Times New Roman"/>
                <w:b/>
                <w:noProof/>
                <w:color w:val="000000"/>
                <w:sz w:val="22"/>
                <w:szCs w:val="22"/>
                <w:lang w:eastAsia="en-GB"/>
              </w:rPr>
            </w:pPr>
            <w:r>
              <w:rPr>
                <w:rFonts w:eastAsia="Times New Roman"/>
                <w:b/>
                <w:noProof/>
                <w:color w:val="000000"/>
                <w:sz w:val="22"/>
                <w:szCs w:val="22"/>
                <w:lang w:eastAsia="en-GB"/>
              </w:rPr>
              <w:t xml:space="preserve">2018 quota fill </w:t>
            </w:r>
          </w:p>
        </w:tc>
      </w:tr>
      <w:tr>
        <w:trPr>
          <w:trHeight w:val="300"/>
        </w:trPr>
        <w:tc>
          <w:tcPr>
            <w:tcW w:w="3792" w:type="dxa"/>
            <w:noWrap/>
            <w:hideMark/>
          </w:tcPr>
          <w:p>
            <w:pPr>
              <w:rPr>
                <w:rFonts w:eastAsia="Times New Roman"/>
                <w:noProof/>
                <w:sz w:val="18"/>
                <w:szCs w:val="18"/>
                <w:lang w:eastAsia="en-GB"/>
              </w:rPr>
            </w:pPr>
            <w:r>
              <w:rPr>
                <w:rFonts w:eastAsia="Times New Roman"/>
                <w:noProof/>
                <w:sz w:val="18"/>
                <w:szCs w:val="18"/>
                <w:lang w:eastAsia="en-GB"/>
              </w:rPr>
              <w:t>Sheep meat</w:t>
            </w:r>
          </w:p>
        </w:tc>
        <w:tc>
          <w:tcPr>
            <w:tcW w:w="1039" w:type="dxa"/>
            <w:noWrap/>
            <w:hideMark/>
          </w:tcPr>
          <w:p>
            <w:pPr>
              <w:jc w:val="center"/>
              <w:rPr>
                <w:rFonts w:eastAsia="Times New Roman"/>
                <w:noProof/>
                <w:sz w:val="18"/>
                <w:szCs w:val="18"/>
                <w:lang w:eastAsia="en-GB"/>
              </w:rPr>
            </w:pPr>
            <w:r>
              <w:rPr>
                <w:rFonts w:eastAsia="Times New Roman"/>
                <w:noProof/>
                <w:sz w:val="18"/>
                <w:szCs w:val="18"/>
                <w:lang w:eastAsia="en-GB"/>
              </w:rPr>
              <w:t>1.800</w:t>
            </w:r>
          </w:p>
        </w:tc>
        <w:tc>
          <w:tcPr>
            <w:tcW w:w="1529" w:type="dxa"/>
          </w:tcPr>
          <w:p>
            <w:pPr>
              <w:jc w:val="right"/>
              <w:rPr>
                <w:rFonts w:eastAsia="Times New Roman"/>
                <w:noProof/>
                <w:color w:val="000000"/>
                <w:sz w:val="22"/>
                <w:szCs w:val="22"/>
                <w:lang w:eastAsia="en-GB"/>
              </w:rPr>
            </w:pPr>
            <w:r>
              <w:rPr>
                <w:rFonts w:eastAsia="Times New Roman"/>
                <w:noProof/>
                <w:color w:val="000000"/>
                <w:sz w:val="22"/>
                <w:szCs w:val="22"/>
                <w:lang w:eastAsia="en-GB"/>
              </w:rPr>
              <w:t>0</w:t>
            </w:r>
          </w:p>
        </w:tc>
        <w:tc>
          <w:tcPr>
            <w:tcW w:w="1540" w:type="dxa"/>
            <w:noWrap/>
            <w:hideMark/>
          </w:tcPr>
          <w:p>
            <w:pPr>
              <w:jc w:val="right"/>
              <w:rPr>
                <w:rFonts w:eastAsia="Times New Roman"/>
                <w:noProof/>
                <w:color w:val="000000"/>
                <w:sz w:val="22"/>
                <w:szCs w:val="22"/>
                <w:lang w:eastAsia="en-GB"/>
              </w:rPr>
            </w:pPr>
            <w:r>
              <w:rPr>
                <w:rFonts w:eastAsia="Times New Roman"/>
                <w:noProof/>
                <w:color w:val="000000"/>
                <w:sz w:val="22"/>
                <w:szCs w:val="22"/>
                <w:lang w:eastAsia="en-GB"/>
              </w:rPr>
              <w:t>0</w:t>
            </w:r>
          </w:p>
        </w:tc>
      </w:tr>
      <w:tr>
        <w:trPr>
          <w:trHeight w:val="300"/>
        </w:trPr>
        <w:tc>
          <w:tcPr>
            <w:tcW w:w="3792" w:type="dxa"/>
            <w:noWrap/>
            <w:hideMark/>
          </w:tcPr>
          <w:p>
            <w:pPr>
              <w:rPr>
                <w:rFonts w:eastAsia="Times New Roman"/>
                <w:noProof/>
                <w:sz w:val="18"/>
                <w:szCs w:val="18"/>
                <w:lang w:eastAsia="en-GB"/>
              </w:rPr>
            </w:pPr>
            <w:r>
              <w:rPr>
                <w:rFonts w:eastAsia="Times New Roman"/>
                <w:noProof/>
                <w:sz w:val="18"/>
                <w:szCs w:val="18"/>
                <w:lang w:eastAsia="en-GB"/>
              </w:rPr>
              <w:t>Honey</w:t>
            </w:r>
          </w:p>
        </w:tc>
        <w:tc>
          <w:tcPr>
            <w:tcW w:w="1039" w:type="dxa"/>
            <w:noWrap/>
            <w:hideMark/>
          </w:tcPr>
          <w:p>
            <w:pPr>
              <w:jc w:val="center"/>
              <w:rPr>
                <w:rFonts w:eastAsia="Times New Roman"/>
                <w:noProof/>
                <w:sz w:val="18"/>
                <w:szCs w:val="18"/>
                <w:lang w:eastAsia="en-GB"/>
              </w:rPr>
            </w:pPr>
            <w:r>
              <w:rPr>
                <w:rFonts w:eastAsia="Times New Roman"/>
                <w:noProof/>
                <w:sz w:val="18"/>
                <w:szCs w:val="18"/>
                <w:lang w:eastAsia="en-GB"/>
              </w:rPr>
              <w:t>5.400</w:t>
            </w:r>
          </w:p>
        </w:tc>
        <w:tc>
          <w:tcPr>
            <w:tcW w:w="1529" w:type="dxa"/>
          </w:tcPr>
          <w:p>
            <w:pPr>
              <w:jc w:val="right"/>
              <w:rPr>
                <w:rFonts w:eastAsia="Times New Roman"/>
                <w:noProof/>
                <w:color w:val="000000"/>
                <w:sz w:val="22"/>
                <w:szCs w:val="22"/>
                <w:lang w:eastAsia="en-GB"/>
              </w:rPr>
            </w:pPr>
            <w:r>
              <w:rPr>
                <w:rFonts w:eastAsia="Times New Roman"/>
                <w:noProof/>
                <w:color w:val="000000"/>
                <w:sz w:val="22"/>
                <w:szCs w:val="22"/>
                <w:lang w:eastAsia="en-GB"/>
              </w:rPr>
              <w:t>5.400</w:t>
            </w:r>
          </w:p>
        </w:tc>
        <w:tc>
          <w:tcPr>
            <w:tcW w:w="1540" w:type="dxa"/>
            <w:noWrap/>
            <w:hideMark/>
          </w:tcPr>
          <w:p>
            <w:pPr>
              <w:jc w:val="right"/>
              <w:rPr>
                <w:rFonts w:eastAsia="Times New Roman"/>
                <w:noProof/>
                <w:color w:val="000000"/>
                <w:sz w:val="22"/>
                <w:szCs w:val="22"/>
                <w:lang w:eastAsia="en-GB"/>
              </w:rPr>
            </w:pPr>
            <w:r>
              <w:rPr>
                <w:rFonts w:eastAsia="Times New Roman"/>
                <w:noProof/>
                <w:color w:val="000000"/>
                <w:sz w:val="22"/>
                <w:szCs w:val="22"/>
                <w:lang w:eastAsia="en-GB"/>
              </w:rPr>
              <w:t>100%</w:t>
            </w:r>
          </w:p>
        </w:tc>
      </w:tr>
      <w:tr>
        <w:trPr>
          <w:trHeight w:val="300"/>
        </w:trPr>
        <w:tc>
          <w:tcPr>
            <w:tcW w:w="3792" w:type="dxa"/>
            <w:noWrap/>
            <w:hideMark/>
          </w:tcPr>
          <w:p>
            <w:pPr>
              <w:rPr>
                <w:rFonts w:eastAsia="Times New Roman"/>
                <w:noProof/>
                <w:sz w:val="18"/>
                <w:szCs w:val="18"/>
                <w:lang w:eastAsia="en-GB"/>
              </w:rPr>
            </w:pPr>
            <w:r>
              <w:rPr>
                <w:rFonts w:eastAsia="Times New Roman"/>
                <w:noProof/>
                <w:sz w:val="18"/>
                <w:szCs w:val="18"/>
                <w:lang w:eastAsia="en-GB"/>
              </w:rPr>
              <w:t>Garlic</w:t>
            </w:r>
          </w:p>
        </w:tc>
        <w:tc>
          <w:tcPr>
            <w:tcW w:w="1039" w:type="dxa"/>
            <w:noWrap/>
            <w:hideMark/>
          </w:tcPr>
          <w:p>
            <w:pPr>
              <w:jc w:val="center"/>
              <w:rPr>
                <w:rFonts w:eastAsia="Times New Roman"/>
                <w:noProof/>
                <w:sz w:val="18"/>
                <w:szCs w:val="18"/>
                <w:lang w:eastAsia="en-GB"/>
              </w:rPr>
            </w:pPr>
            <w:r>
              <w:rPr>
                <w:rFonts w:eastAsia="Times New Roman"/>
                <w:noProof/>
                <w:sz w:val="18"/>
                <w:szCs w:val="18"/>
                <w:lang w:eastAsia="en-GB"/>
              </w:rPr>
              <w:t>500</w:t>
            </w:r>
          </w:p>
        </w:tc>
        <w:tc>
          <w:tcPr>
            <w:tcW w:w="1529" w:type="dxa"/>
          </w:tcPr>
          <w:p>
            <w:pPr>
              <w:jc w:val="right"/>
              <w:rPr>
                <w:rFonts w:eastAsia="Times New Roman"/>
                <w:noProof/>
                <w:color w:val="000000"/>
                <w:sz w:val="22"/>
                <w:szCs w:val="22"/>
                <w:lang w:eastAsia="en-GB"/>
              </w:rPr>
            </w:pPr>
            <w:r>
              <w:rPr>
                <w:rFonts w:eastAsia="Times New Roman"/>
                <w:noProof/>
                <w:color w:val="000000"/>
                <w:sz w:val="22"/>
                <w:szCs w:val="22"/>
                <w:lang w:eastAsia="en-GB"/>
              </w:rPr>
              <w:t>490</w:t>
            </w:r>
          </w:p>
        </w:tc>
        <w:tc>
          <w:tcPr>
            <w:tcW w:w="1540" w:type="dxa"/>
            <w:noWrap/>
            <w:hideMark/>
          </w:tcPr>
          <w:p>
            <w:pPr>
              <w:jc w:val="right"/>
              <w:rPr>
                <w:rFonts w:eastAsia="Times New Roman"/>
                <w:noProof/>
                <w:color w:val="000000"/>
                <w:sz w:val="22"/>
                <w:szCs w:val="22"/>
                <w:lang w:eastAsia="en-GB"/>
              </w:rPr>
            </w:pPr>
            <w:r>
              <w:rPr>
                <w:rFonts w:eastAsia="Times New Roman"/>
                <w:noProof/>
                <w:color w:val="000000"/>
                <w:sz w:val="22"/>
                <w:szCs w:val="22"/>
                <w:lang w:eastAsia="en-GB"/>
              </w:rPr>
              <w:t>98%</w:t>
            </w:r>
          </w:p>
        </w:tc>
      </w:tr>
      <w:tr>
        <w:trPr>
          <w:trHeight w:val="300"/>
        </w:trPr>
        <w:tc>
          <w:tcPr>
            <w:tcW w:w="3792" w:type="dxa"/>
            <w:noWrap/>
            <w:hideMark/>
          </w:tcPr>
          <w:p>
            <w:pPr>
              <w:rPr>
                <w:rFonts w:eastAsia="Times New Roman"/>
                <w:noProof/>
                <w:sz w:val="18"/>
                <w:szCs w:val="18"/>
                <w:lang w:eastAsia="en-GB"/>
              </w:rPr>
            </w:pPr>
            <w:r>
              <w:rPr>
                <w:rFonts w:eastAsia="Times New Roman"/>
                <w:noProof/>
                <w:sz w:val="18"/>
                <w:szCs w:val="18"/>
                <w:lang w:eastAsia="en-GB"/>
              </w:rPr>
              <w:t>Oats</w:t>
            </w:r>
          </w:p>
        </w:tc>
        <w:tc>
          <w:tcPr>
            <w:tcW w:w="1039" w:type="dxa"/>
            <w:noWrap/>
            <w:hideMark/>
          </w:tcPr>
          <w:p>
            <w:pPr>
              <w:jc w:val="center"/>
              <w:rPr>
                <w:rFonts w:eastAsia="Times New Roman"/>
                <w:noProof/>
                <w:sz w:val="18"/>
                <w:szCs w:val="18"/>
                <w:lang w:eastAsia="en-GB"/>
              </w:rPr>
            </w:pPr>
            <w:r>
              <w:rPr>
                <w:rFonts w:eastAsia="Times New Roman"/>
                <w:noProof/>
                <w:sz w:val="18"/>
                <w:szCs w:val="18"/>
                <w:lang w:eastAsia="en-GB"/>
              </w:rPr>
              <w:t>4.000</w:t>
            </w:r>
          </w:p>
        </w:tc>
        <w:tc>
          <w:tcPr>
            <w:tcW w:w="1529" w:type="dxa"/>
          </w:tcPr>
          <w:p>
            <w:pPr>
              <w:jc w:val="right"/>
              <w:rPr>
                <w:rFonts w:eastAsia="Times New Roman"/>
                <w:noProof/>
                <w:color w:val="000000"/>
                <w:sz w:val="22"/>
                <w:szCs w:val="22"/>
                <w:lang w:eastAsia="en-GB"/>
              </w:rPr>
            </w:pPr>
            <w:r>
              <w:rPr>
                <w:rFonts w:eastAsia="Times New Roman"/>
                <w:noProof/>
                <w:color w:val="000000"/>
                <w:sz w:val="22"/>
                <w:szCs w:val="22"/>
                <w:lang w:eastAsia="en-GB"/>
              </w:rPr>
              <w:t>1.459</w:t>
            </w:r>
          </w:p>
        </w:tc>
        <w:tc>
          <w:tcPr>
            <w:tcW w:w="1540" w:type="dxa"/>
            <w:noWrap/>
            <w:hideMark/>
          </w:tcPr>
          <w:p>
            <w:pPr>
              <w:jc w:val="right"/>
              <w:rPr>
                <w:rFonts w:eastAsia="Times New Roman"/>
                <w:noProof/>
                <w:color w:val="000000"/>
                <w:sz w:val="22"/>
                <w:szCs w:val="22"/>
                <w:lang w:eastAsia="en-GB"/>
              </w:rPr>
            </w:pPr>
            <w:r>
              <w:rPr>
                <w:rFonts w:eastAsia="Times New Roman"/>
                <w:noProof/>
                <w:color w:val="000000"/>
                <w:sz w:val="22"/>
                <w:szCs w:val="22"/>
                <w:lang w:eastAsia="en-GB"/>
              </w:rPr>
              <w:t>36,5%</w:t>
            </w:r>
          </w:p>
        </w:tc>
      </w:tr>
      <w:tr>
        <w:trPr>
          <w:trHeight w:val="300"/>
        </w:trPr>
        <w:tc>
          <w:tcPr>
            <w:tcW w:w="3792" w:type="dxa"/>
            <w:noWrap/>
            <w:hideMark/>
          </w:tcPr>
          <w:p>
            <w:pPr>
              <w:rPr>
                <w:rFonts w:eastAsia="Times New Roman"/>
                <w:noProof/>
                <w:sz w:val="18"/>
                <w:szCs w:val="18"/>
                <w:lang w:eastAsia="en-GB"/>
              </w:rPr>
            </w:pPr>
            <w:r>
              <w:rPr>
                <w:rFonts w:eastAsia="Times New Roman"/>
                <w:noProof/>
                <w:sz w:val="18"/>
                <w:szCs w:val="18"/>
                <w:lang w:eastAsia="en-GB"/>
              </w:rPr>
              <w:t>Sugar</w:t>
            </w:r>
          </w:p>
        </w:tc>
        <w:tc>
          <w:tcPr>
            <w:tcW w:w="1039" w:type="dxa"/>
            <w:noWrap/>
            <w:hideMark/>
          </w:tcPr>
          <w:p>
            <w:pPr>
              <w:jc w:val="center"/>
              <w:rPr>
                <w:rFonts w:eastAsia="Times New Roman"/>
                <w:noProof/>
                <w:sz w:val="18"/>
                <w:szCs w:val="18"/>
                <w:lang w:eastAsia="en-GB"/>
              </w:rPr>
            </w:pPr>
            <w:r>
              <w:rPr>
                <w:rFonts w:eastAsia="Times New Roman"/>
                <w:noProof/>
                <w:sz w:val="18"/>
                <w:szCs w:val="18"/>
                <w:lang w:eastAsia="en-GB"/>
              </w:rPr>
              <w:t>20.070</w:t>
            </w:r>
          </w:p>
        </w:tc>
        <w:tc>
          <w:tcPr>
            <w:tcW w:w="1529" w:type="dxa"/>
          </w:tcPr>
          <w:p>
            <w:pPr>
              <w:jc w:val="right"/>
              <w:rPr>
                <w:rFonts w:eastAsia="Times New Roman"/>
                <w:noProof/>
                <w:color w:val="000000"/>
                <w:sz w:val="22"/>
                <w:szCs w:val="22"/>
                <w:lang w:eastAsia="en-GB"/>
              </w:rPr>
            </w:pPr>
            <w:r>
              <w:rPr>
                <w:rFonts w:eastAsia="Times New Roman"/>
                <w:noProof/>
                <w:color w:val="000000"/>
                <w:sz w:val="22"/>
                <w:szCs w:val="22"/>
                <w:lang w:eastAsia="en-GB"/>
              </w:rPr>
              <w:t>17.062</w:t>
            </w:r>
          </w:p>
        </w:tc>
        <w:tc>
          <w:tcPr>
            <w:tcW w:w="1540" w:type="dxa"/>
            <w:noWrap/>
            <w:hideMark/>
          </w:tcPr>
          <w:p>
            <w:pPr>
              <w:jc w:val="right"/>
              <w:rPr>
                <w:rFonts w:eastAsia="Times New Roman"/>
                <w:noProof/>
                <w:color w:val="000000"/>
                <w:sz w:val="22"/>
                <w:szCs w:val="22"/>
                <w:lang w:eastAsia="en-GB"/>
              </w:rPr>
            </w:pPr>
            <w:r>
              <w:rPr>
                <w:rFonts w:eastAsia="Times New Roman"/>
                <w:noProof/>
                <w:color w:val="000000"/>
                <w:sz w:val="22"/>
                <w:szCs w:val="22"/>
                <w:lang w:eastAsia="en-GB"/>
              </w:rPr>
              <w:t>85%</w:t>
            </w:r>
          </w:p>
        </w:tc>
      </w:tr>
      <w:tr>
        <w:trPr>
          <w:trHeight w:val="300"/>
        </w:trPr>
        <w:tc>
          <w:tcPr>
            <w:tcW w:w="3792" w:type="dxa"/>
            <w:noWrap/>
            <w:hideMark/>
          </w:tcPr>
          <w:p>
            <w:pPr>
              <w:rPr>
                <w:rFonts w:eastAsia="Times New Roman"/>
                <w:noProof/>
                <w:sz w:val="18"/>
                <w:szCs w:val="18"/>
                <w:lang w:eastAsia="en-GB"/>
              </w:rPr>
            </w:pPr>
            <w:r>
              <w:rPr>
                <w:rFonts w:eastAsia="Times New Roman"/>
                <w:noProof/>
                <w:sz w:val="18"/>
                <w:szCs w:val="18"/>
                <w:lang w:eastAsia="en-GB"/>
              </w:rPr>
              <w:t>Glucose and fructose</w:t>
            </w:r>
          </w:p>
        </w:tc>
        <w:tc>
          <w:tcPr>
            <w:tcW w:w="1039" w:type="dxa"/>
            <w:noWrap/>
            <w:hideMark/>
          </w:tcPr>
          <w:p>
            <w:pPr>
              <w:jc w:val="center"/>
              <w:rPr>
                <w:rFonts w:eastAsia="Times New Roman"/>
                <w:noProof/>
                <w:sz w:val="18"/>
                <w:szCs w:val="18"/>
                <w:lang w:eastAsia="en-GB"/>
              </w:rPr>
            </w:pPr>
            <w:r>
              <w:rPr>
                <w:rFonts w:eastAsia="Times New Roman"/>
                <w:noProof/>
                <w:sz w:val="18"/>
                <w:szCs w:val="18"/>
                <w:lang w:eastAsia="en-GB"/>
              </w:rPr>
              <w:t>14.000</w:t>
            </w:r>
          </w:p>
        </w:tc>
        <w:tc>
          <w:tcPr>
            <w:tcW w:w="1529" w:type="dxa"/>
          </w:tcPr>
          <w:p>
            <w:pPr>
              <w:jc w:val="right"/>
              <w:rPr>
                <w:rFonts w:eastAsia="Times New Roman"/>
                <w:noProof/>
                <w:color w:val="000000"/>
                <w:sz w:val="22"/>
                <w:szCs w:val="22"/>
                <w:lang w:eastAsia="en-GB"/>
              </w:rPr>
            </w:pPr>
            <w:r>
              <w:rPr>
                <w:rFonts w:eastAsia="Times New Roman"/>
                <w:noProof/>
                <w:color w:val="000000"/>
                <w:sz w:val="22"/>
                <w:szCs w:val="22"/>
                <w:lang w:eastAsia="en-GB"/>
              </w:rPr>
              <w:t>2.228</w:t>
            </w:r>
          </w:p>
        </w:tc>
        <w:tc>
          <w:tcPr>
            <w:tcW w:w="1540" w:type="dxa"/>
            <w:noWrap/>
            <w:hideMark/>
          </w:tcPr>
          <w:p>
            <w:pPr>
              <w:jc w:val="right"/>
              <w:rPr>
                <w:rFonts w:eastAsia="Times New Roman"/>
                <w:noProof/>
                <w:color w:val="000000"/>
                <w:sz w:val="22"/>
                <w:szCs w:val="22"/>
                <w:lang w:eastAsia="en-GB"/>
              </w:rPr>
            </w:pPr>
            <w:r>
              <w:rPr>
                <w:rFonts w:eastAsia="Times New Roman"/>
                <w:noProof/>
                <w:color w:val="000000"/>
                <w:sz w:val="22"/>
                <w:szCs w:val="22"/>
                <w:lang w:eastAsia="en-GB"/>
              </w:rPr>
              <w:t>15,9%</w:t>
            </w:r>
          </w:p>
        </w:tc>
      </w:tr>
      <w:tr>
        <w:trPr>
          <w:trHeight w:val="300"/>
        </w:trPr>
        <w:tc>
          <w:tcPr>
            <w:tcW w:w="3792" w:type="dxa"/>
            <w:noWrap/>
            <w:hideMark/>
          </w:tcPr>
          <w:p>
            <w:pPr>
              <w:rPr>
                <w:rFonts w:eastAsia="Times New Roman"/>
                <w:noProof/>
                <w:sz w:val="18"/>
                <w:szCs w:val="18"/>
                <w:lang w:eastAsia="en-GB"/>
              </w:rPr>
            </w:pPr>
            <w:r>
              <w:rPr>
                <w:rFonts w:eastAsia="Times New Roman"/>
                <w:noProof/>
                <w:sz w:val="18"/>
                <w:szCs w:val="18"/>
                <w:lang w:eastAsia="en-GB"/>
              </w:rPr>
              <w:t>Flavoured sugar syrup</w:t>
            </w:r>
          </w:p>
        </w:tc>
        <w:tc>
          <w:tcPr>
            <w:tcW w:w="1039" w:type="dxa"/>
            <w:noWrap/>
            <w:hideMark/>
          </w:tcPr>
          <w:p>
            <w:pPr>
              <w:jc w:val="center"/>
              <w:rPr>
                <w:rFonts w:eastAsia="Times New Roman"/>
                <w:noProof/>
                <w:sz w:val="18"/>
                <w:szCs w:val="18"/>
                <w:lang w:eastAsia="en-GB"/>
              </w:rPr>
            </w:pPr>
            <w:r>
              <w:rPr>
                <w:rFonts w:eastAsia="Times New Roman"/>
                <w:noProof/>
                <w:sz w:val="18"/>
                <w:szCs w:val="18"/>
                <w:lang w:eastAsia="en-GB"/>
              </w:rPr>
              <w:t>2.000</w:t>
            </w:r>
          </w:p>
        </w:tc>
        <w:tc>
          <w:tcPr>
            <w:tcW w:w="1529" w:type="dxa"/>
          </w:tcPr>
          <w:p>
            <w:pPr>
              <w:jc w:val="right"/>
              <w:rPr>
                <w:rFonts w:eastAsia="Times New Roman"/>
                <w:noProof/>
                <w:color w:val="000000"/>
                <w:sz w:val="22"/>
                <w:szCs w:val="22"/>
                <w:lang w:eastAsia="en-GB"/>
              </w:rPr>
            </w:pPr>
            <w:r>
              <w:rPr>
                <w:rFonts w:eastAsia="Times New Roman"/>
                <w:noProof/>
                <w:color w:val="000000"/>
                <w:sz w:val="22"/>
                <w:szCs w:val="22"/>
                <w:lang w:eastAsia="en-GB"/>
              </w:rPr>
              <w:t>0</w:t>
            </w:r>
          </w:p>
        </w:tc>
        <w:tc>
          <w:tcPr>
            <w:tcW w:w="1540" w:type="dxa"/>
            <w:noWrap/>
            <w:hideMark/>
          </w:tcPr>
          <w:p>
            <w:pPr>
              <w:jc w:val="right"/>
              <w:rPr>
                <w:rFonts w:eastAsia="Times New Roman"/>
                <w:noProof/>
                <w:color w:val="000000"/>
                <w:sz w:val="22"/>
                <w:szCs w:val="22"/>
                <w:lang w:eastAsia="en-GB"/>
              </w:rPr>
            </w:pPr>
            <w:r>
              <w:rPr>
                <w:rFonts w:eastAsia="Times New Roman"/>
                <w:noProof/>
                <w:color w:val="000000"/>
                <w:sz w:val="22"/>
                <w:szCs w:val="22"/>
                <w:lang w:eastAsia="en-GB"/>
              </w:rPr>
              <w:t>0</w:t>
            </w:r>
          </w:p>
        </w:tc>
      </w:tr>
      <w:tr>
        <w:trPr>
          <w:trHeight w:val="300"/>
        </w:trPr>
        <w:tc>
          <w:tcPr>
            <w:tcW w:w="3792" w:type="dxa"/>
            <w:noWrap/>
            <w:hideMark/>
          </w:tcPr>
          <w:p>
            <w:pPr>
              <w:rPr>
                <w:rFonts w:eastAsia="Times New Roman"/>
                <w:noProof/>
                <w:sz w:val="18"/>
                <w:szCs w:val="18"/>
                <w:lang w:eastAsia="en-GB"/>
              </w:rPr>
            </w:pPr>
            <w:r>
              <w:rPr>
                <w:rFonts w:eastAsia="Times New Roman"/>
                <w:noProof/>
                <w:sz w:val="18"/>
                <w:szCs w:val="18"/>
                <w:lang w:eastAsia="en-GB"/>
              </w:rPr>
              <w:t>Groats, pellets, grains..</w:t>
            </w:r>
          </w:p>
        </w:tc>
        <w:tc>
          <w:tcPr>
            <w:tcW w:w="1039" w:type="dxa"/>
            <w:noWrap/>
            <w:hideMark/>
          </w:tcPr>
          <w:p>
            <w:pPr>
              <w:jc w:val="center"/>
              <w:rPr>
                <w:rFonts w:eastAsia="Times New Roman"/>
                <w:noProof/>
                <w:sz w:val="18"/>
                <w:szCs w:val="18"/>
                <w:lang w:eastAsia="en-GB"/>
              </w:rPr>
            </w:pPr>
            <w:r>
              <w:rPr>
                <w:rFonts w:eastAsia="Times New Roman"/>
                <w:noProof/>
                <w:sz w:val="18"/>
                <w:szCs w:val="18"/>
                <w:lang w:eastAsia="en-GB"/>
              </w:rPr>
              <w:t>6.900</w:t>
            </w:r>
          </w:p>
        </w:tc>
        <w:tc>
          <w:tcPr>
            <w:tcW w:w="1529" w:type="dxa"/>
          </w:tcPr>
          <w:p>
            <w:pPr>
              <w:jc w:val="right"/>
              <w:rPr>
                <w:rFonts w:eastAsia="Times New Roman"/>
                <w:noProof/>
                <w:color w:val="000000"/>
                <w:sz w:val="22"/>
                <w:szCs w:val="22"/>
                <w:lang w:eastAsia="en-GB"/>
              </w:rPr>
            </w:pPr>
            <w:r>
              <w:rPr>
                <w:rFonts w:eastAsia="Times New Roman"/>
                <w:noProof/>
                <w:color w:val="000000"/>
                <w:sz w:val="22"/>
                <w:szCs w:val="22"/>
                <w:lang w:eastAsia="en-GB"/>
              </w:rPr>
              <w:t>6.891</w:t>
            </w:r>
          </w:p>
        </w:tc>
        <w:tc>
          <w:tcPr>
            <w:tcW w:w="1540" w:type="dxa"/>
            <w:noWrap/>
            <w:hideMark/>
          </w:tcPr>
          <w:p>
            <w:pPr>
              <w:jc w:val="right"/>
              <w:rPr>
                <w:rFonts w:eastAsia="Times New Roman"/>
                <w:noProof/>
                <w:color w:val="000000"/>
                <w:sz w:val="22"/>
                <w:szCs w:val="22"/>
                <w:lang w:eastAsia="en-GB"/>
              </w:rPr>
            </w:pPr>
            <w:r>
              <w:rPr>
                <w:rFonts w:eastAsia="Times New Roman"/>
                <w:noProof/>
                <w:color w:val="000000"/>
                <w:sz w:val="22"/>
                <w:szCs w:val="22"/>
                <w:lang w:eastAsia="en-GB"/>
              </w:rPr>
              <w:t>99,9%</w:t>
            </w:r>
          </w:p>
        </w:tc>
      </w:tr>
      <w:tr>
        <w:trPr>
          <w:trHeight w:val="300"/>
        </w:trPr>
        <w:tc>
          <w:tcPr>
            <w:tcW w:w="3792" w:type="dxa"/>
            <w:noWrap/>
            <w:hideMark/>
          </w:tcPr>
          <w:p>
            <w:pPr>
              <w:rPr>
                <w:rFonts w:eastAsia="Times New Roman"/>
                <w:noProof/>
                <w:sz w:val="18"/>
                <w:szCs w:val="18"/>
                <w:lang w:eastAsia="en-GB"/>
              </w:rPr>
            </w:pPr>
            <w:r>
              <w:rPr>
                <w:rFonts w:eastAsia="Times New Roman"/>
                <w:noProof/>
                <w:sz w:val="18"/>
                <w:szCs w:val="18"/>
                <w:lang w:eastAsia="en-GB"/>
              </w:rPr>
              <w:t>Malt and gluten</w:t>
            </w:r>
          </w:p>
        </w:tc>
        <w:tc>
          <w:tcPr>
            <w:tcW w:w="1039" w:type="dxa"/>
            <w:noWrap/>
            <w:hideMark/>
          </w:tcPr>
          <w:p>
            <w:pPr>
              <w:jc w:val="center"/>
              <w:rPr>
                <w:rFonts w:eastAsia="Times New Roman"/>
                <w:noProof/>
                <w:sz w:val="18"/>
                <w:szCs w:val="18"/>
                <w:lang w:eastAsia="en-GB"/>
              </w:rPr>
            </w:pPr>
            <w:r>
              <w:rPr>
                <w:rFonts w:eastAsia="Times New Roman"/>
                <w:noProof/>
                <w:sz w:val="18"/>
                <w:szCs w:val="18"/>
                <w:lang w:eastAsia="en-GB"/>
              </w:rPr>
              <w:t>7.000</w:t>
            </w:r>
          </w:p>
        </w:tc>
        <w:tc>
          <w:tcPr>
            <w:tcW w:w="1529" w:type="dxa"/>
          </w:tcPr>
          <w:p>
            <w:pPr>
              <w:jc w:val="right"/>
              <w:rPr>
                <w:rFonts w:eastAsia="Times New Roman"/>
                <w:noProof/>
                <w:color w:val="000000"/>
                <w:sz w:val="22"/>
                <w:szCs w:val="22"/>
                <w:lang w:eastAsia="en-GB"/>
              </w:rPr>
            </w:pPr>
            <w:r>
              <w:rPr>
                <w:rFonts w:eastAsia="Times New Roman"/>
                <w:noProof/>
                <w:color w:val="000000"/>
                <w:sz w:val="22"/>
                <w:szCs w:val="22"/>
                <w:lang w:eastAsia="en-GB"/>
              </w:rPr>
              <w:t>7.000</w:t>
            </w:r>
          </w:p>
        </w:tc>
        <w:tc>
          <w:tcPr>
            <w:tcW w:w="1540" w:type="dxa"/>
            <w:noWrap/>
            <w:hideMark/>
          </w:tcPr>
          <w:p>
            <w:pPr>
              <w:jc w:val="right"/>
              <w:rPr>
                <w:rFonts w:eastAsia="Times New Roman"/>
                <w:noProof/>
                <w:color w:val="000000"/>
                <w:sz w:val="22"/>
                <w:szCs w:val="22"/>
                <w:lang w:eastAsia="en-GB"/>
              </w:rPr>
            </w:pPr>
            <w:r>
              <w:rPr>
                <w:rFonts w:eastAsia="Times New Roman"/>
                <w:noProof/>
                <w:color w:val="000000"/>
                <w:sz w:val="22"/>
                <w:szCs w:val="22"/>
                <w:lang w:eastAsia="en-GB"/>
              </w:rPr>
              <w:t>100%</w:t>
            </w:r>
          </w:p>
        </w:tc>
      </w:tr>
      <w:tr>
        <w:trPr>
          <w:trHeight w:val="300"/>
        </w:trPr>
        <w:tc>
          <w:tcPr>
            <w:tcW w:w="3792" w:type="dxa"/>
            <w:noWrap/>
            <w:hideMark/>
          </w:tcPr>
          <w:p>
            <w:pPr>
              <w:rPr>
                <w:rFonts w:eastAsia="Times New Roman"/>
                <w:noProof/>
                <w:sz w:val="18"/>
                <w:szCs w:val="18"/>
                <w:lang w:eastAsia="en-GB"/>
              </w:rPr>
            </w:pPr>
            <w:r>
              <w:rPr>
                <w:rFonts w:eastAsia="Times New Roman"/>
                <w:noProof/>
                <w:sz w:val="18"/>
                <w:szCs w:val="18"/>
                <w:lang w:eastAsia="en-GB"/>
              </w:rPr>
              <w:t>Starches</w:t>
            </w:r>
          </w:p>
        </w:tc>
        <w:tc>
          <w:tcPr>
            <w:tcW w:w="1039" w:type="dxa"/>
            <w:noWrap/>
            <w:hideMark/>
          </w:tcPr>
          <w:p>
            <w:pPr>
              <w:jc w:val="center"/>
              <w:rPr>
                <w:rFonts w:eastAsia="Times New Roman"/>
                <w:noProof/>
                <w:sz w:val="18"/>
                <w:szCs w:val="18"/>
                <w:lang w:eastAsia="en-GB"/>
              </w:rPr>
            </w:pPr>
            <w:r>
              <w:rPr>
                <w:rFonts w:eastAsia="Times New Roman"/>
                <w:noProof/>
                <w:sz w:val="18"/>
                <w:szCs w:val="18"/>
                <w:lang w:eastAsia="en-GB"/>
              </w:rPr>
              <w:t>10.000</w:t>
            </w:r>
          </w:p>
        </w:tc>
        <w:tc>
          <w:tcPr>
            <w:tcW w:w="1529" w:type="dxa"/>
          </w:tcPr>
          <w:p>
            <w:pPr>
              <w:jc w:val="right"/>
              <w:rPr>
                <w:rFonts w:eastAsia="Times New Roman"/>
                <w:noProof/>
                <w:color w:val="000000"/>
                <w:sz w:val="22"/>
                <w:szCs w:val="22"/>
                <w:lang w:eastAsia="en-GB"/>
              </w:rPr>
            </w:pPr>
            <w:r>
              <w:rPr>
                <w:rFonts w:eastAsia="Times New Roman"/>
                <w:noProof/>
                <w:color w:val="000000"/>
                <w:sz w:val="22"/>
                <w:szCs w:val="22"/>
                <w:lang w:eastAsia="en-GB"/>
              </w:rPr>
              <w:t>9.988</w:t>
            </w:r>
          </w:p>
        </w:tc>
        <w:tc>
          <w:tcPr>
            <w:tcW w:w="1540" w:type="dxa"/>
            <w:noWrap/>
            <w:hideMark/>
          </w:tcPr>
          <w:p>
            <w:pPr>
              <w:jc w:val="right"/>
              <w:rPr>
                <w:rFonts w:eastAsia="Times New Roman"/>
                <w:noProof/>
                <w:color w:val="000000"/>
                <w:sz w:val="22"/>
                <w:szCs w:val="22"/>
                <w:lang w:eastAsia="en-GB"/>
              </w:rPr>
            </w:pPr>
            <w:r>
              <w:rPr>
                <w:rFonts w:eastAsia="Times New Roman"/>
                <w:noProof/>
                <w:color w:val="000000"/>
                <w:sz w:val="22"/>
                <w:szCs w:val="22"/>
                <w:lang w:eastAsia="en-GB"/>
              </w:rPr>
              <w:t>99,9%</w:t>
            </w:r>
          </w:p>
        </w:tc>
      </w:tr>
      <w:tr>
        <w:trPr>
          <w:trHeight w:val="300"/>
        </w:trPr>
        <w:tc>
          <w:tcPr>
            <w:tcW w:w="3792" w:type="dxa"/>
            <w:noWrap/>
            <w:hideMark/>
          </w:tcPr>
          <w:p>
            <w:pPr>
              <w:rPr>
                <w:rFonts w:eastAsia="Times New Roman"/>
                <w:noProof/>
                <w:sz w:val="18"/>
                <w:szCs w:val="18"/>
                <w:lang w:eastAsia="en-GB"/>
              </w:rPr>
            </w:pPr>
            <w:r>
              <w:rPr>
                <w:rFonts w:eastAsia="Times New Roman"/>
                <w:noProof/>
                <w:sz w:val="18"/>
                <w:szCs w:val="18"/>
                <w:lang w:eastAsia="en-GB"/>
              </w:rPr>
              <w:t>Dextrins and glues</w:t>
            </w:r>
          </w:p>
        </w:tc>
        <w:tc>
          <w:tcPr>
            <w:tcW w:w="1039" w:type="dxa"/>
            <w:noWrap/>
            <w:hideMark/>
          </w:tcPr>
          <w:p>
            <w:pPr>
              <w:jc w:val="center"/>
              <w:rPr>
                <w:rFonts w:eastAsia="Times New Roman"/>
                <w:noProof/>
                <w:sz w:val="18"/>
                <w:szCs w:val="18"/>
                <w:lang w:eastAsia="en-GB"/>
              </w:rPr>
            </w:pPr>
            <w:r>
              <w:rPr>
                <w:rFonts w:eastAsia="Times New Roman"/>
                <w:noProof/>
                <w:sz w:val="18"/>
                <w:szCs w:val="18"/>
                <w:lang w:eastAsia="en-GB"/>
              </w:rPr>
              <w:t>1.400</w:t>
            </w:r>
          </w:p>
        </w:tc>
        <w:tc>
          <w:tcPr>
            <w:tcW w:w="1529" w:type="dxa"/>
          </w:tcPr>
          <w:p>
            <w:pPr>
              <w:jc w:val="right"/>
              <w:rPr>
                <w:rFonts w:eastAsia="Times New Roman"/>
                <w:noProof/>
                <w:color w:val="000000"/>
                <w:sz w:val="22"/>
                <w:szCs w:val="22"/>
                <w:lang w:eastAsia="en-GB"/>
              </w:rPr>
            </w:pPr>
            <w:r>
              <w:rPr>
                <w:rFonts w:eastAsia="Times New Roman"/>
                <w:noProof/>
                <w:color w:val="000000"/>
                <w:sz w:val="22"/>
                <w:szCs w:val="22"/>
                <w:lang w:eastAsia="en-GB"/>
              </w:rPr>
              <w:t>1.400</w:t>
            </w:r>
          </w:p>
        </w:tc>
        <w:tc>
          <w:tcPr>
            <w:tcW w:w="1540" w:type="dxa"/>
            <w:noWrap/>
            <w:hideMark/>
          </w:tcPr>
          <w:p>
            <w:pPr>
              <w:jc w:val="right"/>
              <w:rPr>
                <w:rFonts w:eastAsia="Times New Roman"/>
                <w:noProof/>
                <w:color w:val="000000"/>
                <w:sz w:val="22"/>
                <w:szCs w:val="22"/>
                <w:lang w:eastAsia="en-GB"/>
              </w:rPr>
            </w:pPr>
            <w:r>
              <w:rPr>
                <w:rFonts w:eastAsia="Times New Roman"/>
                <w:noProof/>
                <w:color w:val="000000"/>
                <w:sz w:val="22"/>
                <w:szCs w:val="22"/>
                <w:lang w:eastAsia="en-GB"/>
              </w:rPr>
              <w:t>100%</w:t>
            </w:r>
          </w:p>
        </w:tc>
      </w:tr>
      <w:tr>
        <w:trPr>
          <w:trHeight w:val="300"/>
        </w:trPr>
        <w:tc>
          <w:tcPr>
            <w:tcW w:w="3792" w:type="dxa"/>
            <w:noWrap/>
            <w:hideMark/>
          </w:tcPr>
          <w:p>
            <w:pPr>
              <w:rPr>
                <w:rFonts w:eastAsia="Times New Roman"/>
                <w:noProof/>
                <w:sz w:val="18"/>
                <w:szCs w:val="18"/>
                <w:lang w:eastAsia="en-GB"/>
              </w:rPr>
            </w:pPr>
            <w:r>
              <w:rPr>
                <w:rFonts w:eastAsia="Times New Roman"/>
                <w:noProof/>
                <w:sz w:val="18"/>
                <w:szCs w:val="18"/>
                <w:lang w:eastAsia="en-GB"/>
              </w:rPr>
              <w:t>Residues</w:t>
            </w:r>
          </w:p>
        </w:tc>
        <w:tc>
          <w:tcPr>
            <w:tcW w:w="1039" w:type="dxa"/>
            <w:noWrap/>
            <w:hideMark/>
          </w:tcPr>
          <w:p>
            <w:pPr>
              <w:jc w:val="center"/>
              <w:rPr>
                <w:rFonts w:eastAsia="Times New Roman"/>
                <w:noProof/>
                <w:sz w:val="18"/>
                <w:szCs w:val="18"/>
                <w:lang w:eastAsia="en-GB"/>
              </w:rPr>
            </w:pPr>
            <w:r>
              <w:rPr>
                <w:rFonts w:eastAsia="Times New Roman"/>
                <w:noProof/>
                <w:sz w:val="18"/>
                <w:szCs w:val="18"/>
                <w:lang w:eastAsia="en-GB"/>
              </w:rPr>
              <w:t>19.000</w:t>
            </w:r>
          </w:p>
        </w:tc>
        <w:tc>
          <w:tcPr>
            <w:tcW w:w="1529" w:type="dxa"/>
          </w:tcPr>
          <w:p>
            <w:pPr>
              <w:jc w:val="right"/>
              <w:rPr>
                <w:rFonts w:eastAsia="Times New Roman"/>
                <w:noProof/>
                <w:color w:val="000000"/>
                <w:sz w:val="22"/>
                <w:szCs w:val="22"/>
                <w:lang w:eastAsia="en-GB"/>
              </w:rPr>
            </w:pPr>
            <w:r>
              <w:rPr>
                <w:rFonts w:eastAsia="Times New Roman"/>
                <w:noProof/>
                <w:color w:val="000000"/>
                <w:sz w:val="22"/>
                <w:szCs w:val="22"/>
                <w:lang w:eastAsia="en-GB"/>
              </w:rPr>
              <w:t>8.217</w:t>
            </w:r>
          </w:p>
        </w:tc>
        <w:tc>
          <w:tcPr>
            <w:tcW w:w="1540" w:type="dxa"/>
            <w:noWrap/>
            <w:hideMark/>
          </w:tcPr>
          <w:p>
            <w:pPr>
              <w:jc w:val="right"/>
              <w:rPr>
                <w:rFonts w:eastAsia="Times New Roman"/>
                <w:noProof/>
                <w:color w:val="000000"/>
                <w:sz w:val="22"/>
                <w:szCs w:val="22"/>
                <w:lang w:eastAsia="en-GB"/>
              </w:rPr>
            </w:pPr>
            <w:r>
              <w:rPr>
                <w:rFonts w:eastAsia="Times New Roman"/>
                <w:noProof/>
                <w:color w:val="000000"/>
                <w:sz w:val="22"/>
                <w:szCs w:val="22"/>
                <w:lang w:eastAsia="en-GB"/>
              </w:rPr>
              <w:t>43%</w:t>
            </w:r>
          </w:p>
        </w:tc>
      </w:tr>
      <w:tr>
        <w:trPr>
          <w:trHeight w:val="300"/>
        </w:trPr>
        <w:tc>
          <w:tcPr>
            <w:tcW w:w="3792" w:type="dxa"/>
            <w:noWrap/>
            <w:hideMark/>
          </w:tcPr>
          <w:p>
            <w:pPr>
              <w:rPr>
                <w:rFonts w:eastAsia="Times New Roman"/>
                <w:noProof/>
                <w:sz w:val="18"/>
                <w:szCs w:val="18"/>
                <w:lang w:eastAsia="en-GB"/>
              </w:rPr>
            </w:pPr>
            <w:r>
              <w:rPr>
                <w:rFonts w:eastAsia="Times New Roman"/>
                <w:noProof/>
                <w:sz w:val="18"/>
                <w:szCs w:val="18"/>
                <w:lang w:eastAsia="en-GB"/>
              </w:rPr>
              <w:t>Mushrooms</w:t>
            </w:r>
          </w:p>
        </w:tc>
        <w:tc>
          <w:tcPr>
            <w:tcW w:w="1039" w:type="dxa"/>
            <w:noWrap/>
            <w:hideMark/>
          </w:tcPr>
          <w:p>
            <w:pPr>
              <w:jc w:val="center"/>
              <w:rPr>
                <w:rFonts w:eastAsia="Times New Roman"/>
                <w:noProof/>
                <w:sz w:val="18"/>
                <w:szCs w:val="18"/>
                <w:lang w:eastAsia="en-GB"/>
              </w:rPr>
            </w:pPr>
            <w:r>
              <w:rPr>
                <w:rFonts w:eastAsia="Times New Roman"/>
                <w:noProof/>
                <w:sz w:val="18"/>
                <w:szCs w:val="18"/>
                <w:lang w:eastAsia="en-GB"/>
              </w:rPr>
              <w:t>500</w:t>
            </w:r>
          </w:p>
        </w:tc>
        <w:tc>
          <w:tcPr>
            <w:tcW w:w="1529" w:type="dxa"/>
          </w:tcPr>
          <w:p>
            <w:pPr>
              <w:jc w:val="right"/>
              <w:rPr>
                <w:rFonts w:eastAsia="Times New Roman"/>
                <w:noProof/>
                <w:color w:val="000000"/>
                <w:sz w:val="22"/>
                <w:szCs w:val="22"/>
                <w:lang w:eastAsia="en-GB"/>
              </w:rPr>
            </w:pPr>
            <w:r>
              <w:rPr>
                <w:rFonts w:eastAsia="Times New Roman"/>
                <w:noProof/>
                <w:color w:val="000000"/>
                <w:sz w:val="22"/>
                <w:szCs w:val="22"/>
                <w:lang w:eastAsia="en-GB"/>
              </w:rPr>
              <w:t>0</w:t>
            </w:r>
          </w:p>
        </w:tc>
        <w:tc>
          <w:tcPr>
            <w:tcW w:w="1540" w:type="dxa"/>
            <w:noWrap/>
            <w:hideMark/>
          </w:tcPr>
          <w:p>
            <w:pPr>
              <w:jc w:val="right"/>
              <w:rPr>
                <w:rFonts w:eastAsia="Times New Roman"/>
                <w:noProof/>
                <w:color w:val="000000"/>
                <w:sz w:val="22"/>
                <w:szCs w:val="22"/>
                <w:lang w:eastAsia="en-GB"/>
              </w:rPr>
            </w:pPr>
            <w:r>
              <w:rPr>
                <w:rFonts w:eastAsia="Times New Roman"/>
                <w:noProof/>
                <w:color w:val="000000"/>
                <w:sz w:val="22"/>
                <w:szCs w:val="22"/>
                <w:lang w:eastAsia="en-GB"/>
              </w:rPr>
              <w:t>0</w:t>
            </w:r>
          </w:p>
        </w:tc>
      </w:tr>
      <w:tr>
        <w:trPr>
          <w:trHeight w:val="300"/>
        </w:trPr>
        <w:tc>
          <w:tcPr>
            <w:tcW w:w="3792" w:type="dxa"/>
            <w:noWrap/>
            <w:hideMark/>
          </w:tcPr>
          <w:p>
            <w:pPr>
              <w:rPr>
                <w:rFonts w:eastAsia="Times New Roman"/>
                <w:noProof/>
                <w:sz w:val="18"/>
                <w:szCs w:val="18"/>
                <w:lang w:eastAsia="en-GB"/>
              </w:rPr>
            </w:pPr>
            <w:r>
              <w:rPr>
                <w:rFonts w:eastAsia="Times New Roman"/>
                <w:noProof/>
                <w:sz w:val="18"/>
                <w:szCs w:val="18"/>
                <w:lang w:eastAsia="en-GB"/>
              </w:rPr>
              <w:t>Mushrooms</w:t>
            </w:r>
          </w:p>
        </w:tc>
        <w:tc>
          <w:tcPr>
            <w:tcW w:w="1039" w:type="dxa"/>
            <w:noWrap/>
            <w:hideMark/>
          </w:tcPr>
          <w:p>
            <w:pPr>
              <w:jc w:val="center"/>
              <w:rPr>
                <w:rFonts w:eastAsia="Times New Roman"/>
                <w:noProof/>
                <w:sz w:val="18"/>
                <w:szCs w:val="18"/>
                <w:lang w:eastAsia="en-GB"/>
              </w:rPr>
            </w:pPr>
            <w:r>
              <w:rPr>
                <w:rFonts w:eastAsia="Times New Roman"/>
                <w:noProof/>
                <w:sz w:val="18"/>
                <w:szCs w:val="18"/>
                <w:lang w:eastAsia="en-GB"/>
              </w:rPr>
              <w:t>500</w:t>
            </w:r>
          </w:p>
        </w:tc>
        <w:tc>
          <w:tcPr>
            <w:tcW w:w="1529" w:type="dxa"/>
          </w:tcPr>
          <w:p>
            <w:pPr>
              <w:jc w:val="right"/>
              <w:rPr>
                <w:rFonts w:eastAsia="Times New Roman"/>
                <w:noProof/>
                <w:color w:val="000000"/>
                <w:sz w:val="22"/>
                <w:szCs w:val="22"/>
                <w:lang w:eastAsia="en-GB"/>
              </w:rPr>
            </w:pPr>
            <w:r>
              <w:rPr>
                <w:rFonts w:eastAsia="Times New Roman"/>
                <w:noProof/>
                <w:color w:val="000000"/>
                <w:sz w:val="22"/>
                <w:szCs w:val="22"/>
                <w:lang w:eastAsia="en-GB"/>
              </w:rPr>
              <w:t>0</w:t>
            </w:r>
          </w:p>
        </w:tc>
        <w:tc>
          <w:tcPr>
            <w:tcW w:w="1540" w:type="dxa"/>
            <w:noWrap/>
            <w:hideMark/>
          </w:tcPr>
          <w:p>
            <w:pPr>
              <w:jc w:val="right"/>
              <w:rPr>
                <w:rFonts w:eastAsia="Times New Roman"/>
                <w:noProof/>
                <w:color w:val="000000"/>
                <w:sz w:val="22"/>
                <w:szCs w:val="22"/>
                <w:lang w:eastAsia="en-GB"/>
              </w:rPr>
            </w:pPr>
            <w:r>
              <w:rPr>
                <w:rFonts w:eastAsia="Times New Roman"/>
                <w:noProof/>
                <w:color w:val="000000"/>
                <w:sz w:val="22"/>
                <w:szCs w:val="22"/>
                <w:lang w:eastAsia="en-GB"/>
              </w:rPr>
              <w:t>0</w:t>
            </w:r>
          </w:p>
        </w:tc>
      </w:tr>
      <w:tr>
        <w:trPr>
          <w:trHeight w:val="300"/>
        </w:trPr>
        <w:tc>
          <w:tcPr>
            <w:tcW w:w="3792" w:type="dxa"/>
            <w:noWrap/>
            <w:hideMark/>
          </w:tcPr>
          <w:p>
            <w:pPr>
              <w:rPr>
                <w:rFonts w:eastAsia="Times New Roman"/>
                <w:noProof/>
                <w:sz w:val="18"/>
                <w:szCs w:val="18"/>
                <w:lang w:eastAsia="en-GB"/>
              </w:rPr>
            </w:pPr>
            <w:r>
              <w:rPr>
                <w:rFonts w:eastAsia="Times New Roman"/>
                <w:noProof/>
                <w:sz w:val="18"/>
                <w:szCs w:val="18"/>
                <w:lang w:eastAsia="en-GB"/>
              </w:rPr>
              <w:t>Preserved tomatoes</w:t>
            </w:r>
          </w:p>
        </w:tc>
        <w:tc>
          <w:tcPr>
            <w:tcW w:w="1039" w:type="dxa"/>
            <w:noWrap/>
            <w:hideMark/>
          </w:tcPr>
          <w:p>
            <w:pPr>
              <w:jc w:val="center"/>
              <w:rPr>
                <w:rFonts w:eastAsia="Times New Roman"/>
                <w:noProof/>
                <w:sz w:val="18"/>
                <w:szCs w:val="18"/>
                <w:lang w:eastAsia="en-GB"/>
              </w:rPr>
            </w:pPr>
            <w:r>
              <w:rPr>
                <w:rFonts w:eastAsia="Times New Roman"/>
                <w:noProof/>
                <w:sz w:val="18"/>
                <w:szCs w:val="18"/>
                <w:lang w:eastAsia="en-GB"/>
              </w:rPr>
              <w:t>10.000</w:t>
            </w:r>
          </w:p>
        </w:tc>
        <w:tc>
          <w:tcPr>
            <w:tcW w:w="1529" w:type="dxa"/>
          </w:tcPr>
          <w:p>
            <w:pPr>
              <w:jc w:val="right"/>
              <w:rPr>
                <w:rFonts w:eastAsia="Times New Roman"/>
                <w:noProof/>
                <w:color w:val="000000"/>
                <w:sz w:val="22"/>
                <w:szCs w:val="22"/>
                <w:lang w:eastAsia="en-GB"/>
              </w:rPr>
            </w:pPr>
            <w:r>
              <w:rPr>
                <w:rFonts w:eastAsia="Times New Roman"/>
                <w:noProof/>
                <w:color w:val="000000"/>
                <w:sz w:val="22"/>
                <w:szCs w:val="22"/>
                <w:lang w:eastAsia="en-GB"/>
              </w:rPr>
              <w:t>10.000</w:t>
            </w:r>
          </w:p>
        </w:tc>
        <w:tc>
          <w:tcPr>
            <w:tcW w:w="1540" w:type="dxa"/>
            <w:noWrap/>
            <w:hideMark/>
          </w:tcPr>
          <w:p>
            <w:pPr>
              <w:jc w:val="right"/>
              <w:rPr>
                <w:rFonts w:eastAsia="Times New Roman"/>
                <w:noProof/>
                <w:color w:val="000000"/>
                <w:sz w:val="22"/>
                <w:szCs w:val="22"/>
                <w:lang w:eastAsia="en-GB"/>
              </w:rPr>
            </w:pPr>
            <w:r>
              <w:rPr>
                <w:rFonts w:eastAsia="Times New Roman"/>
                <w:noProof/>
                <w:color w:val="000000"/>
                <w:sz w:val="22"/>
                <w:szCs w:val="22"/>
                <w:lang w:eastAsia="en-GB"/>
              </w:rPr>
              <w:t>100%</w:t>
            </w:r>
          </w:p>
        </w:tc>
      </w:tr>
      <w:tr>
        <w:trPr>
          <w:trHeight w:val="300"/>
        </w:trPr>
        <w:tc>
          <w:tcPr>
            <w:tcW w:w="3792" w:type="dxa"/>
            <w:noWrap/>
            <w:hideMark/>
          </w:tcPr>
          <w:p>
            <w:pPr>
              <w:rPr>
                <w:rFonts w:eastAsia="Times New Roman"/>
                <w:noProof/>
                <w:sz w:val="18"/>
                <w:szCs w:val="18"/>
                <w:lang w:eastAsia="en-GB"/>
              </w:rPr>
            </w:pPr>
            <w:r>
              <w:rPr>
                <w:rFonts w:eastAsia="Times New Roman"/>
                <w:noProof/>
                <w:sz w:val="18"/>
                <w:szCs w:val="18"/>
                <w:lang w:eastAsia="en-GB"/>
              </w:rPr>
              <w:t>Grape and apple juice</w:t>
            </w:r>
          </w:p>
        </w:tc>
        <w:tc>
          <w:tcPr>
            <w:tcW w:w="1039" w:type="dxa"/>
            <w:noWrap/>
            <w:hideMark/>
          </w:tcPr>
          <w:p>
            <w:pPr>
              <w:jc w:val="center"/>
              <w:rPr>
                <w:rFonts w:eastAsia="Times New Roman"/>
                <w:noProof/>
                <w:sz w:val="18"/>
                <w:szCs w:val="18"/>
                <w:lang w:eastAsia="en-GB"/>
              </w:rPr>
            </w:pPr>
            <w:r>
              <w:rPr>
                <w:rFonts w:eastAsia="Times New Roman"/>
                <w:noProof/>
                <w:sz w:val="18"/>
                <w:szCs w:val="18"/>
                <w:lang w:eastAsia="en-GB"/>
              </w:rPr>
              <w:t>14.000</w:t>
            </w:r>
          </w:p>
        </w:tc>
        <w:tc>
          <w:tcPr>
            <w:tcW w:w="1529" w:type="dxa"/>
          </w:tcPr>
          <w:p>
            <w:pPr>
              <w:jc w:val="right"/>
              <w:rPr>
                <w:rFonts w:eastAsia="Times New Roman"/>
                <w:noProof/>
                <w:color w:val="000000"/>
                <w:sz w:val="22"/>
                <w:szCs w:val="22"/>
                <w:lang w:eastAsia="en-GB"/>
              </w:rPr>
            </w:pPr>
            <w:r>
              <w:rPr>
                <w:rFonts w:eastAsia="Times New Roman"/>
                <w:noProof/>
                <w:color w:val="000000"/>
                <w:sz w:val="22"/>
                <w:szCs w:val="22"/>
                <w:lang w:eastAsia="en-GB"/>
              </w:rPr>
              <w:t>14.000</w:t>
            </w:r>
          </w:p>
        </w:tc>
        <w:tc>
          <w:tcPr>
            <w:tcW w:w="1540" w:type="dxa"/>
            <w:noWrap/>
            <w:hideMark/>
          </w:tcPr>
          <w:p>
            <w:pPr>
              <w:jc w:val="right"/>
              <w:rPr>
                <w:rFonts w:eastAsia="Times New Roman"/>
                <w:noProof/>
                <w:color w:val="000000"/>
                <w:sz w:val="22"/>
                <w:szCs w:val="22"/>
                <w:lang w:eastAsia="en-GB"/>
              </w:rPr>
            </w:pPr>
            <w:r>
              <w:rPr>
                <w:rFonts w:eastAsia="Times New Roman"/>
                <w:noProof/>
                <w:color w:val="000000"/>
                <w:sz w:val="22"/>
                <w:szCs w:val="22"/>
                <w:lang w:eastAsia="en-GB"/>
              </w:rPr>
              <w:t>100%</w:t>
            </w:r>
          </w:p>
        </w:tc>
      </w:tr>
      <w:tr>
        <w:trPr>
          <w:trHeight w:val="300"/>
        </w:trPr>
        <w:tc>
          <w:tcPr>
            <w:tcW w:w="3792" w:type="dxa"/>
            <w:noWrap/>
            <w:hideMark/>
          </w:tcPr>
          <w:p>
            <w:pPr>
              <w:rPr>
                <w:rFonts w:eastAsia="Times New Roman"/>
                <w:noProof/>
                <w:sz w:val="18"/>
                <w:szCs w:val="18"/>
                <w:lang w:eastAsia="en-GB"/>
              </w:rPr>
            </w:pPr>
            <w:r>
              <w:rPr>
                <w:rFonts w:eastAsia="Times New Roman"/>
                <w:noProof/>
                <w:sz w:val="18"/>
                <w:szCs w:val="18"/>
                <w:lang w:eastAsia="en-GB"/>
              </w:rPr>
              <w:t>Buttermilk, cream, yogurt</w:t>
            </w:r>
          </w:p>
        </w:tc>
        <w:tc>
          <w:tcPr>
            <w:tcW w:w="1039" w:type="dxa"/>
            <w:noWrap/>
            <w:hideMark/>
          </w:tcPr>
          <w:p>
            <w:pPr>
              <w:jc w:val="center"/>
              <w:rPr>
                <w:rFonts w:eastAsia="Times New Roman"/>
                <w:noProof/>
                <w:sz w:val="18"/>
                <w:szCs w:val="18"/>
                <w:lang w:eastAsia="en-GB"/>
              </w:rPr>
            </w:pPr>
            <w:r>
              <w:rPr>
                <w:rFonts w:eastAsia="Times New Roman"/>
                <w:noProof/>
                <w:sz w:val="18"/>
                <w:szCs w:val="18"/>
                <w:lang w:eastAsia="en-GB"/>
              </w:rPr>
              <w:t>2.000</w:t>
            </w:r>
          </w:p>
        </w:tc>
        <w:tc>
          <w:tcPr>
            <w:tcW w:w="1529" w:type="dxa"/>
          </w:tcPr>
          <w:p>
            <w:pPr>
              <w:jc w:val="right"/>
              <w:rPr>
                <w:rFonts w:eastAsia="Times New Roman"/>
                <w:noProof/>
                <w:color w:val="000000"/>
                <w:sz w:val="22"/>
                <w:szCs w:val="22"/>
                <w:lang w:eastAsia="en-GB"/>
              </w:rPr>
            </w:pPr>
            <w:r>
              <w:rPr>
                <w:rFonts w:eastAsia="Times New Roman"/>
                <w:noProof/>
                <w:color w:val="000000"/>
                <w:sz w:val="22"/>
                <w:szCs w:val="22"/>
                <w:lang w:eastAsia="en-GB"/>
              </w:rPr>
              <w:t>443</w:t>
            </w:r>
          </w:p>
        </w:tc>
        <w:tc>
          <w:tcPr>
            <w:tcW w:w="1540" w:type="dxa"/>
            <w:noWrap/>
            <w:hideMark/>
          </w:tcPr>
          <w:p>
            <w:pPr>
              <w:jc w:val="right"/>
              <w:rPr>
                <w:rFonts w:eastAsia="Times New Roman"/>
                <w:noProof/>
                <w:color w:val="000000"/>
                <w:sz w:val="22"/>
                <w:szCs w:val="22"/>
                <w:lang w:eastAsia="en-GB"/>
              </w:rPr>
            </w:pPr>
            <w:r>
              <w:rPr>
                <w:rFonts w:eastAsia="Times New Roman"/>
                <w:noProof/>
                <w:color w:val="000000"/>
                <w:sz w:val="22"/>
                <w:szCs w:val="22"/>
                <w:lang w:eastAsia="en-GB"/>
              </w:rPr>
              <w:t>22%</w:t>
            </w:r>
          </w:p>
        </w:tc>
      </w:tr>
      <w:tr>
        <w:trPr>
          <w:trHeight w:val="300"/>
        </w:trPr>
        <w:tc>
          <w:tcPr>
            <w:tcW w:w="3792" w:type="dxa"/>
            <w:noWrap/>
            <w:hideMark/>
          </w:tcPr>
          <w:p>
            <w:pPr>
              <w:rPr>
                <w:rFonts w:eastAsia="Times New Roman"/>
                <w:noProof/>
                <w:sz w:val="18"/>
                <w:szCs w:val="18"/>
                <w:lang w:eastAsia="en-GB"/>
              </w:rPr>
            </w:pPr>
            <w:r>
              <w:rPr>
                <w:rFonts w:eastAsia="Times New Roman"/>
                <w:noProof/>
                <w:sz w:val="18"/>
                <w:szCs w:val="18"/>
                <w:lang w:eastAsia="en-GB"/>
              </w:rPr>
              <w:t>Dairy spreads</w:t>
            </w:r>
          </w:p>
        </w:tc>
        <w:tc>
          <w:tcPr>
            <w:tcW w:w="1039" w:type="dxa"/>
            <w:noWrap/>
            <w:hideMark/>
          </w:tcPr>
          <w:p>
            <w:pPr>
              <w:jc w:val="center"/>
              <w:rPr>
                <w:rFonts w:eastAsia="Times New Roman"/>
                <w:noProof/>
                <w:sz w:val="18"/>
                <w:szCs w:val="18"/>
                <w:lang w:eastAsia="en-GB"/>
              </w:rPr>
            </w:pPr>
            <w:r>
              <w:rPr>
                <w:rFonts w:eastAsia="Times New Roman"/>
                <w:noProof/>
                <w:sz w:val="18"/>
                <w:szCs w:val="18"/>
                <w:lang w:eastAsia="en-GB"/>
              </w:rPr>
              <w:t>250</w:t>
            </w:r>
          </w:p>
        </w:tc>
        <w:tc>
          <w:tcPr>
            <w:tcW w:w="1529" w:type="dxa"/>
          </w:tcPr>
          <w:p>
            <w:pPr>
              <w:jc w:val="right"/>
              <w:rPr>
                <w:rFonts w:eastAsia="Times New Roman"/>
                <w:noProof/>
                <w:color w:val="000000"/>
                <w:sz w:val="22"/>
                <w:szCs w:val="22"/>
                <w:lang w:eastAsia="en-GB"/>
              </w:rPr>
            </w:pPr>
            <w:r>
              <w:rPr>
                <w:rFonts w:eastAsia="Times New Roman"/>
                <w:noProof/>
                <w:color w:val="000000"/>
                <w:sz w:val="22"/>
                <w:szCs w:val="22"/>
                <w:lang w:eastAsia="en-GB"/>
              </w:rPr>
              <w:t>0</w:t>
            </w:r>
          </w:p>
        </w:tc>
        <w:tc>
          <w:tcPr>
            <w:tcW w:w="1540" w:type="dxa"/>
            <w:noWrap/>
            <w:hideMark/>
          </w:tcPr>
          <w:p>
            <w:pPr>
              <w:jc w:val="right"/>
              <w:rPr>
                <w:rFonts w:eastAsia="Times New Roman"/>
                <w:noProof/>
                <w:color w:val="000000"/>
                <w:sz w:val="22"/>
                <w:szCs w:val="22"/>
                <w:lang w:eastAsia="en-GB"/>
              </w:rPr>
            </w:pPr>
            <w:r>
              <w:rPr>
                <w:rFonts w:eastAsia="Times New Roman"/>
                <w:noProof/>
                <w:color w:val="000000"/>
                <w:sz w:val="22"/>
                <w:szCs w:val="22"/>
                <w:lang w:eastAsia="en-GB"/>
              </w:rPr>
              <w:t>0</w:t>
            </w:r>
          </w:p>
        </w:tc>
      </w:tr>
      <w:tr>
        <w:trPr>
          <w:trHeight w:val="300"/>
        </w:trPr>
        <w:tc>
          <w:tcPr>
            <w:tcW w:w="3792" w:type="dxa"/>
            <w:noWrap/>
            <w:hideMark/>
          </w:tcPr>
          <w:p>
            <w:pPr>
              <w:rPr>
                <w:rFonts w:eastAsia="Times New Roman"/>
                <w:noProof/>
                <w:sz w:val="18"/>
                <w:szCs w:val="18"/>
                <w:lang w:eastAsia="en-GB"/>
              </w:rPr>
            </w:pPr>
            <w:r>
              <w:rPr>
                <w:rFonts w:eastAsia="Times New Roman"/>
                <w:noProof/>
                <w:sz w:val="18"/>
                <w:szCs w:val="18"/>
                <w:lang w:eastAsia="en-GB"/>
              </w:rPr>
              <w:t>Sweetcorn</w:t>
            </w:r>
          </w:p>
        </w:tc>
        <w:tc>
          <w:tcPr>
            <w:tcW w:w="1039" w:type="dxa"/>
            <w:noWrap/>
            <w:hideMark/>
          </w:tcPr>
          <w:p>
            <w:pPr>
              <w:jc w:val="center"/>
              <w:rPr>
                <w:rFonts w:eastAsia="Times New Roman"/>
                <w:noProof/>
                <w:sz w:val="18"/>
                <w:szCs w:val="18"/>
                <w:lang w:eastAsia="en-GB"/>
              </w:rPr>
            </w:pPr>
            <w:r>
              <w:rPr>
                <w:rFonts w:eastAsia="Times New Roman"/>
                <w:noProof/>
                <w:sz w:val="18"/>
                <w:szCs w:val="18"/>
                <w:lang w:eastAsia="en-GB"/>
              </w:rPr>
              <w:t>1.500</w:t>
            </w:r>
          </w:p>
        </w:tc>
        <w:tc>
          <w:tcPr>
            <w:tcW w:w="1529" w:type="dxa"/>
          </w:tcPr>
          <w:p>
            <w:pPr>
              <w:jc w:val="right"/>
              <w:rPr>
                <w:rFonts w:eastAsia="Times New Roman"/>
                <w:noProof/>
                <w:color w:val="000000"/>
                <w:sz w:val="22"/>
                <w:szCs w:val="22"/>
                <w:lang w:eastAsia="en-GB"/>
              </w:rPr>
            </w:pPr>
            <w:r>
              <w:rPr>
                <w:rFonts w:eastAsia="Times New Roman"/>
                <w:noProof/>
                <w:color w:val="000000"/>
                <w:sz w:val="22"/>
                <w:szCs w:val="22"/>
                <w:lang w:eastAsia="en-GB"/>
              </w:rPr>
              <w:t>14</w:t>
            </w:r>
          </w:p>
        </w:tc>
        <w:tc>
          <w:tcPr>
            <w:tcW w:w="1540" w:type="dxa"/>
            <w:noWrap/>
            <w:hideMark/>
          </w:tcPr>
          <w:p>
            <w:pPr>
              <w:jc w:val="right"/>
              <w:rPr>
                <w:rFonts w:eastAsia="Times New Roman"/>
                <w:noProof/>
                <w:color w:val="000000"/>
                <w:sz w:val="22"/>
                <w:szCs w:val="22"/>
                <w:lang w:eastAsia="en-GB"/>
              </w:rPr>
            </w:pPr>
            <w:r>
              <w:rPr>
                <w:rFonts w:eastAsia="Times New Roman"/>
                <w:noProof/>
                <w:color w:val="000000"/>
                <w:sz w:val="22"/>
                <w:szCs w:val="22"/>
                <w:lang w:eastAsia="en-GB"/>
              </w:rPr>
              <w:t>0,9%</w:t>
            </w:r>
          </w:p>
        </w:tc>
      </w:tr>
      <w:tr>
        <w:trPr>
          <w:trHeight w:val="300"/>
        </w:trPr>
        <w:tc>
          <w:tcPr>
            <w:tcW w:w="3792" w:type="dxa"/>
            <w:noWrap/>
            <w:hideMark/>
          </w:tcPr>
          <w:p>
            <w:pPr>
              <w:rPr>
                <w:rFonts w:eastAsia="Times New Roman"/>
                <w:noProof/>
                <w:sz w:val="18"/>
                <w:szCs w:val="18"/>
                <w:lang w:eastAsia="en-GB"/>
              </w:rPr>
            </w:pPr>
            <w:r>
              <w:rPr>
                <w:rFonts w:eastAsia="Times New Roman"/>
                <w:noProof/>
                <w:sz w:val="18"/>
                <w:szCs w:val="18"/>
                <w:lang w:eastAsia="en-GB"/>
              </w:rPr>
              <w:t>Fructose, preparations, odoriferous substances</w:t>
            </w:r>
          </w:p>
        </w:tc>
        <w:tc>
          <w:tcPr>
            <w:tcW w:w="1039" w:type="dxa"/>
            <w:noWrap/>
            <w:hideMark/>
          </w:tcPr>
          <w:p>
            <w:pPr>
              <w:jc w:val="center"/>
              <w:rPr>
                <w:rFonts w:eastAsia="Times New Roman"/>
                <w:noProof/>
                <w:sz w:val="18"/>
                <w:szCs w:val="18"/>
                <w:lang w:eastAsia="en-GB"/>
              </w:rPr>
            </w:pPr>
            <w:r>
              <w:rPr>
                <w:rFonts w:eastAsia="Times New Roman"/>
                <w:noProof/>
                <w:sz w:val="18"/>
                <w:szCs w:val="18"/>
                <w:lang w:eastAsia="en-GB"/>
              </w:rPr>
              <w:t>2.400</w:t>
            </w:r>
          </w:p>
        </w:tc>
        <w:tc>
          <w:tcPr>
            <w:tcW w:w="1529" w:type="dxa"/>
          </w:tcPr>
          <w:p>
            <w:pPr>
              <w:jc w:val="right"/>
              <w:rPr>
                <w:rFonts w:eastAsia="Times New Roman"/>
                <w:noProof/>
                <w:color w:val="000000"/>
                <w:sz w:val="22"/>
                <w:szCs w:val="22"/>
                <w:lang w:eastAsia="en-GB"/>
              </w:rPr>
            </w:pPr>
            <w:r>
              <w:rPr>
                <w:rFonts w:eastAsia="Times New Roman"/>
                <w:noProof/>
                <w:color w:val="000000"/>
                <w:sz w:val="22"/>
                <w:szCs w:val="22"/>
                <w:lang w:eastAsia="en-GB"/>
              </w:rPr>
              <w:t>335</w:t>
            </w:r>
          </w:p>
        </w:tc>
        <w:tc>
          <w:tcPr>
            <w:tcW w:w="1540" w:type="dxa"/>
            <w:noWrap/>
            <w:hideMark/>
          </w:tcPr>
          <w:p>
            <w:pPr>
              <w:jc w:val="right"/>
              <w:rPr>
                <w:rFonts w:eastAsia="Times New Roman"/>
                <w:noProof/>
                <w:color w:val="000000"/>
                <w:sz w:val="22"/>
                <w:szCs w:val="22"/>
                <w:lang w:eastAsia="en-GB"/>
              </w:rPr>
            </w:pPr>
            <w:r>
              <w:rPr>
                <w:rFonts w:eastAsia="Times New Roman"/>
                <w:noProof/>
                <w:color w:val="000000"/>
                <w:sz w:val="22"/>
                <w:szCs w:val="22"/>
                <w:lang w:eastAsia="en-GB"/>
              </w:rPr>
              <w:t>14%</w:t>
            </w:r>
          </w:p>
        </w:tc>
      </w:tr>
      <w:tr>
        <w:trPr>
          <w:trHeight w:val="300"/>
        </w:trPr>
        <w:tc>
          <w:tcPr>
            <w:tcW w:w="3792" w:type="dxa"/>
            <w:noWrap/>
            <w:hideMark/>
          </w:tcPr>
          <w:p>
            <w:pPr>
              <w:rPr>
                <w:rFonts w:eastAsia="Times New Roman"/>
                <w:noProof/>
                <w:sz w:val="18"/>
                <w:szCs w:val="18"/>
                <w:lang w:eastAsia="en-GB"/>
              </w:rPr>
            </w:pPr>
            <w:r>
              <w:rPr>
                <w:rFonts w:eastAsia="Times New Roman"/>
                <w:noProof/>
                <w:sz w:val="18"/>
                <w:szCs w:val="18"/>
                <w:lang w:eastAsia="en-GB"/>
              </w:rPr>
              <w:t>Tapioca, bulgur wheat</w:t>
            </w:r>
          </w:p>
        </w:tc>
        <w:tc>
          <w:tcPr>
            <w:tcW w:w="1039" w:type="dxa"/>
            <w:noWrap/>
            <w:hideMark/>
          </w:tcPr>
          <w:p>
            <w:pPr>
              <w:jc w:val="center"/>
              <w:rPr>
                <w:rFonts w:eastAsia="Times New Roman"/>
                <w:noProof/>
                <w:sz w:val="18"/>
                <w:szCs w:val="18"/>
                <w:lang w:eastAsia="en-GB"/>
              </w:rPr>
            </w:pPr>
            <w:r>
              <w:rPr>
                <w:rFonts w:eastAsia="Times New Roman"/>
                <w:noProof/>
                <w:sz w:val="18"/>
                <w:szCs w:val="18"/>
                <w:lang w:eastAsia="en-GB"/>
              </w:rPr>
              <w:t>2.000</w:t>
            </w:r>
          </w:p>
        </w:tc>
        <w:tc>
          <w:tcPr>
            <w:tcW w:w="1529" w:type="dxa"/>
          </w:tcPr>
          <w:p>
            <w:pPr>
              <w:jc w:val="right"/>
              <w:rPr>
                <w:rFonts w:eastAsia="Times New Roman"/>
                <w:noProof/>
                <w:color w:val="000000"/>
                <w:sz w:val="22"/>
                <w:szCs w:val="22"/>
                <w:lang w:eastAsia="en-GB"/>
              </w:rPr>
            </w:pPr>
            <w:r>
              <w:rPr>
                <w:rFonts w:eastAsia="Times New Roman"/>
                <w:noProof/>
                <w:color w:val="000000"/>
                <w:sz w:val="22"/>
                <w:szCs w:val="22"/>
                <w:lang w:eastAsia="en-GB"/>
              </w:rPr>
              <w:t>802</w:t>
            </w:r>
          </w:p>
        </w:tc>
        <w:tc>
          <w:tcPr>
            <w:tcW w:w="1540" w:type="dxa"/>
            <w:noWrap/>
            <w:hideMark/>
          </w:tcPr>
          <w:p>
            <w:pPr>
              <w:jc w:val="right"/>
              <w:rPr>
                <w:rFonts w:eastAsia="Times New Roman"/>
                <w:noProof/>
                <w:color w:val="000000"/>
                <w:sz w:val="22"/>
                <w:szCs w:val="22"/>
                <w:lang w:eastAsia="en-GB"/>
              </w:rPr>
            </w:pPr>
            <w:r>
              <w:rPr>
                <w:rFonts w:eastAsia="Times New Roman"/>
                <w:noProof/>
                <w:color w:val="000000"/>
                <w:sz w:val="22"/>
                <w:szCs w:val="22"/>
                <w:lang w:eastAsia="en-GB"/>
              </w:rPr>
              <w:t>40%</w:t>
            </w:r>
          </w:p>
        </w:tc>
      </w:tr>
      <w:tr>
        <w:trPr>
          <w:trHeight w:val="300"/>
        </w:trPr>
        <w:tc>
          <w:tcPr>
            <w:tcW w:w="3792" w:type="dxa"/>
            <w:noWrap/>
            <w:hideMark/>
          </w:tcPr>
          <w:p>
            <w:pPr>
              <w:rPr>
                <w:rFonts w:eastAsia="Times New Roman"/>
                <w:noProof/>
                <w:sz w:val="18"/>
                <w:szCs w:val="18"/>
                <w:lang w:eastAsia="en-GB"/>
              </w:rPr>
            </w:pPr>
            <w:r>
              <w:rPr>
                <w:rFonts w:eastAsia="Times New Roman"/>
                <w:noProof/>
                <w:sz w:val="18"/>
                <w:szCs w:val="18"/>
                <w:lang w:eastAsia="en-GB"/>
              </w:rPr>
              <w:t>Chocolate milk crumb and others</w:t>
            </w:r>
          </w:p>
        </w:tc>
        <w:tc>
          <w:tcPr>
            <w:tcW w:w="1039" w:type="dxa"/>
            <w:noWrap/>
            <w:hideMark/>
          </w:tcPr>
          <w:p>
            <w:pPr>
              <w:jc w:val="center"/>
              <w:rPr>
                <w:rFonts w:eastAsia="Times New Roman"/>
                <w:noProof/>
                <w:sz w:val="18"/>
                <w:szCs w:val="18"/>
                <w:lang w:eastAsia="en-GB"/>
              </w:rPr>
            </w:pPr>
            <w:r>
              <w:rPr>
                <w:rFonts w:eastAsia="Times New Roman"/>
                <w:noProof/>
                <w:sz w:val="18"/>
                <w:szCs w:val="18"/>
                <w:lang w:eastAsia="en-GB"/>
              </w:rPr>
              <w:t>380</w:t>
            </w:r>
          </w:p>
        </w:tc>
        <w:tc>
          <w:tcPr>
            <w:tcW w:w="1529" w:type="dxa"/>
          </w:tcPr>
          <w:p>
            <w:pPr>
              <w:jc w:val="right"/>
              <w:rPr>
                <w:rFonts w:eastAsia="Times New Roman"/>
                <w:noProof/>
                <w:color w:val="000000"/>
                <w:sz w:val="22"/>
                <w:szCs w:val="22"/>
                <w:lang w:eastAsia="en-GB"/>
              </w:rPr>
            </w:pPr>
            <w:r>
              <w:rPr>
                <w:rFonts w:eastAsia="Times New Roman"/>
                <w:noProof/>
                <w:color w:val="000000"/>
                <w:sz w:val="22"/>
                <w:szCs w:val="22"/>
                <w:lang w:eastAsia="en-GB"/>
              </w:rPr>
              <w:t>16</w:t>
            </w:r>
          </w:p>
        </w:tc>
        <w:tc>
          <w:tcPr>
            <w:tcW w:w="1540" w:type="dxa"/>
            <w:noWrap/>
            <w:hideMark/>
          </w:tcPr>
          <w:p>
            <w:pPr>
              <w:jc w:val="right"/>
              <w:rPr>
                <w:rFonts w:eastAsia="Times New Roman"/>
                <w:noProof/>
                <w:color w:val="000000"/>
                <w:sz w:val="22"/>
                <w:szCs w:val="22"/>
                <w:lang w:eastAsia="en-GB"/>
              </w:rPr>
            </w:pPr>
            <w:r>
              <w:rPr>
                <w:rFonts w:eastAsia="Times New Roman"/>
                <w:noProof/>
                <w:color w:val="000000"/>
                <w:sz w:val="22"/>
                <w:szCs w:val="22"/>
                <w:lang w:eastAsia="en-GB"/>
              </w:rPr>
              <w:t>4,2%</w:t>
            </w:r>
          </w:p>
        </w:tc>
      </w:tr>
      <w:tr>
        <w:trPr>
          <w:trHeight w:val="300"/>
        </w:trPr>
        <w:tc>
          <w:tcPr>
            <w:tcW w:w="3792" w:type="dxa"/>
            <w:noWrap/>
            <w:hideMark/>
          </w:tcPr>
          <w:p>
            <w:pPr>
              <w:rPr>
                <w:rFonts w:eastAsia="Times New Roman"/>
                <w:noProof/>
                <w:sz w:val="18"/>
                <w:szCs w:val="18"/>
                <w:lang w:eastAsia="en-GB"/>
              </w:rPr>
            </w:pPr>
            <w:r>
              <w:rPr>
                <w:rFonts w:eastAsia="Times New Roman"/>
                <w:noProof/>
                <w:sz w:val="18"/>
                <w:szCs w:val="18"/>
                <w:lang w:eastAsia="en-GB"/>
              </w:rPr>
              <w:t>Food preparations</w:t>
            </w:r>
          </w:p>
        </w:tc>
        <w:tc>
          <w:tcPr>
            <w:tcW w:w="1039" w:type="dxa"/>
            <w:noWrap/>
            <w:hideMark/>
          </w:tcPr>
          <w:p>
            <w:pPr>
              <w:jc w:val="center"/>
              <w:rPr>
                <w:rFonts w:eastAsia="Times New Roman"/>
                <w:noProof/>
                <w:sz w:val="18"/>
                <w:szCs w:val="18"/>
                <w:lang w:eastAsia="en-GB"/>
              </w:rPr>
            </w:pPr>
            <w:r>
              <w:rPr>
                <w:rFonts w:eastAsia="Times New Roman"/>
                <w:noProof/>
                <w:sz w:val="18"/>
                <w:szCs w:val="18"/>
                <w:lang w:eastAsia="en-GB"/>
              </w:rPr>
              <w:t>2.000</w:t>
            </w:r>
          </w:p>
        </w:tc>
        <w:tc>
          <w:tcPr>
            <w:tcW w:w="1529" w:type="dxa"/>
          </w:tcPr>
          <w:p>
            <w:pPr>
              <w:jc w:val="right"/>
              <w:rPr>
                <w:rFonts w:eastAsia="Times New Roman"/>
                <w:noProof/>
                <w:color w:val="000000"/>
                <w:sz w:val="22"/>
                <w:szCs w:val="22"/>
                <w:lang w:eastAsia="en-GB"/>
              </w:rPr>
            </w:pPr>
            <w:r>
              <w:rPr>
                <w:rFonts w:eastAsia="Times New Roman"/>
                <w:noProof/>
                <w:color w:val="000000"/>
                <w:sz w:val="22"/>
                <w:szCs w:val="22"/>
                <w:lang w:eastAsia="en-GB"/>
              </w:rPr>
              <w:t>17</w:t>
            </w:r>
          </w:p>
        </w:tc>
        <w:tc>
          <w:tcPr>
            <w:tcW w:w="1540" w:type="dxa"/>
            <w:noWrap/>
            <w:hideMark/>
          </w:tcPr>
          <w:p>
            <w:pPr>
              <w:jc w:val="right"/>
              <w:rPr>
                <w:rFonts w:eastAsia="Times New Roman"/>
                <w:noProof/>
                <w:color w:val="000000"/>
                <w:sz w:val="22"/>
                <w:szCs w:val="22"/>
                <w:lang w:eastAsia="en-GB"/>
              </w:rPr>
            </w:pPr>
            <w:r>
              <w:rPr>
                <w:rFonts w:eastAsia="Times New Roman"/>
                <w:noProof/>
                <w:color w:val="000000"/>
                <w:sz w:val="22"/>
                <w:szCs w:val="22"/>
                <w:lang w:eastAsia="en-GB"/>
              </w:rPr>
              <w:t>0,9%</w:t>
            </w:r>
          </w:p>
        </w:tc>
      </w:tr>
      <w:tr>
        <w:trPr>
          <w:trHeight w:val="300"/>
        </w:trPr>
        <w:tc>
          <w:tcPr>
            <w:tcW w:w="3792" w:type="dxa"/>
            <w:noWrap/>
            <w:hideMark/>
          </w:tcPr>
          <w:p>
            <w:pPr>
              <w:rPr>
                <w:rFonts w:eastAsia="Times New Roman"/>
                <w:noProof/>
                <w:sz w:val="18"/>
                <w:szCs w:val="18"/>
                <w:lang w:eastAsia="en-GB"/>
              </w:rPr>
            </w:pPr>
            <w:r>
              <w:rPr>
                <w:rFonts w:eastAsia="Times New Roman"/>
                <w:noProof/>
                <w:sz w:val="18"/>
                <w:szCs w:val="18"/>
                <w:lang w:eastAsia="en-GB"/>
              </w:rPr>
              <w:t>Ethyl alcohol</w:t>
            </w:r>
          </w:p>
        </w:tc>
        <w:tc>
          <w:tcPr>
            <w:tcW w:w="1039" w:type="dxa"/>
            <w:noWrap/>
            <w:hideMark/>
          </w:tcPr>
          <w:p>
            <w:pPr>
              <w:jc w:val="center"/>
              <w:rPr>
                <w:rFonts w:eastAsia="Times New Roman"/>
                <w:noProof/>
                <w:sz w:val="18"/>
                <w:szCs w:val="18"/>
                <w:lang w:eastAsia="en-GB"/>
              </w:rPr>
            </w:pPr>
            <w:r>
              <w:rPr>
                <w:rFonts w:eastAsia="Times New Roman"/>
                <w:noProof/>
                <w:sz w:val="18"/>
                <w:szCs w:val="18"/>
                <w:lang w:eastAsia="en-GB"/>
              </w:rPr>
              <w:t>56.200</w:t>
            </w:r>
          </w:p>
        </w:tc>
        <w:tc>
          <w:tcPr>
            <w:tcW w:w="1529" w:type="dxa"/>
          </w:tcPr>
          <w:p>
            <w:pPr>
              <w:jc w:val="right"/>
              <w:rPr>
                <w:rFonts w:eastAsia="Times New Roman"/>
                <w:noProof/>
                <w:color w:val="000000"/>
                <w:sz w:val="22"/>
                <w:szCs w:val="22"/>
                <w:lang w:eastAsia="en-GB"/>
              </w:rPr>
            </w:pPr>
            <w:r>
              <w:rPr>
                <w:rFonts w:eastAsia="Times New Roman"/>
                <w:noProof/>
                <w:color w:val="000000"/>
                <w:sz w:val="22"/>
                <w:szCs w:val="22"/>
                <w:lang w:eastAsia="en-GB"/>
              </w:rPr>
              <w:t>5.867</w:t>
            </w:r>
          </w:p>
        </w:tc>
        <w:tc>
          <w:tcPr>
            <w:tcW w:w="1540" w:type="dxa"/>
            <w:noWrap/>
            <w:hideMark/>
          </w:tcPr>
          <w:p>
            <w:pPr>
              <w:jc w:val="right"/>
              <w:rPr>
                <w:rFonts w:eastAsia="Times New Roman"/>
                <w:noProof/>
                <w:color w:val="000000"/>
                <w:sz w:val="22"/>
                <w:szCs w:val="22"/>
                <w:lang w:eastAsia="en-GB"/>
              </w:rPr>
            </w:pPr>
            <w:r>
              <w:rPr>
                <w:rFonts w:eastAsia="Times New Roman"/>
                <w:noProof/>
                <w:color w:val="000000"/>
                <w:sz w:val="22"/>
                <w:szCs w:val="22"/>
                <w:lang w:eastAsia="en-GB"/>
              </w:rPr>
              <w:t>10,4%</w:t>
            </w:r>
          </w:p>
        </w:tc>
      </w:tr>
      <w:tr>
        <w:trPr>
          <w:trHeight w:val="300"/>
        </w:trPr>
        <w:tc>
          <w:tcPr>
            <w:tcW w:w="3792" w:type="dxa"/>
            <w:noWrap/>
            <w:hideMark/>
          </w:tcPr>
          <w:p>
            <w:pPr>
              <w:rPr>
                <w:rFonts w:eastAsia="Times New Roman"/>
                <w:noProof/>
                <w:sz w:val="18"/>
                <w:szCs w:val="18"/>
                <w:lang w:eastAsia="en-GB"/>
              </w:rPr>
            </w:pPr>
            <w:r>
              <w:rPr>
                <w:rFonts w:eastAsia="Times New Roman"/>
                <w:noProof/>
                <w:sz w:val="18"/>
                <w:szCs w:val="18"/>
                <w:lang w:eastAsia="en-GB"/>
              </w:rPr>
              <w:t>Cigars, cigarettes</w:t>
            </w:r>
          </w:p>
        </w:tc>
        <w:tc>
          <w:tcPr>
            <w:tcW w:w="1039" w:type="dxa"/>
            <w:noWrap/>
            <w:hideMark/>
          </w:tcPr>
          <w:p>
            <w:pPr>
              <w:jc w:val="center"/>
              <w:rPr>
                <w:rFonts w:eastAsia="Times New Roman"/>
                <w:noProof/>
                <w:sz w:val="18"/>
                <w:szCs w:val="18"/>
                <w:lang w:eastAsia="en-GB"/>
              </w:rPr>
            </w:pPr>
            <w:r>
              <w:rPr>
                <w:rFonts w:eastAsia="Times New Roman"/>
                <w:noProof/>
                <w:sz w:val="18"/>
                <w:szCs w:val="18"/>
                <w:lang w:eastAsia="en-GB"/>
              </w:rPr>
              <w:t>2.500</w:t>
            </w:r>
          </w:p>
        </w:tc>
        <w:tc>
          <w:tcPr>
            <w:tcW w:w="1529" w:type="dxa"/>
          </w:tcPr>
          <w:p>
            <w:pPr>
              <w:jc w:val="right"/>
              <w:rPr>
                <w:rFonts w:eastAsia="Times New Roman"/>
                <w:noProof/>
                <w:color w:val="000000"/>
                <w:sz w:val="22"/>
                <w:szCs w:val="22"/>
                <w:lang w:eastAsia="en-GB"/>
              </w:rPr>
            </w:pPr>
            <w:r>
              <w:rPr>
                <w:rFonts w:eastAsia="Times New Roman"/>
                <w:noProof/>
                <w:color w:val="000000"/>
                <w:sz w:val="22"/>
                <w:szCs w:val="22"/>
                <w:lang w:eastAsia="en-GB"/>
              </w:rPr>
              <w:t>0</w:t>
            </w:r>
          </w:p>
        </w:tc>
        <w:tc>
          <w:tcPr>
            <w:tcW w:w="1540" w:type="dxa"/>
            <w:noWrap/>
            <w:hideMark/>
          </w:tcPr>
          <w:p>
            <w:pPr>
              <w:jc w:val="right"/>
              <w:rPr>
                <w:rFonts w:eastAsia="Times New Roman"/>
                <w:noProof/>
                <w:color w:val="000000"/>
                <w:sz w:val="22"/>
                <w:szCs w:val="22"/>
                <w:lang w:eastAsia="en-GB"/>
              </w:rPr>
            </w:pPr>
            <w:r>
              <w:rPr>
                <w:rFonts w:eastAsia="Times New Roman"/>
                <w:noProof/>
                <w:color w:val="000000"/>
                <w:sz w:val="22"/>
                <w:szCs w:val="22"/>
                <w:lang w:eastAsia="en-GB"/>
              </w:rPr>
              <w:t>0</w:t>
            </w:r>
          </w:p>
        </w:tc>
      </w:tr>
      <w:tr>
        <w:trPr>
          <w:trHeight w:val="300"/>
        </w:trPr>
        <w:tc>
          <w:tcPr>
            <w:tcW w:w="3792" w:type="dxa"/>
            <w:noWrap/>
            <w:hideMark/>
          </w:tcPr>
          <w:p>
            <w:pPr>
              <w:rPr>
                <w:rFonts w:eastAsia="Times New Roman"/>
                <w:noProof/>
                <w:sz w:val="18"/>
                <w:szCs w:val="18"/>
                <w:lang w:eastAsia="en-GB"/>
              </w:rPr>
            </w:pPr>
            <w:r>
              <w:rPr>
                <w:rFonts w:eastAsia="Times New Roman"/>
                <w:noProof/>
                <w:sz w:val="18"/>
                <w:szCs w:val="18"/>
                <w:lang w:eastAsia="en-GB"/>
              </w:rPr>
              <w:t>Mannitol, sorbitol</w:t>
            </w:r>
          </w:p>
        </w:tc>
        <w:tc>
          <w:tcPr>
            <w:tcW w:w="1039" w:type="dxa"/>
            <w:noWrap/>
            <w:hideMark/>
          </w:tcPr>
          <w:p>
            <w:pPr>
              <w:jc w:val="center"/>
              <w:rPr>
                <w:rFonts w:eastAsia="Times New Roman"/>
                <w:noProof/>
                <w:sz w:val="18"/>
                <w:szCs w:val="18"/>
                <w:lang w:eastAsia="en-GB"/>
              </w:rPr>
            </w:pPr>
            <w:r>
              <w:rPr>
                <w:rFonts w:eastAsia="Times New Roman"/>
                <w:noProof/>
                <w:sz w:val="18"/>
                <w:szCs w:val="18"/>
                <w:lang w:eastAsia="en-GB"/>
              </w:rPr>
              <w:t>100</w:t>
            </w:r>
          </w:p>
        </w:tc>
        <w:tc>
          <w:tcPr>
            <w:tcW w:w="1529" w:type="dxa"/>
          </w:tcPr>
          <w:p>
            <w:pPr>
              <w:jc w:val="right"/>
              <w:rPr>
                <w:rFonts w:eastAsia="Times New Roman"/>
                <w:noProof/>
                <w:color w:val="000000"/>
                <w:sz w:val="22"/>
                <w:szCs w:val="22"/>
                <w:lang w:eastAsia="en-GB"/>
              </w:rPr>
            </w:pPr>
            <w:r>
              <w:rPr>
                <w:rFonts w:eastAsia="Times New Roman"/>
                <w:noProof/>
                <w:color w:val="000000"/>
                <w:sz w:val="22"/>
                <w:szCs w:val="22"/>
                <w:lang w:eastAsia="en-GB"/>
              </w:rPr>
              <w:t>0</w:t>
            </w:r>
          </w:p>
        </w:tc>
        <w:tc>
          <w:tcPr>
            <w:tcW w:w="1540" w:type="dxa"/>
            <w:noWrap/>
            <w:hideMark/>
          </w:tcPr>
          <w:p>
            <w:pPr>
              <w:jc w:val="right"/>
              <w:rPr>
                <w:rFonts w:eastAsia="Times New Roman"/>
                <w:noProof/>
                <w:color w:val="000000"/>
                <w:sz w:val="22"/>
                <w:szCs w:val="22"/>
                <w:lang w:eastAsia="en-GB"/>
              </w:rPr>
            </w:pPr>
            <w:r>
              <w:rPr>
                <w:rFonts w:eastAsia="Times New Roman"/>
                <w:noProof/>
                <w:color w:val="000000"/>
                <w:sz w:val="22"/>
                <w:szCs w:val="22"/>
                <w:lang w:eastAsia="en-GB"/>
              </w:rPr>
              <w:t>0</w:t>
            </w:r>
          </w:p>
        </w:tc>
      </w:tr>
      <w:tr>
        <w:trPr>
          <w:trHeight w:val="300"/>
        </w:trPr>
        <w:tc>
          <w:tcPr>
            <w:tcW w:w="3792" w:type="dxa"/>
            <w:noWrap/>
            <w:hideMark/>
          </w:tcPr>
          <w:p>
            <w:pPr>
              <w:rPr>
                <w:rFonts w:eastAsia="Times New Roman"/>
                <w:noProof/>
                <w:sz w:val="18"/>
                <w:szCs w:val="18"/>
                <w:lang w:eastAsia="en-GB"/>
              </w:rPr>
            </w:pPr>
            <w:r>
              <w:rPr>
                <w:rFonts w:eastAsia="Times New Roman"/>
                <w:noProof/>
                <w:sz w:val="18"/>
                <w:szCs w:val="18"/>
                <w:lang w:eastAsia="en-GB"/>
              </w:rPr>
              <w:t>Finishing agents</w:t>
            </w:r>
          </w:p>
        </w:tc>
        <w:tc>
          <w:tcPr>
            <w:tcW w:w="1039" w:type="dxa"/>
            <w:noWrap/>
            <w:hideMark/>
          </w:tcPr>
          <w:p>
            <w:pPr>
              <w:jc w:val="center"/>
              <w:rPr>
                <w:rFonts w:eastAsia="Times New Roman"/>
                <w:noProof/>
                <w:sz w:val="18"/>
                <w:szCs w:val="18"/>
                <w:lang w:eastAsia="en-GB"/>
              </w:rPr>
            </w:pPr>
            <w:r>
              <w:rPr>
                <w:rFonts w:eastAsia="Times New Roman"/>
                <w:noProof/>
                <w:sz w:val="18"/>
                <w:szCs w:val="18"/>
                <w:lang w:eastAsia="en-GB"/>
              </w:rPr>
              <w:t>2.000</w:t>
            </w:r>
          </w:p>
        </w:tc>
        <w:tc>
          <w:tcPr>
            <w:tcW w:w="1529" w:type="dxa"/>
          </w:tcPr>
          <w:p>
            <w:pPr>
              <w:jc w:val="right"/>
              <w:rPr>
                <w:rFonts w:eastAsia="Times New Roman"/>
                <w:noProof/>
                <w:color w:val="000000"/>
                <w:sz w:val="22"/>
                <w:szCs w:val="22"/>
                <w:lang w:eastAsia="en-GB"/>
              </w:rPr>
            </w:pPr>
            <w:r>
              <w:rPr>
                <w:rFonts w:eastAsia="Times New Roman"/>
                <w:noProof/>
                <w:color w:val="000000"/>
                <w:sz w:val="22"/>
                <w:szCs w:val="22"/>
                <w:lang w:eastAsia="en-GB"/>
              </w:rPr>
              <w:t>2.000</w:t>
            </w:r>
          </w:p>
        </w:tc>
        <w:tc>
          <w:tcPr>
            <w:tcW w:w="1540" w:type="dxa"/>
            <w:noWrap/>
            <w:hideMark/>
          </w:tcPr>
          <w:p>
            <w:pPr>
              <w:jc w:val="right"/>
              <w:rPr>
                <w:rFonts w:eastAsia="Times New Roman"/>
                <w:noProof/>
                <w:color w:val="000000"/>
                <w:sz w:val="22"/>
                <w:szCs w:val="22"/>
                <w:lang w:eastAsia="en-GB"/>
              </w:rPr>
            </w:pPr>
            <w:r>
              <w:rPr>
                <w:rFonts w:eastAsia="Times New Roman"/>
                <w:noProof/>
                <w:color w:val="000000"/>
                <w:sz w:val="22"/>
                <w:szCs w:val="22"/>
                <w:lang w:eastAsia="en-GB"/>
              </w:rPr>
              <w:t>100%</w:t>
            </w:r>
          </w:p>
        </w:tc>
      </w:tr>
      <w:tr>
        <w:trPr>
          <w:trHeight w:val="300"/>
        </w:trPr>
        <w:tc>
          <w:tcPr>
            <w:tcW w:w="3792" w:type="dxa"/>
            <w:noWrap/>
            <w:hideMark/>
          </w:tcPr>
          <w:p>
            <w:pPr>
              <w:rPr>
                <w:rFonts w:eastAsia="Times New Roman"/>
                <w:noProof/>
                <w:sz w:val="18"/>
                <w:szCs w:val="18"/>
                <w:lang w:eastAsia="en-GB"/>
              </w:rPr>
            </w:pPr>
            <w:r>
              <w:rPr>
                <w:rFonts w:eastAsia="Times New Roman"/>
                <w:noProof/>
                <w:sz w:val="18"/>
                <w:szCs w:val="18"/>
                <w:lang w:eastAsia="en-GB"/>
              </w:rPr>
              <w:t>Beef Meat</w:t>
            </w:r>
          </w:p>
        </w:tc>
        <w:tc>
          <w:tcPr>
            <w:tcW w:w="1039" w:type="dxa"/>
            <w:noWrap/>
            <w:hideMark/>
          </w:tcPr>
          <w:p>
            <w:pPr>
              <w:jc w:val="center"/>
              <w:rPr>
                <w:rFonts w:eastAsia="Times New Roman"/>
                <w:noProof/>
                <w:sz w:val="18"/>
                <w:szCs w:val="18"/>
                <w:lang w:eastAsia="en-GB"/>
              </w:rPr>
            </w:pPr>
            <w:r>
              <w:rPr>
                <w:rFonts w:eastAsia="Times New Roman"/>
                <w:noProof/>
                <w:sz w:val="18"/>
                <w:szCs w:val="18"/>
                <w:lang w:eastAsia="en-GB"/>
              </w:rPr>
              <w:t> 12.000</w:t>
            </w:r>
          </w:p>
        </w:tc>
        <w:tc>
          <w:tcPr>
            <w:tcW w:w="1529" w:type="dxa"/>
          </w:tcPr>
          <w:p>
            <w:pPr>
              <w:jc w:val="right"/>
              <w:rPr>
                <w:rFonts w:eastAsia="Times New Roman"/>
                <w:noProof/>
                <w:color w:val="000000"/>
                <w:sz w:val="22"/>
                <w:szCs w:val="22"/>
                <w:lang w:eastAsia="en-GB"/>
              </w:rPr>
            </w:pPr>
            <w:r>
              <w:rPr>
                <w:rFonts w:eastAsia="Times New Roman"/>
                <w:noProof/>
                <w:color w:val="000000"/>
                <w:sz w:val="22"/>
                <w:szCs w:val="22"/>
                <w:lang w:eastAsia="en-GB"/>
              </w:rPr>
              <w:t>0</w:t>
            </w:r>
          </w:p>
        </w:tc>
        <w:tc>
          <w:tcPr>
            <w:tcW w:w="1540" w:type="dxa"/>
            <w:noWrap/>
            <w:hideMark/>
          </w:tcPr>
          <w:p>
            <w:pPr>
              <w:jc w:val="right"/>
              <w:rPr>
                <w:rFonts w:eastAsia="Times New Roman"/>
                <w:noProof/>
                <w:color w:val="000000"/>
                <w:sz w:val="22"/>
                <w:szCs w:val="22"/>
                <w:lang w:eastAsia="en-GB"/>
              </w:rPr>
            </w:pPr>
            <w:r>
              <w:rPr>
                <w:rFonts w:eastAsia="Times New Roman"/>
                <w:noProof/>
                <w:color w:val="000000"/>
                <w:sz w:val="22"/>
                <w:szCs w:val="22"/>
                <w:lang w:eastAsia="en-GB"/>
              </w:rPr>
              <w:t>0</w:t>
            </w:r>
          </w:p>
        </w:tc>
      </w:tr>
      <w:tr>
        <w:trPr>
          <w:trHeight w:val="300"/>
        </w:trPr>
        <w:tc>
          <w:tcPr>
            <w:tcW w:w="3792" w:type="dxa"/>
            <w:noWrap/>
            <w:hideMark/>
          </w:tcPr>
          <w:p>
            <w:pPr>
              <w:rPr>
                <w:rFonts w:eastAsia="Times New Roman"/>
                <w:noProof/>
                <w:sz w:val="18"/>
                <w:szCs w:val="18"/>
                <w:lang w:eastAsia="en-GB"/>
              </w:rPr>
            </w:pPr>
            <w:r>
              <w:rPr>
                <w:rFonts w:eastAsia="Times New Roman"/>
                <w:noProof/>
                <w:sz w:val="18"/>
                <w:szCs w:val="18"/>
                <w:lang w:eastAsia="en-GB"/>
              </w:rPr>
              <w:t>Pork Meat (TRQ 1)</w:t>
            </w:r>
          </w:p>
        </w:tc>
        <w:tc>
          <w:tcPr>
            <w:tcW w:w="1039" w:type="dxa"/>
            <w:noWrap/>
            <w:hideMark/>
          </w:tcPr>
          <w:p>
            <w:pPr>
              <w:jc w:val="center"/>
              <w:rPr>
                <w:rFonts w:eastAsia="Times New Roman"/>
                <w:noProof/>
                <w:sz w:val="18"/>
                <w:szCs w:val="18"/>
                <w:lang w:eastAsia="en-GB"/>
              </w:rPr>
            </w:pPr>
            <w:r>
              <w:rPr>
                <w:rFonts w:eastAsia="Times New Roman"/>
                <w:noProof/>
                <w:sz w:val="18"/>
                <w:szCs w:val="18"/>
                <w:lang w:eastAsia="en-GB"/>
              </w:rPr>
              <w:t>20.000 </w:t>
            </w:r>
          </w:p>
        </w:tc>
        <w:tc>
          <w:tcPr>
            <w:tcW w:w="1529" w:type="dxa"/>
          </w:tcPr>
          <w:p>
            <w:pPr>
              <w:jc w:val="right"/>
              <w:rPr>
                <w:rFonts w:eastAsia="Times New Roman"/>
                <w:noProof/>
                <w:color w:val="000000"/>
                <w:sz w:val="22"/>
                <w:szCs w:val="22"/>
                <w:lang w:eastAsia="en-GB"/>
              </w:rPr>
            </w:pPr>
            <w:r>
              <w:rPr>
                <w:rFonts w:eastAsia="Times New Roman"/>
                <w:noProof/>
                <w:color w:val="000000"/>
                <w:sz w:val="22"/>
                <w:szCs w:val="22"/>
                <w:lang w:eastAsia="en-GB"/>
              </w:rPr>
              <w:t>0</w:t>
            </w:r>
          </w:p>
        </w:tc>
        <w:tc>
          <w:tcPr>
            <w:tcW w:w="1540" w:type="dxa"/>
            <w:noWrap/>
            <w:hideMark/>
          </w:tcPr>
          <w:p>
            <w:pPr>
              <w:jc w:val="right"/>
              <w:rPr>
                <w:rFonts w:eastAsia="Times New Roman"/>
                <w:noProof/>
                <w:color w:val="000000"/>
                <w:sz w:val="22"/>
                <w:szCs w:val="22"/>
                <w:lang w:eastAsia="en-GB"/>
              </w:rPr>
            </w:pPr>
            <w:r>
              <w:rPr>
                <w:rFonts w:eastAsia="Times New Roman"/>
                <w:noProof/>
                <w:color w:val="000000"/>
                <w:sz w:val="22"/>
                <w:szCs w:val="22"/>
                <w:lang w:eastAsia="en-GB"/>
              </w:rPr>
              <w:t>0</w:t>
            </w:r>
          </w:p>
        </w:tc>
      </w:tr>
      <w:tr>
        <w:trPr>
          <w:trHeight w:val="300"/>
        </w:trPr>
        <w:tc>
          <w:tcPr>
            <w:tcW w:w="3792" w:type="dxa"/>
            <w:noWrap/>
            <w:hideMark/>
          </w:tcPr>
          <w:p>
            <w:pPr>
              <w:rPr>
                <w:rFonts w:eastAsia="Times New Roman"/>
                <w:noProof/>
                <w:sz w:val="18"/>
                <w:szCs w:val="18"/>
                <w:lang w:eastAsia="en-GB"/>
              </w:rPr>
            </w:pPr>
            <w:r>
              <w:rPr>
                <w:rFonts w:eastAsia="Times New Roman"/>
                <w:noProof/>
                <w:sz w:val="18"/>
                <w:szCs w:val="18"/>
                <w:lang w:eastAsia="en-GB"/>
              </w:rPr>
              <w:t>Pork Meat (TRQ 2)</w:t>
            </w:r>
          </w:p>
        </w:tc>
        <w:tc>
          <w:tcPr>
            <w:tcW w:w="1039" w:type="dxa"/>
            <w:noWrap/>
            <w:hideMark/>
          </w:tcPr>
          <w:p>
            <w:pPr>
              <w:jc w:val="center"/>
              <w:rPr>
                <w:rFonts w:eastAsia="Times New Roman"/>
                <w:noProof/>
                <w:sz w:val="18"/>
                <w:szCs w:val="18"/>
                <w:lang w:eastAsia="en-GB"/>
              </w:rPr>
            </w:pPr>
            <w:r>
              <w:rPr>
                <w:rFonts w:eastAsia="Times New Roman"/>
                <w:noProof/>
                <w:sz w:val="18"/>
                <w:szCs w:val="18"/>
                <w:lang w:eastAsia="en-GB"/>
              </w:rPr>
              <w:t>20.000 </w:t>
            </w:r>
          </w:p>
        </w:tc>
        <w:tc>
          <w:tcPr>
            <w:tcW w:w="1529" w:type="dxa"/>
          </w:tcPr>
          <w:p>
            <w:pPr>
              <w:jc w:val="right"/>
              <w:rPr>
                <w:rFonts w:eastAsia="Times New Roman"/>
                <w:noProof/>
                <w:color w:val="000000"/>
                <w:sz w:val="22"/>
                <w:szCs w:val="22"/>
                <w:lang w:eastAsia="en-GB"/>
              </w:rPr>
            </w:pPr>
            <w:r>
              <w:rPr>
                <w:rFonts w:eastAsia="Times New Roman"/>
                <w:noProof/>
                <w:color w:val="000000"/>
                <w:sz w:val="22"/>
                <w:szCs w:val="22"/>
                <w:lang w:eastAsia="en-GB"/>
              </w:rPr>
              <w:t>0</w:t>
            </w:r>
          </w:p>
        </w:tc>
        <w:tc>
          <w:tcPr>
            <w:tcW w:w="1540" w:type="dxa"/>
            <w:noWrap/>
            <w:hideMark/>
          </w:tcPr>
          <w:p>
            <w:pPr>
              <w:jc w:val="right"/>
              <w:rPr>
                <w:rFonts w:eastAsia="Times New Roman"/>
                <w:noProof/>
                <w:color w:val="000000"/>
                <w:sz w:val="22"/>
                <w:szCs w:val="22"/>
                <w:lang w:eastAsia="en-GB"/>
              </w:rPr>
            </w:pPr>
            <w:r>
              <w:rPr>
                <w:rFonts w:eastAsia="Times New Roman"/>
                <w:noProof/>
                <w:color w:val="000000"/>
                <w:sz w:val="22"/>
                <w:szCs w:val="22"/>
                <w:lang w:eastAsia="en-GB"/>
              </w:rPr>
              <w:t>0</w:t>
            </w:r>
          </w:p>
        </w:tc>
      </w:tr>
      <w:tr>
        <w:trPr>
          <w:trHeight w:val="300"/>
        </w:trPr>
        <w:tc>
          <w:tcPr>
            <w:tcW w:w="3792" w:type="dxa"/>
            <w:noWrap/>
            <w:hideMark/>
          </w:tcPr>
          <w:p>
            <w:pPr>
              <w:rPr>
                <w:rFonts w:eastAsia="Times New Roman"/>
                <w:noProof/>
                <w:sz w:val="18"/>
                <w:szCs w:val="18"/>
                <w:lang w:eastAsia="en-GB"/>
              </w:rPr>
            </w:pPr>
            <w:r>
              <w:rPr>
                <w:rFonts w:eastAsia="Times New Roman"/>
                <w:noProof/>
                <w:sz w:val="18"/>
                <w:szCs w:val="18"/>
                <w:lang w:eastAsia="en-GB"/>
              </w:rPr>
              <w:t>Poultry meat (TRQ 1)</w:t>
            </w:r>
          </w:p>
        </w:tc>
        <w:tc>
          <w:tcPr>
            <w:tcW w:w="1039" w:type="dxa"/>
            <w:noWrap/>
            <w:hideMark/>
          </w:tcPr>
          <w:p>
            <w:pPr>
              <w:jc w:val="center"/>
              <w:rPr>
                <w:rFonts w:eastAsia="Times New Roman"/>
                <w:noProof/>
                <w:sz w:val="18"/>
                <w:szCs w:val="18"/>
                <w:lang w:eastAsia="en-GB"/>
              </w:rPr>
            </w:pPr>
            <w:r>
              <w:rPr>
                <w:rFonts w:eastAsia="Times New Roman"/>
                <w:noProof/>
                <w:sz w:val="18"/>
                <w:szCs w:val="18"/>
                <w:lang w:eastAsia="en-GB"/>
              </w:rPr>
              <w:t>17.600</w:t>
            </w:r>
          </w:p>
        </w:tc>
        <w:tc>
          <w:tcPr>
            <w:tcW w:w="1529" w:type="dxa"/>
          </w:tcPr>
          <w:p>
            <w:pPr>
              <w:jc w:val="right"/>
              <w:rPr>
                <w:rFonts w:eastAsia="Times New Roman"/>
                <w:noProof/>
                <w:color w:val="000000"/>
                <w:sz w:val="22"/>
                <w:szCs w:val="22"/>
                <w:lang w:eastAsia="en-GB"/>
              </w:rPr>
            </w:pPr>
            <w:r>
              <w:rPr>
                <w:rFonts w:eastAsia="Times New Roman"/>
                <w:noProof/>
                <w:color w:val="000000"/>
                <w:sz w:val="22"/>
                <w:szCs w:val="22"/>
                <w:lang w:eastAsia="en-GB"/>
              </w:rPr>
              <w:t>16.492</w:t>
            </w:r>
          </w:p>
        </w:tc>
        <w:tc>
          <w:tcPr>
            <w:tcW w:w="1540" w:type="dxa"/>
            <w:noWrap/>
            <w:hideMark/>
          </w:tcPr>
          <w:p>
            <w:pPr>
              <w:jc w:val="right"/>
              <w:rPr>
                <w:rFonts w:eastAsia="Times New Roman"/>
                <w:noProof/>
                <w:color w:val="000000"/>
                <w:sz w:val="22"/>
                <w:szCs w:val="22"/>
                <w:lang w:eastAsia="en-GB"/>
              </w:rPr>
            </w:pPr>
            <w:r>
              <w:rPr>
                <w:rFonts w:eastAsia="Times New Roman"/>
                <w:noProof/>
                <w:color w:val="000000"/>
                <w:sz w:val="22"/>
                <w:szCs w:val="22"/>
                <w:lang w:eastAsia="en-GB"/>
              </w:rPr>
              <w:t>93,7%</w:t>
            </w:r>
          </w:p>
        </w:tc>
      </w:tr>
      <w:tr>
        <w:trPr>
          <w:trHeight w:val="300"/>
        </w:trPr>
        <w:tc>
          <w:tcPr>
            <w:tcW w:w="3792" w:type="dxa"/>
            <w:noWrap/>
            <w:hideMark/>
          </w:tcPr>
          <w:p>
            <w:pPr>
              <w:rPr>
                <w:rFonts w:eastAsia="Times New Roman"/>
                <w:noProof/>
                <w:sz w:val="18"/>
                <w:szCs w:val="18"/>
                <w:lang w:eastAsia="en-GB"/>
              </w:rPr>
            </w:pPr>
            <w:r>
              <w:rPr>
                <w:rFonts w:eastAsia="Times New Roman"/>
                <w:noProof/>
                <w:sz w:val="18"/>
                <w:szCs w:val="18"/>
                <w:lang w:eastAsia="en-GB"/>
              </w:rPr>
              <w:t>Poultry meat (TRQ 2)</w:t>
            </w:r>
          </w:p>
        </w:tc>
        <w:tc>
          <w:tcPr>
            <w:tcW w:w="1039" w:type="dxa"/>
            <w:noWrap/>
            <w:hideMark/>
          </w:tcPr>
          <w:p>
            <w:pPr>
              <w:jc w:val="center"/>
              <w:rPr>
                <w:rFonts w:eastAsia="Times New Roman"/>
                <w:noProof/>
                <w:sz w:val="18"/>
                <w:szCs w:val="18"/>
                <w:lang w:eastAsia="en-GB"/>
              </w:rPr>
            </w:pPr>
            <w:r>
              <w:rPr>
                <w:rFonts w:eastAsia="Times New Roman"/>
                <w:noProof/>
                <w:sz w:val="18"/>
                <w:szCs w:val="18"/>
                <w:lang w:eastAsia="en-GB"/>
              </w:rPr>
              <w:t>20.000</w:t>
            </w:r>
          </w:p>
        </w:tc>
        <w:tc>
          <w:tcPr>
            <w:tcW w:w="1529" w:type="dxa"/>
          </w:tcPr>
          <w:p>
            <w:pPr>
              <w:jc w:val="right"/>
              <w:rPr>
                <w:rFonts w:eastAsia="Times New Roman"/>
                <w:noProof/>
                <w:color w:val="000000"/>
                <w:sz w:val="22"/>
                <w:szCs w:val="22"/>
                <w:lang w:eastAsia="en-GB"/>
              </w:rPr>
            </w:pPr>
            <w:r>
              <w:rPr>
                <w:rFonts w:eastAsia="Times New Roman"/>
                <w:noProof/>
                <w:color w:val="000000"/>
                <w:sz w:val="22"/>
                <w:szCs w:val="22"/>
                <w:lang w:eastAsia="en-GB"/>
              </w:rPr>
              <w:t>9947,708</w:t>
            </w:r>
          </w:p>
        </w:tc>
        <w:tc>
          <w:tcPr>
            <w:tcW w:w="1540" w:type="dxa"/>
            <w:noWrap/>
            <w:hideMark/>
          </w:tcPr>
          <w:p>
            <w:pPr>
              <w:jc w:val="right"/>
              <w:rPr>
                <w:rFonts w:eastAsia="Times New Roman"/>
                <w:noProof/>
                <w:color w:val="000000"/>
                <w:sz w:val="22"/>
                <w:szCs w:val="22"/>
                <w:lang w:eastAsia="en-GB"/>
              </w:rPr>
            </w:pPr>
            <w:r>
              <w:rPr>
                <w:rFonts w:eastAsia="Times New Roman"/>
                <w:noProof/>
                <w:color w:val="000000"/>
                <w:sz w:val="22"/>
                <w:szCs w:val="22"/>
                <w:lang w:eastAsia="en-GB"/>
              </w:rPr>
              <w:t>49,7%</w:t>
            </w:r>
          </w:p>
        </w:tc>
      </w:tr>
      <w:tr>
        <w:trPr>
          <w:trHeight w:val="300"/>
        </w:trPr>
        <w:tc>
          <w:tcPr>
            <w:tcW w:w="3792" w:type="dxa"/>
            <w:noWrap/>
            <w:hideMark/>
          </w:tcPr>
          <w:p>
            <w:pPr>
              <w:rPr>
                <w:rFonts w:eastAsia="Times New Roman"/>
                <w:noProof/>
                <w:sz w:val="18"/>
                <w:szCs w:val="18"/>
                <w:lang w:eastAsia="en-GB"/>
              </w:rPr>
            </w:pPr>
            <w:r>
              <w:rPr>
                <w:rFonts w:eastAsia="Times New Roman"/>
                <w:noProof/>
                <w:sz w:val="18"/>
                <w:szCs w:val="18"/>
                <w:lang w:eastAsia="en-GB"/>
              </w:rPr>
              <w:t>Milk, cream, condensed milk and yogurts</w:t>
            </w:r>
          </w:p>
        </w:tc>
        <w:tc>
          <w:tcPr>
            <w:tcW w:w="1039" w:type="dxa"/>
            <w:noWrap/>
            <w:hideMark/>
          </w:tcPr>
          <w:p>
            <w:pPr>
              <w:jc w:val="center"/>
              <w:rPr>
                <w:rFonts w:eastAsia="Times New Roman"/>
                <w:noProof/>
                <w:sz w:val="18"/>
                <w:szCs w:val="18"/>
                <w:lang w:eastAsia="en-GB"/>
              </w:rPr>
            </w:pPr>
            <w:r>
              <w:rPr>
                <w:rFonts w:eastAsia="Times New Roman"/>
                <w:noProof/>
                <w:sz w:val="18"/>
                <w:szCs w:val="18"/>
                <w:lang w:eastAsia="en-GB"/>
              </w:rPr>
              <w:t>8.800</w:t>
            </w:r>
          </w:p>
        </w:tc>
        <w:tc>
          <w:tcPr>
            <w:tcW w:w="1529" w:type="dxa"/>
          </w:tcPr>
          <w:p>
            <w:pPr>
              <w:jc w:val="right"/>
              <w:rPr>
                <w:rFonts w:eastAsia="Times New Roman"/>
                <w:noProof/>
                <w:color w:val="000000"/>
                <w:sz w:val="22"/>
                <w:szCs w:val="22"/>
                <w:lang w:eastAsia="en-GB"/>
              </w:rPr>
            </w:pPr>
            <w:r>
              <w:rPr>
                <w:rFonts w:eastAsia="Times New Roman"/>
                <w:noProof/>
                <w:color w:val="000000"/>
                <w:sz w:val="22"/>
                <w:szCs w:val="22"/>
                <w:lang w:eastAsia="en-GB"/>
              </w:rPr>
              <w:t>1279,04</w:t>
            </w:r>
          </w:p>
        </w:tc>
        <w:tc>
          <w:tcPr>
            <w:tcW w:w="1540" w:type="dxa"/>
            <w:noWrap/>
            <w:hideMark/>
          </w:tcPr>
          <w:p>
            <w:pPr>
              <w:jc w:val="right"/>
              <w:rPr>
                <w:rFonts w:eastAsia="Times New Roman"/>
                <w:noProof/>
                <w:color w:val="000000"/>
                <w:sz w:val="22"/>
                <w:szCs w:val="22"/>
                <w:lang w:eastAsia="en-GB"/>
              </w:rPr>
            </w:pPr>
            <w:r>
              <w:rPr>
                <w:rFonts w:eastAsia="Times New Roman"/>
                <w:noProof/>
                <w:color w:val="000000"/>
                <w:sz w:val="22"/>
                <w:szCs w:val="22"/>
                <w:lang w:eastAsia="en-GB"/>
              </w:rPr>
              <w:t>14,5%</w:t>
            </w:r>
          </w:p>
        </w:tc>
      </w:tr>
      <w:tr>
        <w:trPr>
          <w:trHeight w:val="300"/>
        </w:trPr>
        <w:tc>
          <w:tcPr>
            <w:tcW w:w="3792" w:type="dxa"/>
            <w:noWrap/>
            <w:hideMark/>
          </w:tcPr>
          <w:p>
            <w:pPr>
              <w:rPr>
                <w:rFonts w:eastAsia="Times New Roman"/>
                <w:noProof/>
                <w:sz w:val="18"/>
                <w:szCs w:val="18"/>
                <w:lang w:eastAsia="en-GB"/>
              </w:rPr>
            </w:pPr>
            <w:r>
              <w:rPr>
                <w:rFonts w:eastAsia="Times New Roman"/>
                <w:noProof/>
                <w:sz w:val="18"/>
                <w:szCs w:val="18"/>
                <w:lang w:eastAsia="en-GB"/>
              </w:rPr>
              <w:t>Milk powder</w:t>
            </w:r>
          </w:p>
        </w:tc>
        <w:tc>
          <w:tcPr>
            <w:tcW w:w="1039" w:type="dxa"/>
            <w:noWrap/>
            <w:hideMark/>
          </w:tcPr>
          <w:p>
            <w:pPr>
              <w:jc w:val="center"/>
              <w:rPr>
                <w:rFonts w:eastAsia="Times New Roman"/>
                <w:noProof/>
                <w:sz w:val="18"/>
                <w:szCs w:val="18"/>
                <w:lang w:eastAsia="en-GB"/>
              </w:rPr>
            </w:pPr>
            <w:r>
              <w:rPr>
                <w:rFonts w:eastAsia="Times New Roman"/>
                <w:noProof/>
                <w:sz w:val="18"/>
                <w:szCs w:val="18"/>
                <w:lang w:eastAsia="en-GB"/>
              </w:rPr>
              <w:t>2.900</w:t>
            </w:r>
          </w:p>
        </w:tc>
        <w:tc>
          <w:tcPr>
            <w:tcW w:w="1529" w:type="dxa"/>
          </w:tcPr>
          <w:p>
            <w:pPr>
              <w:jc w:val="right"/>
              <w:rPr>
                <w:rFonts w:eastAsia="Times New Roman"/>
                <w:noProof/>
                <w:color w:val="000000"/>
                <w:sz w:val="22"/>
                <w:szCs w:val="22"/>
                <w:lang w:eastAsia="en-GB"/>
              </w:rPr>
            </w:pPr>
            <w:r>
              <w:rPr>
                <w:rFonts w:eastAsia="Times New Roman"/>
                <w:noProof/>
                <w:color w:val="000000"/>
                <w:sz w:val="22"/>
                <w:szCs w:val="22"/>
                <w:lang w:eastAsia="en-GB"/>
              </w:rPr>
              <w:t>700</w:t>
            </w:r>
          </w:p>
        </w:tc>
        <w:tc>
          <w:tcPr>
            <w:tcW w:w="1540" w:type="dxa"/>
            <w:noWrap/>
            <w:hideMark/>
          </w:tcPr>
          <w:p>
            <w:pPr>
              <w:jc w:val="right"/>
              <w:rPr>
                <w:rFonts w:eastAsia="Times New Roman"/>
                <w:noProof/>
                <w:color w:val="000000"/>
                <w:sz w:val="22"/>
                <w:szCs w:val="22"/>
                <w:lang w:eastAsia="en-GB"/>
              </w:rPr>
            </w:pPr>
            <w:r>
              <w:rPr>
                <w:rFonts w:eastAsia="Times New Roman"/>
                <w:noProof/>
                <w:color w:val="000000"/>
                <w:sz w:val="22"/>
                <w:szCs w:val="22"/>
                <w:lang w:eastAsia="en-GB"/>
              </w:rPr>
              <w:t>24,1%</w:t>
            </w:r>
          </w:p>
        </w:tc>
      </w:tr>
      <w:tr>
        <w:trPr>
          <w:trHeight w:val="300"/>
        </w:trPr>
        <w:tc>
          <w:tcPr>
            <w:tcW w:w="3792" w:type="dxa"/>
            <w:noWrap/>
            <w:hideMark/>
          </w:tcPr>
          <w:p>
            <w:pPr>
              <w:rPr>
                <w:rFonts w:eastAsia="Times New Roman"/>
                <w:noProof/>
                <w:sz w:val="18"/>
                <w:szCs w:val="18"/>
                <w:lang w:eastAsia="en-GB"/>
              </w:rPr>
            </w:pPr>
            <w:r>
              <w:rPr>
                <w:rFonts w:eastAsia="Times New Roman"/>
                <w:noProof/>
                <w:sz w:val="18"/>
                <w:szCs w:val="18"/>
                <w:lang w:eastAsia="en-GB"/>
              </w:rPr>
              <w:t>Butter and diary spreads</w:t>
            </w:r>
          </w:p>
        </w:tc>
        <w:tc>
          <w:tcPr>
            <w:tcW w:w="1039" w:type="dxa"/>
            <w:noWrap/>
            <w:hideMark/>
          </w:tcPr>
          <w:p>
            <w:pPr>
              <w:jc w:val="center"/>
              <w:rPr>
                <w:rFonts w:eastAsia="Times New Roman"/>
                <w:noProof/>
                <w:sz w:val="18"/>
                <w:szCs w:val="18"/>
                <w:lang w:eastAsia="en-GB"/>
              </w:rPr>
            </w:pPr>
            <w:r>
              <w:rPr>
                <w:rFonts w:eastAsia="Times New Roman"/>
                <w:noProof/>
                <w:sz w:val="18"/>
                <w:szCs w:val="18"/>
                <w:lang w:eastAsia="en-GB"/>
              </w:rPr>
              <w:t>2.100</w:t>
            </w:r>
          </w:p>
        </w:tc>
        <w:tc>
          <w:tcPr>
            <w:tcW w:w="1529" w:type="dxa"/>
          </w:tcPr>
          <w:p>
            <w:pPr>
              <w:jc w:val="right"/>
              <w:rPr>
                <w:rFonts w:eastAsia="Times New Roman"/>
                <w:noProof/>
                <w:color w:val="000000"/>
                <w:sz w:val="22"/>
                <w:szCs w:val="22"/>
                <w:lang w:eastAsia="en-GB"/>
              </w:rPr>
            </w:pPr>
            <w:r>
              <w:rPr>
                <w:rFonts w:eastAsia="Times New Roman"/>
                <w:noProof/>
                <w:color w:val="000000"/>
                <w:sz w:val="22"/>
                <w:szCs w:val="22"/>
                <w:lang w:eastAsia="en-GB"/>
              </w:rPr>
              <w:t>2061,813</w:t>
            </w:r>
          </w:p>
        </w:tc>
        <w:tc>
          <w:tcPr>
            <w:tcW w:w="1540" w:type="dxa"/>
            <w:noWrap/>
            <w:hideMark/>
          </w:tcPr>
          <w:p>
            <w:pPr>
              <w:jc w:val="right"/>
              <w:rPr>
                <w:rFonts w:eastAsia="Times New Roman"/>
                <w:noProof/>
                <w:color w:val="000000"/>
                <w:sz w:val="22"/>
                <w:szCs w:val="22"/>
                <w:lang w:eastAsia="en-GB"/>
              </w:rPr>
            </w:pPr>
            <w:r>
              <w:rPr>
                <w:rFonts w:eastAsia="Times New Roman"/>
                <w:noProof/>
                <w:color w:val="000000"/>
                <w:sz w:val="22"/>
                <w:szCs w:val="22"/>
                <w:lang w:eastAsia="en-GB"/>
              </w:rPr>
              <w:t>98,2%</w:t>
            </w:r>
          </w:p>
        </w:tc>
      </w:tr>
      <w:tr>
        <w:trPr>
          <w:trHeight w:val="300"/>
        </w:trPr>
        <w:tc>
          <w:tcPr>
            <w:tcW w:w="3792" w:type="dxa"/>
            <w:noWrap/>
            <w:hideMark/>
          </w:tcPr>
          <w:p>
            <w:pPr>
              <w:rPr>
                <w:rFonts w:eastAsia="Times New Roman"/>
                <w:noProof/>
                <w:sz w:val="18"/>
                <w:szCs w:val="18"/>
                <w:lang w:eastAsia="en-GB"/>
              </w:rPr>
            </w:pPr>
            <w:r>
              <w:rPr>
                <w:rFonts w:eastAsia="Times New Roman"/>
                <w:noProof/>
                <w:sz w:val="18"/>
                <w:szCs w:val="18"/>
                <w:lang w:eastAsia="en-GB"/>
              </w:rPr>
              <w:t>Eggs and albumins (TRQ 1)</w:t>
            </w:r>
          </w:p>
        </w:tc>
        <w:tc>
          <w:tcPr>
            <w:tcW w:w="1039" w:type="dxa"/>
            <w:noWrap/>
            <w:hideMark/>
          </w:tcPr>
          <w:p>
            <w:pPr>
              <w:jc w:val="center"/>
              <w:rPr>
                <w:rFonts w:eastAsia="Times New Roman"/>
                <w:noProof/>
                <w:sz w:val="18"/>
                <w:szCs w:val="18"/>
                <w:lang w:eastAsia="en-GB"/>
              </w:rPr>
            </w:pPr>
            <w:r>
              <w:rPr>
                <w:rFonts w:eastAsia="Times New Roman"/>
                <w:noProof/>
                <w:sz w:val="18"/>
                <w:szCs w:val="18"/>
                <w:lang w:eastAsia="en-GB"/>
              </w:rPr>
              <w:t>2.100</w:t>
            </w:r>
          </w:p>
        </w:tc>
        <w:tc>
          <w:tcPr>
            <w:tcW w:w="1529" w:type="dxa"/>
          </w:tcPr>
          <w:p>
            <w:pPr>
              <w:jc w:val="right"/>
              <w:rPr>
                <w:rFonts w:eastAsia="Times New Roman"/>
                <w:noProof/>
                <w:color w:val="000000"/>
                <w:sz w:val="22"/>
                <w:szCs w:val="22"/>
                <w:lang w:eastAsia="en-GB"/>
              </w:rPr>
            </w:pPr>
            <w:r>
              <w:rPr>
                <w:rFonts w:eastAsia="Times New Roman"/>
                <w:noProof/>
                <w:color w:val="000000"/>
                <w:sz w:val="22"/>
                <w:szCs w:val="22"/>
                <w:lang w:eastAsia="en-GB"/>
              </w:rPr>
              <w:t>756,049</w:t>
            </w:r>
          </w:p>
        </w:tc>
        <w:tc>
          <w:tcPr>
            <w:tcW w:w="1540" w:type="dxa"/>
            <w:noWrap/>
            <w:hideMark/>
          </w:tcPr>
          <w:p>
            <w:pPr>
              <w:jc w:val="right"/>
              <w:rPr>
                <w:rFonts w:eastAsia="Times New Roman"/>
                <w:noProof/>
                <w:color w:val="000000"/>
                <w:sz w:val="22"/>
                <w:szCs w:val="22"/>
                <w:lang w:eastAsia="en-GB"/>
              </w:rPr>
            </w:pPr>
            <w:r>
              <w:rPr>
                <w:rFonts w:eastAsia="Times New Roman"/>
                <w:noProof/>
                <w:color w:val="000000"/>
                <w:sz w:val="22"/>
                <w:szCs w:val="22"/>
                <w:lang w:eastAsia="en-GB"/>
              </w:rPr>
              <w:t>36%</w:t>
            </w:r>
          </w:p>
        </w:tc>
      </w:tr>
      <w:tr>
        <w:trPr>
          <w:trHeight w:val="300"/>
        </w:trPr>
        <w:tc>
          <w:tcPr>
            <w:tcW w:w="3792" w:type="dxa"/>
            <w:noWrap/>
            <w:hideMark/>
          </w:tcPr>
          <w:p>
            <w:pPr>
              <w:rPr>
                <w:rFonts w:eastAsia="Times New Roman"/>
                <w:noProof/>
                <w:sz w:val="18"/>
                <w:szCs w:val="18"/>
                <w:lang w:eastAsia="en-GB"/>
              </w:rPr>
            </w:pPr>
            <w:r>
              <w:rPr>
                <w:rFonts w:eastAsia="Times New Roman"/>
                <w:noProof/>
                <w:sz w:val="18"/>
                <w:szCs w:val="18"/>
                <w:lang w:eastAsia="en-GB"/>
              </w:rPr>
              <w:t>Eggs and albumins (TRQ 2)</w:t>
            </w:r>
          </w:p>
        </w:tc>
        <w:tc>
          <w:tcPr>
            <w:tcW w:w="1039" w:type="dxa"/>
            <w:noWrap/>
            <w:hideMark/>
          </w:tcPr>
          <w:p>
            <w:pPr>
              <w:jc w:val="center"/>
              <w:rPr>
                <w:rFonts w:eastAsia="Times New Roman"/>
                <w:noProof/>
                <w:sz w:val="18"/>
                <w:szCs w:val="18"/>
                <w:lang w:eastAsia="en-GB"/>
              </w:rPr>
            </w:pPr>
            <w:r>
              <w:rPr>
                <w:rFonts w:eastAsia="Times New Roman"/>
                <w:noProof/>
                <w:sz w:val="18"/>
                <w:szCs w:val="18"/>
                <w:lang w:eastAsia="en-GB"/>
              </w:rPr>
              <w:t>3.000</w:t>
            </w:r>
          </w:p>
        </w:tc>
        <w:tc>
          <w:tcPr>
            <w:tcW w:w="1529" w:type="dxa"/>
          </w:tcPr>
          <w:p>
            <w:pPr>
              <w:jc w:val="right"/>
              <w:rPr>
                <w:rFonts w:eastAsia="Times New Roman"/>
                <w:noProof/>
                <w:color w:val="000000"/>
                <w:sz w:val="22"/>
                <w:szCs w:val="22"/>
                <w:lang w:eastAsia="en-GB"/>
              </w:rPr>
            </w:pPr>
            <w:r>
              <w:rPr>
                <w:rFonts w:eastAsia="Times New Roman"/>
                <w:noProof/>
                <w:color w:val="000000"/>
                <w:sz w:val="22"/>
                <w:szCs w:val="22"/>
                <w:lang w:eastAsia="en-GB"/>
              </w:rPr>
              <w:t>997,007</w:t>
            </w:r>
          </w:p>
        </w:tc>
        <w:tc>
          <w:tcPr>
            <w:tcW w:w="1540" w:type="dxa"/>
            <w:noWrap/>
            <w:hideMark/>
          </w:tcPr>
          <w:p>
            <w:pPr>
              <w:jc w:val="right"/>
              <w:rPr>
                <w:rFonts w:eastAsia="Times New Roman"/>
                <w:noProof/>
                <w:color w:val="000000"/>
                <w:sz w:val="22"/>
                <w:szCs w:val="22"/>
                <w:lang w:eastAsia="en-GB"/>
              </w:rPr>
            </w:pPr>
            <w:r>
              <w:rPr>
                <w:rFonts w:eastAsia="Times New Roman"/>
                <w:noProof/>
                <w:color w:val="000000"/>
                <w:sz w:val="22"/>
                <w:szCs w:val="22"/>
                <w:lang w:eastAsia="en-GB"/>
              </w:rPr>
              <w:t>33,2%</w:t>
            </w:r>
          </w:p>
        </w:tc>
      </w:tr>
      <w:tr>
        <w:trPr>
          <w:trHeight w:val="300"/>
        </w:trPr>
        <w:tc>
          <w:tcPr>
            <w:tcW w:w="3792" w:type="dxa"/>
            <w:noWrap/>
            <w:hideMark/>
          </w:tcPr>
          <w:p>
            <w:pPr>
              <w:rPr>
                <w:rFonts w:eastAsia="Times New Roman"/>
                <w:noProof/>
                <w:sz w:val="18"/>
                <w:szCs w:val="18"/>
                <w:lang w:eastAsia="en-GB"/>
              </w:rPr>
            </w:pPr>
            <w:r>
              <w:rPr>
                <w:rFonts w:eastAsia="Times New Roman"/>
                <w:noProof/>
                <w:sz w:val="18"/>
                <w:szCs w:val="18"/>
                <w:lang w:eastAsia="en-GB"/>
              </w:rPr>
              <w:t>Common wheat, flour and pellets</w:t>
            </w:r>
          </w:p>
        </w:tc>
        <w:tc>
          <w:tcPr>
            <w:tcW w:w="1039" w:type="dxa"/>
            <w:noWrap/>
            <w:hideMark/>
          </w:tcPr>
          <w:p>
            <w:pPr>
              <w:jc w:val="center"/>
              <w:rPr>
                <w:rFonts w:eastAsia="Times New Roman"/>
                <w:noProof/>
                <w:sz w:val="18"/>
                <w:szCs w:val="18"/>
                <w:lang w:eastAsia="en-GB"/>
              </w:rPr>
            </w:pPr>
            <w:r>
              <w:rPr>
                <w:rFonts w:eastAsia="Times New Roman"/>
                <w:noProof/>
                <w:sz w:val="18"/>
                <w:szCs w:val="18"/>
                <w:lang w:eastAsia="en-GB"/>
              </w:rPr>
              <w:t>970.000</w:t>
            </w:r>
          </w:p>
        </w:tc>
        <w:tc>
          <w:tcPr>
            <w:tcW w:w="1529" w:type="dxa"/>
          </w:tcPr>
          <w:p>
            <w:pPr>
              <w:jc w:val="right"/>
              <w:rPr>
                <w:rFonts w:eastAsia="Times New Roman"/>
                <w:noProof/>
                <w:color w:val="000000"/>
                <w:sz w:val="22"/>
                <w:szCs w:val="22"/>
                <w:lang w:eastAsia="en-GB"/>
              </w:rPr>
            </w:pPr>
            <w:r>
              <w:rPr>
                <w:rFonts w:eastAsia="Times New Roman"/>
                <w:noProof/>
                <w:color w:val="000000"/>
                <w:sz w:val="22"/>
                <w:szCs w:val="22"/>
                <w:lang w:eastAsia="en-GB"/>
              </w:rPr>
              <w:t>956.031,084</w:t>
            </w:r>
          </w:p>
        </w:tc>
        <w:tc>
          <w:tcPr>
            <w:tcW w:w="1540" w:type="dxa"/>
            <w:noWrap/>
            <w:hideMark/>
          </w:tcPr>
          <w:p>
            <w:pPr>
              <w:jc w:val="right"/>
              <w:rPr>
                <w:rFonts w:eastAsia="Times New Roman"/>
                <w:noProof/>
                <w:color w:val="000000"/>
                <w:sz w:val="22"/>
                <w:szCs w:val="22"/>
                <w:lang w:eastAsia="en-GB"/>
              </w:rPr>
            </w:pPr>
            <w:r>
              <w:rPr>
                <w:rFonts w:eastAsia="Times New Roman"/>
                <w:noProof/>
                <w:color w:val="000000"/>
                <w:sz w:val="22"/>
                <w:szCs w:val="22"/>
                <w:lang w:eastAsia="en-GB"/>
              </w:rPr>
              <w:t>98,6%</w:t>
            </w:r>
          </w:p>
        </w:tc>
      </w:tr>
      <w:tr>
        <w:trPr>
          <w:trHeight w:val="300"/>
        </w:trPr>
        <w:tc>
          <w:tcPr>
            <w:tcW w:w="3792" w:type="dxa"/>
            <w:noWrap/>
            <w:hideMark/>
          </w:tcPr>
          <w:p>
            <w:pPr>
              <w:rPr>
                <w:rFonts w:eastAsia="Times New Roman"/>
                <w:noProof/>
                <w:sz w:val="18"/>
                <w:szCs w:val="18"/>
                <w:lang w:eastAsia="en-GB"/>
              </w:rPr>
            </w:pPr>
            <w:r>
              <w:rPr>
                <w:rFonts w:eastAsia="Times New Roman"/>
                <w:noProof/>
                <w:sz w:val="18"/>
                <w:szCs w:val="18"/>
                <w:lang w:eastAsia="en-GB"/>
              </w:rPr>
              <w:t>Barley, flour and pellets</w:t>
            </w:r>
          </w:p>
        </w:tc>
        <w:tc>
          <w:tcPr>
            <w:tcW w:w="1039" w:type="dxa"/>
            <w:noWrap/>
            <w:hideMark/>
          </w:tcPr>
          <w:p>
            <w:pPr>
              <w:jc w:val="center"/>
              <w:rPr>
                <w:rFonts w:eastAsia="Times New Roman"/>
                <w:noProof/>
                <w:sz w:val="18"/>
                <w:szCs w:val="18"/>
                <w:lang w:eastAsia="en-GB"/>
              </w:rPr>
            </w:pPr>
            <w:r>
              <w:rPr>
                <w:rFonts w:eastAsia="Times New Roman"/>
                <w:noProof/>
                <w:sz w:val="18"/>
                <w:szCs w:val="18"/>
                <w:lang w:eastAsia="en-GB"/>
              </w:rPr>
              <w:t>290.000</w:t>
            </w:r>
          </w:p>
        </w:tc>
        <w:tc>
          <w:tcPr>
            <w:tcW w:w="1529" w:type="dxa"/>
          </w:tcPr>
          <w:p>
            <w:pPr>
              <w:jc w:val="right"/>
              <w:rPr>
                <w:rFonts w:eastAsia="Times New Roman"/>
                <w:noProof/>
                <w:color w:val="000000"/>
                <w:sz w:val="22"/>
                <w:szCs w:val="22"/>
                <w:lang w:eastAsia="en-GB"/>
              </w:rPr>
            </w:pPr>
            <w:r>
              <w:rPr>
                <w:rFonts w:eastAsia="Times New Roman"/>
                <w:noProof/>
                <w:color w:val="000000"/>
                <w:sz w:val="22"/>
                <w:szCs w:val="22"/>
                <w:lang w:eastAsia="en-GB"/>
              </w:rPr>
              <w:t>47.531,469</w:t>
            </w:r>
          </w:p>
        </w:tc>
        <w:tc>
          <w:tcPr>
            <w:tcW w:w="1540" w:type="dxa"/>
            <w:noWrap/>
            <w:hideMark/>
          </w:tcPr>
          <w:p>
            <w:pPr>
              <w:jc w:val="right"/>
              <w:rPr>
                <w:rFonts w:eastAsia="Times New Roman"/>
                <w:noProof/>
                <w:color w:val="000000"/>
                <w:sz w:val="22"/>
                <w:szCs w:val="22"/>
                <w:lang w:eastAsia="en-GB"/>
              </w:rPr>
            </w:pPr>
            <w:r>
              <w:rPr>
                <w:rFonts w:eastAsia="Times New Roman"/>
                <w:noProof/>
                <w:color w:val="000000"/>
                <w:sz w:val="22"/>
                <w:szCs w:val="22"/>
                <w:lang w:eastAsia="en-GB"/>
              </w:rPr>
              <w:t>16,4%</w:t>
            </w:r>
          </w:p>
        </w:tc>
      </w:tr>
      <w:tr>
        <w:trPr>
          <w:trHeight w:val="300"/>
        </w:trPr>
        <w:tc>
          <w:tcPr>
            <w:tcW w:w="3792" w:type="dxa"/>
            <w:noWrap/>
            <w:hideMark/>
          </w:tcPr>
          <w:p>
            <w:pPr>
              <w:rPr>
                <w:rFonts w:eastAsia="Times New Roman"/>
                <w:noProof/>
                <w:sz w:val="18"/>
                <w:szCs w:val="18"/>
                <w:lang w:eastAsia="en-GB"/>
              </w:rPr>
            </w:pPr>
            <w:r>
              <w:rPr>
                <w:rFonts w:eastAsia="Times New Roman"/>
                <w:noProof/>
                <w:sz w:val="18"/>
                <w:szCs w:val="18"/>
                <w:lang w:eastAsia="en-GB"/>
              </w:rPr>
              <w:t>Maize, flour and pellets</w:t>
            </w:r>
          </w:p>
        </w:tc>
        <w:tc>
          <w:tcPr>
            <w:tcW w:w="1039" w:type="dxa"/>
            <w:noWrap/>
            <w:hideMark/>
          </w:tcPr>
          <w:p>
            <w:pPr>
              <w:jc w:val="center"/>
              <w:rPr>
                <w:rFonts w:eastAsia="Times New Roman"/>
                <w:noProof/>
                <w:sz w:val="18"/>
                <w:szCs w:val="18"/>
                <w:lang w:eastAsia="en-GB"/>
              </w:rPr>
            </w:pPr>
            <w:r>
              <w:rPr>
                <w:rFonts w:eastAsia="Times New Roman"/>
                <w:noProof/>
                <w:sz w:val="18"/>
                <w:szCs w:val="18"/>
                <w:lang w:eastAsia="en-GB"/>
              </w:rPr>
              <w:t>500.000</w:t>
            </w:r>
          </w:p>
        </w:tc>
        <w:tc>
          <w:tcPr>
            <w:tcW w:w="1529" w:type="dxa"/>
          </w:tcPr>
          <w:p>
            <w:pPr>
              <w:jc w:val="right"/>
              <w:rPr>
                <w:rFonts w:eastAsia="Times New Roman"/>
                <w:noProof/>
                <w:color w:val="000000"/>
                <w:sz w:val="22"/>
                <w:szCs w:val="22"/>
                <w:lang w:eastAsia="en-GB"/>
              </w:rPr>
            </w:pPr>
            <w:r>
              <w:rPr>
                <w:rFonts w:eastAsia="Times New Roman"/>
                <w:noProof/>
                <w:color w:val="000000"/>
                <w:sz w:val="22"/>
                <w:szCs w:val="22"/>
                <w:lang w:eastAsia="en-GB"/>
              </w:rPr>
              <w:t>538.738,921</w:t>
            </w:r>
          </w:p>
        </w:tc>
        <w:tc>
          <w:tcPr>
            <w:tcW w:w="1540" w:type="dxa"/>
            <w:noWrap/>
            <w:hideMark/>
          </w:tcPr>
          <w:p>
            <w:pPr>
              <w:jc w:val="right"/>
              <w:rPr>
                <w:rFonts w:eastAsia="Times New Roman"/>
                <w:noProof/>
                <w:color w:val="000000"/>
                <w:sz w:val="22"/>
                <w:szCs w:val="22"/>
                <w:lang w:eastAsia="en-GB"/>
              </w:rPr>
            </w:pPr>
            <w:r>
              <w:rPr>
                <w:rFonts w:eastAsia="Times New Roman"/>
                <w:noProof/>
                <w:color w:val="000000"/>
                <w:sz w:val="22"/>
                <w:szCs w:val="22"/>
                <w:lang w:eastAsia="en-GB"/>
              </w:rPr>
              <w:t>100,00%</w:t>
            </w:r>
          </w:p>
        </w:tc>
      </w:tr>
    </w:tbl>
    <w:p>
      <w:pPr>
        <w:rPr>
          <w:i/>
          <w:noProof/>
          <w:sz w:val="22"/>
          <w:szCs w:val="22"/>
        </w:rPr>
      </w:pPr>
      <w:r>
        <w:rPr>
          <w:i/>
          <w:noProof/>
          <w:sz w:val="22"/>
          <w:szCs w:val="22"/>
        </w:rPr>
        <w:t>Source: DG AGRI, DG TAXUD</w:t>
      </w:r>
    </w:p>
    <w:p>
      <w:pPr>
        <w:jc w:val="both"/>
        <w:rPr>
          <w:noProof/>
        </w:rPr>
      </w:pPr>
    </w:p>
    <w:p>
      <w:pPr>
        <w:jc w:val="both"/>
        <w:rPr>
          <w:noProof/>
        </w:rPr>
      </w:pPr>
      <w:r>
        <w:rPr>
          <w:noProof/>
        </w:rPr>
        <w:t>The EU has (nearly) fully used the five TRQs granted by Ukraine to the EU for pork meat and poultry meat. However, the usage of the additional quota for poultry meat and the quota for sugar remain negligible.</w:t>
      </w:r>
    </w:p>
    <w:p>
      <w:pPr>
        <w:jc w:val="both"/>
        <w:rPr>
          <w:noProof/>
        </w:rPr>
      </w:pPr>
    </w:p>
    <w:p>
      <w:pPr>
        <w:keepNext/>
        <w:rPr>
          <w:b/>
          <w:i/>
          <w:noProof/>
        </w:rPr>
      </w:pPr>
      <w:r>
        <w:rPr>
          <w:b/>
          <w:i/>
          <w:noProof/>
        </w:rPr>
        <w:t>DCFTA TRQs usage for exports by EU to Ukraine in 2018</w:t>
      </w:r>
    </w:p>
    <w:tbl>
      <w:tblPr>
        <w:tblStyle w:val="TableGrid"/>
        <w:tblW w:w="0" w:type="auto"/>
        <w:tblLook w:val="04A0" w:firstRow="1" w:lastRow="0" w:firstColumn="1" w:lastColumn="0" w:noHBand="0" w:noVBand="1"/>
      </w:tblPr>
      <w:tblGrid>
        <w:gridCol w:w="2425"/>
        <w:gridCol w:w="2342"/>
        <w:gridCol w:w="2097"/>
        <w:gridCol w:w="2424"/>
      </w:tblGrid>
      <w:tr>
        <w:tc>
          <w:tcPr>
            <w:tcW w:w="2425" w:type="dxa"/>
          </w:tcPr>
          <w:p>
            <w:pPr>
              <w:keepNext/>
              <w:jc w:val="center"/>
              <w:rPr>
                <w:b/>
                <w:noProof/>
                <w:sz w:val="22"/>
                <w:szCs w:val="22"/>
              </w:rPr>
            </w:pPr>
            <w:r>
              <w:rPr>
                <w:b/>
                <w:noProof/>
                <w:sz w:val="22"/>
                <w:szCs w:val="22"/>
              </w:rPr>
              <w:t>Product</w:t>
            </w:r>
          </w:p>
        </w:tc>
        <w:tc>
          <w:tcPr>
            <w:tcW w:w="2342" w:type="dxa"/>
          </w:tcPr>
          <w:p>
            <w:pPr>
              <w:keepNext/>
              <w:jc w:val="center"/>
              <w:rPr>
                <w:b/>
                <w:noProof/>
                <w:sz w:val="22"/>
                <w:szCs w:val="22"/>
              </w:rPr>
            </w:pPr>
            <w:r>
              <w:rPr>
                <w:b/>
                <w:noProof/>
                <w:sz w:val="22"/>
                <w:szCs w:val="22"/>
              </w:rPr>
              <w:t>Volume of TRQ (t)</w:t>
            </w:r>
          </w:p>
        </w:tc>
        <w:tc>
          <w:tcPr>
            <w:tcW w:w="2097" w:type="dxa"/>
          </w:tcPr>
          <w:p>
            <w:pPr>
              <w:keepNext/>
              <w:jc w:val="center"/>
              <w:rPr>
                <w:b/>
                <w:noProof/>
                <w:sz w:val="22"/>
                <w:szCs w:val="22"/>
              </w:rPr>
            </w:pPr>
            <w:r>
              <w:rPr>
                <w:b/>
                <w:noProof/>
                <w:sz w:val="22"/>
                <w:szCs w:val="22"/>
              </w:rPr>
              <w:t>Used quantity (t)</w:t>
            </w:r>
          </w:p>
        </w:tc>
        <w:tc>
          <w:tcPr>
            <w:tcW w:w="2424" w:type="dxa"/>
          </w:tcPr>
          <w:p>
            <w:pPr>
              <w:keepNext/>
              <w:jc w:val="center"/>
              <w:rPr>
                <w:b/>
                <w:noProof/>
                <w:sz w:val="22"/>
                <w:szCs w:val="22"/>
              </w:rPr>
            </w:pPr>
            <w:r>
              <w:rPr>
                <w:b/>
                <w:noProof/>
                <w:sz w:val="22"/>
                <w:szCs w:val="22"/>
              </w:rPr>
              <w:t>Utilisation rate</w:t>
            </w:r>
          </w:p>
        </w:tc>
      </w:tr>
      <w:tr>
        <w:tc>
          <w:tcPr>
            <w:tcW w:w="2425" w:type="dxa"/>
          </w:tcPr>
          <w:p>
            <w:pPr>
              <w:keepNext/>
              <w:rPr>
                <w:noProof/>
                <w:sz w:val="22"/>
                <w:szCs w:val="22"/>
              </w:rPr>
            </w:pPr>
            <w:r>
              <w:rPr>
                <w:noProof/>
                <w:sz w:val="22"/>
                <w:szCs w:val="22"/>
              </w:rPr>
              <w:t>Pork</w:t>
            </w:r>
          </w:p>
        </w:tc>
        <w:tc>
          <w:tcPr>
            <w:tcW w:w="2342" w:type="dxa"/>
          </w:tcPr>
          <w:p>
            <w:pPr>
              <w:keepNext/>
              <w:jc w:val="right"/>
              <w:rPr>
                <w:noProof/>
                <w:sz w:val="22"/>
                <w:szCs w:val="22"/>
              </w:rPr>
            </w:pPr>
            <w:r>
              <w:rPr>
                <w:noProof/>
                <w:sz w:val="22"/>
                <w:szCs w:val="22"/>
              </w:rPr>
              <w:t>10 000</w:t>
            </w:r>
          </w:p>
        </w:tc>
        <w:tc>
          <w:tcPr>
            <w:tcW w:w="2097" w:type="dxa"/>
          </w:tcPr>
          <w:p>
            <w:pPr>
              <w:keepNext/>
              <w:jc w:val="right"/>
              <w:rPr>
                <w:noProof/>
                <w:sz w:val="22"/>
                <w:szCs w:val="22"/>
              </w:rPr>
            </w:pPr>
            <w:r>
              <w:rPr>
                <w:noProof/>
                <w:sz w:val="22"/>
                <w:szCs w:val="22"/>
              </w:rPr>
              <w:t>10 000</w:t>
            </w:r>
          </w:p>
        </w:tc>
        <w:tc>
          <w:tcPr>
            <w:tcW w:w="2424" w:type="dxa"/>
          </w:tcPr>
          <w:p>
            <w:pPr>
              <w:keepNext/>
              <w:jc w:val="right"/>
              <w:rPr>
                <w:noProof/>
                <w:sz w:val="22"/>
                <w:szCs w:val="22"/>
              </w:rPr>
            </w:pPr>
            <w:r>
              <w:rPr>
                <w:noProof/>
                <w:sz w:val="22"/>
                <w:szCs w:val="22"/>
              </w:rPr>
              <w:t>100%</w:t>
            </w:r>
          </w:p>
        </w:tc>
      </w:tr>
      <w:tr>
        <w:tc>
          <w:tcPr>
            <w:tcW w:w="2425" w:type="dxa"/>
          </w:tcPr>
          <w:p>
            <w:pPr>
              <w:keepNext/>
              <w:rPr>
                <w:noProof/>
                <w:sz w:val="22"/>
                <w:szCs w:val="22"/>
              </w:rPr>
            </w:pPr>
            <w:r>
              <w:rPr>
                <w:noProof/>
                <w:sz w:val="22"/>
                <w:szCs w:val="22"/>
              </w:rPr>
              <w:t>Pork</w:t>
            </w:r>
          </w:p>
          <w:p>
            <w:pPr>
              <w:keepNext/>
              <w:rPr>
                <w:noProof/>
                <w:sz w:val="22"/>
                <w:szCs w:val="22"/>
              </w:rPr>
            </w:pPr>
            <w:r>
              <w:rPr>
                <w:noProof/>
                <w:sz w:val="22"/>
                <w:szCs w:val="22"/>
              </w:rPr>
              <w:t>additional for:</w:t>
            </w:r>
          </w:p>
          <w:p>
            <w:pPr>
              <w:keepNext/>
              <w:rPr>
                <w:noProof/>
                <w:sz w:val="22"/>
                <w:szCs w:val="22"/>
              </w:rPr>
            </w:pPr>
            <w:r>
              <w:rPr>
                <w:noProof/>
                <w:sz w:val="22"/>
                <w:szCs w:val="22"/>
              </w:rPr>
              <w:t>02031110, 02031219, 02031911, 02031915, 02031959, 02032110, 02032219, 02032911, 02032915, 02032959</w:t>
            </w:r>
          </w:p>
        </w:tc>
        <w:tc>
          <w:tcPr>
            <w:tcW w:w="2342" w:type="dxa"/>
          </w:tcPr>
          <w:p>
            <w:pPr>
              <w:keepNext/>
              <w:jc w:val="right"/>
              <w:rPr>
                <w:noProof/>
                <w:sz w:val="22"/>
                <w:szCs w:val="22"/>
              </w:rPr>
            </w:pPr>
            <w:r>
              <w:rPr>
                <w:noProof/>
                <w:sz w:val="22"/>
                <w:szCs w:val="22"/>
              </w:rPr>
              <w:t>10 000</w:t>
            </w:r>
          </w:p>
        </w:tc>
        <w:tc>
          <w:tcPr>
            <w:tcW w:w="2097" w:type="dxa"/>
          </w:tcPr>
          <w:p>
            <w:pPr>
              <w:keepNext/>
              <w:jc w:val="right"/>
              <w:rPr>
                <w:noProof/>
                <w:sz w:val="22"/>
                <w:szCs w:val="22"/>
              </w:rPr>
            </w:pPr>
            <w:r>
              <w:rPr>
                <w:noProof/>
                <w:sz w:val="22"/>
                <w:szCs w:val="22"/>
              </w:rPr>
              <w:t>9 995</w:t>
            </w:r>
          </w:p>
        </w:tc>
        <w:tc>
          <w:tcPr>
            <w:tcW w:w="2424" w:type="dxa"/>
          </w:tcPr>
          <w:p>
            <w:pPr>
              <w:keepNext/>
              <w:jc w:val="right"/>
              <w:rPr>
                <w:noProof/>
                <w:sz w:val="22"/>
                <w:szCs w:val="22"/>
              </w:rPr>
            </w:pPr>
            <w:r>
              <w:rPr>
                <w:noProof/>
                <w:sz w:val="22"/>
                <w:szCs w:val="22"/>
              </w:rPr>
              <w:t>100%</w:t>
            </w:r>
          </w:p>
        </w:tc>
      </w:tr>
      <w:tr>
        <w:tc>
          <w:tcPr>
            <w:tcW w:w="2425" w:type="dxa"/>
          </w:tcPr>
          <w:p>
            <w:pPr>
              <w:keepNext/>
              <w:rPr>
                <w:noProof/>
                <w:sz w:val="22"/>
                <w:szCs w:val="22"/>
              </w:rPr>
            </w:pPr>
            <w:r>
              <w:rPr>
                <w:noProof/>
                <w:sz w:val="22"/>
                <w:szCs w:val="22"/>
              </w:rPr>
              <w:t>Poultry meat</w:t>
            </w:r>
          </w:p>
        </w:tc>
        <w:tc>
          <w:tcPr>
            <w:tcW w:w="2342" w:type="dxa"/>
          </w:tcPr>
          <w:p>
            <w:pPr>
              <w:keepNext/>
              <w:jc w:val="right"/>
              <w:rPr>
                <w:noProof/>
                <w:sz w:val="22"/>
                <w:szCs w:val="22"/>
              </w:rPr>
            </w:pPr>
            <w:r>
              <w:rPr>
                <w:noProof/>
                <w:sz w:val="22"/>
                <w:szCs w:val="22"/>
              </w:rPr>
              <w:t>8 800</w:t>
            </w:r>
          </w:p>
        </w:tc>
        <w:tc>
          <w:tcPr>
            <w:tcW w:w="2097" w:type="dxa"/>
          </w:tcPr>
          <w:p>
            <w:pPr>
              <w:keepNext/>
              <w:jc w:val="right"/>
              <w:rPr>
                <w:noProof/>
                <w:sz w:val="22"/>
                <w:szCs w:val="22"/>
              </w:rPr>
            </w:pPr>
            <w:r>
              <w:rPr>
                <w:noProof/>
                <w:sz w:val="22"/>
                <w:szCs w:val="22"/>
              </w:rPr>
              <w:t>8 800</w:t>
            </w:r>
          </w:p>
        </w:tc>
        <w:tc>
          <w:tcPr>
            <w:tcW w:w="2424" w:type="dxa"/>
          </w:tcPr>
          <w:p>
            <w:pPr>
              <w:keepNext/>
              <w:jc w:val="right"/>
              <w:rPr>
                <w:noProof/>
                <w:sz w:val="22"/>
                <w:szCs w:val="22"/>
              </w:rPr>
            </w:pPr>
            <w:r>
              <w:rPr>
                <w:noProof/>
                <w:sz w:val="22"/>
                <w:szCs w:val="22"/>
              </w:rPr>
              <w:t>100%</w:t>
            </w:r>
          </w:p>
        </w:tc>
      </w:tr>
      <w:tr>
        <w:tc>
          <w:tcPr>
            <w:tcW w:w="2425" w:type="dxa"/>
          </w:tcPr>
          <w:p>
            <w:pPr>
              <w:keepNext/>
              <w:rPr>
                <w:noProof/>
                <w:sz w:val="22"/>
                <w:szCs w:val="22"/>
              </w:rPr>
            </w:pPr>
            <w:r>
              <w:rPr>
                <w:noProof/>
                <w:sz w:val="22"/>
                <w:szCs w:val="22"/>
              </w:rPr>
              <w:t>Poultry meat</w:t>
            </w:r>
          </w:p>
          <w:p>
            <w:pPr>
              <w:keepNext/>
              <w:rPr>
                <w:noProof/>
                <w:sz w:val="22"/>
                <w:szCs w:val="22"/>
              </w:rPr>
            </w:pPr>
            <w:r>
              <w:rPr>
                <w:noProof/>
                <w:sz w:val="22"/>
                <w:szCs w:val="22"/>
              </w:rPr>
              <w:t>additional for:</w:t>
            </w:r>
          </w:p>
          <w:p>
            <w:pPr>
              <w:keepNext/>
              <w:rPr>
                <w:noProof/>
                <w:sz w:val="22"/>
                <w:szCs w:val="22"/>
              </w:rPr>
            </w:pPr>
            <w:r>
              <w:rPr>
                <w:noProof/>
                <w:sz w:val="22"/>
                <w:szCs w:val="22"/>
              </w:rPr>
              <w:t>020712</w:t>
            </w:r>
          </w:p>
        </w:tc>
        <w:tc>
          <w:tcPr>
            <w:tcW w:w="2342" w:type="dxa"/>
          </w:tcPr>
          <w:p>
            <w:pPr>
              <w:keepNext/>
              <w:jc w:val="right"/>
              <w:rPr>
                <w:noProof/>
                <w:sz w:val="22"/>
                <w:szCs w:val="22"/>
              </w:rPr>
            </w:pPr>
            <w:r>
              <w:rPr>
                <w:noProof/>
                <w:sz w:val="22"/>
                <w:szCs w:val="22"/>
              </w:rPr>
              <w:t>10 000</w:t>
            </w:r>
          </w:p>
        </w:tc>
        <w:tc>
          <w:tcPr>
            <w:tcW w:w="2097" w:type="dxa"/>
          </w:tcPr>
          <w:p>
            <w:pPr>
              <w:keepNext/>
              <w:jc w:val="right"/>
              <w:rPr>
                <w:noProof/>
                <w:sz w:val="22"/>
                <w:szCs w:val="22"/>
              </w:rPr>
            </w:pPr>
            <w:r>
              <w:rPr>
                <w:noProof/>
                <w:sz w:val="22"/>
                <w:szCs w:val="22"/>
              </w:rPr>
              <w:t>29</w:t>
            </w:r>
          </w:p>
        </w:tc>
        <w:tc>
          <w:tcPr>
            <w:tcW w:w="2424" w:type="dxa"/>
          </w:tcPr>
          <w:p>
            <w:pPr>
              <w:keepNext/>
              <w:jc w:val="right"/>
              <w:rPr>
                <w:noProof/>
                <w:sz w:val="22"/>
                <w:szCs w:val="22"/>
              </w:rPr>
            </w:pPr>
            <w:r>
              <w:rPr>
                <w:noProof/>
                <w:sz w:val="22"/>
                <w:szCs w:val="22"/>
              </w:rPr>
              <w:t>0,3%</w:t>
            </w:r>
          </w:p>
        </w:tc>
      </w:tr>
      <w:tr>
        <w:tc>
          <w:tcPr>
            <w:tcW w:w="2425" w:type="dxa"/>
          </w:tcPr>
          <w:p>
            <w:pPr>
              <w:keepNext/>
              <w:rPr>
                <w:noProof/>
                <w:sz w:val="22"/>
                <w:szCs w:val="22"/>
              </w:rPr>
            </w:pPr>
            <w:r>
              <w:rPr>
                <w:noProof/>
                <w:sz w:val="22"/>
                <w:szCs w:val="22"/>
              </w:rPr>
              <w:t>Sugar</w:t>
            </w:r>
          </w:p>
        </w:tc>
        <w:tc>
          <w:tcPr>
            <w:tcW w:w="2342" w:type="dxa"/>
          </w:tcPr>
          <w:p>
            <w:pPr>
              <w:keepNext/>
              <w:jc w:val="right"/>
              <w:rPr>
                <w:noProof/>
                <w:sz w:val="22"/>
                <w:szCs w:val="22"/>
              </w:rPr>
            </w:pPr>
            <w:r>
              <w:rPr>
                <w:noProof/>
                <w:sz w:val="22"/>
                <w:szCs w:val="22"/>
              </w:rPr>
              <w:t>34 000</w:t>
            </w:r>
          </w:p>
        </w:tc>
        <w:tc>
          <w:tcPr>
            <w:tcW w:w="2097" w:type="dxa"/>
          </w:tcPr>
          <w:p>
            <w:pPr>
              <w:keepNext/>
              <w:jc w:val="right"/>
              <w:rPr>
                <w:noProof/>
                <w:sz w:val="22"/>
                <w:szCs w:val="22"/>
              </w:rPr>
            </w:pPr>
            <w:r>
              <w:rPr>
                <w:noProof/>
                <w:sz w:val="22"/>
                <w:szCs w:val="22"/>
              </w:rPr>
              <w:t>677</w:t>
            </w:r>
          </w:p>
        </w:tc>
        <w:tc>
          <w:tcPr>
            <w:tcW w:w="2424" w:type="dxa"/>
          </w:tcPr>
          <w:p>
            <w:pPr>
              <w:keepNext/>
              <w:jc w:val="right"/>
              <w:rPr>
                <w:noProof/>
                <w:sz w:val="22"/>
                <w:szCs w:val="22"/>
              </w:rPr>
            </w:pPr>
            <w:r>
              <w:rPr>
                <w:noProof/>
                <w:sz w:val="22"/>
                <w:szCs w:val="22"/>
              </w:rPr>
              <w:t>2%</w:t>
            </w:r>
          </w:p>
        </w:tc>
      </w:tr>
    </w:tbl>
    <w:p>
      <w:pPr>
        <w:keepNext/>
        <w:rPr>
          <w:i/>
          <w:noProof/>
        </w:rPr>
      </w:pPr>
      <w:r>
        <w:rPr>
          <w:i/>
          <w:noProof/>
        </w:rPr>
        <w:t>Source Ukraine authorities</w:t>
      </w:r>
    </w:p>
    <w:p>
      <w:pPr>
        <w:pStyle w:val="Heading2"/>
        <w:ind w:left="0" w:firstLine="0"/>
      </w:pPr>
      <w:bookmarkStart w:id="672" w:name="_Toc8833500"/>
      <w:bookmarkStart w:id="673" w:name="_Toc8835327"/>
      <w:bookmarkStart w:id="674" w:name="_Toc8833957"/>
      <w:bookmarkStart w:id="675" w:name="_Toc8909420"/>
      <w:bookmarkStart w:id="676" w:name="_Toc8910632"/>
      <w:bookmarkStart w:id="677" w:name="_Toc8911669"/>
      <w:bookmarkStart w:id="678" w:name="_Toc8974490"/>
      <w:bookmarkStart w:id="679" w:name="_Toc9008143"/>
      <w:bookmarkStart w:id="680" w:name="_Toc9008546"/>
      <w:bookmarkStart w:id="681" w:name="_Toc9348541"/>
      <w:bookmarkStart w:id="682" w:name="_Toc9607992"/>
      <w:bookmarkStart w:id="683" w:name="_Toc16000566"/>
      <w:r>
        <w:t>1.3 Autonomous trade measures</w:t>
      </w:r>
      <w:bookmarkEnd w:id="672"/>
      <w:bookmarkEnd w:id="673"/>
      <w:bookmarkEnd w:id="674"/>
      <w:bookmarkEnd w:id="675"/>
      <w:bookmarkEnd w:id="676"/>
      <w:bookmarkEnd w:id="677"/>
      <w:bookmarkEnd w:id="678"/>
      <w:bookmarkEnd w:id="679"/>
      <w:bookmarkEnd w:id="680"/>
      <w:bookmarkEnd w:id="681"/>
      <w:bookmarkEnd w:id="682"/>
      <w:bookmarkEnd w:id="683"/>
    </w:p>
    <w:p>
      <w:pPr>
        <w:jc w:val="both"/>
        <w:rPr>
          <w:noProof/>
          <w:lang w:eastAsia="en-GB"/>
        </w:rPr>
      </w:pPr>
      <w:r>
        <w:rPr>
          <w:noProof/>
          <w:lang w:eastAsia="en-GB"/>
        </w:rPr>
        <w:t>In view of the difficult economic and political situation in Ukraine the EU granted it temporary autonomous trade measures (ATMs) for certain agricultural and industrial products for a period of three years, starting on 1 October 2017. These additional trade concessions mean that tariff elimination for 22 industrial products (ammonium sulphate and nitrate, fertilisers, footwear, aluminium and certain electrical machinery) is accelerated and additional Tariff Rate Quotas are granted for 8 agricultural products (common wheat, maize, barley, barley groats and pellets, oats, natural honey, processed tomatoes and grape juice). In 2018, most ATM tariff rate quotas were fully used: wheat, maize, natural honey, barley groats and pellets, prepared or preserved tomatoes.</w:t>
      </w:r>
    </w:p>
    <w:p>
      <w:pPr>
        <w:pStyle w:val="Heading2"/>
        <w:ind w:left="0" w:firstLine="0"/>
      </w:pPr>
      <w:bookmarkStart w:id="684" w:name="_Toc8833501"/>
      <w:bookmarkStart w:id="685" w:name="_Toc8835328"/>
      <w:bookmarkStart w:id="686" w:name="_Toc8833958"/>
      <w:bookmarkStart w:id="687" w:name="_Toc8909421"/>
      <w:bookmarkStart w:id="688" w:name="_Toc8910633"/>
      <w:bookmarkStart w:id="689" w:name="_Toc8911670"/>
      <w:bookmarkStart w:id="690" w:name="_Toc8974491"/>
      <w:bookmarkStart w:id="691" w:name="_Toc9008144"/>
      <w:bookmarkStart w:id="692" w:name="_Toc9008547"/>
      <w:bookmarkStart w:id="693" w:name="_Toc9348542"/>
      <w:bookmarkStart w:id="694" w:name="_Toc9607993"/>
      <w:bookmarkStart w:id="695" w:name="_Toc16000567"/>
      <w:r>
        <w:t>1.4 Establishment, trade in services and investments</w:t>
      </w:r>
      <w:bookmarkEnd w:id="684"/>
      <w:bookmarkEnd w:id="685"/>
      <w:bookmarkEnd w:id="686"/>
      <w:bookmarkEnd w:id="687"/>
      <w:bookmarkEnd w:id="688"/>
      <w:bookmarkEnd w:id="689"/>
      <w:bookmarkEnd w:id="690"/>
      <w:bookmarkEnd w:id="691"/>
      <w:bookmarkEnd w:id="692"/>
      <w:bookmarkEnd w:id="693"/>
      <w:bookmarkEnd w:id="694"/>
      <w:bookmarkEnd w:id="695"/>
    </w:p>
    <w:p>
      <w:pPr>
        <w:pStyle w:val="Heading3"/>
        <w:tabs>
          <w:tab w:val="clear" w:pos="1920"/>
        </w:tabs>
        <w:ind w:left="851"/>
        <w:rPr>
          <w:noProof/>
        </w:rPr>
      </w:pPr>
      <w:bookmarkStart w:id="696" w:name="_Toc8833502"/>
      <w:bookmarkStart w:id="697" w:name="_Toc8835329"/>
      <w:bookmarkStart w:id="698" w:name="_Toc8833959"/>
      <w:bookmarkStart w:id="699" w:name="_Toc8909422"/>
      <w:bookmarkStart w:id="700" w:name="_Toc8910634"/>
      <w:bookmarkStart w:id="701" w:name="_Toc8911671"/>
      <w:bookmarkStart w:id="702" w:name="_Toc8974492"/>
      <w:bookmarkStart w:id="703" w:name="_Toc9008145"/>
      <w:bookmarkStart w:id="704" w:name="_Toc9008548"/>
      <w:bookmarkStart w:id="705" w:name="_Toc9348543"/>
      <w:bookmarkStart w:id="706" w:name="_Toc9607994"/>
      <w:bookmarkStart w:id="707" w:name="_Toc16000568"/>
      <w:r>
        <w:rPr>
          <w:noProof/>
        </w:rPr>
        <w:t>Market access related to establishment and trade in services</w:t>
      </w:r>
      <w:bookmarkEnd w:id="696"/>
      <w:bookmarkEnd w:id="697"/>
      <w:bookmarkEnd w:id="698"/>
      <w:bookmarkEnd w:id="699"/>
      <w:bookmarkEnd w:id="700"/>
      <w:bookmarkEnd w:id="701"/>
      <w:bookmarkEnd w:id="702"/>
      <w:bookmarkEnd w:id="703"/>
      <w:bookmarkEnd w:id="704"/>
      <w:bookmarkEnd w:id="705"/>
      <w:bookmarkEnd w:id="706"/>
      <w:bookmarkEnd w:id="707"/>
    </w:p>
    <w:p>
      <w:pPr>
        <w:jc w:val="both"/>
        <w:rPr>
          <w:noProof/>
        </w:rPr>
      </w:pPr>
      <w:r>
        <w:rPr>
          <w:noProof/>
        </w:rPr>
        <w:t xml:space="preserve">The agreement contains the necessary arrangements for the progressive reciprocal liberalisation of establishment and cross-border trade in services and for cooperation in electronic commerce. This includes the freedom of establishment by granting each other national treatment and most favoured-nation treatment (subject to several reservations specified by EU Member States and Ukraine) as well as liberalisation of cross-border supply of services (by granting each other national treatment) with several limitations and reservations on both sides). In four services’ sectors (postal and courier services, telecommunication, financial services and international maritime transport services) internal market treatment may be envisaged once Ukraine effectively implements the EU </w:t>
      </w:r>
      <w:r>
        <w:rPr>
          <w:i/>
          <w:iCs/>
          <w:noProof/>
        </w:rPr>
        <w:t>acquis</w:t>
      </w:r>
      <w:r>
        <w:rPr>
          <w:noProof/>
        </w:rPr>
        <w:t xml:space="preserve"> and ensures adequate administrative capacity to implement and enforce it.</w:t>
      </w:r>
      <w:r>
        <w:rPr>
          <w:rStyle w:val="FootnoteReference"/>
          <w:noProof/>
        </w:rPr>
        <w:footnoteReference w:id="24"/>
      </w:r>
      <w:r>
        <w:rPr>
          <w:noProof/>
        </w:rPr>
        <w:t xml:space="preserve"> </w:t>
      </w:r>
    </w:p>
    <w:p>
      <w:pPr>
        <w:pStyle w:val="Heading3"/>
        <w:tabs>
          <w:tab w:val="clear" w:pos="1920"/>
        </w:tabs>
        <w:ind w:left="851"/>
        <w:rPr>
          <w:noProof/>
        </w:rPr>
      </w:pPr>
      <w:bookmarkStart w:id="708" w:name="_Toc8833503"/>
      <w:bookmarkStart w:id="709" w:name="_Toc8835330"/>
      <w:bookmarkStart w:id="710" w:name="_Toc8833960"/>
      <w:bookmarkStart w:id="711" w:name="_Toc8909423"/>
      <w:bookmarkStart w:id="712" w:name="_Toc8910635"/>
      <w:bookmarkStart w:id="713" w:name="_Toc8911672"/>
      <w:bookmarkStart w:id="714" w:name="_Toc8974493"/>
      <w:bookmarkStart w:id="715" w:name="_Toc9008146"/>
      <w:bookmarkStart w:id="716" w:name="_Toc9008549"/>
      <w:bookmarkStart w:id="717" w:name="_Toc9348544"/>
      <w:bookmarkStart w:id="718" w:name="_Toc9607995"/>
      <w:bookmarkStart w:id="719" w:name="_Toc16000569"/>
      <w:r>
        <w:rPr>
          <w:noProof/>
        </w:rPr>
        <w:t>Trade in services</w:t>
      </w:r>
      <w:bookmarkEnd w:id="708"/>
      <w:bookmarkEnd w:id="709"/>
      <w:bookmarkEnd w:id="710"/>
      <w:bookmarkEnd w:id="711"/>
      <w:bookmarkEnd w:id="712"/>
      <w:bookmarkEnd w:id="713"/>
      <w:bookmarkEnd w:id="714"/>
      <w:bookmarkEnd w:id="715"/>
      <w:bookmarkEnd w:id="716"/>
      <w:bookmarkEnd w:id="717"/>
      <w:bookmarkEnd w:id="718"/>
      <w:bookmarkEnd w:id="719"/>
    </w:p>
    <w:p>
      <w:pPr>
        <w:jc w:val="both"/>
        <w:rPr>
          <w:noProof/>
        </w:rPr>
      </w:pPr>
      <w:r>
        <w:rPr>
          <w:noProof/>
        </w:rPr>
        <w:t xml:space="preserve">Total trade in services has increased considerably from around €8 billion in 2013 to more than €9 billion in 2017. In 2017, EU exports of services accounted for 70% of total trade in services. EU exports in services increased by more than 20% while Ukraine experienced an increase of 9% in 2017. </w:t>
      </w:r>
    </w:p>
    <w:p>
      <w:pPr>
        <w:pStyle w:val="Heading3"/>
        <w:tabs>
          <w:tab w:val="clear" w:pos="1920"/>
        </w:tabs>
        <w:ind w:left="851"/>
        <w:rPr>
          <w:noProof/>
        </w:rPr>
      </w:pPr>
      <w:bookmarkStart w:id="720" w:name="_Toc8833504"/>
      <w:bookmarkStart w:id="721" w:name="_Toc8835331"/>
      <w:bookmarkStart w:id="722" w:name="_Toc8833961"/>
      <w:bookmarkStart w:id="723" w:name="_Toc8909424"/>
      <w:bookmarkStart w:id="724" w:name="_Toc8910636"/>
      <w:bookmarkStart w:id="725" w:name="_Toc8911673"/>
      <w:bookmarkStart w:id="726" w:name="_Toc8974494"/>
      <w:bookmarkStart w:id="727" w:name="_Toc9008147"/>
      <w:bookmarkStart w:id="728" w:name="_Toc9008550"/>
      <w:bookmarkStart w:id="729" w:name="_Toc9348545"/>
      <w:bookmarkStart w:id="730" w:name="_Toc9607996"/>
      <w:bookmarkStart w:id="731" w:name="_Toc16000570"/>
      <w:r>
        <w:rPr>
          <w:noProof/>
        </w:rPr>
        <w:t>Foreign Direct investment (FDI)</w:t>
      </w:r>
      <w:bookmarkEnd w:id="720"/>
      <w:bookmarkEnd w:id="721"/>
      <w:bookmarkEnd w:id="722"/>
      <w:bookmarkEnd w:id="723"/>
      <w:bookmarkEnd w:id="724"/>
      <w:bookmarkEnd w:id="725"/>
      <w:bookmarkEnd w:id="726"/>
      <w:bookmarkEnd w:id="727"/>
      <w:bookmarkEnd w:id="728"/>
      <w:bookmarkEnd w:id="729"/>
      <w:bookmarkEnd w:id="730"/>
      <w:bookmarkEnd w:id="731"/>
    </w:p>
    <w:p>
      <w:pPr>
        <w:jc w:val="both"/>
        <w:rPr>
          <w:noProof/>
        </w:rPr>
      </w:pPr>
      <w:r>
        <w:rPr>
          <w:noProof/>
        </w:rPr>
        <w:t xml:space="preserve">The inflows of FDI into Ukraine, particularly from the EU, were relatively low. According to Eurostat, FDI outward flows from the EU to Ukraine amounted to €245 million in 2017, while FDI inflows from Ukraine to the EU were €152 million in the same year. The EU outward FDI stock in Ukraine, which represents the value of EU investors' equity in and net loans to enterprises in Ukraine, declined from almost €14 billion in 2016 to around €12 billion in 2017, largely due to valuation effects. According to the Ukrainian central bank, total inflows of FDI to Ukraine (from all countries) amounted to €2.3 billion (2.2% of Ukraine’s GDP) in 2017 and €2 billion (1.8% of GDP) in 2018, while the outflows of FDI were minimal.  </w:t>
      </w:r>
    </w:p>
    <w:p>
      <w:pPr>
        <w:jc w:val="both"/>
        <w:rPr>
          <w:noProof/>
        </w:rPr>
      </w:pPr>
    </w:p>
    <w:p>
      <w:pPr>
        <w:jc w:val="both"/>
        <w:rPr>
          <w:noProof/>
        </w:rPr>
      </w:pPr>
      <w:r>
        <w:rPr>
          <w:noProof/>
        </w:rPr>
        <w:t>More FDI is needed to diversify the economy and generate more value added production so Ukraine can advance its integration into global value chains, and hence stimulate growth and diversify exports. One of the most important factors in attracting FDI is the rule of law and an effective anti-corruption system. Ukraine has made progress in this field in recent years but a lot still needs to be done.</w:t>
      </w:r>
    </w:p>
    <w:p>
      <w:pPr>
        <w:jc w:val="both"/>
        <w:rPr>
          <w:noProof/>
        </w:rPr>
      </w:pPr>
    </w:p>
    <w:p>
      <w:pPr>
        <w:jc w:val="both"/>
        <w:rPr>
          <w:noProof/>
        </w:rPr>
      </w:pPr>
      <w:r>
        <w:rPr>
          <w:iCs/>
          <w:noProof/>
        </w:rPr>
        <w:t>Another key issue for FDI is macroeconomic stability. Ukraine’s economic recovery continues: after the deep recession in 2014-15, real GDP growth reached 2.5% in 2017 and accelerated to 3.3% in 2018, driven by strong investment activity and private consumption. The unemployment rate has decreased in the wake of the recovery as well as significant labour emigration. Annual inflation has slowed down to below 10% year on year, albeit at the cost of high domestic interest rates (policy rate: 17%). Budget deficits have been reduced since 2014 and the 2018 budget deficit was 2% of GDP. Improving business expectations and a further improvement in financial performance of Ukrainian enterprises should further stimulate foreign investment</w:t>
      </w:r>
    </w:p>
    <w:p>
      <w:pPr>
        <w:pStyle w:val="Heading2"/>
        <w:ind w:hanging="4570"/>
      </w:pPr>
      <w:bookmarkStart w:id="732" w:name="_Toc16000571"/>
      <w:r>
        <w:t>1.5 EU support to the implementation of the DCFTA</w:t>
      </w:r>
      <w:bookmarkEnd w:id="732"/>
    </w:p>
    <w:p>
      <w:pPr>
        <w:jc w:val="both"/>
        <w:rPr>
          <w:noProof/>
        </w:rPr>
      </w:pPr>
      <w:r>
        <w:rPr>
          <w:noProof/>
        </w:rPr>
        <w:t xml:space="preserve">EU assistance to the implementation of the DCFTA is embedded in a comprehensive support programme to systemic reforms, drawn up in response to the 2014 events as well as in view of the Association Agreement/DCFTA implementation. This includes a substantive package on good governance with Public Administration Reform, decentralization reform and the rule of law including the fight against corruption in the focus sectors, private sector development, fostering of energy efficiency and energy market reforms, support to the conflict-affected areas in Eastern Ukraine, skills development and people-to-people contacts. With an annual budget of up to €200 million, €965 million have been allocated bilaterally under the European Neighbourhood Instrument so far. </w:t>
      </w:r>
    </w:p>
    <w:p>
      <w:pPr>
        <w:jc w:val="both"/>
        <w:rPr>
          <w:noProof/>
        </w:rPr>
      </w:pPr>
    </w:p>
    <w:p>
      <w:pPr>
        <w:jc w:val="both"/>
        <w:rPr>
          <w:noProof/>
        </w:rPr>
      </w:pPr>
      <w:r>
        <w:rPr>
          <w:noProof/>
        </w:rPr>
        <w:t xml:space="preserve">In addition to regular cooperation assistance, DCFTA implementation is also supported by policy conditionality of the EU’s macro-financial assistance (MFA) to Ukraine. Conditions of the current MFA operation approved in 2018 include anti-money laundering and customs facilitation measures (the adoption of an anti-money laundering law and a law establishing an Authorised Economic Operator programme).  </w:t>
      </w:r>
    </w:p>
    <w:p>
      <w:pPr>
        <w:jc w:val="both"/>
        <w:rPr>
          <w:noProof/>
        </w:rPr>
      </w:pPr>
    </w:p>
    <w:p>
      <w:pPr>
        <w:jc w:val="both"/>
        <w:rPr>
          <w:noProof/>
        </w:rPr>
      </w:pPr>
      <w:r>
        <w:rPr>
          <w:noProof/>
        </w:rPr>
        <w:t>In the area of economic reform, including the implementation of the DCFTA and the related approximation of Ukrainian legislation to the EU acquis, EU support covers a wide range of sectors, including technical barriers to trade, customs, intellectual property rights, competition, financial services, food safety, sanitary and phytosanitary measures, and others. Most significant EU support operations to DCFTA-related reforms currently take place in the areas of customs, food safety and financial services. Ukraine benefits from EU support projects provided through a whole set of assistance modalities, including technical assistance, twinning and TAIEX projects</w:t>
      </w:r>
      <w:r>
        <w:rPr>
          <w:rStyle w:val="FootnoteReference"/>
          <w:noProof/>
        </w:rPr>
        <w:footnoteReference w:id="25"/>
      </w:r>
      <w:r>
        <w:rPr>
          <w:noProof/>
        </w:rPr>
        <w:t xml:space="preserve">. </w:t>
      </w:r>
    </w:p>
    <w:p>
      <w:pPr>
        <w:jc w:val="both"/>
        <w:rPr>
          <w:noProof/>
        </w:rPr>
      </w:pPr>
    </w:p>
    <w:p>
      <w:pPr>
        <w:jc w:val="both"/>
        <w:rPr>
          <w:noProof/>
        </w:rPr>
      </w:pPr>
      <w:r>
        <w:rPr>
          <w:noProof/>
        </w:rPr>
        <w:t xml:space="preserve">Legal approximation of Ukraine's customs legislation with the EU acquis is about to be supported under the Public Finance Management Support Program for Ukraine (EU4PFM). This technical assistance programme aims to support the legal approximation of customs law with the EU acquis and implement customs reforms in order to facilitate mutual trade. </w:t>
      </w:r>
    </w:p>
    <w:p>
      <w:pPr>
        <w:jc w:val="both"/>
        <w:rPr>
          <w:noProof/>
        </w:rPr>
      </w:pPr>
    </w:p>
    <w:p>
      <w:pPr>
        <w:jc w:val="both"/>
        <w:rPr>
          <w:noProof/>
        </w:rPr>
      </w:pPr>
      <w:r>
        <w:rPr>
          <w:noProof/>
        </w:rPr>
        <w:t xml:space="preserve">The EU assists Ukraine with food safety and sanitary and phytosanitary measures in order to align Ukrainian standards to those of the EU. The EU continues to support the Ukraine through a technical assistance project on improvement of food safety control system and a twinning project on approximation of Ukrainian legislation with the EU in the field of plant protection and plant health. </w:t>
      </w:r>
    </w:p>
    <w:p>
      <w:pPr>
        <w:jc w:val="both"/>
        <w:rPr>
          <w:noProof/>
        </w:rPr>
      </w:pPr>
    </w:p>
    <w:p>
      <w:pPr>
        <w:jc w:val="both"/>
        <w:rPr>
          <w:noProof/>
        </w:rPr>
      </w:pPr>
      <w:r>
        <w:rPr>
          <w:noProof/>
        </w:rPr>
        <w:t xml:space="preserve">In financial services, a technical project by the EU focuses on financial transparency, stability and better supervision. Another technical assistance project intends to strengthen the regulation and supervision of the non-bank financial market. </w:t>
      </w:r>
    </w:p>
    <w:p>
      <w:pPr>
        <w:jc w:val="both"/>
        <w:rPr>
          <w:noProof/>
        </w:rPr>
      </w:pPr>
    </w:p>
    <w:p>
      <w:pPr>
        <w:jc w:val="both"/>
        <w:rPr>
          <w:noProof/>
        </w:rPr>
      </w:pPr>
      <w:r>
        <w:rPr>
          <w:noProof/>
        </w:rPr>
        <w:t xml:space="preserve">The EU supports the alignment of the Ukrainian quality infrastructure system with that of the EU in order to remove technical barriers to trade. An EU technical assistance project works towards furthering regulatory harmonisation between the EU and Ukraine in the area of technical barriers to trade, including through a twinning project with the Ukrainian standardisation body. </w:t>
      </w:r>
    </w:p>
    <w:p>
      <w:pPr>
        <w:jc w:val="both"/>
        <w:rPr>
          <w:noProof/>
        </w:rPr>
      </w:pPr>
    </w:p>
    <w:p>
      <w:pPr>
        <w:jc w:val="both"/>
        <w:rPr>
          <w:noProof/>
        </w:rPr>
      </w:pPr>
      <w:r>
        <w:rPr>
          <w:noProof/>
        </w:rPr>
        <w:t xml:space="preserve">Alignment of Ukraine's national competition legislation with EU standards is being supported by a twinning project. In the perspective of the introduction of domestic rules on state aid control in the Ukraine, a further technical assistance project is aiming to build institutional capacities and effective state aid control bodies. </w:t>
      </w:r>
    </w:p>
    <w:p>
      <w:pPr>
        <w:pStyle w:val="Heading2"/>
        <w:ind w:hanging="4428"/>
      </w:pPr>
      <w:bookmarkStart w:id="733" w:name="_Toc16000572"/>
      <w:r>
        <w:t>1.5 EU support for Small and Medium sized Enterprises (SMEs)</w:t>
      </w:r>
      <w:bookmarkEnd w:id="733"/>
      <w:r>
        <w:t xml:space="preserve"> </w:t>
      </w:r>
    </w:p>
    <w:p>
      <w:pPr>
        <w:jc w:val="both"/>
        <w:rPr>
          <w:noProof/>
        </w:rPr>
      </w:pPr>
      <w:r>
        <w:rPr>
          <w:noProof/>
        </w:rPr>
        <w:t xml:space="preserve">SMEs in Ukraine are benefitting from EU support under the DCFTA Facility for SMEs, which aims at increasing SMEs competitiveness, easing their access to finance, helping them to seize new trade opportunities and comply with new food safety, technical and quality standards, as well as with environmental protection measures implied by the DCFTA implementation. </w:t>
      </w:r>
    </w:p>
    <w:p>
      <w:pPr>
        <w:jc w:val="both"/>
        <w:rPr>
          <w:noProof/>
        </w:rPr>
      </w:pPr>
    </w:p>
    <w:p>
      <w:pPr>
        <w:jc w:val="both"/>
        <w:rPr>
          <w:noProof/>
        </w:rPr>
      </w:pPr>
      <w:r>
        <w:rPr>
          <w:noProof/>
        </w:rPr>
        <w:t xml:space="preserve">The DCFTA Facility consists of a set of programs implemented principally by European Bank for Reconstruction and Development (EBRD) and the European Investment Bank (EIB). </w:t>
      </w:r>
    </w:p>
    <w:p>
      <w:pPr>
        <w:jc w:val="both"/>
        <w:rPr>
          <w:noProof/>
        </w:rPr>
      </w:pPr>
    </w:p>
    <w:p>
      <w:pPr>
        <w:jc w:val="both"/>
        <w:rPr>
          <w:noProof/>
        </w:rPr>
      </w:pPr>
      <w:r>
        <w:rPr>
          <w:noProof/>
        </w:rPr>
        <w:t>EU also supports private sector in Ukraine, in particular SMEs through capacity building and by facilitating access to markets. A flagship project is "EU4Business: Network of Business Support Centres in Ukraine" implemented by EBRD. It offers advisory support to SMEs (creation of 15 regional Business Support Centres, business advice to SMEs by local/international consultants) and investment preparation. Another relevant initiative is “Eastern Partnership: Ready to Trade (International Trade Centre)”. The EU provides significant technical assistance to authorities on SME policy, better regulation and the improvement of inspection services: FORBIZ including the Better Regulation Delivery Office (BRDO) and the Small-and Medium Enterprise Development Office (SMEDO), and EU4Business: From Policies to Action (OECD).</w:t>
      </w:r>
    </w:p>
    <w:p>
      <w:pPr>
        <w:pStyle w:val="ManualHeading1"/>
      </w:pPr>
      <w:bookmarkStart w:id="734" w:name="_Toc8833505"/>
      <w:bookmarkStart w:id="735" w:name="_Toc8835332"/>
      <w:bookmarkStart w:id="736" w:name="_Toc8833962"/>
      <w:bookmarkStart w:id="737" w:name="_Toc8909425"/>
      <w:bookmarkStart w:id="738" w:name="_Toc8910637"/>
      <w:bookmarkStart w:id="739" w:name="_Toc8911674"/>
      <w:bookmarkStart w:id="740" w:name="_Toc8974495"/>
      <w:bookmarkStart w:id="741" w:name="_Toc9008148"/>
      <w:bookmarkStart w:id="742" w:name="_Toc9008551"/>
      <w:bookmarkStart w:id="743" w:name="_Toc9348546"/>
      <w:bookmarkStart w:id="744" w:name="_Toc9607997"/>
      <w:bookmarkStart w:id="745" w:name="_Toc16000573"/>
      <w:r>
        <w:t>2</w:t>
      </w:r>
      <w:r>
        <w:tab/>
        <w:t>Activities of the implementation bodies</w:t>
      </w:r>
      <w:bookmarkEnd w:id="734"/>
      <w:bookmarkEnd w:id="735"/>
      <w:bookmarkEnd w:id="736"/>
      <w:bookmarkEnd w:id="737"/>
      <w:bookmarkEnd w:id="738"/>
      <w:bookmarkEnd w:id="739"/>
      <w:bookmarkEnd w:id="740"/>
      <w:bookmarkEnd w:id="741"/>
      <w:bookmarkEnd w:id="742"/>
      <w:bookmarkEnd w:id="743"/>
      <w:bookmarkEnd w:id="744"/>
      <w:bookmarkEnd w:id="745"/>
    </w:p>
    <w:p>
      <w:pPr>
        <w:pStyle w:val="Heading2"/>
        <w:ind w:left="0" w:firstLine="0"/>
        <w:jc w:val="left"/>
      </w:pPr>
      <w:bookmarkStart w:id="746" w:name="_Toc8833506"/>
      <w:bookmarkStart w:id="747" w:name="_Toc8835333"/>
      <w:bookmarkStart w:id="748" w:name="_Toc8833963"/>
      <w:bookmarkStart w:id="749" w:name="_Toc8909426"/>
      <w:bookmarkStart w:id="750" w:name="_Toc8910638"/>
      <w:bookmarkStart w:id="751" w:name="_Toc8911675"/>
      <w:bookmarkStart w:id="752" w:name="_Toc8974496"/>
      <w:bookmarkStart w:id="753" w:name="_Toc9008149"/>
      <w:bookmarkStart w:id="754" w:name="_Toc9008552"/>
      <w:bookmarkStart w:id="755" w:name="_Toc9348547"/>
      <w:bookmarkStart w:id="756" w:name="_Toc9607998"/>
      <w:bookmarkStart w:id="757" w:name="_Toc16000574"/>
      <w:r>
        <w:t>2.1 Joint decisions of the Association Bodies</w:t>
      </w:r>
      <w:bookmarkEnd w:id="746"/>
      <w:bookmarkEnd w:id="747"/>
      <w:bookmarkEnd w:id="748"/>
      <w:bookmarkEnd w:id="749"/>
      <w:bookmarkEnd w:id="750"/>
      <w:bookmarkEnd w:id="751"/>
      <w:bookmarkEnd w:id="752"/>
      <w:bookmarkEnd w:id="753"/>
      <w:bookmarkEnd w:id="754"/>
      <w:bookmarkEnd w:id="755"/>
      <w:bookmarkEnd w:id="756"/>
      <w:bookmarkEnd w:id="757"/>
    </w:p>
    <w:p>
      <w:pPr>
        <w:jc w:val="both"/>
        <w:rPr>
          <w:noProof/>
          <w:lang w:eastAsia="en-GB"/>
        </w:rPr>
      </w:pPr>
      <w:r>
        <w:rPr>
          <w:noProof/>
          <w:lang w:eastAsia="en-GB"/>
        </w:rPr>
        <w:t>Decision 1/2018</w:t>
      </w:r>
      <w:r>
        <w:rPr>
          <w:rStyle w:val="FootnoteReference"/>
          <w:noProof/>
          <w:lang w:eastAsia="en-GB"/>
        </w:rPr>
        <w:footnoteReference w:id="26"/>
      </w:r>
      <w:r>
        <w:rPr>
          <w:noProof/>
          <w:lang w:eastAsia="en-GB"/>
        </w:rPr>
        <w:t xml:space="preserve"> of the EU-Ukraine Customs Sub-Committee was adopted on 21 November 2018, replacing Protocol I to the EU-Ukraine Association Agreement, concerning the definition of the concept of “originating products” and methods of administrative cooperation with the Regional Convention on pan-Euro-Mediterranean preferential rules of origin (PEM Convention).</w:t>
      </w:r>
    </w:p>
    <w:p>
      <w:pPr>
        <w:pStyle w:val="Heading2"/>
        <w:ind w:left="0" w:firstLine="0"/>
        <w:jc w:val="left"/>
      </w:pPr>
      <w:bookmarkStart w:id="758" w:name="_Toc8833507"/>
      <w:bookmarkStart w:id="759" w:name="_Toc8835334"/>
      <w:bookmarkStart w:id="760" w:name="_Toc8833964"/>
      <w:bookmarkStart w:id="761" w:name="_Toc8909427"/>
      <w:bookmarkStart w:id="762" w:name="_Toc8910639"/>
      <w:bookmarkStart w:id="763" w:name="_Toc8911676"/>
      <w:bookmarkStart w:id="764" w:name="_Toc8974497"/>
      <w:bookmarkStart w:id="765" w:name="_Toc9008150"/>
      <w:bookmarkStart w:id="766" w:name="_Toc9008553"/>
      <w:bookmarkStart w:id="767" w:name="_Toc9348548"/>
      <w:bookmarkStart w:id="768" w:name="_Toc9607999"/>
      <w:bookmarkStart w:id="769" w:name="_Toc16000575"/>
      <w:r>
        <w:t>2.2 Meetings of the Association Bodies</w:t>
      </w:r>
      <w:bookmarkEnd w:id="758"/>
      <w:bookmarkEnd w:id="759"/>
      <w:bookmarkEnd w:id="760"/>
      <w:bookmarkEnd w:id="761"/>
      <w:bookmarkEnd w:id="762"/>
      <w:bookmarkEnd w:id="763"/>
      <w:bookmarkEnd w:id="764"/>
      <w:bookmarkEnd w:id="765"/>
      <w:bookmarkEnd w:id="766"/>
      <w:bookmarkEnd w:id="767"/>
      <w:bookmarkEnd w:id="768"/>
      <w:bookmarkEnd w:id="769"/>
    </w:p>
    <w:p>
      <w:pPr>
        <w:jc w:val="both"/>
        <w:rPr>
          <w:noProof/>
          <w:lang w:eastAsia="en-GB"/>
        </w:rPr>
      </w:pPr>
      <w:r>
        <w:rPr>
          <w:b/>
          <w:bCs/>
          <w:noProof/>
          <w:lang w:eastAsia="en-GB"/>
        </w:rPr>
        <w:t>The third Association Committee in Trade configuration (ACTC)</w:t>
      </w:r>
      <w:r>
        <w:rPr>
          <w:noProof/>
          <w:lang w:eastAsia="en-GB"/>
        </w:rPr>
        <w:t xml:space="preserve"> was held 22-23 November 2018 in Kyiv. The meeting allowed for a useful exchange of views and information on the state of play of implementation under the different chapters of the agreement as well as on the evolution of bilateral trade over the past year. The ACTC also adopted its operational conclusion for 2019.</w:t>
      </w:r>
    </w:p>
    <w:p>
      <w:pPr>
        <w:jc w:val="both"/>
        <w:rPr>
          <w:noProof/>
          <w:lang w:eastAsia="en-GB"/>
        </w:rPr>
      </w:pPr>
    </w:p>
    <w:p>
      <w:pPr>
        <w:jc w:val="both"/>
        <w:rPr>
          <w:noProof/>
          <w:lang w:eastAsia="en-GB"/>
        </w:rPr>
      </w:pPr>
      <w:r>
        <w:rPr>
          <w:noProof/>
          <w:lang w:eastAsia="en-GB"/>
        </w:rPr>
        <w:t>In relation to customs and trade facilitation, Decision 1/2018 of the Customs Sub-committee, referred to in section 2.1 above is an important achievement to further facilitate trade and it will allow diagonal cumulation with other partners to the Regional Convention on pan-Euro-Mediterranean preferential rules of origin (PEM) with whom Ukraine has a free trade agreement, Norway for example. Ukraine’s accession to the Conventions on a Common Transit Procedure</w:t>
      </w:r>
      <w:r>
        <w:rPr>
          <w:rStyle w:val="FootnoteReference"/>
          <w:noProof/>
          <w:lang w:eastAsia="en-GB"/>
        </w:rPr>
        <w:footnoteReference w:id="27"/>
      </w:r>
      <w:r>
        <w:rPr>
          <w:noProof/>
          <w:lang w:eastAsia="en-GB"/>
        </w:rPr>
        <w:t xml:space="preserve"> and the Convention on Simplification of Formalities in trade in goods, as well as the setting up an Authorised Economic Operator (AEO) Programme are still ongoing and foreseen under the Association Agreement. The EU provides significant support, assistance and expertise to help Ukraine in its efforts to accede to the conventions and setting up the AEO, which will simplify, ease and facilitate the movement of goods between countries.</w:t>
      </w:r>
    </w:p>
    <w:p>
      <w:pPr>
        <w:jc w:val="both"/>
        <w:rPr>
          <w:noProof/>
          <w:lang w:eastAsia="en-GB"/>
        </w:rPr>
      </w:pPr>
    </w:p>
    <w:p>
      <w:pPr>
        <w:jc w:val="both"/>
        <w:rPr>
          <w:noProof/>
        </w:rPr>
      </w:pPr>
      <w:r>
        <w:rPr>
          <w:noProof/>
          <w:lang w:eastAsia="en-GB"/>
        </w:rPr>
        <w:t>The EU expressed its concern about the lack of progress on intellectual property rights and encouraged laws to be adopted to properly implement the intellectual property rights Chapter of the DCFTA and strengthen enforcement to reduce counterfeiting and piracy.</w:t>
      </w:r>
      <w:r>
        <w:rPr>
          <w:noProof/>
        </w:rPr>
        <w:t xml:space="preserve"> On geographical indications (GIs),</w:t>
      </w:r>
      <w:r>
        <w:rPr>
          <w:noProof/>
          <w:lang w:eastAsia="en-GB"/>
        </w:rPr>
        <w:t xml:space="preserve"> the two Ukrainian GIs protected under the DCFTA have been included in the E-Bacchus</w:t>
      </w:r>
      <w:r>
        <w:rPr>
          <w:rStyle w:val="FootnoteReference"/>
          <w:noProof/>
          <w:lang w:eastAsia="en-GB"/>
        </w:rPr>
        <w:footnoteReference w:id="28"/>
      </w:r>
      <w:r>
        <w:rPr>
          <w:noProof/>
          <w:lang w:eastAsia="en-GB"/>
        </w:rPr>
        <w:t xml:space="preserve"> database. Ukraine agreed to undertake during 2019 the necessary work with the Ukrainian industry in order to develop a new name for “Cognac of Ukraine” and to modify the recently adopted ‘rules of production of Cognac of Ukraine’, clearly stating that these rules shall be applied no later than the expiry of the 10-year transition period provided by the Association Agreement, i.e. no later than 2026.</w:t>
      </w:r>
      <w:r>
        <w:rPr>
          <w:noProof/>
        </w:rPr>
        <w:t xml:space="preserve"> </w:t>
      </w:r>
    </w:p>
    <w:p>
      <w:pPr>
        <w:jc w:val="both"/>
        <w:rPr>
          <w:noProof/>
        </w:rPr>
      </w:pPr>
    </w:p>
    <w:p>
      <w:pPr>
        <w:jc w:val="both"/>
        <w:rPr>
          <w:noProof/>
          <w:lang w:eastAsia="en-GB"/>
        </w:rPr>
      </w:pPr>
      <w:r>
        <w:rPr>
          <w:noProof/>
          <w:lang w:eastAsia="en-GB"/>
        </w:rPr>
        <w:t>EU provided an overview of the state of play of notifications on amendments to EU legislation on the four services sectors; postal and courier services, telecommunication, financial services and international maritime transport services. Ukraine will submit its comments during the first half of 2019 following which, a consolidated list of legislation will be drawn and a formal decision to amend Annex XVII will be adopted.</w:t>
      </w:r>
    </w:p>
    <w:p>
      <w:pPr>
        <w:jc w:val="both"/>
        <w:rPr>
          <w:noProof/>
          <w:lang w:eastAsia="en-GB"/>
        </w:rPr>
      </w:pPr>
    </w:p>
    <w:p>
      <w:pPr>
        <w:jc w:val="both"/>
        <w:rPr>
          <w:noProof/>
          <w:lang w:eastAsia="en-GB"/>
        </w:rPr>
      </w:pPr>
      <w:r>
        <w:rPr>
          <w:noProof/>
          <w:lang w:eastAsia="en-GB"/>
        </w:rPr>
        <w:t>EU welcomed the updated roadmap on postal and courier services from March 2018, which would serve as a good guideline for approximation and alignment to EU legislation. Ukraine indicated that draft legislation with a view to aligning with Directive 97/96 was underway and would be submitted to the EU.</w:t>
      </w:r>
    </w:p>
    <w:p>
      <w:pPr>
        <w:jc w:val="both"/>
        <w:rPr>
          <w:noProof/>
          <w:lang w:eastAsia="en-GB"/>
        </w:rPr>
      </w:pPr>
    </w:p>
    <w:p>
      <w:pPr>
        <w:jc w:val="both"/>
        <w:rPr>
          <w:noProof/>
          <w:lang w:eastAsia="en-GB"/>
        </w:rPr>
      </w:pPr>
      <w:r>
        <w:rPr>
          <w:noProof/>
          <w:lang w:eastAsia="en-GB"/>
        </w:rPr>
        <w:t>EU reiterated its concerns about the wood export ban which was still in place as well as the value added tax law 2440 that restricted the exports for rapeseed and soybeans. Several other topics on RAPEX</w:t>
      </w:r>
      <w:r>
        <w:rPr>
          <w:rStyle w:val="FootnoteReference"/>
          <w:noProof/>
          <w:lang w:eastAsia="en-GB"/>
        </w:rPr>
        <w:footnoteReference w:id="29"/>
      </w:r>
      <w:r>
        <w:rPr>
          <w:noProof/>
          <w:lang w:eastAsia="en-GB"/>
        </w:rPr>
        <w:t>, road transport, the list of arbitrators for the bilateral dispute settlement mechanism, competition and state aid, poultry imports and certificates and documentation for metal scrap</w:t>
      </w:r>
      <w:r>
        <w:rPr>
          <w:noProof/>
        </w:rPr>
        <w:t xml:space="preserve"> </w:t>
      </w:r>
      <w:r>
        <w:rPr>
          <w:noProof/>
          <w:lang w:eastAsia="en-GB"/>
        </w:rPr>
        <w:t>exports were also discussed. The details of the discussions on SPS and TSD are reported below.</w:t>
      </w:r>
    </w:p>
    <w:p>
      <w:pPr>
        <w:jc w:val="both"/>
        <w:rPr>
          <w:noProof/>
          <w:lang w:eastAsia="en-GB"/>
        </w:rPr>
      </w:pPr>
    </w:p>
    <w:p>
      <w:pPr>
        <w:jc w:val="both"/>
        <w:rPr>
          <w:noProof/>
          <w:lang w:eastAsia="en-GB"/>
        </w:rPr>
      </w:pPr>
      <w:r>
        <w:rPr>
          <w:b/>
          <w:bCs/>
          <w:noProof/>
          <w:lang w:eastAsia="en-GB"/>
        </w:rPr>
        <w:t>The Sanitary and Phytosanitary Management Sub-Committee</w:t>
      </w:r>
      <w:r>
        <w:rPr>
          <w:noProof/>
          <w:lang w:eastAsia="en-GB"/>
        </w:rPr>
        <w:t xml:space="preserve"> held its third meeting on 16 November 2018 via video conference, </w:t>
      </w:r>
      <w:r>
        <w:rPr>
          <w:noProof/>
        </w:rPr>
        <w:t>however both parties have regular meetings on SPS issues to keep track of the developments and interfere where issues arise.</w:t>
      </w:r>
      <w:r>
        <w:rPr>
          <w:noProof/>
          <w:lang w:eastAsia="en-GB"/>
        </w:rPr>
        <w:t xml:space="preserve"> </w:t>
      </w:r>
      <w:r>
        <w:rPr>
          <w:noProof/>
        </w:rPr>
        <w:t>During the meeting, the Ukrainian authorities presented progress on the implementation of the operational conclusions from the previous Sub-Committee meeting of October 2017 and updates as regards the implementation of the DCFTA SPS Chapter as well as on institutional reforms. T</w:t>
      </w:r>
      <w:r>
        <w:rPr>
          <w:noProof/>
          <w:lang w:eastAsia="en-GB"/>
        </w:rPr>
        <w:t>he EU informed about the marketing standards it has in place for the import of shell eggs.</w:t>
      </w:r>
    </w:p>
    <w:p>
      <w:pPr>
        <w:jc w:val="both"/>
        <w:rPr>
          <w:noProof/>
        </w:rPr>
      </w:pPr>
    </w:p>
    <w:p>
      <w:pPr>
        <w:jc w:val="both"/>
        <w:rPr>
          <w:noProof/>
        </w:rPr>
      </w:pPr>
      <w:r>
        <w:rPr>
          <w:noProof/>
        </w:rPr>
        <w:t xml:space="preserve">Parties discussed the final steps to be made in order to adopt Annex V of the Association Agreements that lists the EU SPS legislation and the deadlines as to when Ukraine should have concluded the approximation per act. Parties reached a technical agreement on this annex and discussed their internal procedures that have to be followed in order for the SPS Sub-Committee to finally adopt this important document. </w:t>
      </w:r>
    </w:p>
    <w:p>
      <w:pPr>
        <w:jc w:val="both"/>
        <w:rPr>
          <w:noProof/>
        </w:rPr>
      </w:pPr>
    </w:p>
    <w:p>
      <w:pPr>
        <w:jc w:val="both"/>
        <w:rPr>
          <w:noProof/>
          <w:lang w:eastAsia="en-GB"/>
        </w:rPr>
      </w:pPr>
      <w:r>
        <w:rPr>
          <w:noProof/>
          <w:lang w:eastAsia="en-GB"/>
        </w:rPr>
        <w:t>Due to the importance of SPS in general and the Ukrainian commitment in the Association Agreement in particular, the SPS sector will remain a core sector in its bilateral cooperation with Ukraine for the years to come. Two projects of a combined value of around €5 million are foreseen in 2019.</w:t>
      </w:r>
    </w:p>
    <w:p>
      <w:pPr>
        <w:jc w:val="both"/>
        <w:rPr>
          <w:noProof/>
          <w:lang w:eastAsia="en-GB"/>
        </w:rPr>
      </w:pPr>
    </w:p>
    <w:p>
      <w:pPr>
        <w:jc w:val="both"/>
        <w:rPr>
          <w:noProof/>
          <w:lang w:eastAsia="en-GB"/>
        </w:rPr>
      </w:pPr>
      <w:r>
        <w:rPr>
          <w:noProof/>
          <w:lang w:eastAsia="en-GB"/>
        </w:rPr>
        <w:t>The Commission carried out an audit on the control system for poultry meat and informed that a follow-up audit would be carried out in 2019 to verify whether the shortcoming that had been identified had been rectified accordingly. The next meeting is planned for the first half of 2019.</w:t>
      </w:r>
    </w:p>
    <w:p>
      <w:pPr>
        <w:pStyle w:val="ManualHeading1"/>
      </w:pPr>
      <w:bookmarkStart w:id="770" w:name="_Toc8833508"/>
      <w:bookmarkStart w:id="771" w:name="_Toc8835335"/>
      <w:bookmarkStart w:id="772" w:name="_Toc8833965"/>
      <w:bookmarkStart w:id="773" w:name="_Toc8909428"/>
      <w:bookmarkStart w:id="774" w:name="_Toc8910640"/>
      <w:bookmarkStart w:id="775" w:name="_Toc8911677"/>
      <w:bookmarkStart w:id="776" w:name="_Toc8974498"/>
      <w:bookmarkStart w:id="777" w:name="_Toc9008151"/>
      <w:bookmarkStart w:id="778" w:name="_Toc9008554"/>
      <w:bookmarkStart w:id="779" w:name="_Toc9348549"/>
      <w:bookmarkStart w:id="780" w:name="_Toc9608000"/>
      <w:bookmarkStart w:id="781" w:name="_Toc16000576"/>
      <w:r>
        <w:t>3</w:t>
      </w:r>
      <w:r>
        <w:tab/>
        <w:t>Implementation of the provisions on trade and sustainable development</w:t>
      </w:r>
      <w:bookmarkEnd w:id="770"/>
      <w:bookmarkEnd w:id="771"/>
      <w:bookmarkEnd w:id="772"/>
      <w:bookmarkEnd w:id="773"/>
      <w:bookmarkEnd w:id="774"/>
      <w:bookmarkEnd w:id="775"/>
      <w:bookmarkEnd w:id="776"/>
      <w:bookmarkEnd w:id="777"/>
      <w:bookmarkEnd w:id="778"/>
      <w:bookmarkEnd w:id="779"/>
      <w:bookmarkEnd w:id="780"/>
      <w:bookmarkEnd w:id="781"/>
    </w:p>
    <w:p>
      <w:pPr>
        <w:jc w:val="both"/>
        <w:rPr>
          <w:noProof/>
        </w:rPr>
      </w:pPr>
      <w:r>
        <w:rPr>
          <w:b/>
          <w:bCs/>
          <w:noProof/>
        </w:rPr>
        <w:t xml:space="preserve">The second Trade and Sustainable Development (TSD) Sub-Committee </w:t>
      </w:r>
      <w:r>
        <w:rPr>
          <w:noProof/>
        </w:rPr>
        <w:t>between the EU and Ukraine was held on 13 November 2018 in Kyiv, followed by an open Civil Society Forum on 14 November 2018 during which members of the EU Advisory Group were able to meet the newly established Ukraine Advisory Group for the first time. The meeting of the Sub-Committee enabled a first substantial exchange on TSD labour provisions. It notably discussed labour inspections as a cross-cutting issue for all labour standards, revision of the labour legislation to address compliance gaps with several ILO fundamental conventions as well as recent issues around trade-unions’ rights. The EU notably called for action to bring the current labour inspection system fully in line with the relevant ILO conventions. An EU-funded ILO project is making a positive contribution to strengthening the Ukrainian labour inspection system and the EU encouraged Ukraine to take full advantage of this support. The operational conclusions of the TSD Sub-Committee and its joint statement to civil society are available online</w:t>
      </w:r>
      <w:r>
        <w:rPr>
          <w:rStyle w:val="FootnoteReference"/>
          <w:noProof/>
        </w:rPr>
        <w:footnoteReference w:id="30"/>
      </w:r>
      <w:r>
        <w:rPr>
          <w:rStyle w:val="FootnoteReference"/>
          <w:noProof/>
        </w:rPr>
        <w:footnoteReference w:id="31"/>
      </w:r>
      <w:r>
        <w:rPr>
          <w:noProof/>
        </w:rPr>
        <w:t xml:space="preserve"> and contains additional valuable information. They highlight the key areas of EU-Ukraine TSD implementation work, including on trade and labour issues (labour inspection, modernisation of labour relations, social dialogue) as well as trade and environmental issues (sustainable forest management and related wood production, sales, processing and trade). </w:t>
      </w:r>
    </w:p>
    <w:p>
      <w:pPr>
        <w:jc w:val="both"/>
        <w:rPr>
          <w:noProof/>
        </w:rPr>
      </w:pPr>
    </w:p>
    <w:p>
      <w:pPr>
        <w:jc w:val="both"/>
        <w:rPr>
          <w:noProof/>
        </w:rPr>
      </w:pPr>
      <w:r>
        <w:rPr>
          <w:noProof/>
        </w:rPr>
        <w:t xml:space="preserve">In line with the TSD </w:t>
      </w:r>
      <w:hyperlink r:id="rId34" w:history="1">
        <w:r>
          <w:rPr>
            <w:rFonts w:eastAsia="Times New Roman"/>
            <w:noProof/>
            <w:color w:val="0563C1"/>
            <w:u w:val="single"/>
            <w:lang w:eastAsia="en-GB"/>
          </w:rPr>
          <w:t>15-point action plan</w:t>
        </w:r>
      </w:hyperlink>
      <w:r>
        <w:rPr>
          <w:noProof/>
        </w:rPr>
        <w:t xml:space="preserve"> of February 2018, in particular its theme of “working together”, EU Member States were regularly updated both in Brussels through TSD expert group meetings and on the ground in Kyiv via the EU Delegation on TSD matters and were asked for inputs and feedback, for example regarding ongoing projects benefiting TSD implementation in Ukraine.</w:t>
      </w:r>
    </w:p>
    <w:p>
      <w:pPr>
        <w:jc w:val="both"/>
        <w:rPr>
          <w:noProof/>
        </w:rPr>
      </w:pPr>
    </w:p>
    <w:p>
      <w:pPr>
        <w:jc w:val="both"/>
        <w:rPr>
          <w:noProof/>
        </w:rPr>
      </w:pPr>
      <w:r>
        <w:rPr>
          <w:noProof/>
        </w:rPr>
        <w:t>In 2019, Ukraine is expected to select its experts for the TSD list of experts. A panel composed of experts from that list would be sought for advice in cases of disputes over TSD matters between the EU and Ukraine.</w:t>
      </w:r>
    </w:p>
    <w:p>
      <w:pPr>
        <w:pStyle w:val="ManualHeading1"/>
      </w:pPr>
      <w:bookmarkStart w:id="782" w:name="_Toc8833509"/>
      <w:bookmarkStart w:id="783" w:name="_Toc8835336"/>
      <w:bookmarkStart w:id="784" w:name="_Toc8833966"/>
      <w:bookmarkStart w:id="785" w:name="_Toc8909429"/>
      <w:bookmarkStart w:id="786" w:name="_Toc8910641"/>
      <w:bookmarkStart w:id="787" w:name="_Toc8911678"/>
      <w:bookmarkStart w:id="788" w:name="_Toc8974499"/>
      <w:bookmarkStart w:id="789" w:name="_Toc9008152"/>
      <w:bookmarkStart w:id="790" w:name="_Toc9008555"/>
      <w:bookmarkStart w:id="791" w:name="_Toc9348550"/>
      <w:bookmarkStart w:id="792" w:name="_Toc9608001"/>
      <w:bookmarkStart w:id="793" w:name="_Toc16000577"/>
      <w:r>
        <w:t>4</w:t>
      </w:r>
      <w:r>
        <w:tab/>
        <w:t>Progress made, main open issues and follow-up actions</w:t>
      </w:r>
      <w:bookmarkEnd w:id="782"/>
      <w:bookmarkEnd w:id="783"/>
      <w:bookmarkEnd w:id="784"/>
      <w:bookmarkEnd w:id="785"/>
      <w:bookmarkEnd w:id="786"/>
      <w:bookmarkEnd w:id="787"/>
      <w:bookmarkEnd w:id="788"/>
      <w:bookmarkEnd w:id="789"/>
      <w:bookmarkEnd w:id="790"/>
      <w:bookmarkEnd w:id="791"/>
      <w:bookmarkEnd w:id="792"/>
      <w:bookmarkEnd w:id="793"/>
    </w:p>
    <w:p>
      <w:pPr>
        <w:pStyle w:val="Heading2"/>
        <w:tabs>
          <w:tab w:val="clear" w:pos="4570"/>
        </w:tabs>
        <w:ind w:left="567"/>
        <w:rPr>
          <w:b w:val="0"/>
          <w:bCs/>
        </w:rPr>
      </w:pPr>
      <w:bookmarkStart w:id="794" w:name="_Toc8833510"/>
      <w:bookmarkStart w:id="795" w:name="_Toc8835337"/>
      <w:bookmarkStart w:id="796" w:name="_Toc8833967"/>
      <w:bookmarkStart w:id="797" w:name="_Toc8909430"/>
      <w:bookmarkStart w:id="798" w:name="_Toc8910642"/>
      <w:bookmarkStart w:id="799" w:name="_Toc8911679"/>
      <w:bookmarkStart w:id="800" w:name="_Toc8974500"/>
      <w:bookmarkStart w:id="801" w:name="_Toc9008153"/>
      <w:bookmarkStart w:id="802" w:name="_Toc9008556"/>
      <w:bookmarkStart w:id="803" w:name="_Toc9348551"/>
      <w:bookmarkStart w:id="804" w:name="_Toc9608002"/>
      <w:bookmarkStart w:id="805" w:name="_Toc16000578"/>
      <w:r>
        <w:t>4.1 Wood export ban</w:t>
      </w:r>
      <w:bookmarkEnd w:id="794"/>
      <w:bookmarkEnd w:id="795"/>
      <w:bookmarkEnd w:id="796"/>
      <w:bookmarkEnd w:id="797"/>
      <w:bookmarkEnd w:id="798"/>
      <w:bookmarkEnd w:id="799"/>
      <w:bookmarkEnd w:id="800"/>
      <w:bookmarkEnd w:id="801"/>
      <w:bookmarkEnd w:id="802"/>
      <w:bookmarkEnd w:id="803"/>
      <w:bookmarkEnd w:id="804"/>
      <w:bookmarkEnd w:id="805"/>
    </w:p>
    <w:p>
      <w:pPr>
        <w:jc w:val="both"/>
        <w:rPr>
          <w:noProof/>
        </w:rPr>
      </w:pPr>
      <w:r>
        <w:rPr>
          <w:noProof/>
        </w:rPr>
        <w:t xml:space="preserve">Ukraine has not made any efforts in removing the wood export ban despite repeated requests by the EU at all levels and instances, and repeated promises by Ukraine to solve the problem. The EU consequently submitted on 15 January 2019 a formal request for dispute settlement consultations with regard to certain Ukrainian export restrictions on wood pursuant to Article 305 of the Association Agreement. This request is publicly available and can be found on </w:t>
      </w:r>
      <w:hyperlink r:id="rId35" w:history="1">
        <w:r>
          <w:rPr>
            <w:rStyle w:val="Hyperlink"/>
            <w:noProof/>
          </w:rPr>
          <w:t>DG TRADE’s web site</w:t>
        </w:r>
      </w:hyperlink>
      <w:r>
        <w:rPr>
          <w:noProof/>
        </w:rPr>
        <w:t>. During the ensuing bilateral consultations held on 7 February 2019 in Kyiv, Ukraine provided useful information and replies to the questions prepared by the EU but the consultations essentially confirmed the Commission’s legal assessment of the measures at stake as well as their economic and political background. The EU will carefully consider the next steps. The EU explained to Ukraine that the wood export ban could not be considered as an appropriate forest preservation measure and does not appropriately address the challenges of the forestry sector in Ukraine as regards corruption and illegal business activities. The EU has always been a staunch supporter of efforts to develop a sustainable forest management in Ukraine and have provided support and assistance and continues to do so.</w:t>
      </w:r>
    </w:p>
    <w:p>
      <w:pPr>
        <w:pStyle w:val="Heading2"/>
        <w:tabs>
          <w:tab w:val="clear" w:pos="4570"/>
        </w:tabs>
        <w:ind w:left="567"/>
        <w:rPr>
          <w:b w:val="0"/>
          <w:bCs/>
        </w:rPr>
      </w:pPr>
      <w:bookmarkStart w:id="806" w:name="_Toc8833511"/>
      <w:bookmarkStart w:id="807" w:name="_Toc8835338"/>
      <w:bookmarkStart w:id="808" w:name="_Toc8833968"/>
      <w:bookmarkStart w:id="809" w:name="_Toc8909431"/>
      <w:bookmarkStart w:id="810" w:name="_Toc8910643"/>
      <w:bookmarkStart w:id="811" w:name="_Toc8911680"/>
      <w:bookmarkStart w:id="812" w:name="_Toc8974501"/>
      <w:bookmarkStart w:id="813" w:name="_Toc9008154"/>
      <w:bookmarkStart w:id="814" w:name="_Toc9008557"/>
      <w:bookmarkStart w:id="815" w:name="_Toc9348552"/>
      <w:bookmarkStart w:id="816" w:name="_Toc9608003"/>
      <w:bookmarkStart w:id="817" w:name="_Toc16000579"/>
      <w:r>
        <w:t>4.2 Value added tax law 2440</w:t>
      </w:r>
      <w:bookmarkEnd w:id="806"/>
      <w:bookmarkEnd w:id="807"/>
      <w:bookmarkEnd w:id="808"/>
      <w:bookmarkEnd w:id="809"/>
      <w:bookmarkEnd w:id="810"/>
      <w:bookmarkEnd w:id="811"/>
      <w:bookmarkEnd w:id="812"/>
      <w:bookmarkEnd w:id="813"/>
      <w:bookmarkEnd w:id="814"/>
      <w:bookmarkEnd w:id="815"/>
      <w:bookmarkEnd w:id="816"/>
      <w:bookmarkEnd w:id="817"/>
    </w:p>
    <w:p>
      <w:pPr>
        <w:jc w:val="both"/>
        <w:rPr>
          <w:noProof/>
        </w:rPr>
      </w:pPr>
      <w:r>
        <w:rPr>
          <w:noProof/>
        </w:rPr>
        <w:t>In 2018, Ukraine adopted a law 2440 on the cancellation of value added tax. The law denies, for certain exporters, the refund of the value added tax upon export of rapeseed and soybeans. The law sets out that exporters, when exporting soybeans from 1.9.2018 to 31.12 2021 and rapeseed from 1.1.2020 to 31.12.2021 will not be reimbursed for the value added tax. This has a negative impact on most stakeholders, in particular processing plants in the EU (for whom the cost of Ukrainian grains increases), EU and Ukrainian traders without Ukrainian production but also Ukrainian farmers who face lower domestic prices. This is a measure that appears incompatible with the provisions of the Association Agreement and Ukraine’s Protocol of Accession to the WTO. The EU has on several occasions, at both technical and Ministerial level, raised concerns about this measure and encouraged Ukraine to take the necessary steps to end it.</w:t>
      </w:r>
    </w:p>
    <w:p>
      <w:pPr>
        <w:pStyle w:val="Heading2"/>
        <w:tabs>
          <w:tab w:val="clear" w:pos="4570"/>
        </w:tabs>
        <w:ind w:left="567"/>
        <w:rPr>
          <w:b w:val="0"/>
          <w:bCs/>
        </w:rPr>
      </w:pPr>
      <w:bookmarkStart w:id="818" w:name="_Toc8833512"/>
      <w:bookmarkStart w:id="819" w:name="_Toc8835339"/>
      <w:bookmarkStart w:id="820" w:name="_Toc8833969"/>
      <w:bookmarkStart w:id="821" w:name="_Toc8909432"/>
      <w:bookmarkStart w:id="822" w:name="_Toc8910644"/>
      <w:bookmarkStart w:id="823" w:name="_Toc8911681"/>
      <w:bookmarkStart w:id="824" w:name="_Toc8974502"/>
      <w:bookmarkStart w:id="825" w:name="_Toc9008155"/>
      <w:bookmarkStart w:id="826" w:name="_Toc9008558"/>
      <w:bookmarkStart w:id="827" w:name="_Toc9348553"/>
      <w:bookmarkStart w:id="828" w:name="_Toc9608004"/>
      <w:bookmarkStart w:id="829" w:name="_Toc16000580"/>
      <w:r>
        <w:t>4.3 Poultry meat imports</w:t>
      </w:r>
      <w:bookmarkEnd w:id="818"/>
      <w:bookmarkEnd w:id="819"/>
      <w:bookmarkEnd w:id="820"/>
      <w:bookmarkEnd w:id="821"/>
      <w:bookmarkEnd w:id="822"/>
      <w:bookmarkEnd w:id="823"/>
      <w:bookmarkEnd w:id="824"/>
      <w:bookmarkEnd w:id="825"/>
      <w:bookmarkEnd w:id="826"/>
      <w:bookmarkEnd w:id="827"/>
      <w:bookmarkEnd w:id="828"/>
      <w:bookmarkEnd w:id="829"/>
    </w:p>
    <w:p>
      <w:pPr>
        <w:jc w:val="both"/>
        <w:rPr>
          <w:noProof/>
        </w:rPr>
      </w:pPr>
      <w:r>
        <w:rPr>
          <w:noProof/>
        </w:rPr>
        <w:t>The imports of a new type of poultry cut continued its increase in 2018. This novel cut consists of a traditional breast cap with the humerus bones and, after a minimal transformation, this cut can be marketed in the EU as poultry breast. The rapid increase in duty free imports of this particular poultry cut, which was neither existent nor foreseeable during the negotiations of the agreement, risk undermining the protection provided for poultry breast. The EU held working consultations with Ukraine during the summer 2018 and on 20 December 2018, the Council authorised the Commission to open negotiations with Ukraine with a view to find a solution by amending the trade preferences for poultry meat and poultry meat preparations. The negotiations held in January, February and March 2019 resulted in an agreement to include the poultry cuts in question into the existing quota, reintroducing the most favoured nations duty of €100.8 /100kg net and finally to increase the existing poultry quota for Ukraine. Actual imports from Ukraine of these particular poultry cuts reached 55,000 tonnes in 2018.</w:t>
      </w:r>
    </w:p>
    <w:p>
      <w:pPr>
        <w:pStyle w:val="Heading2"/>
        <w:tabs>
          <w:tab w:val="clear" w:pos="4570"/>
        </w:tabs>
        <w:ind w:left="567"/>
        <w:rPr>
          <w:b w:val="0"/>
          <w:bCs/>
        </w:rPr>
      </w:pPr>
      <w:bookmarkStart w:id="830" w:name="_Toc8833513"/>
      <w:bookmarkStart w:id="831" w:name="_Toc8835340"/>
      <w:bookmarkStart w:id="832" w:name="_Toc8833970"/>
      <w:bookmarkStart w:id="833" w:name="_Toc8909433"/>
      <w:bookmarkStart w:id="834" w:name="_Toc8910645"/>
      <w:bookmarkStart w:id="835" w:name="_Toc8911682"/>
      <w:bookmarkStart w:id="836" w:name="_Toc8974503"/>
      <w:bookmarkStart w:id="837" w:name="_Toc9008156"/>
      <w:bookmarkStart w:id="838" w:name="_Toc9008559"/>
      <w:bookmarkStart w:id="839" w:name="_Toc9348554"/>
      <w:bookmarkStart w:id="840" w:name="_Toc9608005"/>
      <w:bookmarkStart w:id="841" w:name="_Toc16000581"/>
      <w:r>
        <w:t>4.4 Technical barriers to trade</w:t>
      </w:r>
      <w:bookmarkEnd w:id="830"/>
      <w:bookmarkEnd w:id="831"/>
      <w:bookmarkEnd w:id="832"/>
      <w:bookmarkEnd w:id="833"/>
      <w:bookmarkEnd w:id="834"/>
      <w:bookmarkEnd w:id="835"/>
      <w:bookmarkEnd w:id="836"/>
      <w:bookmarkEnd w:id="837"/>
      <w:bookmarkEnd w:id="838"/>
      <w:bookmarkEnd w:id="839"/>
      <w:bookmarkEnd w:id="840"/>
      <w:bookmarkEnd w:id="841"/>
    </w:p>
    <w:p>
      <w:pPr>
        <w:jc w:val="both"/>
        <w:rPr>
          <w:noProof/>
        </w:rPr>
      </w:pPr>
      <w:r>
        <w:rPr>
          <w:noProof/>
        </w:rPr>
        <w:t xml:space="preserve">The dialogue on technical barriers to trade that took place in March 2019 allowed the exchange of detailed information allowing for the assessment of the Ukrainian legislation, the quality infrastructure institutions, their effectiveness and their preparedness to implement EU legislation in the field of technical regulations. Ukraine is making substantive progress to align its regulatory framework and standards with the EU, however work still needs to be completed on standardisation. Legislative work is still pending in Verkhovna Rada in respect to the amendments of two laws (on Technical Regulations and on Market Surveillance). Furthermore, implementation and enforcement of Ukrainian legislation transposing the EU </w:t>
      </w:r>
      <w:r>
        <w:rPr>
          <w:i/>
          <w:iCs/>
          <w:noProof/>
        </w:rPr>
        <w:t>acquis</w:t>
      </w:r>
      <w:r>
        <w:rPr>
          <w:noProof/>
        </w:rPr>
        <w:t xml:space="preserve"> by relevant institutions must be strengthened, in particular in the area of market surveillance where significant further efforts are needed to meet EU requirements. Work will continue bilaterally to review progress achieved before the next plenary session of the High Level Industrial and Regulatory Dialogue.</w:t>
      </w:r>
    </w:p>
    <w:p>
      <w:pPr>
        <w:pStyle w:val="Heading2"/>
        <w:tabs>
          <w:tab w:val="clear" w:pos="4570"/>
        </w:tabs>
        <w:ind w:left="567"/>
        <w:rPr>
          <w:b w:val="0"/>
          <w:bCs/>
        </w:rPr>
      </w:pPr>
      <w:bookmarkStart w:id="842" w:name="_Toc8833514"/>
      <w:bookmarkStart w:id="843" w:name="_Toc8835341"/>
      <w:bookmarkStart w:id="844" w:name="_Toc8833971"/>
      <w:bookmarkStart w:id="845" w:name="_Toc8909434"/>
      <w:bookmarkStart w:id="846" w:name="_Toc8910646"/>
      <w:bookmarkStart w:id="847" w:name="_Toc8911683"/>
      <w:bookmarkStart w:id="848" w:name="_Toc8974504"/>
      <w:bookmarkStart w:id="849" w:name="_Toc9008157"/>
      <w:bookmarkStart w:id="850" w:name="_Toc9008560"/>
      <w:bookmarkStart w:id="851" w:name="_Toc9348555"/>
      <w:bookmarkStart w:id="852" w:name="_Toc9608006"/>
      <w:bookmarkStart w:id="853" w:name="_Toc16000582"/>
      <w:r>
        <w:t>4.5 SPS aspects</w:t>
      </w:r>
      <w:bookmarkEnd w:id="842"/>
      <w:bookmarkEnd w:id="843"/>
      <w:bookmarkEnd w:id="844"/>
      <w:bookmarkEnd w:id="845"/>
      <w:bookmarkEnd w:id="846"/>
      <w:bookmarkEnd w:id="847"/>
      <w:bookmarkEnd w:id="848"/>
      <w:bookmarkEnd w:id="849"/>
      <w:bookmarkEnd w:id="850"/>
      <w:bookmarkEnd w:id="851"/>
      <w:bookmarkEnd w:id="852"/>
      <w:bookmarkEnd w:id="853"/>
    </w:p>
    <w:p>
      <w:pPr>
        <w:jc w:val="both"/>
        <w:rPr>
          <w:noProof/>
        </w:rPr>
      </w:pPr>
      <w:r>
        <w:rPr>
          <w:noProof/>
        </w:rPr>
        <w:t xml:space="preserve">Ukraine has committed to approximate its SPS and animal welfare legislation to that of the EU – in an ongoing process already undertaken by Ukraine with assistance and support from the EU. The specific details concerning the timeline of approximation with regard to individual EU legal acts was not included in the DCFTA and was to be agreed by the sides in the comprehensive SPS strategy. Both sides expect to be able to formally adopt the SPS strategy in 2019. The SPS Strategy contains more than 240 acts of EU legislation for approximation by Ukraine and according to a recent examination 170 acts have already been approximated or are in the process of approximation. </w:t>
      </w:r>
    </w:p>
    <w:p>
      <w:pPr>
        <w:jc w:val="both"/>
        <w:rPr>
          <w:noProof/>
        </w:rPr>
      </w:pPr>
    </w:p>
    <w:p>
      <w:pPr>
        <w:jc w:val="both"/>
        <w:rPr>
          <w:noProof/>
        </w:rPr>
      </w:pPr>
      <w:r>
        <w:rPr>
          <w:noProof/>
        </w:rPr>
        <w:t>The EU informed Ukraine about the marketing standards it has in place for the import of shell eggs, which require imported eggs to be labelled as ‘non-EU compliant’ until equivalence has been recognised, which includes compliance with the EU animal welfare requirements. Further audits with favourable results have been conducted by the Commission on the official oversight by Ukraine of the poultry industries regarding animal health and food safety aspects.</w:t>
      </w:r>
    </w:p>
    <w:p>
      <w:pPr>
        <w:jc w:val="both"/>
        <w:rPr>
          <w:noProof/>
        </w:rPr>
      </w:pPr>
    </w:p>
    <w:p>
      <w:pPr>
        <w:jc w:val="both"/>
        <w:rPr>
          <w:noProof/>
        </w:rPr>
      </w:pPr>
      <w:r>
        <w:rPr>
          <w:noProof/>
        </w:rPr>
        <w:t>The parties also made progress on the establishment of harmonised certificates that will apply to all EU Member States for their exports of animal products to Ukraine. Talks on the certificates for gelatine/collagen have been finalised and certificates for poultry products are in the final stages of negotiation. Ukraine is about to publish ‘Order 71’ that lists Ukraine’s import requirements on animal products and allows for favourable treatments of EU products.”</w:t>
      </w:r>
    </w:p>
    <w:p>
      <w:pPr>
        <w:jc w:val="both"/>
        <w:rPr>
          <w:noProof/>
        </w:rPr>
      </w:pPr>
    </w:p>
    <w:p>
      <w:pPr>
        <w:jc w:val="both"/>
        <w:rPr>
          <w:noProof/>
        </w:rPr>
      </w:pPr>
      <w:r>
        <w:rPr>
          <w:noProof/>
        </w:rPr>
        <w:t xml:space="preserve">The parties discussed the implementation of the article in the Association Agreement on diseases and pest regionalisation and the EU requested that Ukraine expand this to diseases other than highly Pathogenic Avian Influenza (HPAI) and New Castle Disease (NCD), for which Ukraine conducted an audit of the performance of EU-control measures (e.g. concerning African swine fever carried out by Lithuania). </w:t>
      </w:r>
    </w:p>
    <w:p>
      <w:pPr>
        <w:jc w:val="both"/>
        <w:rPr>
          <w:noProof/>
        </w:rPr>
      </w:pPr>
    </w:p>
    <w:p>
      <w:pPr>
        <w:jc w:val="both"/>
        <w:rPr>
          <w:noProof/>
        </w:rPr>
      </w:pPr>
      <w:r>
        <w:rPr>
          <w:noProof/>
        </w:rPr>
        <w:t>Ukraine requested the EU to finalise procedures leading to the recognition of equivalence of Ukrainian seed production and control systems for which all technical preparations have been concluded.</w:t>
      </w:r>
    </w:p>
    <w:p>
      <w:pPr>
        <w:jc w:val="both"/>
        <w:rPr>
          <w:noProof/>
        </w:rPr>
      </w:pPr>
    </w:p>
    <w:p>
      <w:pPr>
        <w:jc w:val="both"/>
        <w:rPr>
          <w:noProof/>
        </w:rPr>
      </w:pPr>
      <w:r>
        <w:rPr>
          <w:noProof/>
        </w:rPr>
        <w:t>Ukraine informed the EU about its interest to start exporting ware potatoes whereas the EU inquired about imports of Ash wood from Ukraine and requested information about monitoring systems Ukraine should have put in place to timely detect outbreaks of the emerald ash borer (</w:t>
      </w:r>
      <w:r>
        <w:rPr>
          <w:i/>
          <w:iCs/>
          <w:noProof/>
        </w:rPr>
        <w:t>Agrilus planipennis</w:t>
      </w:r>
      <w:r>
        <w:rPr>
          <w:iCs/>
          <w:noProof/>
        </w:rPr>
        <w:t>)</w:t>
      </w:r>
      <w:r>
        <w:rPr>
          <w:noProof/>
        </w:rPr>
        <w:t xml:space="preserve"> and methods to prevent its spread to the EU.</w:t>
      </w:r>
    </w:p>
    <w:p>
      <w:pPr>
        <w:pStyle w:val="Heading2"/>
        <w:tabs>
          <w:tab w:val="clear" w:pos="4570"/>
        </w:tabs>
        <w:ind w:left="567"/>
        <w:rPr>
          <w:b w:val="0"/>
          <w:bCs/>
        </w:rPr>
      </w:pPr>
      <w:bookmarkStart w:id="854" w:name="_Toc8833515"/>
      <w:bookmarkStart w:id="855" w:name="_Toc8835342"/>
      <w:bookmarkStart w:id="856" w:name="_Toc8833972"/>
      <w:bookmarkStart w:id="857" w:name="_Toc8909435"/>
      <w:bookmarkStart w:id="858" w:name="_Toc8910647"/>
      <w:bookmarkStart w:id="859" w:name="_Toc8911684"/>
      <w:bookmarkStart w:id="860" w:name="_Toc8974505"/>
      <w:bookmarkStart w:id="861" w:name="_Toc9008158"/>
      <w:bookmarkStart w:id="862" w:name="_Toc9008561"/>
      <w:bookmarkStart w:id="863" w:name="_Toc9348556"/>
      <w:bookmarkStart w:id="864" w:name="_Toc9608007"/>
      <w:bookmarkStart w:id="865" w:name="_Toc16000583"/>
      <w:r>
        <w:t>4.6 Customs and Trade facilitation</w:t>
      </w:r>
      <w:bookmarkEnd w:id="854"/>
      <w:bookmarkEnd w:id="855"/>
      <w:bookmarkEnd w:id="856"/>
      <w:bookmarkEnd w:id="857"/>
      <w:bookmarkEnd w:id="858"/>
      <w:bookmarkEnd w:id="859"/>
      <w:bookmarkEnd w:id="860"/>
      <w:bookmarkEnd w:id="861"/>
      <w:bookmarkEnd w:id="862"/>
      <w:bookmarkEnd w:id="863"/>
      <w:bookmarkEnd w:id="864"/>
      <w:bookmarkEnd w:id="865"/>
      <w:r>
        <w:t xml:space="preserve"> </w:t>
      </w:r>
    </w:p>
    <w:p>
      <w:pPr>
        <w:jc w:val="both"/>
        <w:rPr>
          <w:noProof/>
        </w:rPr>
      </w:pPr>
      <w:r>
        <w:rPr>
          <w:noProof/>
        </w:rPr>
        <w:t>Ukraine is working on topics to further facilitate trade and cross border cooperation with the EU through the possibilities already foreseen under the agreement. Ukraine has taken steps to introduce the Authorised Economic Operator (AEO) programme, which helps improve customs clearance and facilitate external trade and the draft law to that effect is currently in the Parliament pending for the second reading. Ukraine has also drafted a law on implementing the provisions to accede to the Convention on a Common Transit Procedure, which pending its consideration in the Parliament. Similar progress is made for accession to Convention on the Simplification of Formalities in Trade. In relation to Ukraine’s approximation to the Union Customs Code as foreseen under Annex XV and chapter 5 on Customs and Trade Facilitation, the first exchanges are foreseen in 2019 and, once finalised, the annex will be formally updated. Ukraine is a member of the PEM Convention on preferential rules of origin and once the relevant legislation in the EU is updated the PEM Convention will apply. These are important initiatives foreseen under the agreement which will help trade flow faster, easier and safer.</w:t>
      </w:r>
    </w:p>
    <w:p>
      <w:pPr>
        <w:pStyle w:val="Heading2"/>
        <w:tabs>
          <w:tab w:val="clear" w:pos="4570"/>
        </w:tabs>
        <w:ind w:left="567"/>
        <w:rPr>
          <w:b w:val="0"/>
          <w:bCs/>
        </w:rPr>
      </w:pPr>
      <w:bookmarkStart w:id="866" w:name="_Toc8833516"/>
      <w:bookmarkStart w:id="867" w:name="_Toc8835343"/>
      <w:bookmarkStart w:id="868" w:name="_Toc8833973"/>
      <w:bookmarkStart w:id="869" w:name="_Toc8909436"/>
      <w:bookmarkStart w:id="870" w:name="_Toc8910648"/>
      <w:bookmarkStart w:id="871" w:name="_Toc8911685"/>
      <w:bookmarkStart w:id="872" w:name="_Toc8974506"/>
      <w:bookmarkStart w:id="873" w:name="_Toc9008159"/>
      <w:bookmarkStart w:id="874" w:name="_Toc9008562"/>
      <w:bookmarkStart w:id="875" w:name="_Toc9348557"/>
      <w:bookmarkStart w:id="876" w:name="_Toc9608008"/>
      <w:bookmarkStart w:id="877" w:name="_Toc16000584"/>
      <w:r>
        <w:t>4.7 Intellectual property rights (IPR)</w:t>
      </w:r>
      <w:bookmarkEnd w:id="866"/>
      <w:bookmarkEnd w:id="867"/>
      <w:bookmarkEnd w:id="868"/>
      <w:bookmarkEnd w:id="869"/>
      <w:bookmarkEnd w:id="870"/>
      <w:bookmarkEnd w:id="871"/>
      <w:bookmarkEnd w:id="872"/>
      <w:bookmarkEnd w:id="873"/>
      <w:bookmarkEnd w:id="874"/>
      <w:bookmarkEnd w:id="875"/>
      <w:bookmarkEnd w:id="876"/>
      <w:bookmarkEnd w:id="877"/>
    </w:p>
    <w:p>
      <w:pPr>
        <w:jc w:val="both"/>
        <w:rPr>
          <w:noProof/>
        </w:rPr>
      </w:pPr>
      <w:r>
        <w:rPr>
          <w:noProof/>
        </w:rPr>
        <w:t>Throughout 2018, implementation results of the ambitious commitments in the DCFTA on alignment of Ukraine's system of protection and enforcement of intellectual property rights (IPRs) were limited. The law on collective rights management in force since July 2018 was reviewed by the Commission, which identified several serious shortfalls that need to be addressed. The Ministry of Economic Development and Trade established an expert group for the preparation of a new draft Law on Copyright and Related Rights, which will also address the CMO law shortfalls. The European Commission follows closely and supports the endeavours of this expert group. Another bill aimed to improve the distribution of copyrighted material was adopted by the Parliament of Ukraine in September 2018.</w:t>
      </w:r>
      <w:r>
        <w:rPr>
          <w:b/>
          <w:bCs/>
          <w:noProof/>
        </w:rPr>
        <w:t xml:space="preserve"> </w:t>
      </w:r>
      <w:r>
        <w:rPr>
          <w:noProof/>
        </w:rPr>
        <w:t>Regrettably, many bills presented by the government as the IPR reform package contain problematic provisions and need to be carefully revisited to solve existing problems in the area of IPR and to become in full compliance with the DCFTA requirements. In particular, the draft patent bill needs to make sure that no limitations to the patentable subject matter that are contrary to the DCFTA and TRIPS are introduced. Throughout 2018 the EU provided inputs and comments to several draft laws, including on IPR Border Measures which has still not been adopted by the deadline established by the Association Agreement, Article 250 (by 1 January 2019). Furthermore, the Ukrainian legislation does not include adequate provisions ensuring effective enforcement of IPR rights; they are particularly unfit for enforcement in the digital environment. The importance of these aspects has been made clear to Ukraine and was raised again during the Intellectual Property Rights dialogue that took place in Ukraine the 20 June 2018. The Commission is following this closely and is in a constructive dialogue with the Ukrainian authorities.</w:t>
      </w:r>
    </w:p>
    <w:p>
      <w:pPr>
        <w:pStyle w:val="Heading2"/>
        <w:tabs>
          <w:tab w:val="clear" w:pos="4570"/>
        </w:tabs>
        <w:ind w:left="567"/>
        <w:rPr>
          <w:b w:val="0"/>
          <w:bCs/>
        </w:rPr>
      </w:pPr>
      <w:bookmarkStart w:id="878" w:name="_Toc8833517"/>
      <w:bookmarkStart w:id="879" w:name="_Toc8835344"/>
      <w:bookmarkStart w:id="880" w:name="_Toc8833974"/>
      <w:bookmarkStart w:id="881" w:name="_Toc8909437"/>
      <w:bookmarkStart w:id="882" w:name="_Toc8910649"/>
      <w:bookmarkStart w:id="883" w:name="_Toc8911686"/>
      <w:bookmarkStart w:id="884" w:name="_Toc8974507"/>
      <w:bookmarkStart w:id="885" w:name="_Toc9008160"/>
      <w:bookmarkStart w:id="886" w:name="_Toc9008563"/>
      <w:bookmarkStart w:id="887" w:name="_Toc9348558"/>
      <w:bookmarkStart w:id="888" w:name="_Toc9608009"/>
      <w:bookmarkStart w:id="889" w:name="_Toc16000585"/>
      <w:r>
        <w:t>4.8 Geographical indications (GIs)</w:t>
      </w:r>
      <w:bookmarkEnd w:id="878"/>
      <w:bookmarkEnd w:id="879"/>
      <w:bookmarkEnd w:id="880"/>
      <w:bookmarkEnd w:id="881"/>
      <w:bookmarkEnd w:id="882"/>
      <w:bookmarkEnd w:id="883"/>
      <w:bookmarkEnd w:id="884"/>
      <w:bookmarkEnd w:id="885"/>
      <w:bookmarkEnd w:id="886"/>
      <w:bookmarkEnd w:id="887"/>
      <w:bookmarkEnd w:id="888"/>
      <w:bookmarkEnd w:id="889"/>
    </w:p>
    <w:p>
      <w:pPr>
        <w:jc w:val="both"/>
        <w:rPr>
          <w:noProof/>
        </w:rPr>
      </w:pPr>
      <w:r>
        <w:rPr>
          <w:noProof/>
        </w:rPr>
        <w:t xml:space="preserve">In 2018, the draft Law "On amendments to a number of legislative acts of Ukraine to improve legal protection of geographical indications" passed its first reading on 13 March 2018 and was approved for the second on 4 July 2018. Despite having been on the agenda of the parliament since September 2018 the draft law has not been adopted yet. Furthermore, three additional draft laws were prepared and harmonised with EU legislation, respectively "on GIs for Agricultural Products and Foodstuffs", "on GIs for Spirit Drinks" and "on GIs for Wine and Aromatized Wine Products".  The structure for the Law "on Viticulture and Production of Wine Products" has also been finalised in line with new EU regulations and should now be discussed with the Ministry of Agrarian Policy and Food (MAPF) of Ukraine. </w:t>
      </w:r>
    </w:p>
    <w:p>
      <w:pPr>
        <w:jc w:val="both"/>
        <w:rPr>
          <w:noProof/>
        </w:rPr>
      </w:pPr>
    </w:p>
    <w:p>
      <w:pPr>
        <w:jc w:val="both"/>
        <w:rPr>
          <w:noProof/>
        </w:rPr>
      </w:pPr>
      <w:r>
        <w:rPr>
          <w:noProof/>
        </w:rPr>
        <w:t>Eight hackathons were organized throughout the country in order to determine a new name that could replace “Cognac of Ukraine”. After a series of additional consultations, a list of 10 most popular brands were proposed to the MAPF for further consideration, in collaboration with the Industry.</w:t>
      </w:r>
    </w:p>
    <w:p>
      <w:pPr>
        <w:jc w:val="both"/>
        <w:rPr>
          <w:noProof/>
        </w:rPr>
      </w:pPr>
    </w:p>
    <w:p>
      <w:pPr>
        <w:jc w:val="both"/>
        <w:rPr>
          <w:noProof/>
        </w:rPr>
      </w:pPr>
      <w:r>
        <w:rPr>
          <w:noProof/>
        </w:rPr>
        <w:t xml:space="preserve">A first cheese GI Association called “Association of producers of traditional Carpathian highland bryndzya” was established and officially registered on 31 August 2018. The specifications of “Hutsul sheep bryndzya” was developed and approved by the members of the producers association and the full dossier for application for registration of the PDO was sent to the Ministry of Economic Development and Trade on 19 December 2018. </w:t>
      </w:r>
    </w:p>
    <w:p>
      <w:pPr>
        <w:pStyle w:val="Heading2"/>
        <w:tabs>
          <w:tab w:val="clear" w:pos="4570"/>
        </w:tabs>
        <w:ind w:left="567"/>
        <w:rPr>
          <w:b w:val="0"/>
          <w:bCs/>
        </w:rPr>
      </w:pPr>
      <w:bookmarkStart w:id="890" w:name="_Toc8833518"/>
      <w:bookmarkStart w:id="891" w:name="_Toc8835345"/>
      <w:bookmarkStart w:id="892" w:name="_Toc8833975"/>
      <w:bookmarkStart w:id="893" w:name="_Toc8909438"/>
      <w:bookmarkStart w:id="894" w:name="_Toc8910650"/>
      <w:bookmarkStart w:id="895" w:name="_Toc8911687"/>
      <w:bookmarkStart w:id="896" w:name="_Toc8974508"/>
      <w:bookmarkStart w:id="897" w:name="_Toc9008161"/>
      <w:bookmarkStart w:id="898" w:name="_Toc9008564"/>
      <w:bookmarkStart w:id="899" w:name="_Toc9348559"/>
      <w:bookmarkStart w:id="900" w:name="_Toc9608010"/>
      <w:bookmarkStart w:id="901" w:name="_Toc16000586"/>
      <w:r>
        <w:t>4.9 Competition and State aid</w:t>
      </w:r>
      <w:bookmarkEnd w:id="890"/>
      <w:bookmarkEnd w:id="891"/>
      <w:bookmarkEnd w:id="892"/>
      <w:bookmarkEnd w:id="893"/>
      <w:bookmarkEnd w:id="894"/>
      <w:bookmarkEnd w:id="895"/>
      <w:bookmarkEnd w:id="896"/>
      <w:bookmarkEnd w:id="897"/>
      <w:bookmarkEnd w:id="898"/>
      <w:bookmarkEnd w:id="899"/>
      <w:bookmarkEnd w:id="900"/>
      <w:bookmarkEnd w:id="901"/>
    </w:p>
    <w:p>
      <w:pPr>
        <w:jc w:val="both"/>
        <w:rPr>
          <w:noProof/>
        </w:rPr>
      </w:pPr>
      <w:r>
        <w:rPr>
          <w:noProof/>
        </w:rPr>
        <w:t>In 2018 the Antimonopoly Committee of Ukraine (AMCU) continued drafting substantive and procedural rules in the field of antitrust and merger control. Several of these key drafts –such as guidelines on market definition and the concept of dominance - cannot however be adopted without amending the Ukrainian law on competition. Regarding the latter, AMCU continues working on draft amendments but it remains unclear if they will be submitted and adopted before the next Parliamentary elections in autumn 2019. In addition, AMCU and the EU national competition authorities have worked on a comparative analysis of EU and Ukrainian competition law. The EU expects that the findings will lead to a structured and holistic approach to continue legal approximation. Finally, there is a need to increase the rigour of the enforcement of competition rules in individual cases.</w:t>
      </w:r>
    </w:p>
    <w:p>
      <w:pPr>
        <w:jc w:val="both"/>
        <w:rPr>
          <w:noProof/>
        </w:rPr>
      </w:pPr>
    </w:p>
    <w:p>
      <w:pPr>
        <w:jc w:val="both"/>
        <w:rPr>
          <w:noProof/>
        </w:rPr>
      </w:pPr>
      <w:r>
        <w:rPr>
          <w:noProof/>
        </w:rPr>
        <w:t>The State Aid rules in place have partially allowed controlling state aid by the Ukraine. This period has been useful for gaining experience on case enforcement. There is however a need to smarten up rules in view of addressing the main misalignments in the Law on State Aid, improving and simplifying the compatibility guidelines and shifting efforts from small to big cases. The quality of the State Aid decisions also needs to improve, notably as regards structure and substantiation. The government should also introduce mechanisms to ensure that large grantors notify state aid provided.</w:t>
      </w:r>
    </w:p>
    <w:p>
      <w:pPr>
        <w:pStyle w:val="Heading2"/>
        <w:tabs>
          <w:tab w:val="clear" w:pos="4570"/>
        </w:tabs>
        <w:ind w:left="567"/>
        <w:rPr>
          <w:b w:val="0"/>
          <w:bCs/>
        </w:rPr>
      </w:pPr>
      <w:bookmarkStart w:id="902" w:name="_Toc8833519"/>
      <w:bookmarkStart w:id="903" w:name="_Toc8835346"/>
      <w:bookmarkStart w:id="904" w:name="_Toc8833976"/>
      <w:bookmarkStart w:id="905" w:name="_Toc8909439"/>
      <w:bookmarkStart w:id="906" w:name="_Toc8910651"/>
      <w:bookmarkStart w:id="907" w:name="_Toc8911688"/>
      <w:bookmarkStart w:id="908" w:name="_Toc8974509"/>
      <w:bookmarkStart w:id="909" w:name="_Toc9008162"/>
      <w:bookmarkStart w:id="910" w:name="_Toc9008565"/>
      <w:bookmarkStart w:id="911" w:name="_Toc9348560"/>
      <w:bookmarkStart w:id="912" w:name="_Toc9608011"/>
      <w:bookmarkStart w:id="913" w:name="_Toc16000587"/>
      <w:r>
        <w:t>4.10 Public procurement</w:t>
      </w:r>
      <w:bookmarkEnd w:id="902"/>
      <w:bookmarkEnd w:id="903"/>
      <w:bookmarkEnd w:id="904"/>
      <w:bookmarkEnd w:id="905"/>
      <w:bookmarkEnd w:id="906"/>
      <w:bookmarkEnd w:id="907"/>
      <w:bookmarkEnd w:id="908"/>
      <w:bookmarkEnd w:id="909"/>
      <w:bookmarkEnd w:id="910"/>
      <w:bookmarkEnd w:id="911"/>
      <w:bookmarkEnd w:id="912"/>
      <w:bookmarkEnd w:id="913"/>
    </w:p>
    <w:p>
      <w:pPr>
        <w:jc w:val="both"/>
        <w:rPr>
          <w:noProof/>
        </w:rPr>
      </w:pPr>
      <w:r>
        <w:rPr>
          <w:noProof/>
        </w:rPr>
        <w:t>The Commission has continued its assistance and its active involvement with the Ukrainian authorities to progress towards building a transparent, non-discriminatory, competitive and open public procurement system. Discussion on public procurement between the EU and Ukraine also takes place in the Public Procurement Working Group of the High Level Industrial Dialogue that takes place annually. Intense cooperation between the EU and Ukrainian authorities, and through broad support and assistance by the EU throughout 2018, has helped Ukraine in drafting a new law on public procurement that intends to meet the requirements for legislation approximation under phase two of Annex XXI of Chapter 8 of the Association Agreement. This approximation process in different phases foresees gradual mutual market opening to each other’s public procurement market when conditions of the given phase have been met. The draft law is intended to be submitted to the Ukrainian Parliament in 2019.</w:t>
      </w:r>
    </w:p>
    <w:p>
      <w:pPr>
        <w:pStyle w:val="ManualHeading1"/>
      </w:pPr>
      <w:bookmarkStart w:id="914" w:name="_Toc8833520"/>
      <w:bookmarkStart w:id="915" w:name="_Toc8835347"/>
      <w:bookmarkStart w:id="916" w:name="_Toc8833977"/>
      <w:bookmarkStart w:id="917" w:name="_Toc8909440"/>
      <w:bookmarkStart w:id="918" w:name="_Toc8910652"/>
      <w:bookmarkStart w:id="919" w:name="_Toc8911689"/>
      <w:bookmarkStart w:id="920" w:name="_Toc8974510"/>
      <w:bookmarkStart w:id="921" w:name="_Toc9008163"/>
      <w:bookmarkStart w:id="922" w:name="_Toc9008566"/>
      <w:bookmarkStart w:id="923" w:name="_Toc9348561"/>
      <w:bookmarkStart w:id="924" w:name="_Toc9608012"/>
      <w:bookmarkStart w:id="925" w:name="_Toc16000588"/>
      <w:r>
        <w:t>5</w:t>
      </w:r>
      <w:r>
        <w:tab/>
        <w:t>Conclusions and outlook</w:t>
      </w:r>
      <w:bookmarkEnd w:id="914"/>
      <w:bookmarkEnd w:id="915"/>
      <w:bookmarkEnd w:id="916"/>
      <w:bookmarkEnd w:id="917"/>
      <w:bookmarkEnd w:id="918"/>
      <w:bookmarkEnd w:id="919"/>
      <w:bookmarkEnd w:id="920"/>
      <w:bookmarkEnd w:id="921"/>
      <w:bookmarkEnd w:id="922"/>
      <w:bookmarkEnd w:id="923"/>
      <w:bookmarkEnd w:id="924"/>
      <w:bookmarkEnd w:id="925"/>
    </w:p>
    <w:p>
      <w:pPr>
        <w:pStyle w:val="Text1"/>
        <w:ind w:left="0"/>
        <w:rPr>
          <w:noProof/>
        </w:rPr>
      </w:pPr>
      <w:r>
        <w:rPr>
          <w:noProof/>
        </w:rPr>
        <w:t xml:space="preserve">In terms of trade, the DCFTA delivers. Trade in both directions continued to increase in 2018 and Ukrainian exports to the EU have reached their highest level ever. The EU has consolidated its position as Ukraine’s main trading partner representing around 42% of its trade. </w:t>
      </w:r>
    </w:p>
    <w:p>
      <w:pPr>
        <w:pStyle w:val="Text1"/>
        <w:ind w:left="0"/>
        <w:rPr>
          <w:noProof/>
        </w:rPr>
      </w:pPr>
      <w:r>
        <w:rPr>
          <w:noProof/>
        </w:rPr>
        <w:t>On legal approximation, there is in general good progress in many areas, including a commitment by Ukraine to approximate legislation, harmonise standards and carry out reforms. At the same time, serious concerns remain about old and new trade irritants such as the wood export ban, the value added tax law 2440 and laws on intellectual property rights. Ukraine needs to step up efforts against counterfeiting and piracy and to align its enforcement laws on intellectual property rights and do more to remove existing trade irritants, including ensuring that no new irritants emerge. Implementation of DCFTA commitments, reforms and approximation are advancing steadily and are closely monitored and supported by the Commission. Ukraine should be encouraged to continue its reform process, which is the best way to fully benefit from the agreement.</w:t>
      </w:r>
    </w:p>
    <w:p>
      <w:pPr>
        <w:pStyle w:val="ManualHeading1"/>
      </w:pPr>
      <w:bookmarkStart w:id="926" w:name="_Toc8833521"/>
      <w:bookmarkStart w:id="927" w:name="_Toc8835348"/>
      <w:bookmarkStart w:id="928" w:name="_Toc8833978"/>
      <w:bookmarkStart w:id="929" w:name="_Toc8909441"/>
      <w:bookmarkStart w:id="930" w:name="_Toc8910653"/>
      <w:bookmarkStart w:id="931" w:name="_Toc8911690"/>
      <w:bookmarkStart w:id="932" w:name="_Toc8974511"/>
      <w:bookmarkStart w:id="933" w:name="_Toc9008164"/>
      <w:bookmarkStart w:id="934" w:name="_Toc9008567"/>
      <w:bookmarkStart w:id="935" w:name="_Toc9348562"/>
      <w:bookmarkStart w:id="936" w:name="_Toc9608013"/>
      <w:bookmarkStart w:id="937" w:name="_Toc16000589"/>
      <w:r>
        <w:t>6</w:t>
      </w:r>
      <w:r>
        <w:tab/>
        <w:t>Statistics</w:t>
      </w:r>
      <w:bookmarkEnd w:id="926"/>
      <w:bookmarkEnd w:id="927"/>
      <w:bookmarkEnd w:id="928"/>
      <w:bookmarkEnd w:id="929"/>
      <w:bookmarkEnd w:id="930"/>
      <w:bookmarkEnd w:id="931"/>
      <w:bookmarkEnd w:id="932"/>
      <w:bookmarkEnd w:id="933"/>
      <w:bookmarkEnd w:id="934"/>
      <w:bookmarkEnd w:id="935"/>
      <w:bookmarkEnd w:id="936"/>
      <w:bookmarkEnd w:id="937"/>
    </w:p>
    <w:tbl>
      <w:tblPr>
        <w:tblW w:w="8005" w:type="dxa"/>
        <w:tblInd w:w="108" w:type="dxa"/>
        <w:tblLook w:val="04A0" w:firstRow="1" w:lastRow="0" w:firstColumn="1" w:lastColumn="0" w:noHBand="0" w:noVBand="1"/>
      </w:tblPr>
      <w:tblGrid>
        <w:gridCol w:w="3645"/>
        <w:gridCol w:w="856"/>
        <w:gridCol w:w="856"/>
        <w:gridCol w:w="936"/>
        <w:gridCol w:w="856"/>
        <w:gridCol w:w="856"/>
      </w:tblGrid>
      <w:tr>
        <w:trPr>
          <w:trHeight w:val="210"/>
        </w:trPr>
        <w:tc>
          <w:tcPr>
            <w:tcW w:w="3645"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93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10"/>
        </w:trPr>
        <w:tc>
          <w:tcPr>
            <w:tcW w:w="8005"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Merchandise trade EU28 2014-2018</w:t>
            </w:r>
          </w:p>
        </w:tc>
      </w:tr>
      <w:tr>
        <w:trPr>
          <w:trHeight w:val="210"/>
        </w:trPr>
        <w:tc>
          <w:tcPr>
            <w:tcW w:w="3645" w:type="dxa"/>
            <w:tcBorders>
              <w:top w:val="single" w:sz="4" w:space="0" w:color="auto"/>
              <w:left w:val="nil"/>
              <w:bottom w:val="single" w:sz="4" w:space="0" w:color="auto"/>
              <w:right w:val="nil"/>
            </w:tcBorders>
            <w:shd w:val="clear" w:color="000000" w:fill="FFFFFF"/>
            <w:noWrap/>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 </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93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r>
      <w:tr>
        <w:trPr>
          <w:trHeight w:val="210"/>
        </w:trPr>
        <w:tc>
          <w:tcPr>
            <w:tcW w:w="3645" w:type="dxa"/>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EU28 trade with Ukraine (mio €)</w:t>
            </w:r>
          </w:p>
        </w:tc>
        <w:tc>
          <w:tcPr>
            <w:tcW w:w="856"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n-IE" w:eastAsia="en-IE"/>
              </w:rPr>
            </w:pP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93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r>
      <w:tr>
        <w:trPr>
          <w:trHeight w:val="210"/>
        </w:trPr>
        <w:tc>
          <w:tcPr>
            <w:tcW w:w="3645"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13.734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12.844</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13.182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16.683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18.002</w:t>
            </w:r>
          </w:p>
        </w:tc>
      </w:tr>
      <w:tr>
        <w:trPr>
          <w:trHeight w:val="210"/>
        </w:trPr>
        <w:tc>
          <w:tcPr>
            <w:tcW w:w="3645"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16.995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14.033</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16.568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20.196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22.128</w:t>
            </w:r>
          </w:p>
        </w:tc>
      </w:tr>
      <w:tr>
        <w:trPr>
          <w:trHeight w:val="210"/>
        </w:trPr>
        <w:tc>
          <w:tcPr>
            <w:tcW w:w="3645"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3.262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1.190</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3.386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3.513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4.127</w:t>
            </w:r>
          </w:p>
        </w:tc>
      </w:tr>
      <w:tr>
        <w:trPr>
          <w:trHeight w:val="210"/>
        </w:trPr>
        <w:tc>
          <w:tcPr>
            <w:tcW w:w="3645" w:type="dxa"/>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Share Ukraine in EU28 trade with Extra-EU28</w:t>
            </w:r>
          </w:p>
        </w:tc>
        <w:tc>
          <w:tcPr>
            <w:tcW w:w="856"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n-IE" w:eastAsia="en-IE"/>
              </w:rPr>
            </w:pP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93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r>
      <w:tr>
        <w:trPr>
          <w:trHeight w:val="210"/>
        </w:trPr>
        <w:tc>
          <w:tcPr>
            <w:tcW w:w="3645"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0,7%</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0,9%</w:t>
            </w:r>
          </w:p>
        </w:tc>
      </w:tr>
      <w:tr>
        <w:trPr>
          <w:trHeight w:val="210"/>
        </w:trPr>
        <w:tc>
          <w:tcPr>
            <w:tcW w:w="3645"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0,8%</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w:t>
            </w:r>
          </w:p>
        </w:tc>
      </w:tr>
      <w:tr>
        <w:trPr>
          <w:trHeight w:val="210"/>
        </w:trPr>
        <w:tc>
          <w:tcPr>
            <w:tcW w:w="3645"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0,8%</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w:t>
            </w:r>
          </w:p>
        </w:tc>
      </w:tr>
      <w:tr>
        <w:trPr>
          <w:trHeight w:val="210"/>
        </w:trPr>
        <w:tc>
          <w:tcPr>
            <w:tcW w:w="8005"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Share EU28 in trade Ukraine with world</w:t>
            </w:r>
          </w:p>
        </w:tc>
      </w:tr>
      <w:tr>
        <w:trPr>
          <w:trHeight w:val="210"/>
        </w:trPr>
        <w:tc>
          <w:tcPr>
            <w:tcW w:w="3645"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38,7%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40,9%</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43,7%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42,2%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41,0%</w:t>
            </w:r>
          </w:p>
        </w:tc>
      </w:tr>
      <w:tr>
        <w:trPr>
          <w:trHeight w:val="210"/>
        </w:trPr>
        <w:tc>
          <w:tcPr>
            <w:tcW w:w="3645"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31,6%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34,1%</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37,2%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40,7%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42,3%</w:t>
            </w:r>
          </w:p>
        </w:tc>
      </w:tr>
      <w:tr>
        <w:trPr>
          <w:trHeight w:val="210"/>
        </w:trPr>
        <w:tc>
          <w:tcPr>
            <w:tcW w:w="3645"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35,2%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37,5%</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40,6%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41,5%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41,6%</w:t>
            </w:r>
          </w:p>
        </w:tc>
      </w:tr>
      <w:tr>
        <w:trPr>
          <w:trHeight w:val="225"/>
        </w:trPr>
        <w:tc>
          <w:tcPr>
            <w:tcW w:w="5357" w:type="dxa"/>
            <w:gridSpan w:val="3"/>
            <w:tcBorders>
              <w:top w:val="single" w:sz="4" w:space="0" w:color="auto"/>
              <w:left w:val="nil"/>
              <w:bottom w:val="nil"/>
              <w:right w:val="nil"/>
            </w:tcBorders>
            <w:shd w:val="clear" w:color="000000" w:fill="FFFFFF"/>
            <w:noWrap/>
            <w:vAlign w:val="bottom"/>
            <w:hideMark/>
          </w:tcPr>
          <w:p>
            <w:pPr>
              <w:rPr>
                <w:rFonts w:eastAsia="Times New Roman"/>
                <w:noProof/>
                <w:sz w:val="12"/>
                <w:szCs w:val="12"/>
                <w:lang w:val="en-IE" w:eastAsia="en-IE"/>
              </w:rPr>
            </w:pPr>
            <w:r>
              <w:rPr>
                <w:rFonts w:eastAsia="Times New Roman"/>
                <w:noProof/>
                <w:sz w:val="12"/>
                <w:szCs w:val="12"/>
                <w:lang w:val="en-IE" w:eastAsia="en-IE"/>
              </w:rPr>
              <w:t xml:space="preserve">Source Trade G2 Statistics/ISDB </w:t>
            </w:r>
          </w:p>
        </w:tc>
        <w:tc>
          <w:tcPr>
            <w:tcW w:w="936"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single" w:sz="4" w:space="0" w:color="auto"/>
              <w:left w:val="nil"/>
              <w:bottom w:val="nil"/>
              <w:right w:val="nil"/>
            </w:tcBorders>
            <w:shd w:val="clear" w:color="000000" w:fill="FFFFFF"/>
            <w:noWrap/>
            <w:hideMark/>
          </w:tcPr>
          <w:p>
            <w:pPr>
              <w:jc w:val="right"/>
              <w:rPr>
                <w:rFonts w:eastAsia="Times New Roman"/>
                <w:noProof/>
                <w:sz w:val="12"/>
                <w:szCs w:val="12"/>
                <w:lang w:val="en-IE" w:eastAsia="en-IE"/>
              </w:rPr>
            </w:pPr>
            <w:r>
              <w:rPr>
                <w:rFonts w:eastAsia="Times New Roman"/>
                <w:noProof/>
                <w:sz w:val="12"/>
                <w:szCs w:val="12"/>
                <w:lang w:val="en-IE" w:eastAsia="en-IE"/>
              </w:rPr>
              <w:t>25-mars-19</w:t>
            </w:r>
          </w:p>
        </w:tc>
      </w:tr>
      <w:tr>
        <w:trPr>
          <w:trHeight w:val="210"/>
        </w:trPr>
        <w:tc>
          <w:tcPr>
            <w:tcW w:w="6293" w:type="dxa"/>
            <w:gridSpan w:val="4"/>
            <w:tcBorders>
              <w:top w:val="nil"/>
              <w:left w:val="nil"/>
              <w:bottom w:val="nil"/>
              <w:right w:val="nil"/>
            </w:tcBorders>
            <w:shd w:val="clear" w:color="000000" w:fill="FFFFFF"/>
            <w:noWrap/>
            <w:hideMark/>
          </w:tcPr>
          <w:p>
            <w:pPr>
              <w:rPr>
                <w:rFonts w:eastAsia="Times New Roman"/>
                <w:noProof/>
                <w:color w:val="000000"/>
                <w:sz w:val="12"/>
                <w:szCs w:val="12"/>
                <w:lang w:val="en-IE" w:eastAsia="en-IE"/>
              </w:rPr>
            </w:pPr>
            <w:r>
              <w:rPr>
                <w:rFonts w:eastAsia="Times New Roman"/>
                <w:noProof/>
                <w:color w:val="000000"/>
                <w:sz w:val="12"/>
                <w:szCs w:val="12"/>
                <w:lang w:val="en-IE" w:eastAsia="en-IE"/>
              </w:rPr>
              <w:t>Trade EU28: Eurostat COMEXT;  Trade Ukraine: IMF Dots</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10"/>
        </w:trPr>
        <w:tc>
          <w:tcPr>
            <w:tcW w:w="3645"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93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25"/>
        </w:trPr>
        <w:tc>
          <w:tcPr>
            <w:tcW w:w="8005"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Total merchandise trade EU28 with Ukraine (mio €)</w:t>
            </w:r>
          </w:p>
        </w:tc>
      </w:tr>
      <w:tr>
        <w:trPr>
          <w:trHeight w:val="225"/>
        </w:trPr>
        <w:tc>
          <w:tcPr>
            <w:tcW w:w="4501"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Ukraine</w:t>
            </w:r>
          </w:p>
        </w:tc>
        <w:tc>
          <w:tcPr>
            <w:tcW w:w="85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93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71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501"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93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645"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16.683</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18.002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1.318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7,9%</w:t>
            </w:r>
          </w:p>
        </w:tc>
      </w:tr>
      <w:tr>
        <w:trPr>
          <w:trHeight w:val="225"/>
        </w:trPr>
        <w:tc>
          <w:tcPr>
            <w:tcW w:w="3645"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20.196</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22.128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1.932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9,6%</w:t>
            </w:r>
          </w:p>
        </w:tc>
      </w:tr>
      <w:tr>
        <w:trPr>
          <w:trHeight w:val="225"/>
        </w:trPr>
        <w:tc>
          <w:tcPr>
            <w:tcW w:w="3645"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3.513</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4.127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613</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645"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36.880</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40.130</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3.250</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8,8%</w:t>
            </w:r>
          </w:p>
        </w:tc>
      </w:tr>
      <w:tr>
        <w:trPr>
          <w:trHeight w:val="240"/>
        </w:trPr>
        <w:tc>
          <w:tcPr>
            <w:tcW w:w="6293"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8005"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Agrifood trade EU28 with Ukraine (mio €)</w:t>
            </w:r>
          </w:p>
        </w:tc>
      </w:tr>
      <w:tr>
        <w:trPr>
          <w:trHeight w:val="255"/>
        </w:trPr>
        <w:tc>
          <w:tcPr>
            <w:tcW w:w="4501"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Ukraine</w:t>
            </w:r>
          </w:p>
        </w:tc>
        <w:tc>
          <w:tcPr>
            <w:tcW w:w="85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93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71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501"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93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645"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5.415</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5.617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3,7%</w:t>
            </w:r>
          </w:p>
        </w:tc>
      </w:tr>
      <w:tr>
        <w:trPr>
          <w:trHeight w:val="225"/>
        </w:trPr>
        <w:tc>
          <w:tcPr>
            <w:tcW w:w="3645"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1.813</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2.064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13,8%</w:t>
            </w:r>
          </w:p>
        </w:tc>
      </w:tr>
      <w:tr>
        <w:trPr>
          <w:trHeight w:val="225"/>
        </w:trPr>
        <w:tc>
          <w:tcPr>
            <w:tcW w:w="3645"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-3.602</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-3.553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49</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645"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7.229</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7.681</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452</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6,3%</w:t>
            </w:r>
          </w:p>
        </w:tc>
      </w:tr>
      <w:tr>
        <w:trPr>
          <w:trHeight w:val="240"/>
        </w:trPr>
        <w:tc>
          <w:tcPr>
            <w:tcW w:w="6293"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8005"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NAMA trade EU28 with Ukraine (mio €)</w:t>
            </w:r>
          </w:p>
        </w:tc>
      </w:tr>
      <w:tr>
        <w:trPr>
          <w:trHeight w:val="225"/>
        </w:trPr>
        <w:tc>
          <w:tcPr>
            <w:tcW w:w="4501"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Ukraine</w:t>
            </w:r>
          </w:p>
        </w:tc>
        <w:tc>
          <w:tcPr>
            <w:tcW w:w="85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93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71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501"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93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4501"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11.268</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12.385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1.117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9,9%</w:t>
            </w:r>
          </w:p>
        </w:tc>
      </w:tr>
      <w:tr>
        <w:trPr>
          <w:trHeight w:val="225"/>
        </w:trPr>
        <w:tc>
          <w:tcPr>
            <w:tcW w:w="4501"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18.383</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20.064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1.681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9,1%</w:t>
            </w:r>
          </w:p>
        </w:tc>
      </w:tr>
      <w:tr>
        <w:trPr>
          <w:trHeight w:val="225"/>
        </w:trPr>
        <w:tc>
          <w:tcPr>
            <w:tcW w:w="3645"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7.115</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7.680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564</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645"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29.651</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32.449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2.798</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9,4%</w:t>
            </w:r>
          </w:p>
        </w:tc>
      </w:tr>
      <w:tr>
        <w:trPr>
          <w:trHeight w:val="240"/>
        </w:trPr>
        <w:tc>
          <w:tcPr>
            <w:tcW w:w="6293"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856" w:type="dxa"/>
            <w:tcBorders>
              <w:top w:val="single" w:sz="4" w:space="0" w:color="auto"/>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6293" w:type="dxa"/>
            <w:gridSpan w:val="4"/>
            <w:tcBorders>
              <w:top w:val="nil"/>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Services trade EU28 with Ukraine (mio €)</w:t>
            </w:r>
          </w:p>
        </w:tc>
        <w:tc>
          <w:tcPr>
            <w:tcW w:w="856" w:type="dxa"/>
            <w:tcBorders>
              <w:top w:val="nil"/>
              <w:left w:val="nil"/>
              <w:bottom w:val="nil"/>
              <w:right w:val="nil"/>
            </w:tcBorders>
            <w:shd w:val="clear" w:color="000000" w:fill="FFFFFF"/>
            <w:noWrap/>
            <w:vAlign w:val="center"/>
            <w:hideMark/>
          </w:tcPr>
          <w:p>
            <w:pPr>
              <w:rPr>
                <w:rFonts w:eastAsia="Times New Roman"/>
                <w:b/>
                <w:bCs/>
                <w:noProof/>
                <w:sz w:val="16"/>
                <w:szCs w:val="16"/>
                <w:lang w:val="en-IE" w:eastAsia="en-IE"/>
              </w:rPr>
            </w:pPr>
            <w:r>
              <w:rPr>
                <w:rFonts w:eastAsia="Times New Roman"/>
                <w:b/>
                <w:bCs/>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bCs/>
                <w:noProof/>
                <w:sz w:val="16"/>
                <w:szCs w:val="16"/>
                <w:lang w:val="en-IE" w:eastAsia="en-IE"/>
              </w:rPr>
            </w:pPr>
            <w:r>
              <w:rPr>
                <w:rFonts w:eastAsia="Times New Roman"/>
                <w:b/>
                <w:bCs/>
                <w:noProof/>
                <w:sz w:val="16"/>
                <w:szCs w:val="16"/>
                <w:lang w:val="en-IE" w:eastAsia="en-IE"/>
              </w:rPr>
              <w:t> </w:t>
            </w:r>
          </w:p>
        </w:tc>
      </w:tr>
      <w:tr>
        <w:trPr>
          <w:trHeight w:val="225"/>
        </w:trPr>
        <w:tc>
          <w:tcPr>
            <w:tcW w:w="4501"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Ukraine</w:t>
            </w:r>
          </w:p>
        </w:tc>
        <w:tc>
          <w:tcPr>
            <w:tcW w:w="856"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936"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171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501"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936"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645"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2.628</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2.864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9,0%</w:t>
            </w:r>
          </w:p>
        </w:tc>
      </w:tr>
      <w:tr>
        <w:trPr>
          <w:trHeight w:val="225"/>
        </w:trPr>
        <w:tc>
          <w:tcPr>
            <w:tcW w:w="3645"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5.508</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6.677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1.169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21,2%</w:t>
            </w:r>
          </w:p>
        </w:tc>
      </w:tr>
      <w:tr>
        <w:trPr>
          <w:trHeight w:val="225"/>
        </w:trPr>
        <w:tc>
          <w:tcPr>
            <w:tcW w:w="3645"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2.880</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3.814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934</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645"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8.136</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9.541</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1.405</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17,3%</w:t>
            </w:r>
          </w:p>
        </w:tc>
      </w:tr>
      <w:tr>
        <w:trPr>
          <w:trHeight w:val="240"/>
        </w:trPr>
        <w:tc>
          <w:tcPr>
            <w:tcW w:w="7149" w:type="dxa"/>
            <w:gridSpan w:val="5"/>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40"/>
        </w:trPr>
        <w:tc>
          <w:tcPr>
            <w:tcW w:w="8005"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Services trade EU28 with Ukraine (mio €)</w:t>
            </w:r>
          </w:p>
        </w:tc>
      </w:tr>
      <w:tr>
        <w:trPr>
          <w:trHeight w:val="225"/>
        </w:trPr>
        <w:tc>
          <w:tcPr>
            <w:tcW w:w="3645"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93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3645"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2.912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2.684</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2.724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2.628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2.864</w:t>
            </w:r>
          </w:p>
        </w:tc>
      </w:tr>
      <w:tr>
        <w:trPr>
          <w:trHeight w:val="225"/>
        </w:trPr>
        <w:tc>
          <w:tcPr>
            <w:tcW w:w="3645"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5.061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4.710</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5.105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5.508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6.677</w:t>
            </w:r>
          </w:p>
        </w:tc>
      </w:tr>
      <w:tr>
        <w:trPr>
          <w:trHeight w:val="225"/>
        </w:trPr>
        <w:tc>
          <w:tcPr>
            <w:tcW w:w="3645"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2.149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2.027</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2.381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2.880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3.814</w:t>
            </w:r>
          </w:p>
        </w:tc>
      </w:tr>
      <w:tr>
        <w:trPr>
          <w:trHeight w:val="225"/>
        </w:trPr>
        <w:tc>
          <w:tcPr>
            <w:tcW w:w="3645"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7.973</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7.394</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7.829</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8.136</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9.541</w:t>
            </w:r>
          </w:p>
        </w:tc>
      </w:tr>
      <w:tr>
        <w:trPr>
          <w:trHeight w:val="225"/>
        </w:trPr>
        <w:tc>
          <w:tcPr>
            <w:tcW w:w="3645"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856"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93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8005" w:type="dxa"/>
            <w:gridSpan w:val="6"/>
            <w:tcBorders>
              <w:top w:val="nil"/>
              <w:left w:val="nil"/>
              <w:bottom w:val="nil"/>
              <w:right w:val="nil"/>
            </w:tcBorders>
            <w:shd w:val="clear" w:color="000000" w:fill="FFFFFF"/>
            <w:noWrap/>
            <w:vAlign w:val="center"/>
            <w:hideMark/>
          </w:tcPr>
          <w:p>
            <w:pPr>
              <w:jc w:val="center"/>
              <w:rPr>
                <w:rFonts w:eastAsia="Times New Roman"/>
                <w:b/>
                <w:noProof/>
                <w:sz w:val="16"/>
                <w:szCs w:val="16"/>
                <w:lang w:val="da-DK" w:eastAsia="en-IE"/>
              </w:rPr>
            </w:pPr>
            <w:r>
              <w:rPr>
                <w:rFonts w:eastAsia="Times New Roman"/>
                <w:b/>
                <w:noProof/>
                <w:sz w:val="16"/>
                <w:szCs w:val="16"/>
                <w:lang w:val="da-DK" w:eastAsia="en-IE"/>
              </w:rPr>
              <w:t>FDI EU28 with Ukraine (mio €)</w:t>
            </w:r>
          </w:p>
        </w:tc>
      </w:tr>
      <w:tr>
        <w:trPr>
          <w:trHeight w:val="225"/>
        </w:trPr>
        <w:tc>
          <w:tcPr>
            <w:tcW w:w="3645"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val="da-DK" w:eastAsia="en-IE"/>
              </w:rPr>
            </w:pPr>
            <w:r>
              <w:rPr>
                <w:rFonts w:eastAsia="Times New Roman"/>
                <w:noProof/>
                <w:sz w:val="16"/>
                <w:szCs w:val="16"/>
                <w:lang w:val="da-DK" w:eastAsia="en-IE"/>
              </w:rPr>
              <w:t> </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93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8005"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Stocks</w:t>
            </w:r>
          </w:p>
        </w:tc>
      </w:tr>
      <w:tr>
        <w:trPr>
          <w:trHeight w:val="225"/>
        </w:trPr>
        <w:tc>
          <w:tcPr>
            <w:tcW w:w="3645"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501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193</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602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263</w:t>
            </w:r>
          </w:p>
        </w:tc>
      </w:tr>
      <w:tr>
        <w:trPr>
          <w:trHeight w:val="225"/>
        </w:trPr>
        <w:tc>
          <w:tcPr>
            <w:tcW w:w="3645"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19.623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17.729</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12.068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13.998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12.630</w:t>
            </w:r>
          </w:p>
        </w:tc>
      </w:tr>
      <w:tr>
        <w:trPr>
          <w:trHeight w:val="225"/>
        </w:trPr>
        <w:tc>
          <w:tcPr>
            <w:tcW w:w="8005"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Flows</w:t>
            </w:r>
          </w:p>
        </w:tc>
      </w:tr>
      <w:tr>
        <w:trPr>
          <w:trHeight w:val="225"/>
        </w:trPr>
        <w:tc>
          <w:tcPr>
            <w:tcW w:w="3645"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129</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152</w:t>
            </w:r>
          </w:p>
        </w:tc>
      </w:tr>
      <w:tr>
        <w:trPr>
          <w:trHeight w:val="225"/>
        </w:trPr>
        <w:tc>
          <w:tcPr>
            <w:tcW w:w="3645"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169</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-1.880</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756</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-252</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245</w:t>
            </w:r>
          </w:p>
        </w:tc>
      </w:tr>
      <w:tr>
        <w:trPr>
          <w:trHeight w:val="225"/>
        </w:trPr>
        <w:tc>
          <w:tcPr>
            <w:tcW w:w="3645" w:type="dxa"/>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856"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93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bl>
    <w:p>
      <w:pPr>
        <w:spacing w:after="200" w:line="276" w:lineRule="auto"/>
        <w:rPr>
          <w:noProof/>
        </w:rPr>
      </w:pPr>
      <w:r>
        <w:rPr>
          <w:noProof/>
        </w:rPr>
        <w:br w:type="page"/>
      </w:r>
    </w:p>
    <w:p>
      <w:pPr>
        <w:pStyle w:val="ChapterHead"/>
        <w:jc w:val="both"/>
        <w:rPr>
          <w:b/>
          <w:noProof/>
        </w:rPr>
      </w:pPr>
      <w:bookmarkStart w:id="938" w:name="_Toc8833522"/>
      <w:bookmarkStart w:id="939" w:name="_Toc8835349"/>
      <w:bookmarkStart w:id="940" w:name="_Toc8833979"/>
      <w:bookmarkStart w:id="941" w:name="_Toc8909442"/>
      <w:bookmarkStart w:id="942" w:name="_Toc8910654"/>
      <w:bookmarkStart w:id="943" w:name="_Toc8911691"/>
      <w:bookmarkStart w:id="944" w:name="_Toc8974512"/>
      <w:bookmarkStart w:id="945" w:name="_Toc9008165"/>
      <w:bookmarkStart w:id="946" w:name="_Toc9008568"/>
      <w:bookmarkStart w:id="947" w:name="_Toc9348563"/>
      <w:bookmarkStart w:id="948" w:name="_Toc9608014"/>
      <w:bookmarkStart w:id="949" w:name="_Toc16000590"/>
      <w:r>
        <w:rPr>
          <w:b/>
          <w:noProof/>
        </w:rPr>
        <w:t>ANNUAL REPORT ON THE IMPLEMENTATION OF THE DEEP AND COMPREHENSIVE FREE TRADE AREA (DCFTA) BETWEEN THE EU AND ITS MEMBER STATES AND GEORGIA</w:t>
      </w:r>
      <w:bookmarkEnd w:id="938"/>
      <w:bookmarkEnd w:id="939"/>
      <w:bookmarkEnd w:id="940"/>
      <w:bookmarkEnd w:id="941"/>
      <w:bookmarkEnd w:id="942"/>
      <w:bookmarkEnd w:id="943"/>
      <w:bookmarkEnd w:id="944"/>
      <w:bookmarkEnd w:id="945"/>
      <w:bookmarkEnd w:id="946"/>
      <w:bookmarkEnd w:id="947"/>
      <w:bookmarkEnd w:id="948"/>
      <w:bookmarkEnd w:id="949"/>
    </w:p>
    <w:p>
      <w:pPr>
        <w:jc w:val="both"/>
        <w:rPr>
          <w:noProof/>
          <w:lang w:eastAsia="fr-BE"/>
        </w:rPr>
      </w:pPr>
      <w:r>
        <w:rPr>
          <w:noProof/>
          <w:lang w:eastAsia="fr-BE"/>
        </w:rPr>
        <w:t>The Deep and Comprehensive Free Trade Area (DCFTA) of the EU-Georgia Association Agreement (AA)</w:t>
      </w:r>
      <w:r>
        <w:rPr>
          <w:noProof/>
          <w:sz w:val="20"/>
          <w:szCs w:val="20"/>
          <w:vertAlign w:val="superscript"/>
          <w:lang w:eastAsia="fr-BE"/>
        </w:rPr>
        <w:footnoteReference w:id="32"/>
      </w:r>
      <w:r>
        <w:rPr>
          <w:noProof/>
          <w:sz w:val="20"/>
          <w:szCs w:val="20"/>
          <w:lang w:eastAsia="fr-BE"/>
        </w:rPr>
        <w:t xml:space="preserve"> </w:t>
      </w:r>
      <w:r>
        <w:rPr>
          <w:noProof/>
          <w:lang w:eastAsia="fr-BE"/>
        </w:rPr>
        <w:t>entered into force on 1 July 2016 after being applied on provisional basis since 1 September 2014.</w:t>
      </w:r>
      <w:r>
        <w:rPr>
          <w:noProof/>
          <w:sz w:val="20"/>
          <w:szCs w:val="20"/>
          <w:vertAlign w:val="superscript"/>
          <w:lang w:eastAsia="fr-BE"/>
        </w:rPr>
        <w:footnoteReference w:id="33"/>
      </w:r>
      <w:r>
        <w:rPr>
          <w:noProof/>
          <w:lang w:eastAsia="fr-BE"/>
        </w:rPr>
        <w:t xml:space="preserve"> This is the third report on the implementation of the EU-Georgia DCFTA. It responds also to the requirements of the Regulation implementing the anti-circumvention mechanism provided for in the EU-Georgia Association Agreement.</w:t>
      </w:r>
      <w:r>
        <w:rPr>
          <w:noProof/>
          <w:sz w:val="20"/>
          <w:szCs w:val="20"/>
          <w:vertAlign w:val="superscript"/>
          <w:lang w:eastAsia="fr-BE"/>
        </w:rPr>
        <w:footnoteReference w:id="34"/>
      </w:r>
      <w:r>
        <w:rPr>
          <w:noProof/>
          <w:lang w:eastAsia="fr-BE"/>
        </w:rPr>
        <w:t xml:space="preserve"> </w:t>
      </w:r>
    </w:p>
    <w:p>
      <w:pPr>
        <w:jc w:val="both"/>
        <w:rPr>
          <w:noProof/>
          <w:lang w:eastAsia="fr-BE"/>
        </w:rPr>
      </w:pPr>
    </w:p>
    <w:p>
      <w:pPr>
        <w:jc w:val="both"/>
        <w:rPr>
          <w:noProof/>
          <w:lang w:eastAsia="fr-BE"/>
        </w:rPr>
      </w:pPr>
      <w:r>
        <w:rPr>
          <w:noProof/>
        </w:rPr>
        <w:t xml:space="preserve">The Government of Georgia adopted in November 2017 an </w:t>
      </w:r>
      <w:r>
        <w:rPr>
          <w:b/>
          <w:bCs/>
          <w:noProof/>
        </w:rPr>
        <w:t>Action Plan for the implementation of the DCFTA 2018-2020</w:t>
      </w:r>
      <w:r>
        <w:rPr>
          <w:noProof/>
          <w:sz w:val="20"/>
          <w:szCs w:val="20"/>
          <w:vertAlign w:val="superscript"/>
        </w:rPr>
        <w:footnoteReference w:id="35"/>
      </w:r>
      <w:r>
        <w:rPr>
          <w:noProof/>
        </w:rPr>
        <w:t>. It is a continuation of the Action Plan for 2014-2017, outlining the priorities of the Association Agenda, planned activities related to each priority with indicators, responsible implementing institutions and timeframe for implementation.</w:t>
      </w:r>
      <w:r>
        <w:rPr>
          <w:noProof/>
          <w:lang w:eastAsia="fr-BE"/>
        </w:rPr>
        <w:t xml:space="preserve"> </w:t>
      </w:r>
    </w:p>
    <w:p>
      <w:pPr>
        <w:pStyle w:val="ManualHeading1"/>
      </w:pPr>
      <w:bookmarkStart w:id="950" w:name="_Toc8833523"/>
      <w:bookmarkStart w:id="951" w:name="_Toc8835350"/>
      <w:bookmarkStart w:id="952" w:name="_Toc8833980"/>
      <w:bookmarkStart w:id="953" w:name="_Toc8909443"/>
      <w:bookmarkStart w:id="954" w:name="_Toc8910655"/>
      <w:bookmarkStart w:id="955" w:name="_Toc8911692"/>
      <w:bookmarkStart w:id="956" w:name="_Toc8974513"/>
      <w:bookmarkStart w:id="957" w:name="_Toc9008166"/>
      <w:bookmarkStart w:id="958" w:name="_Toc9008569"/>
      <w:bookmarkStart w:id="959" w:name="_Toc9348564"/>
      <w:bookmarkStart w:id="960" w:name="_Toc9608015"/>
      <w:bookmarkStart w:id="961" w:name="_Toc16000591"/>
      <w:r>
        <w:t>1.</w:t>
      </w:r>
      <w:r>
        <w:tab/>
        <w:t>Evolution of trade</w:t>
      </w:r>
      <w:bookmarkEnd w:id="950"/>
      <w:bookmarkEnd w:id="951"/>
      <w:bookmarkEnd w:id="952"/>
      <w:bookmarkEnd w:id="953"/>
      <w:bookmarkEnd w:id="954"/>
      <w:bookmarkEnd w:id="955"/>
      <w:bookmarkEnd w:id="956"/>
      <w:bookmarkEnd w:id="957"/>
      <w:bookmarkEnd w:id="958"/>
      <w:bookmarkEnd w:id="959"/>
      <w:bookmarkEnd w:id="960"/>
      <w:bookmarkEnd w:id="961"/>
    </w:p>
    <w:p>
      <w:pPr>
        <w:pStyle w:val="Heading2"/>
        <w:ind w:left="0" w:firstLine="0"/>
      </w:pPr>
      <w:bookmarkStart w:id="962" w:name="_Toc8833524"/>
      <w:bookmarkStart w:id="963" w:name="_Toc8835351"/>
      <w:bookmarkStart w:id="964" w:name="_Toc8833981"/>
      <w:bookmarkStart w:id="965" w:name="_Toc8909444"/>
      <w:bookmarkStart w:id="966" w:name="_Toc8910656"/>
      <w:bookmarkStart w:id="967" w:name="_Toc8911693"/>
      <w:bookmarkStart w:id="968" w:name="_Toc8974514"/>
      <w:bookmarkStart w:id="969" w:name="_Toc9008167"/>
      <w:bookmarkStart w:id="970" w:name="_Toc9008570"/>
      <w:bookmarkStart w:id="971" w:name="_Toc9348565"/>
      <w:bookmarkStart w:id="972" w:name="_Toc9608016"/>
      <w:bookmarkStart w:id="973" w:name="_Toc16000592"/>
      <w:r>
        <w:t>1.1 Trade in Goods overall</w:t>
      </w:r>
      <w:bookmarkEnd w:id="962"/>
      <w:bookmarkEnd w:id="963"/>
      <w:bookmarkEnd w:id="964"/>
      <w:bookmarkEnd w:id="965"/>
      <w:bookmarkEnd w:id="966"/>
      <w:bookmarkEnd w:id="967"/>
      <w:bookmarkEnd w:id="968"/>
      <w:bookmarkEnd w:id="969"/>
      <w:bookmarkEnd w:id="970"/>
      <w:bookmarkEnd w:id="971"/>
      <w:bookmarkEnd w:id="972"/>
      <w:bookmarkEnd w:id="973"/>
    </w:p>
    <w:p>
      <w:pPr>
        <w:pStyle w:val="Heading3"/>
        <w:ind w:left="0" w:firstLine="0"/>
        <w:rPr>
          <w:noProof/>
        </w:rPr>
      </w:pPr>
      <w:bookmarkStart w:id="974" w:name="_Toc8833525"/>
      <w:bookmarkStart w:id="975" w:name="_Toc8835352"/>
      <w:bookmarkStart w:id="976" w:name="_Toc8833982"/>
      <w:bookmarkStart w:id="977" w:name="_Toc8909445"/>
      <w:bookmarkStart w:id="978" w:name="_Toc8910657"/>
      <w:bookmarkStart w:id="979" w:name="_Toc8911694"/>
      <w:bookmarkStart w:id="980" w:name="_Toc8974515"/>
      <w:bookmarkStart w:id="981" w:name="_Toc9008168"/>
      <w:bookmarkStart w:id="982" w:name="_Toc9008571"/>
      <w:bookmarkStart w:id="983" w:name="_Toc9348566"/>
      <w:bookmarkStart w:id="984" w:name="_Toc9608017"/>
      <w:bookmarkStart w:id="985" w:name="_Toc16000593"/>
      <w:r>
        <w:rPr>
          <w:noProof/>
        </w:rPr>
        <w:t>The scope of trade liberalisation</w:t>
      </w:r>
      <w:bookmarkEnd w:id="974"/>
      <w:bookmarkEnd w:id="975"/>
      <w:bookmarkEnd w:id="976"/>
      <w:bookmarkEnd w:id="977"/>
      <w:bookmarkEnd w:id="978"/>
      <w:bookmarkEnd w:id="979"/>
      <w:bookmarkEnd w:id="980"/>
      <w:bookmarkEnd w:id="981"/>
      <w:bookmarkEnd w:id="982"/>
      <w:bookmarkEnd w:id="983"/>
      <w:bookmarkEnd w:id="984"/>
      <w:bookmarkEnd w:id="985"/>
    </w:p>
    <w:p>
      <w:pPr>
        <w:jc w:val="both"/>
        <w:rPr>
          <w:rFonts w:eastAsia="Calibri"/>
          <w:noProof/>
          <w:lang w:eastAsia="fr-BE"/>
        </w:rPr>
      </w:pPr>
      <w:r>
        <w:rPr>
          <w:rFonts w:eastAsia="Calibri"/>
          <w:noProof/>
          <w:lang w:eastAsia="fr-BE"/>
        </w:rPr>
        <w:t xml:space="preserve">At the start of provisional application of the DCFTA on 1 September 2014 </w:t>
      </w:r>
      <w:r>
        <w:rPr>
          <w:rFonts w:eastAsia="Calibri"/>
          <w:b/>
          <w:bCs/>
          <w:noProof/>
          <w:lang w:eastAsia="fr-BE"/>
        </w:rPr>
        <w:t>both partners eliminated import duties for all goods with a few exceptions on the European Union side,</w:t>
      </w:r>
      <w:r>
        <w:rPr>
          <w:rFonts w:eastAsia="Calibri"/>
          <w:noProof/>
          <w:lang w:eastAsia="fr-BE"/>
        </w:rPr>
        <w:t xml:space="preserve"> related to sensitive agriculture products, for which market access has also improved. In this context, the EU granted duty-free Tariff Rate Quotas for garlic originating from Georgia and, for 28 agricultural products (including fruits and vegetables) that are subject to </w:t>
      </w:r>
      <w:r>
        <w:rPr>
          <w:rFonts w:eastAsia="Calibri"/>
          <w:b/>
          <w:bCs/>
          <w:noProof/>
          <w:lang w:eastAsia="fr-BE"/>
        </w:rPr>
        <w:t xml:space="preserve">entry prices, </w:t>
      </w:r>
      <w:r>
        <w:rPr>
          <w:rFonts w:eastAsia="Calibri"/>
          <w:noProof/>
          <w:lang w:eastAsia="fr-BE"/>
        </w:rPr>
        <w:t xml:space="preserve">the EU eliminated the </w:t>
      </w:r>
      <w:r>
        <w:rPr>
          <w:rFonts w:eastAsia="Calibri"/>
          <w:i/>
          <w:iCs/>
          <w:noProof/>
          <w:lang w:eastAsia="fr-BE"/>
        </w:rPr>
        <w:t>ad valorem</w:t>
      </w:r>
      <w:r>
        <w:rPr>
          <w:rFonts w:eastAsia="Calibri"/>
          <w:noProof/>
          <w:lang w:eastAsia="fr-BE"/>
        </w:rPr>
        <w:t xml:space="preserve"> component of the import duty. </w:t>
      </w:r>
    </w:p>
    <w:p>
      <w:pPr>
        <w:jc w:val="both"/>
        <w:rPr>
          <w:rFonts w:eastAsia="Calibri"/>
          <w:b/>
          <w:bCs/>
          <w:noProof/>
          <w:lang w:eastAsia="fr-BE"/>
        </w:rPr>
      </w:pPr>
    </w:p>
    <w:p>
      <w:pPr>
        <w:jc w:val="both"/>
        <w:rPr>
          <w:rFonts w:eastAsia="Calibri"/>
          <w:noProof/>
          <w:lang w:eastAsia="fr-BE"/>
        </w:rPr>
      </w:pPr>
      <w:r>
        <w:rPr>
          <w:rFonts w:eastAsia="Calibri"/>
          <w:noProof/>
          <w:lang w:eastAsia="fr-BE"/>
        </w:rPr>
        <w:t xml:space="preserve">An </w:t>
      </w:r>
      <w:r>
        <w:rPr>
          <w:rFonts w:eastAsia="Calibri"/>
          <w:b/>
          <w:bCs/>
          <w:noProof/>
          <w:lang w:eastAsia="fr-BE"/>
        </w:rPr>
        <w:t>anti-circumvention mechanism</w:t>
      </w:r>
      <w:r>
        <w:rPr>
          <w:rFonts w:eastAsia="Calibri"/>
          <w:noProof/>
          <w:lang w:eastAsia="fr-BE"/>
        </w:rPr>
        <w:t xml:space="preserve"> applies to several agricultural goods i.e. beef, pork, sheep and poultry meat, dairy products, eggs and albumins, mushrooms, cereals, malt, starches and sugars as well as to processed agricultural products such as: sweetcorn, processed sugars and cereals and cigarettes.</w:t>
      </w:r>
    </w:p>
    <w:p>
      <w:pPr>
        <w:jc w:val="both"/>
        <w:rPr>
          <w:noProof/>
          <w:lang w:eastAsia="fr-BE"/>
        </w:rPr>
      </w:pPr>
    </w:p>
    <w:p>
      <w:pPr>
        <w:jc w:val="both"/>
        <w:rPr>
          <w:rFonts w:eastAsia="Calibri"/>
          <w:noProof/>
          <w:lang w:eastAsia="en-GB"/>
        </w:rPr>
      </w:pPr>
      <w:r>
        <w:rPr>
          <w:rFonts w:eastAsia="Calibri"/>
          <w:noProof/>
          <w:lang w:eastAsia="en-GB"/>
        </w:rPr>
        <w:t xml:space="preserve">The Parties agreed on a </w:t>
      </w:r>
      <w:r>
        <w:rPr>
          <w:rFonts w:eastAsia="Calibri"/>
          <w:b/>
          <w:noProof/>
          <w:lang w:eastAsia="en-GB"/>
        </w:rPr>
        <w:t>review clause,</w:t>
      </w:r>
      <w:r>
        <w:rPr>
          <w:rFonts w:eastAsia="Calibri"/>
          <w:noProof/>
          <w:lang w:eastAsia="en-GB"/>
        </w:rPr>
        <w:t xml:space="preserve"> i.e. that after five years from the entry into force of the DCFTA, they would consult (if there is a request from either party) to consider broadening the scope of the liberalisation of customs duties in bilateral trade.</w:t>
      </w:r>
    </w:p>
    <w:p>
      <w:pPr>
        <w:pStyle w:val="Heading3"/>
        <w:ind w:left="0" w:firstLine="0"/>
        <w:rPr>
          <w:noProof/>
        </w:rPr>
      </w:pPr>
      <w:bookmarkStart w:id="986" w:name="_Toc8833526"/>
      <w:bookmarkStart w:id="987" w:name="_Toc8835353"/>
      <w:bookmarkStart w:id="988" w:name="_Toc8833983"/>
      <w:bookmarkStart w:id="989" w:name="_Toc8909446"/>
      <w:bookmarkStart w:id="990" w:name="_Toc8910658"/>
      <w:bookmarkStart w:id="991" w:name="_Toc8911695"/>
      <w:bookmarkStart w:id="992" w:name="_Toc8974516"/>
      <w:bookmarkStart w:id="993" w:name="_Toc9008169"/>
      <w:bookmarkStart w:id="994" w:name="_Toc9008572"/>
      <w:bookmarkStart w:id="995" w:name="_Toc9348567"/>
      <w:bookmarkStart w:id="996" w:name="_Toc9608018"/>
      <w:bookmarkStart w:id="997" w:name="_Toc16000594"/>
      <w:r>
        <w:rPr>
          <w:noProof/>
        </w:rPr>
        <w:t>Overall evolution of EU–Georgia trade in goods</w:t>
      </w:r>
      <w:bookmarkEnd w:id="986"/>
      <w:bookmarkEnd w:id="987"/>
      <w:bookmarkEnd w:id="988"/>
      <w:bookmarkEnd w:id="989"/>
      <w:bookmarkEnd w:id="990"/>
      <w:bookmarkEnd w:id="991"/>
      <w:bookmarkEnd w:id="992"/>
      <w:bookmarkEnd w:id="993"/>
      <w:bookmarkEnd w:id="994"/>
      <w:bookmarkEnd w:id="995"/>
      <w:bookmarkEnd w:id="996"/>
      <w:bookmarkEnd w:id="997"/>
    </w:p>
    <w:p>
      <w:pPr>
        <w:jc w:val="both"/>
        <w:rPr>
          <w:noProof/>
          <w:lang w:eastAsia="fr-BE"/>
        </w:rPr>
      </w:pPr>
      <w:r>
        <w:rPr>
          <w:noProof/>
          <w:lang w:eastAsia="fr-BE"/>
        </w:rPr>
        <w:t xml:space="preserve">In accordance with 2018 Eurostat data, the </w:t>
      </w:r>
      <w:r>
        <w:rPr>
          <w:b/>
          <w:noProof/>
          <w:lang w:eastAsia="fr-BE"/>
        </w:rPr>
        <w:t>EU is the most important trade partner of Georgia with 27% share</w:t>
      </w:r>
      <w:r>
        <w:rPr>
          <w:noProof/>
          <w:lang w:eastAsia="fr-BE"/>
        </w:rPr>
        <w:t xml:space="preserve"> in its overall trade (22% in total export and 29% imports) and is followed by Turkey (14%), Russia (11%), Azerbaijan (9%), and China (8%). </w:t>
      </w:r>
      <w:r>
        <w:rPr>
          <w:b/>
          <w:noProof/>
          <w:lang w:eastAsia="fr-BE"/>
        </w:rPr>
        <w:t>Georgia is the EU’s 77th trade partner</w:t>
      </w:r>
      <w:r>
        <w:rPr>
          <w:noProof/>
          <w:lang w:eastAsia="fr-BE"/>
        </w:rPr>
        <w:t xml:space="preserve"> and accounts for only 0.1% of its total trade.</w:t>
      </w:r>
    </w:p>
    <w:p>
      <w:pPr>
        <w:jc w:val="both"/>
        <w:rPr>
          <w:noProof/>
          <w:lang w:eastAsia="fr-BE"/>
        </w:rPr>
      </w:pPr>
    </w:p>
    <w:p>
      <w:pPr>
        <w:jc w:val="both"/>
        <w:rPr>
          <w:noProof/>
          <w:lang w:eastAsia="fr-BE"/>
        </w:rPr>
      </w:pPr>
      <w:r>
        <w:rPr>
          <w:noProof/>
          <w:lang w:eastAsia="fr-BE"/>
        </w:rPr>
        <w:t xml:space="preserve">In 2018 the overall trade between the EU and Georgia increased on year-on-year-basis by 3% and amounted to €2.8 billion. </w:t>
      </w:r>
      <w:r>
        <w:rPr>
          <w:b/>
          <w:noProof/>
          <w:lang w:eastAsia="fr-BE"/>
        </w:rPr>
        <w:t>EU exports to Georgia increased</w:t>
      </w:r>
      <w:r>
        <w:rPr>
          <w:noProof/>
          <w:lang w:eastAsia="fr-BE"/>
        </w:rPr>
        <w:t xml:space="preserve"> in that time by 4 % while </w:t>
      </w:r>
      <w:r>
        <w:rPr>
          <w:b/>
          <w:noProof/>
          <w:lang w:eastAsia="fr-BE"/>
        </w:rPr>
        <w:t>EU imports from Georgia</w:t>
      </w:r>
      <w:r>
        <w:rPr>
          <w:noProof/>
          <w:lang w:eastAsia="fr-BE"/>
        </w:rPr>
        <w:t xml:space="preserve"> </w:t>
      </w:r>
      <w:r>
        <w:rPr>
          <w:b/>
          <w:noProof/>
          <w:lang w:eastAsia="fr-BE"/>
        </w:rPr>
        <w:t>noted</w:t>
      </w:r>
      <w:r>
        <w:rPr>
          <w:noProof/>
          <w:lang w:eastAsia="fr-BE"/>
        </w:rPr>
        <w:t xml:space="preserve"> </w:t>
      </w:r>
      <w:r>
        <w:rPr>
          <w:b/>
          <w:noProof/>
          <w:lang w:eastAsia="fr-BE"/>
        </w:rPr>
        <w:t>a decrease of 1.6%</w:t>
      </w:r>
      <w:r>
        <w:rPr>
          <w:noProof/>
          <w:lang w:eastAsia="fr-BE"/>
        </w:rPr>
        <w:t xml:space="preserve"> compared to 2017. The top 5 products (mineral products, foodstuffs, beverages, tobacco, base metals, products of chemical or allied industries, and textiles and textile articles) account for 85 % of total Georgian exports to the EU.</w:t>
      </w:r>
    </w:p>
    <w:p>
      <w:pPr>
        <w:jc w:val="both"/>
        <w:rPr>
          <w:noProof/>
          <w:lang w:eastAsia="fr-BE"/>
        </w:rPr>
      </w:pPr>
    </w:p>
    <w:p>
      <w:pPr>
        <w:jc w:val="both"/>
        <w:rPr>
          <w:noProof/>
          <w:lang w:eastAsia="fr-BE"/>
        </w:rPr>
      </w:pPr>
      <w:r>
        <w:rPr>
          <w:noProof/>
          <w:lang w:eastAsia="fr-BE"/>
        </w:rPr>
        <w:t>In the analysed period</w:t>
      </w:r>
      <w:r>
        <w:rPr>
          <w:b/>
          <w:noProof/>
          <w:lang w:eastAsia="fr-BE"/>
        </w:rPr>
        <w:t xml:space="preserve"> the surplus in EU trade with Georgia</w:t>
      </w:r>
      <w:r>
        <w:rPr>
          <w:noProof/>
          <w:lang w:eastAsia="fr-BE"/>
        </w:rPr>
        <w:t xml:space="preserve"> has increased from €1.35 billion to €1.46 billion.</w:t>
      </w:r>
    </w:p>
    <w:p>
      <w:pPr>
        <w:pStyle w:val="Heading3"/>
        <w:ind w:left="0" w:firstLine="0"/>
        <w:rPr>
          <w:noProof/>
        </w:rPr>
      </w:pPr>
      <w:bookmarkStart w:id="998" w:name="_Toc8833527"/>
      <w:bookmarkStart w:id="999" w:name="_Toc8835354"/>
      <w:bookmarkStart w:id="1000" w:name="_Toc8833984"/>
      <w:bookmarkStart w:id="1001" w:name="_Toc8909447"/>
      <w:bookmarkStart w:id="1002" w:name="_Toc8910659"/>
      <w:bookmarkStart w:id="1003" w:name="_Toc8911696"/>
      <w:bookmarkStart w:id="1004" w:name="_Toc8974517"/>
      <w:bookmarkStart w:id="1005" w:name="_Toc9008170"/>
      <w:bookmarkStart w:id="1006" w:name="_Toc9008573"/>
      <w:bookmarkStart w:id="1007" w:name="_Toc9348568"/>
      <w:bookmarkStart w:id="1008" w:name="_Toc9608019"/>
      <w:bookmarkStart w:id="1009" w:name="_Toc16000595"/>
      <w:r>
        <w:rPr>
          <w:noProof/>
        </w:rPr>
        <w:t>Sectoral structure of EU-Georgia trade in goods</w:t>
      </w:r>
      <w:bookmarkEnd w:id="998"/>
      <w:bookmarkEnd w:id="999"/>
      <w:bookmarkEnd w:id="1000"/>
      <w:bookmarkEnd w:id="1001"/>
      <w:bookmarkEnd w:id="1002"/>
      <w:bookmarkEnd w:id="1003"/>
      <w:bookmarkEnd w:id="1004"/>
      <w:bookmarkEnd w:id="1005"/>
      <w:bookmarkEnd w:id="1006"/>
      <w:bookmarkEnd w:id="1007"/>
      <w:bookmarkEnd w:id="1008"/>
      <w:bookmarkEnd w:id="1009"/>
    </w:p>
    <w:p>
      <w:pPr>
        <w:jc w:val="both"/>
        <w:rPr>
          <w:noProof/>
          <w:lang w:eastAsia="fr-BE"/>
        </w:rPr>
      </w:pPr>
      <w:r>
        <w:rPr>
          <w:noProof/>
          <w:lang w:eastAsia="fr-BE"/>
        </w:rPr>
        <w:t xml:space="preserve">As concerns the </w:t>
      </w:r>
      <w:r>
        <w:rPr>
          <w:b/>
          <w:noProof/>
          <w:lang w:eastAsia="fr-BE"/>
        </w:rPr>
        <w:t>structure of EU exports to Georgia</w:t>
      </w:r>
      <w:r>
        <w:rPr>
          <w:noProof/>
          <w:lang w:eastAsia="fr-BE"/>
        </w:rPr>
        <w:t xml:space="preserve"> in 2018, the most important product categories (by Sections of the Harmonized System Nomenclature – HS) were: </w:t>
      </w:r>
      <w:r>
        <w:rPr>
          <w:b/>
          <w:noProof/>
          <w:lang w:eastAsia="fr-BE"/>
        </w:rPr>
        <w:t>machinery and appliances, mineral and chemical products</w:t>
      </w:r>
      <w:r>
        <w:rPr>
          <w:noProof/>
          <w:lang w:eastAsia="fr-BE"/>
        </w:rPr>
        <w:t>. The observed shares and dynamics in 2018 in comparison to 2017 were as follows:</w:t>
      </w:r>
    </w:p>
    <w:p>
      <w:pPr>
        <w:jc w:val="both"/>
        <w:rPr>
          <w:noProof/>
          <w:lang w:eastAsia="fr-BE"/>
        </w:rPr>
      </w:pPr>
    </w:p>
    <w:p>
      <w:pPr>
        <w:jc w:val="both"/>
        <w:rPr>
          <w:noProof/>
          <w:lang w:eastAsia="fr-BE"/>
        </w:rPr>
      </w:pPr>
      <w:r>
        <w:rPr>
          <w:noProof/>
          <w:lang w:eastAsia="fr-BE"/>
        </w:rPr>
        <w:t>Machinery and appliances amounted to 21 % of overall EU exports to Georgia and increased by 17%; mineral products – 18%, decrease by 7%; products of chemical or allied industries - 17%, decrease by 7% (pharmaceutical products represented the largest proportion of EU exports to Georgia in this category, accounting for 10%). Other products categories that showed an increase in EU exports are optical and photographic instruments and prepared foodstuffs.</w:t>
      </w:r>
    </w:p>
    <w:p>
      <w:pPr>
        <w:jc w:val="both"/>
        <w:rPr>
          <w:noProof/>
          <w:lang w:eastAsia="fr-BE"/>
        </w:rPr>
      </w:pPr>
    </w:p>
    <w:p>
      <w:pPr>
        <w:jc w:val="both"/>
        <w:rPr>
          <w:noProof/>
          <w:lang w:eastAsia="fr-BE"/>
        </w:rPr>
      </w:pPr>
      <w:r>
        <w:rPr>
          <w:noProof/>
          <w:lang w:eastAsia="fr-BE"/>
        </w:rPr>
        <w:t xml:space="preserve">In terms of </w:t>
      </w:r>
      <w:r>
        <w:rPr>
          <w:b/>
          <w:noProof/>
          <w:lang w:eastAsia="fr-BE"/>
        </w:rPr>
        <w:t>structure of EU imports from Georgia</w:t>
      </w:r>
      <w:r>
        <w:rPr>
          <w:noProof/>
          <w:lang w:eastAsia="fr-BE"/>
        </w:rPr>
        <w:t xml:space="preserve"> in 2018, the most important product categories were: </w:t>
      </w:r>
      <w:r>
        <w:rPr>
          <w:b/>
          <w:noProof/>
          <w:lang w:eastAsia="fr-BE"/>
        </w:rPr>
        <w:t>mineral products, fruit and vegetables (notably nuts), base metals and chemical goods</w:t>
      </w:r>
      <w:r>
        <w:rPr>
          <w:noProof/>
          <w:lang w:eastAsia="fr-BE"/>
        </w:rPr>
        <w:t>.</w:t>
      </w:r>
    </w:p>
    <w:p>
      <w:pPr>
        <w:jc w:val="both"/>
        <w:rPr>
          <w:noProof/>
          <w:highlight w:val="yellow"/>
          <w:lang w:eastAsia="fr-BE"/>
        </w:rPr>
      </w:pPr>
    </w:p>
    <w:p>
      <w:pPr>
        <w:jc w:val="both"/>
        <w:rPr>
          <w:noProof/>
          <w:lang w:eastAsia="fr-BE"/>
        </w:rPr>
      </w:pPr>
      <w:r>
        <w:rPr>
          <w:noProof/>
          <w:lang w:eastAsia="fr-BE"/>
        </w:rPr>
        <w:t>The following shares and dynamics in 2018 comparing to 2017 were observed: Mineral products accounted for 51 % of the total EU imports from Georgia and decreased by 2%; foodstuffs, beverages, tobacco accounted for 12% and increased by 29% (this is mainly due to an increase in beverages, spirits and vinegar (+38%); base metals and articles thereof accounted for 8% and decreased by 9%; products of chemical or allied industries accounted for 8% and decreased by 4%; textiles and textile articles accounted for 6% and decreased by 13%; other categories of products that have shown an increase in EU imports from Georgia are plastics and rubber and machinery and appliances.</w:t>
      </w:r>
    </w:p>
    <w:p>
      <w:pPr>
        <w:pStyle w:val="Heading2"/>
        <w:ind w:left="0" w:firstLine="0"/>
      </w:pPr>
      <w:bookmarkStart w:id="1010" w:name="_Toc8833528"/>
      <w:bookmarkStart w:id="1011" w:name="_Toc8835355"/>
      <w:bookmarkStart w:id="1012" w:name="_Toc8833985"/>
      <w:bookmarkStart w:id="1013" w:name="_Toc8909448"/>
      <w:bookmarkStart w:id="1014" w:name="_Toc8910660"/>
      <w:bookmarkStart w:id="1015" w:name="_Toc8911697"/>
      <w:bookmarkStart w:id="1016" w:name="_Toc8974518"/>
      <w:bookmarkStart w:id="1017" w:name="_Toc9008171"/>
      <w:bookmarkStart w:id="1018" w:name="_Toc9008574"/>
      <w:bookmarkStart w:id="1019" w:name="_Toc9348569"/>
      <w:bookmarkStart w:id="1020" w:name="_Toc9608020"/>
      <w:bookmarkStart w:id="1021" w:name="_Toc16000596"/>
      <w:r>
        <w:t>1.2 Trade in agricultural goods</w:t>
      </w:r>
      <w:bookmarkEnd w:id="1010"/>
      <w:bookmarkEnd w:id="1011"/>
      <w:bookmarkEnd w:id="1012"/>
      <w:bookmarkEnd w:id="1013"/>
      <w:bookmarkEnd w:id="1014"/>
      <w:bookmarkEnd w:id="1015"/>
      <w:bookmarkEnd w:id="1016"/>
      <w:bookmarkEnd w:id="1017"/>
      <w:bookmarkEnd w:id="1018"/>
      <w:bookmarkEnd w:id="1019"/>
      <w:bookmarkEnd w:id="1020"/>
      <w:bookmarkEnd w:id="1021"/>
    </w:p>
    <w:p>
      <w:pPr>
        <w:jc w:val="both"/>
        <w:rPr>
          <w:noProof/>
        </w:rPr>
      </w:pPr>
      <w:r>
        <w:rPr>
          <w:noProof/>
        </w:rPr>
        <w:t>In 2018, EU imports of agricultural products from Georgia remained stable. Beverages, spirits and vinegar accounted for 53% of the EU's agri-food imports from Georgia in 2018, followed by fruit and nuts with 27%. EU exports of agricultural products to Georgia also remained stable over the same period. The EU's key agri-food exports to Georgia consisted of beverages, spirits and vinegar (24%), sugars and sugar confectionary (10%) and food preparations, chocolate, confectionery &amp; ice cream (9%).</w:t>
      </w:r>
    </w:p>
    <w:p>
      <w:pPr>
        <w:jc w:val="both"/>
        <w:rPr>
          <w:noProof/>
        </w:rPr>
      </w:pPr>
    </w:p>
    <w:p>
      <w:pPr>
        <w:jc w:val="both"/>
        <w:rPr>
          <w:noProof/>
          <w:lang w:eastAsia="en-GB"/>
        </w:rPr>
      </w:pPr>
      <w:r>
        <w:rPr>
          <w:noProof/>
          <w:lang w:eastAsia="fr-BE"/>
        </w:rPr>
        <w:t>Throughout the first four years of DCFTA implementation Georgia started to export some new products to the EU e.g. kiwi fruit, blue berries and honey. This shows a potential of the DCFTA to attract new product categories to be commercialised on the markets of both Parties.</w:t>
      </w:r>
    </w:p>
    <w:p>
      <w:pPr>
        <w:pStyle w:val="Heading2"/>
        <w:ind w:left="0" w:firstLine="0"/>
      </w:pPr>
      <w:bookmarkStart w:id="1022" w:name="_Toc8833529"/>
      <w:bookmarkStart w:id="1023" w:name="_Toc8835356"/>
      <w:bookmarkStart w:id="1024" w:name="_Toc8833986"/>
      <w:bookmarkStart w:id="1025" w:name="_Toc8909449"/>
      <w:bookmarkStart w:id="1026" w:name="_Toc8910661"/>
      <w:bookmarkStart w:id="1027" w:name="_Toc8911698"/>
      <w:bookmarkStart w:id="1028" w:name="_Toc8974519"/>
      <w:bookmarkStart w:id="1029" w:name="_Toc9008172"/>
      <w:bookmarkStart w:id="1030" w:name="_Toc9008575"/>
      <w:bookmarkStart w:id="1031" w:name="_Toc9348570"/>
      <w:bookmarkStart w:id="1032" w:name="_Toc9608021"/>
      <w:bookmarkStart w:id="1033" w:name="_Toc16000597"/>
      <w:r>
        <w:t>1.3 Use of Tariff Rate Quotas (TRQ)</w:t>
      </w:r>
      <w:bookmarkEnd w:id="1022"/>
      <w:bookmarkEnd w:id="1023"/>
      <w:bookmarkEnd w:id="1024"/>
      <w:bookmarkEnd w:id="1025"/>
      <w:bookmarkEnd w:id="1026"/>
      <w:bookmarkEnd w:id="1027"/>
      <w:bookmarkEnd w:id="1028"/>
      <w:bookmarkEnd w:id="1029"/>
      <w:bookmarkEnd w:id="1030"/>
      <w:bookmarkEnd w:id="1031"/>
      <w:bookmarkEnd w:id="1032"/>
      <w:bookmarkEnd w:id="1033"/>
    </w:p>
    <w:p>
      <w:pPr>
        <w:jc w:val="both"/>
        <w:rPr>
          <w:noProof/>
          <w:lang w:eastAsia="en-GB"/>
        </w:rPr>
      </w:pPr>
      <w:r>
        <w:rPr>
          <w:noProof/>
          <w:lang w:eastAsia="en-GB"/>
        </w:rPr>
        <w:t>In 2018, the annual duty-free Tariff Rate Quotas of 220 tonnes the EU offers for Georgian garlic was used to a minimum extent</w:t>
      </w:r>
      <w:r>
        <w:rPr>
          <w:noProof/>
          <w:lang w:eastAsia="fr-BE"/>
        </w:rPr>
        <w:t xml:space="preserve"> (0,5%),</w:t>
      </w:r>
      <w:r>
        <w:rPr>
          <w:noProof/>
          <w:lang w:eastAsia="en-GB"/>
        </w:rPr>
        <w:t xml:space="preserve"> mainly due to market forces.</w:t>
      </w:r>
      <w:r>
        <w:rPr>
          <w:noProof/>
          <w:lang w:eastAsia="fr-BE"/>
        </w:rPr>
        <w:t xml:space="preserve"> </w:t>
      </w:r>
    </w:p>
    <w:p>
      <w:pPr>
        <w:pStyle w:val="Heading2"/>
        <w:ind w:left="0" w:firstLine="0"/>
      </w:pPr>
      <w:bookmarkStart w:id="1034" w:name="_Toc8833531"/>
      <w:bookmarkStart w:id="1035" w:name="_Toc8835358"/>
      <w:bookmarkStart w:id="1036" w:name="_Toc8833988"/>
      <w:bookmarkStart w:id="1037" w:name="_Toc8909451"/>
      <w:bookmarkStart w:id="1038" w:name="_Toc8910663"/>
      <w:bookmarkStart w:id="1039" w:name="_Toc8911700"/>
      <w:bookmarkStart w:id="1040" w:name="_Toc8974521"/>
      <w:bookmarkStart w:id="1041" w:name="_Toc9008174"/>
      <w:bookmarkStart w:id="1042" w:name="_Toc9008577"/>
      <w:bookmarkStart w:id="1043" w:name="_Toc9348572"/>
      <w:bookmarkStart w:id="1044" w:name="_Toc9608023"/>
      <w:bookmarkStart w:id="1045" w:name="_Toc16000598"/>
      <w:r>
        <w:t>1.4 Establishment, trade in services and investments</w:t>
      </w:r>
      <w:bookmarkEnd w:id="1034"/>
      <w:bookmarkEnd w:id="1035"/>
      <w:bookmarkEnd w:id="1036"/>
      <w:bookmarkEnd w:id="1037"/>
      <w:bookmarkEnd w:id="1038"/>
      <w:bookmarkEnd w:id="1039"/>
      <w:bookmarkEnd w:id="1040"/>
      <w:bookmarkEnd w:id="1041"/>
      <w:bookmarkEnd w:id="1042"/>
      <w:bookmarkEnd w:id="1043"/>
      <w:bookmarkEnd w:id="1044"/>
      <w:bookmarkEnd w:id="1045"/>
    </w:p>
    <w:p>
      <w:pPr>
        <w:pStyle w:val="Heading3"/>
        <w:ind w:left="0" w:firstLine="0"/>
        <w:rPr>
          <w:noProof/>
        </w:rPr>
      </w:pPr>
      <w:bookmarkStart w:id="1046" w:name="_Toc8833532"/>
      <w:bookmarkStart w:id="1047" w:name="_Toc8835359"/>
      <w:bookmarkStart w:id="1048" w:name="_Toc8833989"/>
      <w:bookmarkStart w:id="1049" w:name="_Toc8909452"/>
      <w:bookmarkStart w:id="1050" w:name="_Toc8910664"/>
      <w:bookmarkStart w:id="1051" w:name="_Toc8911701"/>
      <w:bookmarkStart w:id="1052" w:name="_Toc8974522"/>
      <w:bookmarkStart w:id="1053" w:name="_Toc9008175"/>
      <w:bookmarkStart w:id="1054" w:name="_Toc9008578"/>
      <w:bookmarkStart w:id="1055" w:name="_Toc9348573"/>
      <w:bookmarkStart w:id="1056" w:name="_Toc9608024"/>
      <w:bookmarkStart w:id="1057" w:name="_Toc16000599"/>
      <w:r>
        <w:rPr>
          <w:noProof/>
        </w:rPr>
        <w:t>Market access related to establishment and trade in services</w:t>
      </w:r>
      <w:bookmarkEnd w:id="1046"/>
      <w:bookmarkEnd w:id="1047"/>
      <w:bookmarkEnd w:id="1048"/>
      <w:bookmarkEnd w:id="1049"/>
      <w:bookmarkEnd w:id="1050"/>
      <w:bookmarkEnd w:id="1051"/>
      <w:bookmarkEnd w:id="1052"/>
      <w:bookmarkEnd w:id="1053"/>
      <w:bookmarkEnd w:id="1054"/>
      <w:bookmarkEnd w:id="1055"/>
      <w:bookmarkEnd w:id="1056"/>
      <w:bookmarkEnd w:id="1057"/>
    </w:p>
    <w:p>
      <w:pPr>
        <w:spacing w:line="276" w:lineRule="auto"/>
        <w:jc w:val="both"/>
        <w:rPr>
          <w:rFonts w:eastAsia="Calibri"/>
          <w:noProof/>
          <w:lang w:eastAsia="en-GB"/>
        </w:rPr>
      </w:pPr>
      <w:r>
        <w:rPr>
          <w:rFonts w:eastAsia="Calibri"/>
          <w:noProof/>
          <w:lang w:eastAsia="en-GB"/>
        </w:rPr>
        <w:t xml:space="preserve">In the DCFTA the EU and Georgia laid down the necessary arrangements for the progressive reciprocal liberalisation of establishment and trade in services and for cooperation on electronic commerce. Both Partners committed to freedom of </w:t>
      </w:r>
      <w:r>
        <w:rPr>
          <w:rFonts w:eastAsia="Calibri"/>
          <w:b/>
          <w:noProof/>
          <w:lang w:eastAsia="en-GB"/>
        </w:rPr>
        <w:t>establishment</w:t>
      </w:r>
      <w:r>
        <w:rPr>
          <w:rFonts w:eastAsia="Calibri"/>
          <w:noProof/>
          <w:lang w:eastAsia="en-GB"/>
        </w:rPr>
        <w:t xml:space="preserve"> as from the start of the DCFTA’s provisional application, by granting each other national treatment and most favoured-nation treatment (subject to several reservations specified by EU Member States and a few reservations by Georgia). </w:t>
      </w:r>
      <w:r>
        <w:rPr>
          <w:rFonts w:eastAsia="Calibri"/>
          <w:b/>
          <w:noProof/>
          <w:lang w:eastAsia="en-GB"/>
        </w:rPr>
        <w:t xml:space="preserve">Cross-border supply of services </w:t>
      </w:r>
      <w:r>
        <w:rPr>
          <w:rFonts w:eastAsia="Calibri"/>
          <w:noProof/>
          <w:lang w:eastAsia="en-GB"/>
        </w:rPr>
        <w:t>was also liberalised (EU and Georgia granted each other national treatment with several limitations and reservations on both sides).</w:t>
      </w:r>
    </w:p>
    <w:p>
      <w:pPr>
        <w:spacing w:line="276" w:lineRule="auto"/>
        <w:jc w:val="both"/>
        <w:rPr>
          <w:rFonts w:eastAsia="Calibri"/>
          <w:noProof/>
          <w:lang w:eastAsia="en-GB"/>
        </w:rPr>
      </w:pPr>
    </w:p>
    <w:p>
      <w:pPr>
        <w:spacing w:line="276" w:lineRule="auto"/>
        <w:jc w:val="both"/>
        <w:rPr>
          <w:rFonts w:eastAsia="Times New Roman"/>
          <w:noProof/>
          <w:lang w:eastAsia="en-GB"/>
        </w:rPr>
      </w:pPr>
      <w:r>
        <w:rPr>
          <w:rFonts w:eastAsia="Calibri"/>
          <w:noProof/>
          <w:lang w:eastAsia="en-GB"/>
        </w:rPr>
        <w:t>In four services sectors (</w:t>
      </w:r>
      <w:r>
        <w:rPr>
          <w:rFonts w:eastAsia="Calibri"/>
          <w:b/>
          <w:noProof/>
          <w:lang w:eastAsia="en-GB"/>
        </w:rPr>
        <w:t>postal and courier services, telecommunication, financial services and international maritime transport services</w:t>
      </w:r>
      <w:r>
        <w:rPr>
          <w:rFonts w:eastAsia="Calibri"/>
          <w:noProof/>
          <w:lang w:eastAsia="en-GB"/>
        </w:rPr>
        <w:t xml:space="preserve">) Georgia recognised the importance of gradual approximation (over a period of 4 to 8 years) of its existing and future legislation to the list of the EU </w:t>
      </w:r>
      <w:r>
        <w:rPr>
          <w:rFonts w:eastAsia="Calibri"/>
          <w:i/>
          <w:noProof/>
          <w:lang w:eastAsia="en-GB"/>
        </w:rPr>
        <w:t>acquis</w:t>
      </w:r>
      <w:r>
        <w:rPr>
          <w:rFonts w:eastAsia="Calibri"/>
          <w:noProof/>
          <w:lang w:eastAsia="en-GB"/>
        </w:rPr>
        <w:t xml:space="preserve"> (in case of financial services Georgia also committed to the international best practice and standards). </w:t>
      </w:r>
      <w:r>
        <w:rPr>
          <w:rFonts w:eastAsia="Times New Roman"/>
          <w:noProof/>
          <w:lang w:eastAsia="en-GB"/>
        </w:rPr>
        <w:t>Further market opening in those sectors is conditioned upon Georgia fulfilling its commitments of gradual approximation up to 2022.</w:t>
      </w:r>
    </w:p>
    <w:p>
      <w:pPr>
        <w:spacing w:line="276" w:lineRule="auto"/>
        <w:jc w:val="both"/>
        <w:rPr>
          <w:rFonts w:eastAsia="Times New Roman"/>
          <w:noProof/>
          <w:lang w:eastAsia="en-GB"/>
        </w:rPr>
      </w:pPr>
    </w:p>
    <w:p>
      <w:pPr>
        <w:spacing w:line="276" w:lineRule="auto"/>
        <w:jc w:val="both"/>
        <w:rPr>
          <w:rFonts w:eastAsia="Calibri"/>
          <w:noProof/>
          <w:lang w:eastAsia="en-GB"/>
        </w:rPr>
      </w:pPr>
      <w:r>
        <w:rPr>
          <w:rFonts w:eastAsia="Calibri"/>
          <w:noProof/>
          <w:lang w:eastAsia="en-GB"/>
        </w:rPr>
        <w:t xml:space="preserve">The EU and Georgia also agreed on a </w:t>
      </w:r>
      <w:r>
        <w:rPr>
          <w:rFonts w:eastAsia="Calibri"/>
          <w:b/>
          <w:noProof/>
          <w:lang w:eastAsia="en-GB"/>
        </w:rPr>
        <w:t xml:space="preserve">review clause </w:t>
      </w:r>
      <w:r>
        <w:rPr>
          <w:rFonts w:eastAsia="Calibri"/>
          <w:noProof/>
          <w:lang w:eastAsia="en-GB"/>
        </w:rPr>
        <w:t>with a view to liberalising establishment, cross-border supply of services (regular review) and capital movement (by the end of the fifth year following the date of the entry into force of the DCFTA). This review shall take into account, inter alia, the process of gradual approximation foreseen in the DCFTA and its impact on the elimination of remaining obstacles to cross border supply of services between the parties.</w:t>
      </w:r>
    </w:p>
    <w:p>
      <w:pPr>
        <w:pStyle w:val="Heading3"/>
        <w:ind w:left="0" w:firstLine="0"/>
        <w:rPr>
          <w:noProof/>
        </w:rPr>
      </w:pPr>
      <w:bookmarkStart w:id="1058" w:name="_Toc8833533"/>
      <w:bookmarkStart w:id="1059" w:name="_Toc8835360"/>
      <w:bookmarkStart w:id="1060" w:name="_Toc8833990"/>
      <w:bookmarkStart w:id="1061" w:name="_Toc8909453"/>
      <w:bookmarkStart w:id="1062" w:name="_Toc8910665"/>
      <w:bookmarkStart w:id="1063" w:name="_Toc8911702"/>
      <w:bookmarkStart w:id="1064" w:name="_Toc8974523"/>
      <w:bookmarkStart w:id="1065" w:name="_Toc9008176"/>
      <w:bookmarkStart w:id="1066" w:name="_Toc9008579"/>
      <w:bookmarkStart w:id="1067" w:name="_Toc9348574"/>
      <w:bookmarkStart w:id="1068" w:name="_Toc9608025"/>
      <w:bookmarkStart w:id="1069" w:name="_Toc16000600"/>
      <w:r>
        <w:rPr>
          <w:noProof/>
        </w:rPr>
        <w:t>Trade in services</w:t>
      </w:r>
      <w:bookmarkEnd w:id="1058"/>
      <w:bookmarkEnd w:id="1059"/>
      <w:bookmarkEnd w:id="1060"/>
      <w:bookmarkEnd w:id="1061"/>
      <w:bookmarkEnd w:id="1062"/>
      <w:bookmarkEnd w:id="1063"/>
      <w:bookmarkEnd w:id="1064"/>
      <w:bookmarkEnd w:id="1065"/>
      <w:bookmarkEnd w:id="1066"/>
      <w:bookmarkEnd w:id="1067"/>
      <w:bookmarkEnd w:id="1068"/>
      <w:bookmarkEnd w:id="1069"/>
    </w:p>
    <w:p>
      <w:pPr>
        <w:spacing w:line="276" w:lineRule="auto"/>
        <w:jc w:val="both"/>
        <w:rPr>
          <w:rFonts w:eastAsia="Times New Roman"/>
          <w:noProof/>
          <w:lang w:eastAsia="fr-BE"/>
        </w:rPr>
      </w:pPr>
      <w:r>
        <w:rPr>
          <w:rFonts w:eastAsia="Times New Roman"/>
          <w:noProof/>
          <w:lang w:eastAsia="fr-BE"/>
        </w:rPr>
        <w:t xml:space="preserve">Trade in services between the EU and Georgia has more than doubled between 2006 and 2017, both in terms of imports and exports. As Georgian exports are growing faster than EU exports, EU positive trade balance has been gradually decreasing. Total trade in services between the Partners increased by 22% from €704 to €857 million. </w:t>
      </w:r>
    </w:p>
    <w:p>
      <w:pPr>
        <w:spacing w:line="276" w:lineRule="auto"/>
        <w:jc w:val="both"/>
        <w:rPr>
          <w:rFonts w:eastAsia="Times New Roman"/>
          <w:noProof/>
          <w:lang w:eastAsia="fr-BE"/>
        </w:rPr>
      </w:pPr>
    </w:p>
    <w:p>
      <w:pPr>
        <w:spacing w:line="276" w:lineRule="auto"/>
        <w:jc w:val="both"/>
        <w:rPr>
          <w:noProof/>
        </w:rPr>
      </w:pPr>
      <w:r>
        <w:rPr>
          <w:rFonts w:eastAsia="Times New Roman"/>
          <w:noProof/>
          <w:lang w:eastAsia="fr-BE"/>
        </w:rPr>
        <w:t xml:space="preserve">The structure of exports of services by Georgia to the world is dominated by </w:t>
      </w:r>
      <w:r>
        <w:rPr>
          <w:noProof/>
        </w:rPr>
        <w:t>travel and transport services, in imports the most important sectors are transport, travel, insurance and pension services as well other business services.</w:t>
      </w:r>
    </w:p>
    <w:p>
      <w:pPr>
        <w:pStyle w:val="Heading3"/>
        <w:ind w:left="0" w:firstLine="0"/>
        <w:rPr>
          <w:noProof/>
        </w:rPr>
      </w:pPr>
      <w:bookmarkStart w:id="1070" w:name="_Toc8833534"/>
      <w:bookmarkStart w:id="1071" w:name="_Toc8835361"/>
      <w:bookmarkStart w:id="1072" w:name="_Toc8833991"/>
      <w:bookmarkStart w:id="1073" w:name="_Toc8909454"/>
      <w:bookmarkStart w:id="1074" w:name="_Toc8910666"/>
      <w:bookmarkStart w:id="1075" w:name="_Toc8911703"/>
      <w:bookmarkStart w:id="1076" w:name="_Toc8974524"/>
      <w:bookmarkStart w:id="1077" w:name="_Toc9008177"/>
      <w:bookmarkStart w:id="1078" w:name="_Toc9008580"/>
      <w:bookmarkStart w:id="1079" w:name="_Toc9348575"/>
      <w:bookmarkStart w:id="1080" w:name="_Toc9608026"/>
      <w:bookmarkStart w:id="1081" w:name="_Toc16000601"/>
      <w:r>
        <w:rPr>
          <w:noProof/>
        </w:rPr>
        <w:t>Foreign Direct investment</w:t>
      </w:r>
      <w:bookmarkEnd w:id="1070"/>
      <w:bookmarkEnd w:id="1071"/>
      <w:bookmarkEnd w:id="1072"/>
      <w:bookmarkEnd w:id="1073"/>
      <w:bookmarkEnd w:id="1074"/>
      <w:bookmarkEnd w:id="1075"/>
      <w:bookmarkEnd w:id="1076"/>
      <w:bookmarkEnd w:id="1077"/>
      <w:bookmarkEnd w:id="1078"/>
      <w:bookmarkEnd w:id="1079"/>
      <w:bookmarkEnd w:id="1080"/>
      <w:bookmarkEnd w:id="1081"/>
    </w:p>
    <w:p>
      <w:pPr>
        <w:spacing w:after="200" w:line="276" w:lineRule="auto"/>
        <w:jc w:val="both"/>
        <w:rPr>
          <w:rFonts w:eastAsia="Times New Roman"/>
          <w:noProof/>
        </w:rPr>
      </w:pPr>
      <w:r>
        <w:rPr>
          <w:rFonts w:eastAsia="Times New Roman"/>
          <w:b/>
          <w:noProof/>
        </w:rPr>
        <w:t>In 2017 Foreign Direct investment (FDIs)</w:t>
      </w:r>
      <w:r>
        <w:rPr>
          <w:rFonts w:eastAsia="Times New Roman"/>
          <w:noProof/>
        </w:rPr>
        <w:t xml:space="preserve"> </w:t>
      </w:r>
      <w:r>
        <w:rPr>
          <w:rFonts w:eastAsia="Times New Roman"/>
          <w:b/>
          <w:noProof/>
        </w:rPr>
        <w:t>stocks</w:t>
      </w:r>
      <w:r>
        <w:rPr>
          <w:rFonts w:eastAsia="Times New Roman"/>
          <w:noProof/>
        </w:rPr>
        <w:t xml:space="preserve"> in Georgia originating from the EU accounted for €1.6 billion</w:t>
      </w:r>
      <w:r>
        <w:rPr>
          <w:rFonts w:eastAsia="Times New Roman"/>
          <w:b/>
          <w:noProof/>
        </w:rPr>
        <w:t xml:space="preserve"> </w:t>
      </w:r>
      <w:r>
        <w:rPr>
          <w:rFonts w:eastAsia="Times New Roman"/>
          <w:noProof/>
        </w:rPr>
        <w:t>(no change compared to 2016). The top three EU Member States investing in Georgia include the United Kingdom, the Netherlands and the Czech Republic. Inward FDIs flows in that year amounted to €150 million, which is a considerable increase from the €37 million registered in 2016.</w:t>
      </w:r>
    </w:p>
    <w:p>
      <w:pPr>
        <w:spacing w:line="276" w:lineRule="auto"/>
        <w:jc w:val="both"/>
        <w:rPr>
          <w:rFonts w:eastAsia="Times New Roman"/>
          <w:noProof/>
        </w:rPr>
      </w:pPr>
      <w:r>
        <w:rPr>
          <w:rFonts w:eastAsia="Times New Roman"/>
          <w:noProof/>
        </w:rPr>
        <w:t>According to the data provided both by the EU and Georgia, the main sectors chosen by EU investors are: telecommunications, transport, infrastructure and manufacturing.</w:t>
      </w:r>
    </w:p>
    <w:p>
      <w:pPr>
        <w:spacing w:line="276" w:lineRule="auto"/>
        <w:jc w:val="both"/>
        <w:rPr>
          <w:rFonts w:eastAsia="Times New Roman"/>
          <w:noProof/>
        </w:rPr>
      </w:pPr>
    </w:p>
    <w:p>
      <w:pPr>
        <w:spacing w:line="276" w:lineRule="auto"/>
        <w:jc w:val="both"/>
        <w:rPr>
          <w:rFonts w:eastAsia="Times New Roman"/>
          <w:noProof/>
        </w:rPr>
      </w:pPr>
      <w:r>
        <w:rPr>
          <w:rFonts w:eastAsia="Times New Roman"/>
          <w:noProof/>
        </w:rPr>
        <w:t>The above statistics show that positive impact of the DCFTA on attracting more investments from the EU is still ahead for Georgia. Georgia performs very well in international rankings in terms of business climate. According to the 2019 World Bank Doing Business Index Georgia is on 6th position amongst 190 countries. In the 2018 Transparency International – Corruption Perception Index Georgia appeared on 41st position among 180 countries.</w:t>
      </w:r>
    </w:p>
    <w:p>
      <w:pPr>
        <w:pStyle w:val="ManualHeading1"/>
      </w:pPr>
      <w:bookmarkStart w:id="1082" w:name="_Toc8833535"/>
      <w:bookmarkStart w:id="1083" w:name="_Toc8835362"/>
      <w:bookmarkStart w:id="1084" w:name="_Toc8833992"/>
      <w:bookmarkStart w:id="1085" w:name="_Toc8909455"/>
      <w:bookmarkStart w:id="1086" w:name="_Toc8910667"/>
      <w:bookmarkStart w:id="1087" w:name="_Toc8911704"/>
      <w:bookmarkStart w:id="1088" w:name="_Toc8974525"/>
      <w:bookmarkStart w:id="1089" w:name="_Toc9008178"/>
      <w:bookmarkStart w:id="1090" w:name="_Toc9008581"/>
      <w:bookmarkStart w:id="1091" w:name="_Toc9348576"/>
      <w:bookmarkStart w:id="1092" w:name="_Toc9608027"/>
      <w:bookmarkStart w:id="1093" w:name="_Toc16000602"/>
      <w:r>
        <w:t>2.</w:t>
      </w:r>
      <w:r>
        <w:tab/>
        <w:t>Activities of the implementation bodies</w:t>
      </w:r>
      <w:bookmarkEnd w:id="1082"/>
      <w:bookmarkEnd w:id="1083"/>
      <w:bookmarkEnd w:id="1084"/>
      <w:bookmarkEnd w:id="1085"/>
      <w:bookmarkEnd w:id="1086"/>
      <w:bookmarkEnd w:id="1087"/>
      <w:bookmarkEnd w:id="1088"/>
      <w:bookmarkEnd w:id="1089"/>
      <w:bookmarkEnd w:id="1090"/>
      <w:bookmarkEnd w:id="1091"/>
      <w:bookmarkEnd w:id="1092"/>
      <w:bookmarkEnd w:id="1093"/>
      <w:r>
        <w:t xml:space="preserve"> </w:t>
      </w:r>
    </w:p>
    <w:p>
      <w:pPr>
        <w:pStyle w:val="Heading2"/>
        <w:ind w:left="0" w:firstLine="0"/>
      </w:pPr>
      <w:bookmarkStart w:id="1094" w:name="_Toc8833536"/>
      <w:bookmarkStart w:id="1095" w:name="_Toc8835363"/>
      <w:bookmarkStart w:id="1096" w:name="_Toc8833993"/>
      <w:bookmarkStart w:id="1097" w:name="_Toc8909456"/>
      <w:bookmarkStart w:id="1098" w:name="_Toc8910668"/>
      <w:bookmarkStart w:id="1099" w:name="_Toc8911705"/>
      <w:bookmarkStart w:id="1100" w:name="_Toc8974526"/>
      <w:bookmarkStart w:id="1101" w:name="_Toc9008179"/>
      <w:bookmarkStart w:id="1102" w:name="_Toc9008582"/>
      <w:bookmarkStart w:id="1103" w:name="_Toc9348577"/>
      <w:bookmarkStart w:id="1104" w:name="_Toc9608028"/>
      <w:bookmarkStart w:id="1105" w:name="_Toc16000603"/>
      <w:r>
        <w:t>2.1 Joint decisions of the Association Bodies</w:t>
      </w:r>
      <w:bookmarkEnd w:id="1094"/>
      <w:bookmarkEnd w:id="1095"/>
      <w:bookmarkEnd w:id="1096"/>
      <w:bookmarkEnd w:id="1097"/>
      <w:bookmarkEnd w:id="1098"/>
      <w:bookmarkEnd w:id="1099"/>
      <w:bookmarkEnd w:id="1100"/>
      <w:bookmarkEnd w:id="1101"/>
      <w:bookmarkEnd w:id="1102"/>
      <w:bookmarkEnd w:id="1103"/>
      <w:bookmarkEnd w:id="1104"/>
      <w:bookmarkEnd w:id="1105"/>
    </w:p>
    <w:p>
      <w:pPr>
        <w:spacing w:after="120" w:line="276" w:lineRule="auto"/>
        <w:jc w:val="both"/>
        <w:rPr>
          <w:rFonts w:eastAsia="Times New Roman"/>
          <w:noProof/>
          <w:lang w:eastAsia="fr-BE"/>
        </w:rPr>
      </w:pPr>
      <w:r>
        <w:rPr>
          <w:rFonts w:eastAsia="Times New Roman"/>
          <w:noProof/>
          <w:lang w:eastAsia="fr-BE"/>
        </w:rPr>
        <w:t xml:space="preserve">In 2018, the following </w:t>
      </w:r>
      <w:r>
        <w:rPr>
          <w:rFonts w:eastAsia="Times New Roman"/>
          <w:b/>
          <w:noProof/>
          <w:lang w:eastAsia="fr-BE"/>
        </w:rPr>
        <w:t>amendments/updates</w:t>
      </w:r>
      <w:r>
        <w:rPr>
          <w:rFonts w:eastAsia="Times New Roman"/>
          <w:noProof/>
          <w:lang w:eastAsia="fr-BE"/>
        </w:rPr>
        <w:t xml:space="preserve"> were made to the Association Agreement: </w:t>
      </w:r>
    </w:p>
    <w:p>
      <w:pPr>
        <w:numPr>
          <w:ilvl w:val="0"/>
          <w:numId w:val="31"/>
        </w:numPr>
        <w:spacing w:after="120" w:line="276" w:lineRule="auto"/>
        <w:contextualSpacing/>
        <w:jc w:val="both"/>
        <w:rPr>
          <w:rFonts w:eastAsia="Times New Roman"/>
          <w:noProof/>
          <w:lang w:eastAsia="fr-BE"/>
        </w:rPr>
      </w:pPr>
      <w:r>
        <w:rPr>
          <w:b/>
          <w:bCs/>
          <w:noProof/>
          <w:lang w:eastAsia="fr-BE"/>
        </w:rPr>
        <w:t xml:space="preserve">Agriculture: </w:t>
      </w:r>
      <w:r>
        <w:rPr>
          <w:noProof/>
          <w:lang w:eastAsia="fr-BE"/>
        </w:rPr>
        <w:t>List of EU agricultural products and foodstuffs other than wine and spirits to be protected in Georgia (Annex XVII-C) and the List of spirit drinks of the EU to be protected in Georgia (part B of Annex XVII-D);</w:t>
      </w:r>
      <w:r>
        <w:rPr>
          <w:noProof/>
          <w:sz w:val="20"/>
          <w:szCs w:val="20"/>
          <w:vertAlign w:val="superscript"/>
          <w:lang w:eastAsia="fr-BE"/>
        </w:rPr>
        <w:footnoteReference w:id="36"/>
      </w:r>
    </w:p>
    <w:p>
      <w:pPr>
        <w:numPr>
          <w:ilvl w:val="0"/>
          <w:numId w:val="31"/>
        </w:numPr>
        <w:spacing w:after="120" w:line="276" w:lineRule="auto"/>
        <w:contextualSpacing/>
        <w:jc w:val="both"/>
        <w:rPr>
          <w:noProof/>
          <w:color w:val="000000"/>
        </w:rPr>
      </w:pPr>
      <w:r>
        <w:rPr>
          <w:b/>
          <w:noProof/>
          <w:color w:val="000000"/>
        </w:rPr>
        <w:t>Standardisation</w:t>
      </w:r>
      <w:r>
        <w:rPr>
          <w:noProof/>
          <w:color w:val="000000"/>
        </w:rPr>
        <w:t>: Annex III (rules applicable to standardisation, accreditation, conformity assessment, technical regulation and metrology); pending signature of the Joint Decision</w:t>
      </w:r>
    </w:p>
    <w:p>
      <w:pPr>
        <w:numPr>
          <w:ilvl w:val="0"/>
          <w:numId w:val="31"/>
        </w:numPr>
        <w:spacing w:after="120" w:line="276" w:lineRule="auto"/>
        <w:contextualSpacing/>
        <w:jc w:val="both"/>
        <w:rPr>
          <w:noProof/>
          <w:color w:val="000000"/>
        </w:rPr>
      </w:pPr>
      <w:r>
        <w:rPr>
          <w:b/>
          <w:noProof/>
          <w:color w:val="000000"/>
        </w:rPr>
        <w:t>Public Procurement</w:t>
      </w:r>
      <w:r>
        <w:rPr>
          <w:noProof/>
          <w:color w:val="000000"/>
        </w:rPr>
        <w:t xml:space="preserve">: Annex XVI (public procurement); pending signature of the Joint Decision </w:t>
      </w:r>
    </w:p>
    <w:p>
      <w:pPr>
        <w:rPr>
          <w:noProof/>
          <w:lang w:eastAsia="en-GB"/>
        </w:rPr>
      </w:pPr>
    </w:p>
    <w:p>
      <w:pPr>
        <w:pStyle w:val="Heading2"/>
        <w:ind w:left="0" w:firstLine="0"/>
      </w:pPr>
      <w:bookmarkStart w:id="1106" w:name="_Toc8833537"/>
      <w:bookmarkStart w:id="1107" w:name="_Toc8835364"/>
      <w:bookmarkStart w:id="1108" w:name="_Toc8833994"/>
      <w:bookmarkStart w:id="1109" w:name="_Toc8909457"/>
      <w:bookmarkStart w:id="1110" w:name="_Toc8910669"/>
      <w:bookmarkStart w:id="1111" w:name="_Toc8911706"/>
      <w:bookmarkStart w:id="1112" w:name="_Toc8974527"/>
      <w:bookmarkStart w:id="1113" w:name="_Toc9008180"/>
      <w:bookmarkStart w:id="1114" w:name="_Toc9008583"/>
      <w:bookmarkStart w:id="1115" w:name="_Toc9348578"/>
      <w:bookmarkStart w:id="1116" w:name="_Toc9608029"/>
      <w:bookmarkStart w:id="1117" w:name="_Toc16000604"/>
      <w:r>
        <w:t>2.2 Meetings of the Association Bodies</w:t>
      </w:r>
      <w:bookmarkEnd w:id="1106"/>
      <w:bookmarkEnd w:id="1107"/>
      <w:bookmarkEnd w:id="1108"/>
      <w:bookmarkEnd w:id="1109"/>
      <w:bookmarkEnd w:id="1110"/>
      <w:bookmarkEnd w:id="1111"/>
      <w:bookmarkEnd w:id="1112"/>
      <w:bookmarkEnd w:id="1113"/>
      <w:bookmarkEnd w:id="1114"/>
      <w:bookmarkEnd w:id="1115"/>
      <w:bookmarkEnd w:id="1116"/>
      <w:bookmarkEnd w:id="1117"/>
    </w:p>
    <w:p>
      <w:pPr>
        <w:spacing w:line="276" w:lineRule="auto"/>
        <w:jc w:val="both"/>
        <w:rPr>
          <w:noProof/>
        </w:rPr>
      </w:pPr>
      <w:r>
        <w:rPr>
          <w:noProof/>
        </w:rPr>
        <w:t>The 5</w:t>
      </w:r>
      <w:r>
        <w:rPr>
          <w:noProof/>
          <w:vertAlign w:val="superscript"/>
        </w:rPr>
        <w:t>th</w:t>
      </w:r>
      <w:r>
        <w:rPr>
          <w:noProof/>
        </w:rPr>
        <w:t xml:space="preserve"> meeting of the EU-Georgia </w:t>
      </w:r>
      <w:r>
        <w:rPr>
          <w:b/>
          <w:noProof/>
        </w:rPr>
        <w:t>Association Committee in Trade configuration</w:t>
      </w:r>
      <w:r>
        <w:rPr>
          <w:noProof/>
        </w:rPr>
        <w:t xml:space="preserve"> was held on 17-18 December 2018 in Brussels. The meeting provided an opportunity to review all issues related to the comprehensive, timely and inclusive implementation of the EU-Georgia DCFTA. The Parties reviewed progress made in all DCFTA Chapters, including trade in goods, SPS measures, intellectual property rights, customs and trade facilitation, technical barriers to trade, public procurement, establishment, trade in services and electronic commerce, trade-related energy, competition, trade and sustainable development. The Committee assessed the development of bilateral trade after four years of implementation of the DCFTA. The Georgian side requested EU assistance in drafting a roadmap on identifying products and services with export potential to the EU market. </w:t>
      </w:r>
    </w:p>
    <w:p>
      <w:pPr>
        <w:spacing w:line="276" w:lineRule="auto"/>
        <w:jc w:val="both"/>
        <w:rPr>
          <w:noProof/>
        </w:rPr>
      </w:pPr>
    </w:p>
    <w:p>
      <w:pPr>
        <w:spacing w:line="276" w:lineRule="auto"/>
        <w:jc w:val="both"/>
        <w:rPr>
          <w:noProof/>
        </w:rPr>
      </w:pPr>
      <w:r>
        <w:rPr>
          <w:noProof/>
        </w:rPr>
        <w:t xml:space="preserve">Both Partners raised their respective concerns related to the implementation of the commitments on approximation with the EU law in particular in the area of SPS measures, technical barriers to trade, public procurement, intellectual property rights, Trade and Sustainable Development and instructed the specialised Sub-Committees to continue to seek solutions. Both sides underlined the importance of EU financial and technical assistance in the implementation of the DCFTA, notably projects aimed at supporting both the Georgian administration and the small and medium-sized enterprises (SMEs) to align with the </w:t>
      </w:r>
      <w:r>
        <w:rPr>
          <w:i/>
          <w:noProof/>
        </w:rPr>
        <w:t>acquis</w:t>
      </w:r>
      <w:r>
        <w:rPr>
          <w:noProof/>
        </w:rPr>
        <w:t xml:space="preserve"> and reap the benefits from the Agreement.</w:t>
      </w:r>
    </w:p>
    <w:p>
      <w:pPr>
        <w:spacing w:line="276" w:lineRule="auto"/>
        <w:jc w:val="both"/>
        <w:rPr>
          <w:noProof/>
        </w:rPr>
      </w:pPr>
    </w:p>
    <w:p>
      <w:pPr>
        <w:spacing w:line="276" w:lineRule="auto"/>
        <w:jc w:val="both"/>
        <w:rPr>
          <w:noProof/>
        </w:rPr>
      </w:pPr>
      <w:r>
        <w:rPr>
          <w:noProof/>
        </w:rPr>
        <w:t xml:space="preserve">The </w:t>
      </w:r>
      <w:r>
        <w:rPr>
          <w:b/>
          <w:bCs/>
          <w:noProof/>
        </w:rPr>
        <w:t>4th Customs Sub-Committee</w:t>
      </w:r>
      <w:r>
        <w:rPr>
          <w:noProof/>
        </w:rPr>
        <w:t xml:space="preserve"> met in Brussels on 20 March 2018. The discussion focused on the following matters: developments in customs legislation and procedures, including the approximation process (Annex XIII of the Agreement), customs enforcement of intellectual property rights, Georgia's accession to the Convention on a Common Transit Procedure – preparatory phase to the Twinning Project, Mutual Administrative Assistance in Customs Matters, and World Customs Organisation matters, as well as rules of origin, linkage to the pan-Euro-Mediterranean Convention (PEM) on rules of origin. The Joint Decision on the linkage of the rules of origin in bilateral trade to the Protocol of PEM Convention was adopted during the meeting. This allowed for diagonal cumulation to come into force between the EU, Georgia and the Republic of Turkey as of June 2018. The parties confirmed the harmonisation of Georgian legislation with the EU Regulation 608/2013.</w:t>
      </w:r>
    </w:p>
    <w:p>
      <w:pPr>
        <w:spacing w:line="276" w:lineRule="auto"/>
        <w:jc w:val="both"/>
        <w:rPr>
          <w:noProof/>
        </w:rPr>
      </w:pPr>
    </w:p>
    <w:p>
      <w:pPr>
        <w:spacing w:line="276" w:lineRule="auto"/>
        <w:jc w:val="both"/>
        <w:rPr>
          <w:rFonts w:eastAsia="Times New Roman"/>
          <w:noProof/>
          <w:lang w:eastAsia="fr-BE"/>
        </w:rPr>
      </w:pPr>
      <w:r>
        <w:rPr>
          <w:rFonts w:eastAsia="Times New Roman"/>
          <w:b/>
          <w:noProof/>
          <w:lang w:eastAsia="fr-BE"/>
        </w:rPr>
        <w:t>The 4th Sub-Committee on SPS measures</w:t>
      </w:r>
      <w:r>
        <w:rPr>
          <w:rFonts w:eastAsia="Times New Roman"/>
          <w:noProof/>
          <w:lang w:eastAsia="fr-BE"/>
        </w:rPr>
        <w:t xml:space="preserve"> (SPS Sub-Committee), met on 17 October 2018 in Tbilisi, Georgia. During the meeting, the Georgian authorities presented progress in the implementation of the operational conclusions from the previous Sub-Committee meeting of October 2017 and updates as regards the implementation of the DCFTA SPS Chapter and institutional reforms. The EU underlined the importance for Georgian authorities to meet the deadlines foreseen in Annex XI-B of the Association Agreement and to allocate human resources in order to meet this priority. Parties discussed the need to make some slight changes to the before mentioned Annex given amendments to the legal acts at the EU side. Georgia gave detailed insights on the approximation process and the progress made.</w:t>
      </w:r>
    </w:p>
    <w:p>
      <w:pPr>
        <w:spacing w:line="276" w:lineRule="auto"/>
        <w:jc w:val="both"/>
        <w:rPr>
          <w:rFonts w:eastAsia="Times New Roman"/>
          <w:noProof/>
          <w:lang w:eastAsia="fr-BE"/>
        </w:rPr>
      </w:pPr>
    </w:p>
    <w:p>
      <w:pPr>
        <w:spacing w:line="276" w:lineRule="auto"/>
        <w:jc w:val="both"/>
        <w:rPr>
          <w:rFonts w:eastAsia="Times New Roman"/>
          <w:noProof/>
          <w:lang w:eastAsia="fr-BE"/>
        </w:rPr>
      </w:pPr>
      <w:r>
        <w:rPr>
          <w:rFonts w:eastAsia="Times New Roman"/>
          <w:noProof/>
          <w:lang w:eastAsia="fr-BE"/>
        </w:rPr>
        <w:t xml:space="preserve">The EU stressed the importance of providing regularly Tables of Correspondence that indicate the transciption of EU rules and standards into Georgian legalisation at article level. Georgia hailed the assistance that has been provided by the EU over the last years under the </w:t>
      </w:r>
      <w:r>
        <w:rPr>
          <w:rFonts w:eastAsia="Times New Roman"/>
          <w:i/>
          <w:iCs/>
          <w:noProof/>
          <w:lang w:eastAsia="fr-BE"/>
        </w:rPr>
        <w:t>Comprehensive Institutional Building Program</w:t>
      </w:r>
      <w:r>
        <w:rPr>
          <w:rFonts w:eastAsia="Times New Roman"/>
          <w:noProof/>
          <w:lang w:eastAsia="fr-BE"/>
        </w:rPr>
        <w:t xml:space="preserve"> (CIB) and asked this to be continued. Parties also had exchanges of thoughts about animal products from Georgia that would have potential for future exports to the EU. Sectors that were mentioned were dairy, poultry and more exotic food products such as snails. However parties recognised that possible authorisations would require significant preparations and hence serious commitments form the Georgian government and the private industries. Finally the EU gave a presentation on the concept of protected zones and plant passport and parties discussed the possible relevance for Georgia.  </w:t>
      </w:r>
    </w:p>
    <w:p>
      <w:pPr>
        <w:spacing w:line="276" w:lineRule="auto"/>
        <w:jc w:val="both"/>
        <w:rPr>
          <w:rFonts w:eastAsia="Times New Roman"/>
          <w:noProof/>
          <w:lang w:eastAsia="fr-BE"/>
        </w:rPr>
      </w:pPr>
    </w:p>
    <w:p>
      <w:pPr>
        <w:spacing w:line="276" w:lineRule="auto"/>
        <w:jc w:val="both"/>
        <w:rPr>
          <w:rFonts w:eastAsia="Times New Roman"/>
          <w:noProof/>
          <w:lang w:eastAsia="fr-BE"/>
        </w:rPr>
      </w:pPr>
      <w:r>
        <w:rPr>
          <w:rFonts w:eastAsia="Times New Roman"/>
          <w:noProof/>
          <w:lang w:eastAsia="fr-BE"/>
        </w:rPr>
        <w:t>The 3</w:t>
      </w:r>
      <w:r>
        <w:rPr>
          <w:rFonts w:eastAsia="Times New Roman"/>
          <w:noProof/>
          <w:vertAlign w:val="superscript"/>
          <w:lang w:eastAsia="fr-BE"/>
        </w:rPr>
        <w:t>rd</w:t>
      </w:r>
      <w:r>
        <w:rPr>
          <w:rFonts w:eastAsia="Times New Roman"/>
          <w:noProof/>
          <w:lang w:eastAsia="fr-BE"/>
        </w:rPr>
        <w:t xml:space="preserve"> </w:t>
      </w:r>
      <w:r>
        <w:rPr>
          <w:rFonts w:eastAsia="Times New Roman"/>
          <w:b/>
          <w:noProof/>
          <w:lang w:eastAsia="fr-BE"/>
        </w:rPr>
        <w:t>Geographical Indications Sub-Committee</w:t>
      </w:r>
      <w:r>
        <w:rPr>
          <w:rFonts w:eastAsia="Times New Roman"/>
          <w:noProof/>
          <w:lang w:eastAsia="fr-BE"/>
        </w:rPr>
        <w:t xml:space="preserve"> meeting took place in Tbilisi on 14 March 2018. The Sub-Committee discussed updates of the lists of EU for agricultural products and foodstuffs, wines, spirit drinks and aromatized wines. During the meeting the Parties adopted a Decision amending Annex XVII-C (list of EU agricultural products and foodstuffs other than wine and spirits to be protected in Georgia) and part B of Annex XVII-D (list of spirit drinks of the EU to be protected in Georgia) of the DCFTA. The provisions on exchange of information on all the updates on EU as well as Georgian Geographical Indications (new ones, removals from the list, modifications) were also discussed in view of the need for each Party to have the possibility to run objection procedures for the new names and for any other procedures necessary for the next update of Geographical Indications Annexes to the DCFTA.</w:t>
      </w:r>
    </w:p>
    <w:p>
      <w:pPr>
        <w:pStyle w:val="ManualHeading1"/>
      </w:pPr>
      <w:bookmarkStart w:id="1118" w:name="_Toc8833538"/>
      <w:bookmarkStart w:id="1119" w:name="_Toc8835365"/>
      <w:bookmarkStart w:id="1120" w:name="_Toc8833995"/>
      <w:bookmarkStart w:id="1121" w:name="_Toc8909458"/>
      <w:bookmarkStart w:id="1122" w:name="_Toc8910670"/>
      <w:bookmarkStart w:id="1123" w:name="_Toc8911707"/>
      <w:bookmarkStart w:id="1124" w:name="_Toc8974528"/>
      <w:bookmarkStart w:id="1125" w:name="_Toc9008181"/>
      <w:bookmarkStart w:id="1126" w:name="_Toc9008584"/>
      <w:bookmarkStart w:id="1127" w:name="_Toc9348579"/>
      <w:bookmarkStart w:id="1128" w:name="_Toc9608030"/>
      <w:bookmarkStart w:id="1129" w:name="_Toc16000605"/>
      <w:r>
        <w:t>3.</w:t>
      </w:r>
      <w:r>
        <w:tab/>
        <w:t>Implementation of the provisions on trade and sustainable development</w:t>
      </w:r>
      <w:bookmarkEnd w:id="1118"/>
      <w:bookmarkEnd w:id="1119"/>
      <w:bookmarkEnd w:id="1120"/>
      <w:bookmarkEnd w:id="1121"/>
      <w:bookmarkEnd w:id="1122"/>
      <w:bookmarkEnd w:id="1123"/>
      <w:bookmarkEnd w:id="1124"/>
      <w:bookmarkEnd w:id="1125"/>
      <w:bookmarkEnd w:id="1126"/>
      <w:bookmarkEnd w:id="1127"/>
      <w:bookmarkEnd w:id="1128"/>
      <w:bookmarkEnd w:id="1129"/>
    </w:p>
    <w:p>
      <w:pPr>
        <w:spacing w:line="276" w:lineRule="auto"/>
        <w:jc w:val="both"/>
        <w:rPr>
          <w:noProof/>
        </w:rPr>
      </w:pPr>
      <w:r>
        <w:rPr>
          <w:noProof/>
          <w:lang w:val="en-IE" w:eastAsia="fr-BE"/>
        </w:rPr>
        <w:t xml:space="preserve">The </w:t>
      </w:r>
      <w:hyperlink r:id="rId36" w:history="1">
        <w:r>
          <w:rPr>
            <w:rStyle w:val="Hyperlink"/>
            <w:b/>
            <w:bCs/>
            <w:noProof/>
            <w:lang w:val="en-IE" w:eastAsia="fr-BE"/>
          </w:rPr>
          <w:t>3rd TSD Sub-Committee</w:t>
        </w:r>
      </w:hyperlink>
      <w:r>
        <w:rPr>
          <w:noProof/>
          <w:lang w:val="en-IE" w:eastAsia="fr-BE"/>
        </w:rPr>
        <w:t xml:space="preserve"> took place on 26 March 2019. During the meeting, the EU and Georgia reaffirmed their commitment to implement the </w:t>
      </w:r>
      <w:hyperlink r:id="rId37" w:history="1">
        <w:r>
          <w:rPr>
            <w:rStyle w:val="Hyperlink"/>
            <w:noProof/>
            <w:lang w:val="en-IE" w:eastAsia="fr-BE"/>
          </w:rPr>
          <w:t>TSD Work Plan 2018-20</w:t>
        </w:r>
      </w:hyperlink>
      <w:r>
        <w:rPr>
          <w:noProof/>
          <w:lang w:val="en-IE" w:eastAsia="fr-BE"/>
        </w:rPr>
        <w:t xml:space="preserve"> agreed in June 2018, and reviewed the state of play of the areas covered. Accordingly, the Sub-Committee reviewed the implementation of the labour provisions of the TSD Chapter, including the ratification and effective implementation of the ILO conventions and Decent Work Agenda. The EU welcomed the adoption of the revised Georgian Occupational Safety and Health (OSH) law and on-going strengthening of the Labour Inspection Department’s capacity as further steps towards aligning supervision and control in this area with international and EU standards. The EU also took note of the plans to further developing the Department to ensure supervision and control of labour legislation. The state of play relating to the implementation of the environmental provisions of the TSD Chapter, including the implementation of multilateral environmental agreements (MEAs) and their joint efforts and cooperation to support multilateral environmental governance. Regarding climate change, the Parties recalled that, collectively, Nationally Determined Contributions (NDC) submitted by the Parties under the Paris Agreement and current emission trajectories fall far short of what is required to achieve the long-term goals of the Paris Agreement and discussed their respective strategies on greenhouse gas emission. In addition, the EU emphasised the need for close cooperation with civil society and highlighted the project it has put in place to support the functioning of civil society consultation mechanisms established under TSD chapters of its trade agreements. First workshop to build the capacity of the Domestic Advisory Groups was also organised in the margins of the TSD subcommittee.  An open </w:t>
      </w:r>
      <w:r>
        <w:rPr>
          <w:noProof/>
        </w:rPr>
        <w:t xml:space="preserve">Civil Society Forum was also organised during which the EU and Georgia presented the TSD </w:t>
      </w:r>
      <w:r>
        <w:rPr>
          <w:noProof/>
          <w:lang w:val="en-IE" w:eastAsia="fr-BE"/>
        </w:rPr>
        <w:t>Sub-Committee’s</w:t>
      </w:r>
      <w:r>
        <w:rPr>
          <w:noProof/>
        </w:rPr>
        <w:t xml:space="preserve"> </w:t>
      </w:r>
      <w:hyperlink r:id="rId38" w:history="1">
        <w:r>
          <w:rPr>
            <w:rStyle w:val="Hyperlink"/>
            <w:noProof/>
          </w:rPr>
          <w:t>Joint Statement</w:t>
        </w:r>
      </w:hyperlink>
      <w:r>
        <w:rPr>
          <w:noProof/>
        </w:rPr>
        <w:t xml:space="preserve"> and replied to the questions posed by the EU and Georgian Domestic Advisory Groups. </w:t>
      </w:r>
    </w:p>
    <w:p>
      <w:pPr>
        <w:pStyle w:val="ManualHeading1"/>
      </w:pPr>
      <w:bookmarkStart w:id="1130" w:name="_Toc8833539"/>
      <w:bookmarkStart w:id="1131" w:name="_Toc8835366"/>
      <w:bookmarkStart w:id="1132" w:name="_Toc8833996"/>
      <w:bookmarkStart w:id="1133" w:name="_Toc8909459"/>
      <w:bookmarkStart w:id="1134" w:name="_Toc8910671"/>
      <w:bookmarkStart w:id="1135" w:name="_Toc8911708"/>
      <w:bookmarkStart w:id="1136" w:name="_Toc8974529"/>
      <w:bookmarkStart w:id="1137" w:name="_Toc9008182"/>
      <w:bookmarkStart w:id="1138" w:name="_Toc9008585"/>
      <w:bookmarkStart w:id="1139" w:name="_Toc9348580"/>
      <w:bookmarkStart w:id="1140" w:name="_Toc9608031"/>
      <w:bookmarkStart w:id="1141" w:name="_Toc16000606"/>
      <w:r>
        <w:t>4.</w:t>
      </w:r>
      <w:r>
        <w:tab/>
        <w:t>Specific areas subject to reporting or monitoring</w:t>
      </w:r>
      <w:bookmarkEnd w:id="1130"/>
      <w:bookmarkEnd w:id="1131"/>
      <w:bookmarkEnd w:id="1132"/>
      <w:bookmarkEnd w:id="1133"/>
      <w:bookmarkEnd w:id="1134"/>
      <w:bookmarkEnd w:id="1135"/>
      <w:bookmarkEnd w:id="1136"/>
      <w:bookmarkEnd w:id="1137"/>
      <w:bookmarkEnd w:id="1138"/>
      <w:bookmarkEnd w:id="1139"/>
      <w:bookmarkEnd w:id="1140"/>
      <w:bookmarkEnd w:id="1141"/>
    </w:p>
    <w:p>
      <w:pPr>
        <w:keepNext/>
        <w:spacing w:before="360" w:line="276" w:lineRule="auto"/>
        <w:jc w:val="both"/>
        <w:outlineLvl w:val="3"/>
        <w:rPr>
          <w:rFonts w:eastAsia="Calibri"/>
          <w:b/>
          <w:i/>
          <w:noProof/>
        </w:rPr>
      </w:pPr>
      <w:r>
        <w:rPr>
          <w:rFonts w:eastAsia="Calibri"/>
          <w:b/>
          <w:i/>
          <w:noProof/>
        </w:rPr>
        <w:t xml:space="preserve">Anti-circumvention mechanism </w:t>
      </w:r>
    </w:p>
    <w:p>
      <w:pPr>
        <w:spacing w:line="276" w:lineRule="auto"/>
        <w:jc w:val="both"/>
        <w:rPr>
          <w:noProof/>
        </w:rPr>
      </w:pPr>
    </w:p>
    <w:p>
      <w:pPr>
        <w:spacing w:line="276" w:lineRule="auto"/>
        <w:jc w:val="both"/>
        <w:rPr>
          <w:rFonts w:eastAsia="Times New Roman"/>
          <w:noProof/>
          <w:lang w:eastAsia="fr-BE"/>
        </w:rPr>
      </w:pPr>
      <w:r>
        <w:rPr>
          <w:noProof/>
        </w:rPr>
        <w:t>For none of the products under the anti-circumvention mechanism the respective trigger levels were exceeded in 2018, due to the low trade levels for those products. It is w</w:t>
      </w:r>
      <w:r>
        <w:rPr>
          <w:rFonts w:eastAsia="Times New Roman"/>
          <w:noProof/>
          <w:lang w:eastAsia="fr-BE"/>
        </w:rPr>
        <w:t>orth noting that in the analysed period there were no or very little import of products to be potentially affected by anti-circumvention mechanism.</w:t>
      </w:r>
    </w:p>
    <w:p>
      <w:pPr>
        <w:pStyle w:val="ManualHeading1"/>
      </w:pPr>
      <w:bookmarkStart w:id="1142" w:name="_Toc8833540"/>
      <w:bookmarkStart w:id="1143" w:name="_Toc8835367"/>
      <w:bookmarkStart w:id="1144" w:name="_Toc8833997"/>
      <w:bookmarkStart w:id="1145" w:name="_Toc8909460"/>
      <w:bookmarkStart w:id="1146" w:name="_Toc8910672"/>
      <w:bookmarkStart w:id="1147" w:name="_Toc8911709"/>
      <w:bookmarkStart w:id="1148" w:name="_Toc8974530"/>
      <w:bookmarkStart w:id="1149" w:name="_Toc9008183"/>
      <w:bookmarkStart w:id="1150" w:name="_Toc9008586"/>
      <w:bookmarkStart w:id="1151" w:name="_Toc9348581"/>
      <w:bookmarkStart w:id="1152" w:name="_Toc9608032"/>
      <w:bookmarkStart w:id="1153" w:name="_Toc16000607"/>
      <w:r>
        <w:t>5.</w:t>
      </w:r>
      <w:r>
        <w:tab/>
        <w:t>Progress made, main open issues and follow-up actions</w:t>
      </w:r>
      <w:bookmarkEnd w:id="1142"/>
      <w:bookmarkEnd w:id="1143"/>
      <w:bookmarkEnd w:id="1144"/>
      <w:bookmarkEnd w:id="1145"/>
      <w:bookmarkEnd w:id="1146"/>
      <w:bookmarkEnd w:id="1147"/>
      <w:bookmarkEnd w:id="1148"/>
      <w:bookmarkEnd w:id="1149"/>
      <w:bookmarkEnd w:id="1150"/>
      <w:bookmarkEnd w:id="1151"/>
      <w:bookmarkEnd w:id="1152"/>
      <w:bookmarkEnd w:id="1153"/>
    </w:p>
    <w:p>
      <w:pPr>
        <w:spacing w:line="276" w:lineRule="auto"/>
        <w:jc w:val="both"/>
        <w:rPr>
          <w:rFonts w:eastAsia="Times New Roman"/>
          <w:noProof/>
          <w:lang w:eastAsia="fr-BE"/>
        </w:rPr>
      </w:pPr>
      <w:r>
        <w:rPr>
          <w:rFonts w:eastAsia="Times New Roman"/>
          <w:noProof/>
          <w:lang w:eastAsia="en-GB"/>
        </w:rPr>
        <w:t xml:space="preserve">The </w:t>
      </w:r>
      <w:r>
        <w:rPr>
          <w:rFonts w:eastAsia="Times New Roman"/>
          <w:b/>
          <w:noProof/>
          <w:lang w:eastAsia="en-GB"/>
        </w:rPr>
        <w:t>approximation</w:t>
      </w:r>
      <w:r>
        <w:rPr>
          <w:rFonts w:eastAsia="Times New Roman"/>
          <w:noProof/>
          <w:lang w:eastAsia="en-GB"/>
        </w:rPr>
        <w:t xml:space="preserve"> commitments for 2015-2018 have not been entirely implemented to date. These concern inter alia the submission (</w:t>
      </w:r>
      <w:r>
        <w:rPr>
          <w:rFonts w:eastAsia="Calibri"/>
          <w:noProof/>
          <w:lang w:eastAsia="en-GB"/>
        </w:rPr>
        <w:t>6 months after the entry into force of the Agreement)</w:t>
      </w:r>
      <w:r>
        <w:rPr>
          <w:rFonts w:eastAsia="Times New Roman"/>
          <w:noProof/>
          <w:lang w:eastAsia="en-GB"/>
        </w:rPr>
        <w:t xml:space="preserve"> of a </w:t>
      </w:r>
      <w:r>
        <w:rPr>
          <w:rFonts w:eastAsia="Calibri"/>
          <w:noProof/>
          <w:lang w:eastAsia="en-GB"/>
        </w:rPr>
        <w:t xml:space="preserve">list of the EU </w:t>
      </w:r>
      <w:r>
        <w:rPr>
          <w:rFonts w:eastAsia="Times New Roman"/>
          <w:noProof/>
          <w:lang w:eastAsia="en-GB"/>
        </w:rPr>
        <w:t>SPS, animal welfare and other legislative measures that Georgia should be approximating its laws to (adopted in 2017); the completion of the first phase of the Public Procurement Roadmap (pending); four EU directives under telecommunication; as well as the approximation of Georgian law to EU legal acts on anti-money laundering (the 3</w:t>
      </w:r>
      <w:r>
        <w:rPr>
          <w:rFonts w:eastAsia="Times New Roman"/>
          <w:noProof/>
          <w:vertAlign w:val="superscript"/>
          <w:lang w:eastAsia="en-GB"/>
        </w:rPr>
        <w:t>rd</w:t>
      </w:r>
      <w:r>
        <w:rPr>
          <w:rFonts w:eastAsia="Times New Roman"/>
          <w:noProof/>
          <w:lang w:eastAsia="en-GB"/>
        </w:rPr>
        <w:t xml:space="preserve"> Directive on anti-money laundering was due in 2017. However, its approximation has been overtaken by events as the 4</w:t>
      </w:r>
      <w:r>
        <w:rPr>
          <w:rFonts w:eastAsia="Times New Roman"/>
          <w:noProof/>
          <w:vertAlign w:val="superscript"/>
          <w:lang w:eastAsia="en-GB"/>
        </w:rPr>
        <w:t>th</w:t>
      </w:r>
      <w:r>
        <w:rPr>
          <w:rFonts w:eastAsia="Times New Roman"/>
          <w:noProof/>
          <w:lang w:eastAsia="en-GB"/>
        </w:rPr>
        <w:t xml:space="preserve"> and 5</w:t>
      </w:r>
      <w:r>
        <w:rPr>
          <w:rFonts w:eastAsia="Times New Roman"/>
          <w:noProof/>
          <w:vertAlign w:val="superscript"/>
          <w:lang w:eastAsia="en-GB"/>
        </w:rPr>
        <w:t>th</w:t>
      </w:r>
      <w:r>
        <w:rPr>
          <w:rFonts w:eastAsia="Times New Roman"/>
          <w:noProof/>
          <w:lang w:eastAsia="en-GB"/>
        </w:rPr>
        <w:t xml:space="preserve"> Directives on anti-money laundering have been adopted. Georgia is working on the implementation of the 4</w:t>
      </w:r>
      <w:r>
        <w:rPr>
          <w:rFonts w:eastAsia="Times New Roman"/>
          <w:noProof/>
          <w:vertAlign w:val="superscript"/>
          <w:lang w:eastAsia="en-GB"/>
        </w:rPr>
        <w:t>th</w:t>
      </w:r>
      <w:r>
        <w:rPr>
          <w:rFonts w:eastAsia="Times New Roman"/>
          <w:noProof/>
          <w:lang w:eastAsia="en-GB"/>
        </w:rPr>
        <w:t xml:space="preserve"> Directive. It should be noted that t</w:t>
      </w:r>
      <w:r>
        <w:rPr>
          <w:rFonts w:eastAsia="Times New Roman"/>
          <w:noProof/>
          <w:lang w:eastAsia="fr-BE"/>
        </w:rPr>
        <w:t xml:space="preserve">he timeline for approximation of Georgian legislation was back-loaded by Georgia in the negotiation process to the extent that approximation intensified in 2018 and will continue e.g. until 2022 in TBT area or even until 2027 as concerns certain veterinary measures, plant protection and food safety. </w:t>
      </w:r>
    </w:p>
    <w:p>
      <w:pPr>
        <w:spacing w:line="276" w:lineRule="auto"/>
        <w:jc w:val="both"/>
        <w:rPr>
          <w:rFonts w:eastAsia="Times New Roman"/>
          <w:noProof/>
          <w:lang w:eastAsia="fr-BE"/>
        </w:rPr>
      </w:pPr>
    </w:p>
    <w:p>
      <w:pPr>
        <w:spacing w:line="276" w:lineRule="auto"/>
        <w:jc w:val="both"/>
        <w:rPr>
          <w:rFonts w:eastAsia="Times New Roman"/>
          <w:noProof/>
          <w:sz w:val="28"/>
          <w:lang w:eastAsia="en-GB"/>
        </w:rPr>
      </w:pPr>
      <w:r>
        <w:rPr>
          <w:noProof/>
          <w:szCs w:val="22"/>
        </w:rPr>
        <w:t xml:space="preserve">The Government of Georgia adopted in November 2017 an </w:t>
      </w:r>
      <w:r>
        <w:rPr>
          <w:b/>
          <w:i/>
          <w:noProof/>
          <w:szCs w:val="22"/>
        </w:rPr>
        <w:t>Action Plan for the implementation of the</w:t>
      </w:r>
      <w:r>
        <w:rPr>
          <w:b/>
          <w:noProof/>
          <w:szCs w:val="22"/>
        </w:rPr>
        <w:t xml:space="preserve"> </w:t>
      </w:r>
      <w:r>
        <w:rPr>
          <w:b/>
          <w:i/>
          <w:noProof/>
          <w:szCs w:val="22"/>
        </w:rPr>
        <w:t>DCFTA 2018-2020</w:t>
      </w:r>
      <w:r>
        <w:rPr>
          <w:i/>
          <w:noProof/>
          <w:szCs w:val="22"/>
        </w:rPr>
        <w:t xml:space="preserve">. </w:t>
      </w:r>
      <w:r>
        <w:rPr>
          <w:noProof/>
          <w:szCs w:val="22"/>
        </w:rPr>
        <w:t>It is a continuation of the Action Plan for 2014-2017, outlining the priorities for implementation of the DCFTA in different sectors (including for example Technical Barriers to Trade, SPS measures, customs or IPR) as well as the planned activities related to each priority, indicating the responsible implementing institutions and timeframe for implementation.</w:t>
      </w:r>
    </w:p>
    <w:p>
      <w:pPr>
        <w:keepNext/>
        <w:spacing w:before="360" w:line="276" w:lineRule="auto"/>
        <w:jc w:val="both"/>
        <w:outlineLvl w:val="3"/>
        <w:rPr>
          <w:rFonts w:eastAsia="Calibri"/>
          <w:b/>
          <w:i/>
          <w:noProof/>
        </w:rPr>
      </w:pPr>
      <w:r>
        <w:rPr>
          <w:rFonts w:eastAsia="Calibri"/>
          <w:b/>
          <w:i/>
          <w:noProof/>
        </w:rPr>
        <w:t>SPS aspects</w:t>
      </w:r>
    </w:p>
    <w:p>
      <w:pPr>
        <w:spacing w:line="276" w:lineRule="auto"/>
        <w:jc w:val="both"/>
        <w:rPr>
          <w:rFonts w:eastAsia="Times New Roman"/>
          <w:noProof/>
          <w:lang w:eastAsia="en-GB"/>
        </w:rPr>
      </w:pPr>
    </w:p>
    <w:p>
      <w:pPr>
        <w:spacing w:line="276" w:lineRule="auto"/>
        <w:jc w:val="both"/>
        <w:rPr>
          <w:rFonts w:eastAsia="Times New Roman"/>
          <w:noProof/>
          <w:lang w:val="en-US"/>
        </w:rPr>
      </w:pPr>
      <w:r>
        <w:rPr>
          <w:rFonts w:eastAsia="Times New Roman"/>
          <w:noProof/>
          <w:lang w:eastAsia="en-GB"/>
        </w:rPr>
        <w:t>The list of the EU SPS</w:t>
      </w:r>
      <w:r>
        <w:rPr>
          <w:rFonts w:eastAsia="Times New Roman"/>
          <w:b/>
          <w:noProof/>
          <w:lang w:eastAsia="en-GB"/>
        </w:rPr>
        <w:t xml:space="preserve"> </w:t>
      </w:r>
      <w:r>
        <w:rPr>
          <w:rFonts w:eastAsia="Times New Roman"/>
          <w:noProof/>
          <w:lang w:eastAsia="en-GB"/>
        </w:rPr>
        <w:t xml:space="preserve">acquis that Georgia will approximate was submitted to the EU in December 2015 </w:t>
      </w:r>
      <w:r>
        <w:rPr>
          <w:rFonts w:eastAsia="Calibri"/>
          <w:noProof/>
          <w:lang w:eastAsia="en-GB"/>
        </w:rPr>
        <w:t xml:space="preserve">and formally adopted by the EU-Georgia SPS Sub-Committee on 7 March 2017. Deadlines committed by Georgia to achieve compliance with the EU SPS system are rather long, to the extent that </w:t>
      </w:r>
      <w:r>
        <w:rPr>
          <w:rFonts w:eastAsia="Times New Roman"/>
          <w:noProof/>
          <w:lang w:val="en-US"/>
        </w:rPr>
        <w:t xml:space="preserve">about 45% of the legal acts will be subject to approximation only after 2020 (in concrete terms, 35 legal acts in case of veterinary measures, 41 on food safety and 46 in case of plant protection). </w:t>
      </w:r>
      <w:r>
        <w:rPr>
          <w:rFonts w:eastAsia="Calibri"/>
          <w:noProof/>
          <w:lang w:eastAsia="en-GB"/>
        </w:rPr>
        <w:t xml:space="preserve">The institutional capacity in terms of food safety control still needs to be enhanced. A number of </w:t>
      </w:r>
      <w:r>
        <w:rPr>
          <w:rFonts w:eastAsia="Times New Roman"/>
          <w:b/>
          <w:noProof/>
          <w:lang w:val="en-US"/>
        </w:rPr>
        <w:t>Georgian establishments are authorised to export fruits, vegetables, honey and fishery products (from the Black Sea)</w:t>
      </w:r>
      <w:r>
        <w:rPr>
          <w:rFonts w:eastAsia="Times New Roman"/>
          <w:noProof/>
          <w:lang w:val="en-US"/>
        </w:rPr>
        <w:t xml:space="preserve"> to the EU. </w:t>
      </w:r>
    </w:p>
    <w:p>
      <w:pPr>
        <w:spacing w:line="276" w:lineRule="auto"/>
        <w:jc w:val="both"/>
        <w:rPr>
          <w:rFonts w:eastAsia="Times New Roman"/>
          <w:noProof/>
          <w:lang w:val="en-US"/>
        </w:rPr>
      </w:pPr>
    </w:p>
    <w:p>
      <w:pPr>
        <w:spacing w:line="276" w:lineRule="auto"/>
        <w:jc w:val="both"/>
        <w:rPr>
          <w:rFonts w:eastAsia="Times New Roman"/>
          <w:noProof/>
          <w:lang w:val="en-US"/>
        </w:rPr>
      </w:pPr>
      <w:r>
        <w:rPr>
          <w:rFonts w:eastAsia="Times New Roman"/>
          <w:noProof/>
          <w:lang w:val="en-US"/>
        </w:rPr>
        <w:t xml:space="preserve">The European Commission and the Georgian government held a ministerial meeting in November 2018 where Georgia’s trade potentials were discussed also with respect to agricultural and food products. The EU again expressed its willingness to support the country but also underlined that EU food and feed safety standards cannot be compromised. Ideas were raised to establish closer relations of Georgian authorities with the European Food Safety Authority that could help the country to align to the EU food safety systems. </w:t>
      </w:r>
    </w:p>
    <w:p>
      <w:pPr>
        <w:spacing w:line="276" w:lineRule="auto"/>
        <w:jc w:val="both"/>
        <w:rPr>
          <w:rFonts w:eastAsia="Times New Roman"/>
          <w:noProof/>
          <w:lang w:val="en-US"/>
        </w:rPr>
      </w:pPr>
    </w:p>
    <w:p>
      <w:pPr>
        <w:spacing w:line="276" w:lineRule="auto"/>
        <w:jc w:val="both"/>
        <w:rPr>
          <w:rFonts w:eastAsia="Times New Roman"/>
          <w:noProof/>
          <w:lang w:val="en-US"/>
        </w:rPr>
      </w:pPr>
      <w:r>
        <w:rPr>
          <w:rFonts w:eastAsia="Times New Roman"/>
          <w:noProof/>
          <w:lang w:val="en-US"/>
        </w:rPr>
        <w:t xml:space="preserve">In 2019, the Commission launched a process to verify Georgia’s efforts on approximating to the EU legislation regarding sanitary and phytosanitary measures. </w:t>
      </w:r>
    </w:p>
    <w:p>
      <w:pPr>
        <w:keepNext/>
        <w:spacing w:before="360" w:line="276" w:lineRule="auto"/>
        <w:jc w:val="both"/>
        <w:outlineLvl w:val="3"/>
        <w:rPr>
          <w:rFonts w:eastAsia="Calibri"/>
          <w:b/>
          <w:i/>
          <w:noProof/>
        </w:rPr>
      </w:pPr>
      <w:r>
        <w:rPr>
          <w:rFonts w:eastAsia="Calibri"/>
          <w:b/>
          <w:i/>
          <w:noProof/>
        </w:rPr>
        <w:t xml:space="preserve">Technical Barriers to Trade </w:t>
      </w:r>
    </w:p>
    <w:p>
      <w:pPr>
        <w:spacing w:line="276" w:lineRule="auto"/>
        <w:jc w:val="both"/>
        <w:rPr>
          <w:rFonts w:eastAsia="Times New Roman"/>
          <w:noProof/>
          <w:lang w:val="en-US"/>
        </w:rPr>
      </w:pPr>
    </w:p>
    <w:p>
      <w:pPr>
        <w:spacing w:line="276" w:lineRule="auto"/>
        <w:jc w:val="both"/>
        <w:rPr>
          <w:rFonts w:eastAsia="Times New Roman"/>
          <w:noProof/>
          <w:lang w:val="en-US"/>
        </w:rPr>
      </w:pPr>
      <w:r>
        <w:rPr>
          <w:rFonts w:eastAsia="Times New Roman"/>
          <w:noProof/>
          <w:lang w:val="en-US"/>
        </w:rPr>
        <w:t>Georgia is on schedule with the approximation of legislation on market surveillance of industrial and consumer products. The legislation on industrial products has been adopted and the legislation on consumer products is being drafted. The twinning project launched in the beginning of 2018 helps the young Technical and Construction Supervision Agency (TCSA) to contribute to the approximation of legislation, apply relevant institutional changes and build capacity of the staff, especially in order to effectively implement the adopted legislation. In 2018, TCSA made progress in capacity building and training on surveillance and contributed to drafting regulations on risk assessment methodology for market surveillance activities and cooperation between market surveillance authorities.</w:t>
      </w:r>
    </w:p>
    <w:p>
      <w:pPr>
        <w:keepNext/>
        <w:spacing w:before="360" w:line="276" w:lineRule="auto"/>
        <w:jc w:val="both"/>
        <w:outlineLvl w:val="3"/>
        <w:rPr>
          <w:rFonts w:eastAsia="Calibri"/>
          <w:b/>
          <w:i/>
          <w:noProof/>
        </w:rPr>
      </w:pPr>
      <w:r>
        <w:rPr>
          <w:rFonts w:eastAsia="Calibri"/>
          <w:b/>
          <w:i/>
          <w:noProof/>
        </w:rPr>
        <w:t xml:space="preserve">Public Procurement </w:t>
      </w:r>
    </w:p>
    <w:p>
      <w:pPr>
        <w:spacing w:line="276" w:lineRule="auto"/>
        <w:jc w:val="both"/>
        <w:rPr>
          <w:rFonts w:eastAsia="Times New Roman"/>
          <w:noProof/>
        </w:rPr>
      </w:pPr>
    </w:p>
    <w:p>
      <w:pPr>
        <w:spacing w:line="276" w:lineRule="auto"/>
        <w:jc w:val="both"/>
        <w:rPr>
          <w:rFonts w:eastAsia="Times New Roman"/>
          <w:noProof/>
          <w:lang w:val="en-US"/>
        </w:rPr>
      </w:pPr>
      <w:r>
        <w:rPr>
          <w:rFonts w:eastAsia="Times New Roman"/>
          <w:noProof/>
        </w:rPr>
        <w:t>The institutional part in public procurement approximation has been partially accomplished</w:t>
      </w:r>
      <w:r>
        <w:rPr>
          <w:rFonts w:eastAsia="Times New Roman"/>
          <w:noProof/>
          <w:sz w:val="20"/>
          <w:szCs w:val="20"/>
          <w:vertAlign w:val="superscript"/>
        </w:rPr>
        <w:footnoteReference w:id="37"/>
      </w:r>
      <w:r>
        <w:rPr>
          <w:rFonts w:eastAsia="Times New Roman"/>
          <w:noProof/>
        </w:rPr>
        <w:t>. The setting up of the impartial and independent review body is still pending. Discussions are ongoing for b</w:t>
      </w:r>
      <w:r>
        <w:rPr>
          <w:noProof/>
        </w:rPr>
        <w:t xml:space="preserve">oth Parties to formally adopt a roadmap developed by the Georgian side. The roadmap will be a point of reference and facilitate the implementation of the Public Procurement Chapter of the DCFTA, including on the step by step alignment of the Georgian legislation to the EU acquis in this area. </w:t>
      </w:r>
      <w:r>
        <w:rPr>
          <w:rFonts w:eastAsia="Times New Roman"/>
          <w:noProof/>
          <w:lang w:val="en-US"/>
        </w:rPr>
        <w:t xml:space="preserve">The institutional capacity needs to be built within the GSPA and the contracting authorities. </w:t>
      </w:r>
    </w:p>
    <w:p>
      <w:pPr>
        <w:spacing w:line="276" w:lineRule="auto"/>
        <w:jc w:val="both"/>
        <w:rPr>
          <w:rFonts w:eastAsia="Times New Roman"/>
          <w:b/>
          <w:i/>
          <w:noProof/>
          <w:lang w:val="en-US"/>
        </w:rPr>
      </w:pPr>
    </w:p>
    <w:p>
      <w:pPr>
        <w:keepNext/>
        <w:spacing w:after="120" w:line="276" w:lineRule="auto"/>
        <w:jc w:val="both"/>
        <w:rPr>
          <w:rFonts w:eastAsia="Times New Roman"/>
          <w:b/>
          <w:i/>
          <w:noProof/>
          <w:lang w:val="en-US"/>
        </w:rPr>
      </w:pPr>
      <w:r>
        <w:rPr>
          <w:rFonts w:eastAsia="Times New Roman"/>
          <w:b/>
          <w:i/>
          <w:noProof/>
          <w:lang w:val="en-US"/>
        </w:rPr>
        <w:t xml:space="preserve">Intellectual Property </w:t>
      </w:r>
    </w:p>
    <w:p>
      <w:pPr>
        <w:keepNext/>
        <w:spacing w:after="120" w:line="276" w:lineRule="auto"/>
        <w:jc w:val="both"/>
        <w:rPr>
          <w:rFonts w:eastAsia="Times New Roman"/>
          <w:noProof/>
          <w:lang w:val="en-US"/>
        </w:rPr>
      </w:pPr>
      <w:r>
        <w:rPr>
          <w:rFonts w:eastAsia="Times New Roman"/>
          <w:noProof/>
          <w:lang w:val="en-US"/>
        </w:rPr>
        <w:t xml:space="preserve">The implementation of the IPR Chapter of the DCFTA has started and Georgia has brought the majority of its laws in compliance with the DCFTA. Still the exhaustion regime of Georgia is not line with the DCFTA and some copyright related provisions need to be improved, including the collective right management system. </w:t>
      </w:r>
      <w:r>
        <w:rPr>
          <w:noProof/>
        </w:rPr>
        <w:t>As one of the deliverables of the meeting between the Government of Georgia and the Commission on 21 November 2018, the Commission decided to allocate resources to a cooperation programme between the Georgian Intellectual Property Centre (Sakpatenti) and the European Intellectual Property Office, aiming at e.g. aligning the Georgian laws and standards concerning registration and management of IP rights with EU norms and standards.</w:t>
      </w:r>
    </w:p>
    <w:p>
      <w:pPr>
        <w:keepNext/>
        <w:spacing w:before="360" w:line="276" w:lineRule="auto"/>
        <w:jc w:val="both"/>
        <w:outlineLvl w:val="3"/>
        <w:rPr>
          <w:rFonts w:eastAsia="Calibri"/>
          <w:b/>
          <w:i/>
          <w:noProof/>
        </w:rPr>
      </w:pPr>
      <w:r>
        <w:rPr>
          <w:rFonts w:eastAsia="Calibri"/>
          <w:b/>
          <w:i/>
          <w:noProof/>
        </w:rPr>
        <w:t>Rules of Origin</w:t>
      </w:r>
    </w:p>
    <w:p>
      <w:pPr>
        <w:spacing w:line="276" w:lineRule="auto"/>
        <w:jc w:val="both"/>
        <w:rPr>
          <w:noProof/>
        </w:rPr>
      </w:pPr>
    </w:p>
    <w:p>
      <w:pPr>
        <w:spacing w:line="276" w:lineRule="auto"/>
        <w:jc w:val="both"/>
        <w:rPr>
          <w:noProof/>
        </w:rPr>
      </w:pPr>
      <w:r>
        <w:rPr>
          <w:noProof/>
        </w:rPr>
        <w:t xml:space="preserve">On 1 July 2017 Georgia joined the </w:t>
      </w:r>
      <w:r>
        <w:rPr>
          <w:b/>
          <w:bCs/>
          <w:noProof/>
        </w:rPr>
        <w:t>Convention on pan-Euro-Mediterranean preferential rules of origin</w:t>
      </w:r>
      <w:r>
        <w:rPr>
          <w:noProof/>
          <w:sz w:val="20"/>
          <w:szCs w:val="20"/>
          <w:vertAlign w:val="superscript"/>
        </w:rPr>
        <w:footnoteReference w:id="38"/>
      </w:r>
      <w:r>
        <w:rPr>
          <w:noProof/>
        </w:rPr>
        <w:t>.</w:t>
      </w:r>
      <w:r>
        <w:rPr>
          <w:noProof/>
          <w:sz w:val="20"/>
          <w:szCs w:val="20"/>
        </w:rPr>
        <w:t xml:space="preserve"> </w:t>
      </w:r>
      <w:r>
        <w:rPr>
          <w:noProof/>
        </w:rPr>
        <w:t>The joint Decision on the linkage of the rules of origin in bilateral trade to the Protocol of PEM Convention</w:t>
      </w:r>
      <w:r>
        <w:rPr>
          <w:noProof/>
          <w:vertAlign w:val="superscript"/>
        </w:rPr>
        <w:footnoteReference w:id="39"/>
      </w:r>
      <w:r>
        <w:rPr>
          <w:noProof/>
        </w:rPr>
        <w:t xml:space="preserve"> was adopted during the 4</w:t>
      </w:r>
      <w:r>
        <w:rPr>
          <w:noProof/>
          <w:vertAlign w:val="superscript"/>
        </w:rPr>
        <w:t>th</w:t>
      </w:r>
      <w:r>
        <w:rPr>
          <w:noProof/>
        </w:rPr>
        <w:t xml:space="preserve"> Customs Sub-Committee which took place in Brussels on 20 March 2018 </w:t>
      </w:r>
      <w:r>
        <w:rPr>
          <w:noProof/>
          <w:lang w:val="en-US"/>
        </w:rPr>
        <w:t>and the linkage entered into force on 1 June 2018.</w:t>
      </w:r>
      <w:r>
        <w:rPr>
          <w:noProof/>
        </w:rPr>
        <w:t xml:space="preserve"> (report published on 6 June 2018). This allows Georgia to benefit from diagonal cumulation of origin with the EU and Turkey as of 1 June 2018, and be better integrated in regional trade flows. </w:t>
      </w:r>
    </w:p>
    <w:p>
      <w:pPr>
        <w:keepNext/>
        <w:spacing w:before="360" w:line="276" w:lineRule="auto"/>
        <w:jc w:val="both"/>
        <w:outlineLvl w:val="3"/>
        <w:rPr>
          <w:rFonts w:eastAsia="Calibri"/>
          <w:b/>
          <w:i/>
          <w:noProof/>
        </w:rPr>
      </w:pPr>
      <w:r>
        <w:rPr>
          <w:rFonts w:eastAsia="Calibri"/>
          <w:b/>
          <w:i/>
          <w:noProof/>
        </w:rPr>
        <w:t>Energy</w:t>
      </w:r>
    </w:p>
    <w:p>
      <w:pPr>
        <w:spacing w:line="276" w:lineRule="auto"/>
        <w:jc w:val="both"/>
        <w:rPr>
          <w:rFonts w:eastAsia="Calibri"/>
          <w:noProof/>
          <w:lang w:eastAsia="en-GB"/>
        </w:rPr>
      </w:pPr>
    </w:p>
    <w:p>
      <w:pPr>
        <w:spacing w:line="276" w:lineRule="auto"/>
        <w:jc w:val="both"/>
        <w:rPr>
          <w:rFonts w:eastAsia="Calibri"/>
          <w:noProof/>
          <w:lang w:eastAsia="en-GB"/>
        </w:rPr>
      </w:pPr>
      <w:r>
        <w:rPr>
          <w:rFonts w:eastAsia="Calibri"/>
          <w:noProof/>
          <w:lang w:eastAsia="en-GB"/>
        </w:rPr>
        <w:t xml:space="preserve">Georgia officially became a Contracting Party to the </w:t>
      </w:r>
      <w:r>
        <w:rPr>
          <w:rFonts w:eastAsia="Calibri"/>
          <w:b/>
          <w:noProof/>
          <w:lang w:eastAsia="en-GB"/>
        </w:rPr>
        <w:t xml:space="preserve">Energy Community Treaty </w:t>
      </w:r>
      <w:r>
        <w:rPr>
          <w:rFonts w:eastAsia="Calibri"/>
          <w:noProof/>
          <w:lang w:eastAsia="en-GB"/>
        </w:rPr>
        <w:t xml:space="preserve">on 1 July 2017. The </w:t>
      </w:r>
      <w:r>
        <w:rPr>
          <w:rFonts w:eastAsia="Calibri"/>
          <w:b/>
          <w:noProof/>
          <w:lang w:eastAsia="en-GB"/>
        </w:rPr>
        <w:t>Protocol of Accession to the Energy Community Treaty</w:t>
      </w:r>
      <w:r>
        <w:rPr>
          <w:rFonts w:eastAsia="Calibri"/>
          <w:noProof/>
          <w:lang w:eastAsia="en-GB"/>
        </w:rPr>
        <w:t xml:space="preserve"> commits Georgia to approximate its legislation to key energy and energy-related EU acquis between 2017 and 2020.</w:t>
      </w:r>
    </w:p>
    <w:p>
      <w:pPr>
        <w:keepNext/>
        <w:spacing w:before="360" w:line="276" w:lineRule="auto"/>
        <w:jc w:val="both"/>
        <w:outlineLvl w:val="3"/>
        <w:rPr>
          <w:rFonts w:eastAsia="Calibri"/>
          <w:b/>
          <w:i/>
          <w:noProof/>
        </w:rPr>
      </w:pPr>
      <w:r>
        <w:rPr>
          <w:rFonts w:eastAsia="Calibri"/>
          <w:b/>
          <w:i/>
          <w:noProof/>
        </w:rPr>
        <w:t>Trade Facilitation</w:t>
      </w:r>
    </w:p>
    <w:p>
      <w:pPr>
        <w:spacing w:line="276" w:lineRule="auto"/>
        <w:jc w:val="both"/>
        <w:rPr>
          <w:rFonts w:eastAsia="Calibri"/>
          <w:noProof/>
          <w:lang w:eastAsia="en-GB"/>
        </w:rPr>
      </w:pPr>
    </w:p>
    <w:p>
      <w:pPr>
        <w:spacing w:line="276" w:lineRule="auto"/>
        <w:jc w:val="both"/>
        <w:rPr>
          <w:noProof/>
        </w:rPr>
      </w:pPr>
      <w:r>
        <w:rPr>
          <w:rFonts w:eastAsia="Calibri"/>
          <w:noProof/>
          <w:lang w:eastAsia="en-GB"/>
        </w:rPr>
        <w:t xml:space="preserve">On 4 January 2016, </w:t>
      </w:r>
      <w:r>
        <w:rPr>
          <w:rFonts w:eastAsia="Calibri"/>
          <w:b/>
          <w:noProof/>
          <w:lang w:eastAsia="en-GB"/>
        </w:rPr>
        <w:t>Georgia ratified the</w:t>
      </w:r>
      <w:r>
        <w:rPr>
          <w:rFonts w:eastAsia="Calibri"/>
          <w:noProof/>
          <w:lang w:eastAsia="en-GB"/>
        </w:rPr>
        <w:t xml:space="preserve"> </w:t>
      </w:r>
      <w:r>
        <w:rPr>
          <w:rFonts w:eastAsia="Calibri"/>
          <w:b/>
          <w:noProof/>
          <w:lang w:eastAsia="en-GB"/>
        </w:rPr>
        <w:t>WTO Trade Facilitation Agreement</w:t>
      </w:r>
      <w:r>
        <w:rPr>
          <w:rFonts w:eastAsia="Calibri"/>
          <w:noProof/>
          <w:lang w:eastAsia="en-GB"/>
        </w:rPr>
        <w:t xml:space="preserve"> </w:t>
      </w:r>
      <w:r>
        <w:rPr>
          <w:rFonts w:eastAsia="Calibri"/>
          <w:b/>
          <w:noProof/>
          <w:lang w:eastAsia="en-GB"/>
        </w:rPr>
        <w:t>which is in force since February 2017</w:t>
      </w:r>
      <w:r>
        <w:rPr>
          <w:rFonts w:eastAsia="Calibri"/>
          <w:noProof/>
          <w:lang w:eastAsia="en-GB"/>
        </w:rPr>
        <w:t xml:space="preserve"> and contains commitments on simplifying border procedures and modernisation of customs techniques and instruments and customs control. </w:t>
      </w:r>
      <w:r>
        <w:rPr>
          <w:noProof/>
        </w:rPr>
        <w:t xml:space="preserve">An unresolved issue for the time being is the application of the DCFTA to the breakaway territories of Abkhazia and Southern Ossetia. According to Article 429 (Territorial application) of the Association Agreement, conditions enabling effective implementation of the DCFTA need to be created in either Abkhazia or South Ossetia for the Association Agreement/DCFTA to be able to be applied in those areas. </w:t>
      </w:r>
    </w:p>
    <w:p>
      <w:pPr>
        <w:pStyle w:val="ManualHeading1"/>
        <w:rPr>
          <w:lang w:val="fr-BE"/>
        </w:rPr>
      </w:pPr>
      <w:bookmarkStart w:id="1154" w:name="_Toc8833541"/>
      <w:bookmarkStart w:id="1155" w:name="_Toc8835368"/>
      <w:bookmarkStart w:id="1156" w:name="_Toc8833998"/>
      <w:bookmarkStart w:id="1157" w:name="_Toc8909461"/>
      <w:bookmarkStart w:id="1158" w:name="_Toc8910673"/>
      <w:bookmarkStart w:id="1159" w:name="_Toc8911710"/>
      <w:bookmarkStart w:id="1160" w:name="_Toc8974531"/>
      <w:bookmarkStart w:id="1161" w:name="_Toc9008184"/>
      <w:bookmarkStart w:id="1162" w:name="_Toc9008587"/>
      <w:bookmarkStart w:id="1163" w:name="_Toc9348582"/>
      <w:bookmarkStart w:id="1164" w:name="_Toc9608033"/>
      <w:bookmarkStart w:id="1165" w:name="_Toc16000608"/>
      <w:r>
        <w:t>6.</w:t>
      </w:r>
      <w:r>
        <w:tab/>
      </w:r>
      <w:r>
        <w:rPr>
          <w:lang w:val="en-US"/>
        </w:rPr>
        <w:t xml:space="preserve">EU support to DCFTA </w:t>
      </w:r>
      <w:bookmarkEnd w:id="1154"/>
      <w:bookmarkEnd w:id="1155"/>
      <w:bookmarkEnd w:id="1156"/>
      <w:bookmarkEnd w:id="1157"/>
      <w:r>
        <w:rPr>
          <w:lang w:val="en-US"/>
        </w:rPr>
        <w:t>implementation</w:t>
      </w:r>
      <w:bookmarkEnd w:id="1158"/>
      <w:bookmarkEnd w:id="1159"/>
      <w:bookmarkEnd w:id="1160"/>
      <w:bookmarkEnd w:id="1161"/>
      <w:bookmarkEnd w:id="1162"/>
      <w:bookmarkEnd w:id="1163"/>
      <w:bookmarkEnd w:id="1164"/>
      <w:bookmarkEnd w:id="1165"/>
    </w:p>
    <w:p>
      <w:pPr>
        <w:jc w:val="both"/>
        <w:rPr>
          <w:rFonts w:eastAsia="Times New Roman"/>
          <w:b/>
          <w:i/>
          <w:noProof/>
          <w:szCs w:val="20"/>
        </w:rPr>
      </w:pPr>
      <w:r>
        <w:rPr>
          <w:rFonts w:eastAsia="Times New Roman"/>
          <w:b/>
          <w:i/>
          <w:noProof/>
          <w:szCs w:val="20"/>
        </w:rPr>
        <w:t>EU Support to DCFTA-related reforms</w:t>
      </w:r>
    </w:p>
    <w:p>
      <w:pPr>
        <w:jc w:val="both"/>
        <w:rPr>
          <w:rFonts w:eastAsia="Times New Roman"/>
          <w:b/>
          <w:i/>
          <w:noProof/>
          <w:szCs w:val="20"/>
        </w:rPr>
      </w:pPr>
    </w:p>
    <w:p>
      <w:pPr>
        <w:spacing w:line="276" w:lineRule="auto"/>
        <w:jc w:val="both"/>
        <w:rPr>
          <w:rFonts w:eastAsia="Calibri"/>
          <w:noProof/>
          <w:lang w:eastAsia="en-GB"/>
        </w:rPr>
      </w:pPr>
      <w:r>
        <w:rPr>
          <w:rFonts w:eastAsia="Calibri"/>
          <w:noProof/>
          <w:lang w:eastAsia="en-GB"/>
        </w:rPr>
        <w:t xml:space="preserve">The EU supports the implementation of the DCFTA through technical and financial assistance. A Sector Reform Contract focusing on the transposition of relevant EU acquis (particularly in the area of SPS, TBT, public procurement), capacity building of relevant institutions to implement the DCFTA (such as the Competition Authority or the Market Surveillance Authority) and support to SME development to increase exports has been put in place. This is complemented by technical assistance focusing on cluster and value chain development and support to the SME regulatory/institutional framework as well as Twinning projects by Member States to share their experience in the transciption of EU law. </w:t>
      </w:r>
    </w:p>
    <w:p>
      <w:pPr>
        <w:jc w:val="both"/>
        <w:rPr>
          <w:rFonts w:eastAsia="Times New Roman"/>
          <w:b/>
          <w:i/>
          <w:noProof/>
          <w:szCs w:val="20"/>
        </w:rPr>
      </w:pPr>
    </w:p>
    <w:p>
      <w:pPr>
        <w:jc w:val="both"/>
        <w:rPr>
          <w:rFonts w:eastAsia="Times New Roman"/>
          <w:noProof/>
          <w:szCs w:val="20"/>
        </w:rPr>
      </w:pPr>
      <w:r>
        <w:rPr>
          <w:rFonts w:eastAsia="Times New Roman"/>
          <w:noProof/>
          <w:szCs w:val="20"/>
        </w:rPr>
        <w:t>DCFTA implementation is also supported by policy conditionality of the EU’s macro-financial assistance (MFA) to Georgia. Conditions of the current MFA operation approved in 2018 include public procurement and labour market measures (the establishment of an independent review body in the area of public procurement and the completion of the employment-related legal framework).</w:t>
      </w:r>
    </w:p>
    <w:p>
      <w:pPr>
        <w:jc w:val="both"/>
        <w:rPr>
          <w:rFonts w:eastAsia="Times New Roman"/>
          <w:b/>
          <w:i/>
          <w:noProof/>
          <w:szCs w:val="20"/>
        </w:rPr>
      </w:pPr>
    </w:p>
    <w:p>
      <w:pPr>
        <w:jc w:val="both"/>
        <w:rPr>
          <w:rFonts w:eastAsia="Times New Roman"/>
          <w:b/>
          <w:i/>
          <w:noProof/>
          <w:szCs w:val="20"/>
        </w:rPr>
      </w:pPr>
      <w:r>
        <w:rPr>
          <w:rFonts w:eastAsia="Times New Roman"/>
          <w:noProof/>
          <w:lang w:val="en-US"/>
        </w:rPr>
        <w:t>An EU Twinning Project “Supporting the Accession of Georgia to the Conventions on Transit Area and Launching New Computerized Transit System (NCTS)" launched by the consortium Finland-Poland-Latvia in March 2018 aims to support the Revenue Service, Ministry of Finance of Georgia.</w:t>
      </w:r>
    </w:p>
    <w:p>
      <w:pPr>
        <w:jc w:val="both"/>
        <w:rPr>
          <w:rFonts w:eastAsia="Times New Roman"/>
          <w:b/>
          <w:i/>
          <w:noProof/>
          <w:szCs w:val="20"/>
        </w:rPr>
      </w:pPr>
    </w:p>
    <w:p>
      <w:pPr>
        <w:jc w:val="both"/>
        <w:rPr>
          <w:rFonts w:eastAsia="Times New Roman"/>
          <w:b/>
          <w:i/>
          <w:noProof/>
          <w:szCs w:val="20"/>
        </w:rPr>
      </w:pPr>
      <w:r>
        <w:rPr>
          <w:rFonts w:eastAsia="Times New Roman"/>
          <w:b/>
          <w:i/>
          <w:noProof/>
          <w:szCs w:val="20"/>
        </w:rPr>
        <w:t>EU Support for SMEs</w:t>
      </w:r>
    </w:p>
    <w:p>
      <w:pPr>
        <w:spacing w:line="276" w:lineRule="auto"/>
        <w:jc w:val="both"/>
        <w:rPr>
          <w:rFonts w:eastAsia="Calibri"/>
          <w:noProof/>
          <w:lang w:eastAsia="en-GB"/>
        </w:rPr>
      </w:pPr>
    </w:p>
    <w:p>
      <w:pPr>
        <w:spacing w:line="276" w:lineRule="auto"/>
        <w:jc w:val="both"/>
        <w:rPr>
          <w:rFonts w:eastAsia="Calibri"/>
          <w:noProof/>
          <w:lang w:eastAsia="en-GB"/>
        </w:rPr>
      </w:pPr>
      <w:r>
        <w:rPr>
          <w:rFonts w:eastAsia="Calibri"/>
          <w:noProof/>
          <w:lang w:eastAsia="en-GB"/>
        </w:rPr>
        <w:t xml:space="preserve">SMEs in Georgia are benefitting from the EU support under the DCFTA Facility for SMEs, which aims at increasing SMEs competitiveness, easing their access to finance, helping them to seize new trade opportunities and comply with new food safety, technical and quality standards, as well as with environmental protection measures implied by the DCFTA implementation.  </w:t>
      </w:r>
    </w:p>
    <w:p>
      <w:pPr>
        <w:spacing w:line="276" w:lineRule="auto"/>
        <w:jc w:val="both"/>
        <w:rPr>
          <w:rFonts w:eastAsia="Calibri"/>
          <w:noProof/>
          <w:lang w:eastAsia="en-GB"/>
        </w:rPr>
      </w:pPr>
    </w:p>
    <w:p>
      <w:pPr>
        <w:spacing w:line="276" w:lineRule="auto"/>
        <w:jc w:val="both"/>
        <w:rPr>
          <w:rFonts w:eastAsia="Calibri"/>
          <w:noProof/>
          <w:lang w:eastAsia="en-GB"/>
        </w:rPr>
      </w:pPr>
      <w:r>
        <w:rPr>
          <w:rFonts w:eastAsia="Calibri"/>
          <w:noProof/>
          <w:lang w:eastAsia="en-GB"/>
        </w:rPr>
        <w:t xml:space="preserve">The DCFTA Facility consists of a set of programmes implemented principally by European Bank for Reconstruction and Development and European Investment Bank. SMEs are benefiting from the EU support through four types of instruments: </w:t>
      </w:r>
    </w:p>
    <w:p>
      <w:pPr>
        <w:spacing w:line="276" w:lineRule="auto"/>
        <w:ind w:left="720"/>
        <w:jc w:val="both"/>
        <w:rPr>
          <w:rFonts w:eastAsia="Calibri"/>
          <w:noProof/>
          <w:lang w:eastAsia="en-GB"/>
        </w:rPr>
      </w:pPr>
      <w:r>
        <w:rPr>
          <w:rFonts w:eastAsia="Calibri"/>
          <w:noProof/>
          <w:lang w:eastAsia="en-GB"/>
        </w:rPr>
        <w:t xml:space="preserve">1) risk sharing mechanisms (mostly first loss portfolio guarantees for local banks); </w:t>
      </w:r>
    </w:p>
    <w:p>
      <w:pPr>
        <w:spacing w:line="276" w:lineRule="auto"/>
        <w:ind w:left="720"/>
        <w:jc w:val="both"/>
        <w:rPr>
          <w:rFonts w:eastAsia="Calibri"/>
          <w:noProof/>
          <w:lang w:eastAsia="en-GB"/>
        </w:rPr>
      </w:pPr>
      <w:r>
        <w:rPr>
          <w:rFonts w:eastAsia="Calibri"/>
          <w:noProof/>
          <w:lang w:eastAsia="en-GB"/>
        </w:rPr>
        <w:t xml:space="preserve">2) currency hedging (interest rate subsidies for loans in local currency); </w:t>
      </w:r>
    </w:p>
    <w:p>
      <w:pPr>
        <w:spacing w:line="276" w:lineRule="auto"/>
        <w:ind w:left="720"/>
        <w:jc w:val="both"/>
        <w:rPr>
          <w:rFonts w:eastAsia="Calibri"/>
          <w:noProof/>
          <w:lang w:eastAsia="en-GB"/>
        </w:rPr>
      </w:pPr>
      <w:r>
        <w:rPr>
          <w:rFonts w:eastAsia="Calibri"/>
          <w:noProof/>
          <w:lang w:eastAsia="en-GB"/>
        </w:rPr>
        <w:t xml:space="preserve">3) investment incentives (grants provided to SMEs combined with investment loans to upgrade machinery or production processes in line with the EU standards) and </w:t>
      </w:r>
    </w:p>
    <w:p>
      <w:pPr>
        <w:spacing w:line="276" w:lineRule="auto"/>
        <w:ind w:left="720"/>
        <w:jc w:val="both"/>
        <w:rPr>
          <w:rFonts w:eastAsia="Calibri"/>
          <w:noProof/>
          <w:lang w:eastAsia="en-GB"/>
        </w:rPr>
      </w:pPr>
      <w:r>
        <w:rPr>
          <w:rFonts w:eastAsia="Calibri"/>
          <w:noProof/>
          <w:lang w:eastAsia="en-GB"/>
        </w:rPr>
        <w:t xml:space="preserve">4) technical assistance (business advice to SMEs and local banks, assessment of the compliance with the EU standards, capacity building for local banks). </w:t>
      </w:r>
    </w:p>
    <w:p>
      <w:pPr>
        <w:pStyle w:val="Heading1"/>
        <w:rPr>
          <w:noProof/>
        </w:rPr>
      </w:pPr>
      <w:bookmarkStart w:id="1166" w:name="_Toc8833542"/>
      <w:bookmarkStart w:id="1167" w:name="_Toc8835369"/>
      <w:bookmarkStart w:id="1168" w:name="_Toc8833999"/>
      <w:bookmarkStart w:id="1169" w:name="_Toc8909462"/>
      <w:bookmarkStart w:id="1170" w:name="_Toc8910674"/>
      <w:bookmarkStart w:id="1171" w:name="_Toc8911711"/>
      <w:bookmarkStart w:id="1172" w:name="_Toc8974532"/>
      <w:bookmarkStart w:id="1173" w:name="_Toc9008185"/>
      <w:bookmarkStart w:id="1174" w:name="_Toc9008588"/>
      <w:bookmarkStart w:id="1175" w:name="_Toc9348583"/>
      <w:bookmarkStart w:id="1176" w:name="_Toc9608034"/>
      <w:bookmarkStart w:id="1177" w:name="_Toc16000609"/>
      <w:r>
        <w:rPr>
          <w:noProof/>
        </w:rPr>
        <w:t>7.</w:t>
      </w:r>
      <w:r>
        <w:rPr>
          <w:noProof/>
        </w:rPr>
        <w:tab/>
        <w:t>Conclusions and outlook</w:t>
      </w:r>
      <w:bookmarkEnd w:id="1166"/>
      <w:bookmarkEnd w:id="1167"/>
      <w:bookmarkEnd w:id="1168"/>
      <w:bookmarkEnd w:id="1169"/>
      <w:bookmarkEnd w:id="1170"/>
      <w:bookmarkEnd w:id="1171"/>
      <w:bookmarkEnd w:id="1172"/>
      <w:bookmarkEnd w:id="1173"/>
      <w:bookmarkEnd w:id="1174"/>
      <w:bookmarkEnd w:id="1175"/>
      <w:bookmarkEnd w:id="1176"/>
      <w:bookmarkEnd w:id="1177"/>
    </w:p>
    <w:p>
      <w:pPr>
        <w:spacing w:line="276" w:lineRule="auto"/>
        <w:jc w:val="both"/>
        <w:rPr>
          <w:noProof/>
        </w:rPr>
      </w:pPr>
      <w:r>
        <w:rPr>
          <w:noProof/>
        </w:rPr>
        <w:t xml:space="preserve">After four years of the DCFTA implementation external trade and FDIs remain key for the </w:t>
      </w:r>
      <w:r>
        <w:rPr>
          <w:b/>
          <w:noProof/>
        </w:rPr>
        <w:t>overall economic growth of a small open economy like Georgia</w:t>
      </w:r>
      <w:r>
        <w:rPr>
          <w:noProof/>
        </w:rPr>
        <w:t xml:space="preserve">. Economic uncertainty in some key trading partners in the region (Russia, Turkey and Azerbaijan) and the recovery from the recession in the EU created a relatively fragile but positive external environment for Georgia’s trade in 2018. </w:t>
      </w:r>
    </w:p>
    <w:p>
      <w:pPr>
        <w:spacing w:line="276" w:lineRule="auto"/>
        <w:jc w:val="both"/>
        <w:rPr>
          <w:noProof/>
        </w:rPr>
      </w:pPr>
    </w:p>
    <w:p>
      <w:pPr>
        <w:spacing w:line="276" w:lineRule="auto"/>
        <w:jc w:val="both"/>
        <w:rPr>
          <w:noProof/>
        </w:rPr>
      </w:pPr>
      <w:r>
        <w:rPr>
          <w:noProof/>
        </w:rPr>
        <w:t xml:space="preserve">The </w:t>
      </w:r>
      <w:r>
        <w:rPr>
          <w:b/>
          <w:noProof/>
        </w:rPr>
        <w:t>EU is constantly encouraging and assisting Georgia</w:t>
      </w:r>
      <w:r>
        <w:rPr>
          <w:noProof/>
        </w:rPr>
        <w:t xml:space="preserve"> to accelerate the necessary reforms, notably in the SPS area, as these reforms would not only enhance food safety in the country but also facilitate and allow further access for Georgian agricultural products to the EU market. In the medium term, the benefits from approximation to the EU </w:t>
      </w:r>
      <w:r>
        <w:rPr>
          <w:i/>
          <w:noProof/>
        </w:rPr>
        <w:t xml:space="preserve">acquis </w:t>
      </w:r>
      <w:r>
        <w:rPr>
          <w:noProof/>
        </w:rPr>
        <w:t>should translate into an increase of bilateral trade, and especially growth in Georgia’s exports to the EU. Georgia has an untapped trade potential not only in relation to trade in goods, but also services and public procurement. The DCFTA will help Georgia to diversify its economy and enhance regional trade with its neighbours and the broader paneuromed region.</w:t>
      </w:r>
    </w:p>
    <w:p>
      <w:pPr>
        <w:spacing w:line="276" w:lineRule="auto"/>
        <w:jc w:val="both"/>
        <w:rPr>
          <w:noProof/>
        </w:rPr>
      </w:pPr>
    </w:p>
    <w:p>
      <w:pPr>
        <w:spacing w:line="276" w:lineRule="auto"/>
        <w:jc w:val="both"/>
        <w:rPr>
          <w:noProof/>
        </w:rPr>
      </w:pPr>
      <w:r>
        <w:rPr>
          <w:noProof/>
        </w:rPr>
        <w:t xml:space="preserve">The </w:t>
      </w:r>
      <w:r>
        <w:rPr>
          <w:b/>
          <w:noProof/>
        </w:rPr>
        <w:t>continuation of the DCFTA implementation</w:t>
      </w:r>
      <w:r>
        <w:rPr>
          <w:noProof/>
        </w:rPr>
        <w:t xml:space="preserve">, notably through legal approximation (that has a dynamic character due to developments in the EU </w:t>
      </w:r>
      <w:r>
        <w:rPr>
          <w:i/>
          <w:noProof/>
        </w:rPr>
        <w:t>acquis</w:t>
      </w:r>
      <w:r>
        <w:rPr>
          <w:noProof/>
        </w:rPr>
        <w:t xml:space="preserve">) and institutional capacity building will require continuous efforts by Georgian authorities as well as on the EU side in terms of assisting Georgia in this process. To this end the Association Committee in Trade configuration as well as the </w:t>
      </w:r>
      <w:r>
        <w:rPr>
          <w:rFonts w:eastAsia="Times New Roman"/>
          <w:noProof/>
          <w:lang w:eastAsia="fr-BE"/>
        </w:rPr>
        <w:t>specialised Sub-Committees established under DCFTA remain the main fora for discussions and comprehensive evaluation of that progress. Simultaneously, i</w:t>
      </w:r>
      <w:r>
        <w:rPr>
          <w:rFonts w:eastAsia="Times New Roman"/>
          <w:noProof/>
        </w:rPr>
        <w:t>n order to</w:t>
      </w:r>
      <w:r>
        <w:rPr>
          <w:rFonts w:eastAsia="Times New Roman"/>
          <w:noProof/>
          <w:lang w:val="en-US"/>
        </w:rPr>
        <w:t xml:space="preserve"> effectively enhance exports from Georgia, the EU delivers financial and technical support to the reforms and administrative capacity building in trade-related areas like TBT (e.g. standardisation and metrology infrastructure; accreditation and surveillance system), SPS (notably in institutional capacity building in food safety control) as well as in promotion of producers organisations, value chain optimisation and the SMEs development. Improving the enforcement and governance of labour standards and working conditions is an important factor for Georgia to fully reap the benefits of the DCFTA and of the Assocation Agreement. </w:t>
      </w:r>
    </w:p>
    <w:p>
      <w:pPr>
        <w:pStyle w:val="ManualHeading1"/>
      </w:pPr>
      <w:bookmarkStart w:id="1178" w:name="_Toc8833543"/>
      <w:bookmarkStart w:id="1179" w:name="_Toc8835370"/>
      <w:bookmarkStart w:id="1180" w:name="_Toc8834000"/>
      <w:bookmarkStart w:id="1181" w:name="_Toc8909463"/>
      <w:bookmarkStart w:id="1182" w:name="_Toc8910675"/>
      <w:bookmarkStart w:id="1183" w:name="_Toc8911712"/>
      <w:bookmarkStart w:id="1184" w:name="_Toc8974533"/>
      <w:bookmarkStart w:id="1185" w:name="_Toc9008186"/>
      <w:bookmarkStart w:id="1186" w:name="_Toc9008589"/>
      <w:bookmarkStart w:id="1187" w:name="_Toc9348584"/>
      <w:bookmarkStart w:id="1188" w:name="_Toc9608035"/>
      <w:bookmarkStart w:id="1189" w:name="_Toc16000610"/>
      <w:r>
        <w:t>7.</w:t>
      </w:r>
      <w:r>
        <w:tab/>
        <w:t>Statistics</w:t>
      </w:r>
      <w:bookmarkEnd w:id="1178"/>
      <w:bookmarkEnd w:id="1179"/>
      <w:bookmarkEnd w:id="1180"/>
      <w:bookmarkEnd w:id="1181"/>
      <w:bookmarkEnd w:id="1182"/>
      <w:bookmarkEnd w:id="1183"/>
      <w:bookmarkEnd w:id="1184"/>
      <w:bookmarkEnd w:id="1185"/>
      <w:bookmarkEnd w:id="1186"/>
      <w:bookmarkEnd w:id="1187"/>
      <w:bookmarkEnd w:id="1188"/>
      <w:bookmarkEnd w:id="1189"/>
    </w:p>
    <w:p>
      <w:pPr>
        <w:rPr>
          <w:noProof/>
        </w:rPr>
      </w:pPr>
    </w:p>
    <w:tbl>
      <w:tblPr>
        <w:tblW w:w="6218" w:type="dxa"/>
        <w:tblInd w:w="108" w:type="dxa"/>
        <w:tblLook w:val="04A0" w:firstRow="1" w:lastRow="0" w:firstColumn="1" w:lastColumn="0" w:noHBand="0" w:noVBand="1"/>
      </w:tblPr>
      <w:tblGrid>
        <w:gridCol w:w="3647"/>
        <w:gridCol w:w="630"/>
        <w:gridCol w:w="630"/>
        <w:gridCol w:w="630"/>
        <w:gridCol w:w="630"/>
        <w:gridCol w:w="703"/>
      </w:tblGrid>
      <w:tr>
        <w:trPr>
          <w:trHeight w:val="210"/>
        </w:trPr>
        <w:tc>
          <w:tcPr>
            <w:tcW w:w="6218"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Merchandise trade EU28 2014-2018</w:t>
            </w:r>
          </w:p>
        </w:tc>
      </w:tr>
      <w:tr>
        <w:trPr>
          <w:trHeight w:val="210"/>
        </w:trPr>
        <w:tc>
          <w:tcPr>
            <w:tcW w:w="3647" w:type="dxa"/>
            <w:tcBorders>
              <w:top w:val="single" w:sz="4" w:space="0" w:color="auto"/>
              <w:left w:val="nil"/>
              <w:bottom w:val="single" w:sz="4" w:space="0" w:color="auto"/>
              <w:right w:val="nil"/>
            </w:tcBorders>
            <w:shd w:val="clear" w:color="000000" w:fill="FFFFFF"/>
            <w:noWrap/>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 </w:t>
            </w:r>
          </w:p>
        </w:tc>
        <w:tc>
          <w:tcPr>
            <w:tcW w:w="467"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467"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467"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467"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703"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r>
      <w:tr>
        <w:trPr>
          <w:trHeight w:val="210"/>
        </w:trPr>
        <w:tc>
          <w:tcPr>
            <w:tcW w:w="3647" w:type="dxa"/>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EU28 trade with Georgia (mio €)</w:t>
            </w:r>
          </w:p>
        </w:tc>
        <w:tc>
          <w:tcPr>
            <w:tcW w:w="467"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n-IE" w:eastAsia="en-IE"/>
              </w:rPr>
            </w:pPr>
          </w:p>
        </w:tc>
        <w:tc>
          <w:tcPr>
            <w:tcW w:w="467"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467"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467"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703"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r>
      <w:tr>
        <w:trPr>
          <w:trHeight w:val="210"/>
        </w:trPr>
        <w:tc>
          <w:tcPr>
            <w:tcW w:w="364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659</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735</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521</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663</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653</w:t>
            </w:r>
          </w:p>
        </w:tc>
      </w:tr>
      <w:tr>
        <w:trPr>
          <w:trHeight w:val="210"/>
        </w:trPr>
        <w:tc>
          <w:tcPr>
            <w:tcW w:w="364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1.909</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1.846</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1.969</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2.018</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2.114</w:t>
            </w:r>
          </w:p>
        </w:tc>
      </w:tr>
      <w:tr>
        <w:trPr>
          <w:trHeight w:val="210"/>
        </w:trPr>
        <w:tc>
          <w:tcPr>
            <w:tcW w:w="364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1.250</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1.111</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1.448</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1.355</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1.460</w:t>
            </w:r>
          </w:p>
        </w:tc>
      </w:tr>
      <w:tr>
        <w:trPr>
          <w:trHeight w:val="210"/>
        </w:trPr>
        <w:tc>
          <w:tcPr>
            <w:tcW w:w="3647" w:type="dxa"/>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Share Georgia in EU28 trade with Extra-EU28</w:t>
            </w:r>
          </w:p>
        </w:tc>
        <w:tc>
          <w:tcPr>
            <w:tcW w:w="467"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n-IE" w:eastAsia="en-IE"/>
              </w:rPr>
            </w:pPr>
          </w:p>
        </w:tc>
        <w:tc>
          <w:tcPr>
            <w:tcW w:w="467"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467"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467"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703"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r>
      <w:tr>
        <w:trPr>
          <w:trHeight w:val="210"/>
        </w:trPr>
        <w:tc>
          <w:tcPr>
            <w:tcW w:w="364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r>
      <w:tr>
        <w:trPr>
          <w:trHeight w:val="210"/>
        </w:trPr>
        <w:tc>
          <w:tcPr>
            <w:tcW w:w="364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r>
      <w:tr>
        <w:trPr>
          <w:trHeight w:val="210"/>
        </w:trPr>
        <w:tc>
          <w:tcPr>
            <w:tcW w:w="364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r>
      <w:tr>
        <w:trPr>
          <w:trHeight w:val="210"/>
        </w:trPr>
        <w:tc>
          <w:tcPr>
            <w:tcW w:w="6218"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Share EU28 in trade Georgia with world</w:t>
            </w:r>
          </w:p>
        </w:tc>
      </w:tr>
      <w:tr>
        <w:trPr>
          <w:trHeight w:val="210"/>
        </w:trPr>
        <w:tc>
          <w:tcPr>
            <w:tcW w:w="364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27,6%</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32,6%</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30,4%</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27,7%</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28,8%</w:t>
            </w:r>
          </w:p>
        </w:tc>
      </w:tr>
      <w:tr>
        <w:trPr>
          <w:trHeight w:val="210"/>
        </w:trPr>
        <w:tc>
          <w:tcPr>
            <w:tcW w:w="364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21,7%</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29,3%</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26,8%</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24,0%</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21,8%</w:t>
            </w:r>
          </w:p>
        </w:tc>
      </w:tr>
      <w:tr>
        <w:trPr>
          <w:trHeight w:val="210"/>
        </w:trPr>
        <w:tc>
          <w:tcPr>
            <w:tcW w:w="364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26,1%</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31,9%</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29,6%</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26,7%</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26,9%</w:t>
            </w:r>
          </w:p>
        </w:tc>
      </w:tr>
      <w:tr>
        <w:trPr>
          <w:trHeight w:val="225"/>
        </w:trPr>
        <w:tc>
          <w:tcPr>
            <w:tcW w:w="4581" w:type="dxa"/>
            <w:gridSpan w:val="3"/>
            <w:tcBorders>
              <w:top w:val="single" w:sz="4" w:space="0" w:color="auto"/>
              <w:left w:val="nil"/>
              <w:bottom w:val="nil"/>
              <w:right w:val="nil"/>
            </w:tcBorders>
            <w:shd w:val="clear" w:color="000000" w:fill="FFFFFF"/>
            <w:noWrap/>
            <w:vAlign w:val="bottom"/>
            <w:hideMark/>
          </w:tcPr>
          <w:p>
            <w:pPr>
              <w:rPr>
                <w:rFonts w:eastAsia="Times New Roman"/>
                <w:noProof/>
                <w:sz w:val="12"/>
                <w:szCs w:val="12"/>
                <w:lang w:val="en-IE" w:eastAsia="en-IE"/>
              </w:rPr>
            </w:pPr>
            <w:r>
              <w:rPr>
                <w:rFonts w:eastAsia="Times New Roman"/>
                <w:noProof/>
                <w:sz w:val="12"/>
                <w:szCs w:val="12"/>
                <w:lang w:val="en-IE" w:eastAsia="en-IE"/>
              </w:rPr>
              <w:t xml:space="preserve">Source Trade G2 Statistics/ISDB </w:t>
            </w:r>
          </w:p>
        </w:tc>
        <w:tc>
          <w:tcPr>
            <w:tcW w:w="467"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467"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703" w:type="dxa"/>
            <w:tcBorders>
              <w:top w:val="single" w:sz="4" w:space="0" w:color="auto"/>
              <w:left w:val="nil"/>
              <w:bottom w:val="nil"/>
              <w:right w:val="nil"/>
            </w:tcBorders>
            <w:shd w:val="clear" w:color="000000" w:fill="FFFFFF"/>
            <w:noWrap/>
            <w:hideMark/>
          </w:tcPr>
          <w:p>
            <w:pPr>
              <w:jc w:val="right"/>
              <w:rPr>
                <w:rFonts w:eastAsia="Times New Roman"/>
                <w:noProof/>
                <w:sz w:val="12"/>
                <w:szCs w:val="12"/>
                <w:lang w:val="en-IE" w:eastAsia="en-IE"/>
              </w:rPr>
            </w:pPr>
            <w:r>
              <w:rPr>
                <w:rFonts w:eastAsia="Times New Roman"/>
                <w:noProof/>
                <w:sz w:val="12"/>
                <w:szCs w:val="12"/>
                <w:lang w:val="en-IE" w:eastAsia="en-IE"/>
              </w:rPr>
              <w:t>25-mars-19</w:t>
            </w:r>
          </w:p>
        </w:tc>
      </w:tr>
      <w:tr>
        <w:trPr>
          <w:trHeight w:val="210"/>
        </w:trPr>
        <w:tc>
          <w:tcPr>
            <w:tcW w:w="5048" w:type="dxa"/>
            <w:gridSpan w:val="4"/>
            <w:tcBorders>
              <w:top w:val="nil"/>
              <w:left w:val="nil"/>
              <w:bottom w:val="nil"/>
              <w:right w:val="nil"/>
            </w:tcBorders>
            <w:shd w:val="clear" w:color="000000" w:fill="FFFFFF"/>
            <w:noWrap/>
            <w:hideMark/>
          </w:tcPr>
          <w:p>
            <w:pPr>
              <w:rPr>
                <w:rFonts w:eastAsia="Times New Roman"/>
                <w:noProof/>
                <w:color w:val="000000"/>
                <w:sz w:val="12"/>
                <w:szCs w:val="12"/>
                <w:lang w:val="en-IE" w:eastAsia="en-IE"/>
              </w:rPr>
            </w:pPr>
            <w:r>
              <w:rPr>
                <w:rFonts w:eastAsia="Times New Roman"/>
                <w:noProof/>
                <w:color w:val="000000"/>
                <w:sz w:val="12"/>
                <w:szCs w:val="12"/>
                <w:lang w:val="en-IE" w:eastAsia="en-IE"/>
              </w:rPr>
              <w:t>Trade EU28: Eurostat COMEXT;  Trade Georgia: IMF Dots</w:t>
            </w:r>
          </w:p>
        </w:tc>
        <w:tc>
          <w:tcPr>
            <w:tcW w:w="467"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10"/>
        </w:trPr>
        <w:tc>
          <w:tcPr>
            <w:tcW w:w="3647"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467"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467"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467"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467"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25"/>
        </w:trPr>
        <w:tc>
          <w:tcPr>
            <w:tcW w:w="6218"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Total merchandise trade EU28 with Georgia (mio €)</w:t>
            </w:r>
          </w:p>
        </w:tc>
      </w:tr>
      <w:tr>
        <w:trPr>
          <w:trHeight w:val="225"/>
        </w:trPr>
        <w:tc>
          <w:tcPr>
            <w:tcW w:w="4114"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Georgia</w:t>
            </w:r>
          </w:p>
        </w:tc>
        <w:tc>
          <w:tcPr>
            <w:tcW w:w="467"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467"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170"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114"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67"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67"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67"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64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663</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653</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w:t>
            </w:r>
          </w:p>
        </w:tc>
      </w:tr>
      <w:tr>
        <w:trPr>
          <w:trHeight w:val="225"/>
        </w:trPr>
        <w:tc>
          <w:tcPr>
            <w:tcW w:w="364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2.018</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2.114</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95</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4,7%</w:t>
            </w:r>
          </w:p>
        </w:tc>
      </w:tr>
      <w:tr>
        <w:trPr>
          <w:trHeight w:val="225"/>
        </w:trPr>
        <w:tc>
          <w:tcPr>
            <w:tcW w:w="364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1.355</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1.460</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106</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647"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67"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2.682</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2.767</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85</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3,2%</w:t>
            </w:r>
          </w:p>
        </w:tc>
      </w:tr>
      <w:tr>
        <w:trPr>
          <w:trHeight w:val="240"/>
        </w:trPr>
        <w:tc>
          <w:tcPr>
            <w:tcW w:w="5048"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467"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6218"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Agrifood trade EU28 with Georgia (mio €)</w:t>
            </w:r>
          </w:p>
        </w:tc>
      </w:tr>
      <w:tr>
        <w:trPr>
          <w:trHeight w:val="255"/>
        </w:trPr>
        <w:tc>
          <w:tcPr>
            <w:tcW w:w="4114"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Georgia</w:t>
            </w:r>
          </w:p>
        </w:tc>
        <w:tc>
          <w:tcPr>
            <w:tcW w:w="467"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467"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170"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114"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67"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67"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67"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64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118</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116</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w:t>
            </w:r>
          </w:p>
        </w:tc>
      </w:tr>
      <w:tr>
        <w:trPr>
          <w:trHeight w:val="225"/>
        </w:trPr>
        <w:tc>
          <w:tcPr>
            <w:tcW w:w="364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247</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247</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r>
      <w:tr>
        <w:trPr>
          <w:trHeight w:val="225"/>
        </w:trPr>
        <w:tc>
          <w:tcPr>
            <w:tcW w:w="364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130</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130</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647"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365</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363</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-0,5%</w:t>
            </w:r>
          </w:p>
        </w:tc>
      </w:tr>
      <w:tr>
        <w:trPr>
          <w:trHeight w:val="240"/>
        </w:trPr>
        <w:tc>
          <w:tcPr>
            <w:tcW w:w="5048"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467"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6218"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NAMA trade EU28 with Georgia (mio €)</w:t>
            </w:r>
          </w:p>
        </w:tc>
      </w:tr>
      <w:tr>
        <w:trPr>
          <w:trHeight w:val="225"/>
        </w:trPr>
        <w:tc>
          <w:tcPr>
            <w:tcW w:w="4114"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Georgia</w:t>
            </w:r>
          </w:p>
        </w:tc>
        <w:tc>
          <w:tcPr>
            <w:tcW w:w="467"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467"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170"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114"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67"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67"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67"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4114"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imports</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546</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537</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w:t>
            </w:r>
          </w:p>
        </w:tc>
      </w:tr>
      <w:tr>
        <w:trPr>
          <w:trHeight w:val="225"/>
        </w:trPr>
        <w:tc>
          <w:tcPr>
            <w:tcW w:w="4114"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exports</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1.771</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1.867</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96</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5,4%</w:t>
            </w:r>
          </w:p>
        </w:tc>
      </w:tr>
      <w:tr>
        <w:trPr>
          <w:trHeight w:val="225"/>
        </w:trPr>
        <w:tc>
          <w:tcPr>
            <w:tcW w:w="364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1.225</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1.330</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105</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64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2.317</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2.403</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87</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3,7%</w:t>
            </w:r>
          </w:p>
        </w:tc>
      </w:tr>
      <w:tr>
        <w:trPr>
          <w:trHeight w:val="240"/>
        </w:trPr>
        <w:tc>
          <w:tcPr>
            <w:tcW w:w="5048"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467" w:type="dxa"/>
            <w:tcBorders>
              <w:top w:val="single" w:sz="4" w:space="0" w:color="auto"/>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5048" w:type="dxa"/>
            <w:gridSpan w:val="4"/>
            <w:tcBorders>
              <w:top w:val="nil"/>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Services trade EU28 with Georgia (mio €)</w:t>
            </w:r>
          </w:p>
        </w:tc>
        <w:tc>
          <w:tcPr>
            <w:tcW w:w="467" w:type="dxa"/>
            <w:tcBorders>
              <w:top w:val="nil"/>
              <w:left w:val="nil"/>
              <w:bottom w:val="nil"/>
              <w:right w:val="nil"/>
            </w:tcBorders>
            <w:shd w:val="clear" w:color="000000" w:fill="FFFFFF"/>
            <w:noWrap/>
            <w:vAlign w:val="center"/>
            <w:hideMark/>
          </w:tcPr>
          <w:p>
            <w:pPr>
              <w:rPr>
                <w:rFonts w:eastAsia="Times New Roman"/>
                <w:b/>
                <w:bCs/>
                <w:noProof/>
                <w:sz w:val="16"/>
                <w:szCs w:val="16"/>
                <w:lang w:val="en-IE" w:eastAsia="en-IE"/>
              </w:rPr>
            </w:pPr>
            <w:r>
              <w:rPr>
                <w:rFonts w:eastAsia="Times New Roman"/>
                <w:b/>
                <w:bCs/>
                <w:noProof/>
                <w:sz w:val="16"/>
                <w:szCs w:val="16"/>
                <w:lang w:val="en-IE" w:eastAsia="en-IE"/>
              </w:rPr>
              <w:t> </w:t>
            </w:r>
          </w:p>
        </w:tc>
        <w:tc>
          <w:tcPr>
            <w:tcW w:w="703" w:type="dxa"/>
            <w:tcBorders>
              <w:top w:val="nil"/>
              <w:left w:val="nil"/>
              <w:bottom w:val="nil"/>
              <w:right w:val="nil"/>
            </w:tcBorders>
            <w:shd w:val="clear" w:color="000000" w:fill="FFFFFF"/>
            <w:noWrap/>
            <w:vAlign w:val="center"/>
            <w:hideMark/>
          </w:tcPr>
          <w:p>
            <w:pPr>
              <w:rPr>
                <w:rFonts w:eastAsia="Times New Roman"/>
                <w:b/>
                <w:bCs/>
                <w:noProof/>
                <w:sz w:val="16"/>
                <w:szCs w:val="16"/>
                <w:lang w:val="en-IE" w:eastAsia="en-IE"/>
              </w:rPr>
            </w:pPr>
            <w:r>
              <w:rPr>
                <w:rFonts w:eastAsia="Times New Roman"/>
                <w:b/>
                <w:bCs/>
                <w:noProof/>
                <w:sz w:val="16"/>
                <w:szCs w:val="16"/>
                <w:lang w:val="en-IE" w:eastAsia="en-IE"/>
              </w:rPr>
              <w:t> </w:t>
            </w:r>
          </w:p>
        </w:tc>
      </w:tr>
      <w:tr>
        <w:trPr>
          <w:trHeight w:val="225"/>
        </w:trPr>
        <w:tc>
          <w:tcPr>
            <w:tcW w:w="4114"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Georgia</w:t>
            </w:r>
          </w:p>
        </w:tc>
        <w:tc>
          <w:tcPr>
            <w:tcW w:w="467"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467"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1170"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114"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67"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467"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467"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64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287</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365</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78</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27,1%</w:t>
            </w:r>
          </w:p>
        </w:tc>
      </w:tr>
      <w:tr>
        <w:trPr>
          <w:trHeight w:val="225"/>
        </w:trPr>
        <w:tc>
          <w:tcPr>
            <w:tcW w:w="364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417</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492</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75</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17,9%</w:t>
            </w:r>
          </w:p>
        </w:tc>
      </w:tr>
      <w:tr>
        <w:trPr>
          <w:trHeight w:val="225"/>
        </w:trPr>
        <w:tc>
          <w:tcPr>
            <w:tcW w:w="364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130</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127</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647"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67"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704</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857</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153</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21,7%</w:t>
            </w:r>
          </w:p>
        </w:tc>
      </w:tr>
      <w:tr>
        <w:trPr>
          <w:trHeight w:val="240"/>
        </w:trPr>
        <w:tc>
          <w:tcPr>
            <w:tcW w:w="5515" w:type="dxa"/>
            <w:gridSpan w:val="5"/>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703"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40"/>
        </w:trPr>
        <w:tc>
          <w:tcPr>
            <w:tcW w:w="6218"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Services trade EU28 with Georgia (mio €)</w:t>
            </w:r>
          </w:p>
        </w:tc>
      </w:tr>
      <w:tr>
        <w:trPr>
          <w:trHeight w:val="225"/>
        </w:trPr>
        <w:tc>
          <w:tcPr>
            <w:tcW w:w="3647"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467"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467"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467"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703"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364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292</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272</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292</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287</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365</w:t>
            </w:r>
          </w:p>
        </w:tc>
      </w:tr>
      <w:tr>
        <w:trPr>
          <w:trHeight w:val="225"/>
        </w:trPr>
        <w:tc>
          <w:tcPr>
            <w:tcW w:w="364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494</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597</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567</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417</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492</w:t>
            </w:r>
          </w:p>
        </w:tc>
      </w:tr>
      <w:tr>
        <w:trPr>
          <w:trHeight w:val="225"/>
        </w:trPr>
        <w:tc>
          <w:tcPr>
            <w:tcW w:w="364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202</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325</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275</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130</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127</w:t>
            </w:r>
          </w:p>
        </w:tc>
      </w:tr>
      <w:tr>
        <w:trPr>
          <w:trHeight w:val="225"/>
        </w:trPr>
        <w:tc>
          <w:tcPr>
            <w:tcW w:w="3647"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786</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869</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860</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704</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857</w:t>
            </w:r>
          </w:p>
        </w:tc>
      </w:tr>
      <w:tr>
        <w:trPr>
          <w:trHeight w:val="225"/>
        </w:trPr>
        <w:tc>
          <w:tcPr>
            <w:tcW w:w="3647"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467"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 </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6218"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FDI EU28 with Georgia (mio €)</w:t>
            </w:r>
          </w:p>
        </w:tc>
      </w:tr>
      <w:tr>
        <w:trPr>
          <w:trHeight w:val="225"/>
        </w:trPr>
        <w:tc>
          <w:tcPr>
            <w:tcW w:w="3647"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467"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467"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467"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703"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6218"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Stocks</w:t>
            </w:r>
          </w:p>
        </w:tc>
      </w:tr>
      <w:tr>
        <w:trPr>
          <w:trHeight w:val="225"/>
        </w:trPr>
        <w:tc>
          <w:tcPr>
            <w:tcW w:w="364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97</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89</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141</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37</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150</w:t>
            </w:r>
          </w:p>
        </w:tc>
      </w:tr>
      <w:tr>
        <w:trPr>
          <w:trHeight w:val="225"/>
        </w:trPr>
        <w:tc>
          <w:tcPr>
            <w:tcW w:w="364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3.101</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3.984</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3.918</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1.636</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1.610</w:t>
            </w:r>
          </w:p>
        </w:tc>
      </w:tr>
      <w:tr>
        <w:trPr>
          <w:trHeight w:val="225"/>
        </w:trPr>
        <w:tc>
          <w:tcPr>
            <w:tcW w:w="6218"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Flows</w:t>
            </w:r>
          </w:p>
        </w:tc>
      </w:tr>
      <w:tr>
        <w:trPr>
          <w:trHeight w:val="225"/>
        </w:trPr>
        <w:tc>
          <w:tcPr>
            <w:tcW w:w="364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-76</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117</w:t>
            </w:r>
          </w:p>
        </w:tc>
      </w:tr>
      <w:tr>
        <w:trPr>
          <w:trHeight w:val="225"/>
        </w:trPr>
        <w:tc>
          <w:tcPr>
            <w:tcW w:w="364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154</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218</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209</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-1.797</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115</w:t>
            </w:r>
          </w:p>
        </w:tc>
      </w:tr>
      <w:tr>
        <w:trPr>
          <w:trHeight w:val="225"/>
        </w:trPr>
        <w:tc>
          <w:tcPr>
            <w:tcW w:w="3647" w:type="dxa"/>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467"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 </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bl>
    <w:p>
      <w:pPr>
        <w:rPr>
          <w:noProof/>
        </w:rPr>
      </w:pPr>
    </w:p>
    <w:p>
      <w:pPr>
        <w:rPr>
          <w:noProof/>
        </w:rPr>
      </w:pPr>
    </w:p>
    <w:p>
      <w:pPr>
        <w:spacing w:after="200" w:line="276" w:lineRule="auto"/>
        <w:rPr>
          <w:noProof/>
        </w:rPr>
      </w:pPr>
      <w:r>
        <w:rPr>
          <w:noProof/>
        </w:rPr>
        <w:br w:type="page"/>
      </w:r>
    </w:p>
    <w:p>
      <w:pPr>
        <w:pStyle w:val="ChapterHead"/>
        <w:jc w:val="both"/>
        <w:rPr>
          <w:rFonts w:eastAsia="Times New Roman"/>
          <w:b/>
          <w:noProof/>
        </w:rPr>
      </w:pPr>
      <w:bookmarkStart w:id="1190" w:name="_Toc9348585"/>
      <w:bookmarkStart w:id="1191" w:name="_Toc9608036"/>
      <w:bookmarkStart w:id="1192" w:name="_Toc16000611"/>
      <w:r>
        <w:rPr>
          <w:b/>
          <w:noProof/>
        </w:rPr>
        <w:t>ANNUAL REPORT ON THE IMPLEMENTATION OF THE DEEP AND COMPREHENSIVE FREE TRADE AREA (DCFTA) BETWEEN THE EU AND ITS MEMBER STATES AND MOLDOVA</w:t>
      </w:r>
      <w:bookmarkEnd w:id="1190"/>
      <w:bookmarkEnd w:id="1191"/>
      <w:bookmarkEnd w:id="1192"/>
      <w:r>
        <w:rPr>
          <w:rFonts w:eastAsia="Times New Roman"/>
          <w:b/>
          <w:noProof/>
        </w:rPr>
        <w:t xml:space="preserve"> </w:t>
      </w:r>
    </w:p>
    <w:p>
      <w:pPr>
        <w:jc w:val="both"/>
        <w:rPr>
          <w:rFonts w:eastAsia="Times New Roman"/>
          <w:noProof/>
        </w:rPr>
      </w:pPr>
      <w:r>
        <w:rPr>
          <w:rFonts w:eastAsia="Times New Roman"/>
          <w:noProof/>
        </w:rPr>
        <w:t>The Deep and Comprehensive Free Trade Area (DCFTA) between the EU and Moldova as the main economic pillar of the Association Agreement (AA)</w:t>
      </w:r>
      <w:r>
        <w:rPr>
          <w:rFonts w:eastAsia="Times New Roman"/>
          <w:noProof/>
          <w:vertAlign w:val="superscript"/>
        </w:rPr>
        <w:footnoteReference w:id="40"/>
      </w:r>
      <w:r>
        <w:rPr>
          <w:rFonts w:eastAsia="Times New Roman"/>
          <w:noProof/>
        </w:rPr>
        <w:t xml:space="preserve"> has been provisionally applied since 1 September 2014 and fully entered into force on 1 July 2016. The DCFTA (Title V of the AA) also applies to Transnistria from 1 January 2016, as per Decision No 1/2015 of the EU-Republic of Moldova Association Council. The EU monitors the implementation of these arrangements and its adherence by the Republic of Moldova and Transnistria on a yearly basis, and progress is assessed in the framework of the annual Association Committee on Trade configuration.</w:t>
      </w:r>
    </w:p>
    <w:p>
      <w:pPr>
        <w:jc w:val="both"/>
        <w:rPr>
          <w:rFonts w:eastAsia="Times New Roman"/>
          <w:noProof/>
        </w:rPr>
      </w:pPr>
    </w:p>
    <w:p>
      <w:pPr>
        <w:jc w:val="both"/>
        <w:rPr>
          <w:rFonts w:eastAsia="Times New Roman"/>
          <w:noProof/>
        </w:rPr>
      </w:pPr>
      <w:r>
        <w:rPr>
          <w:rFonts w:eastAsia="Times New Roman"/>
          <w:noProof/>
        </w:rPr>
        <w:t>This third report on the implementation of the EU-Moldova DCFTA has been prepared in accordance with the provisions of the Regulation implementing the safeguard clause and the anti-circumvention mechanism.</w:t>
      </w:r>
      <w:r>
        <w:rPr>
          <w:rFonts w:eastAsia="Times New Roman"/>
          <w:noProof/>
          <w:vertAlign w:val="superscript"/>
        </w:rPr>
        <w:footnoteReference w:id="41"/>
      </w:r>
      <w:r>
        <w:rPr>
          <w:rFonts w:eastAsia="Times New Roman"/>
          <w:noProof/>
        </w:rPr>
        <w:t xml:space="preserve"> In addition to providing an overview of the evolution of EU-Moldova trade, information about the application of trade defence measures and the anti-circumvention mechanism has been included. </w:t>
      </w:r>
    </w:p>
    <w:p>
      <w:pPr>
        <w:pStyle w:val="ManualHeading1"/>
      </w:pPr>
      <w:bookmarkStart w:id="1193" w:name="_Toc8833544"/>
      <w:bookmarkStart w:id="1194" w:name="_Toc8835371"/>
      <w:bookmarkStart w:id="1195" w:name="_Toc8834001"/>
      <w:bookmarkStart w:id="1196" w:name="_Toc8909464"/>
      <w:bookmarkStart w:id="1197" w:name="_Toc8910676"/>
      <w:bookmarkStart w:id="1198" w:name="_Toc8911713"/>
      <w:bookmarkStart w:id="1199" w:name="_Toc8974534"/>
      <w:bookmarkStart w:id="1200" w:name="_Toc9008187"/>
      <w:bookmarkStart w:id="1201" w:name="_Toc9008590"/>
      <w:bookmarkStart w:id="1202" w:name="_Toc9348586"/>
      <w:bookmarkStart w:id="1203" w:name="_Toc9608037"/>
      <w:bookmarkStart w:id="1204" w:name="_Toc16000612"/>
      <w:r>
        <w:t>1</w:t>
      </w:r>
      <w:r>
        <w:tab/>
        <w:t>Evolution of trade</w:t>
      </w:r>
      <w:bookmarkEnd w:id="1193"/>
      <w:bookmarkEnd w:id="1194"/>
      <w:bookmarkEnd w:id="1195"/>
      <w:bookmarkEnd w:id="1196"/>
      <w:bookmarkEnd w:id="1197"/>
      <w:bookmarkEnd w:id="1198"/>
      <w:bookmarkEnd w:id="1199"/>
      <w:bookmarkEnd w:id="1200"/>
      <w:bookmarkEnd w:id="1201"/>
      <w:bookmarkEnd w:id="1202"/>
      <w:bookmarkEnd w:id="1203"/>
      <w:bookmarkEnd w:id="1204"/>
    </w:p>
    <w:p>
      <w:pPr>
        <w:pStyle w:val="Heading2"/>
        <w:ind w:left="0" w:firstLine="0"/>
      </w:pPr>
      <w:bookmarkStart w:id="1205" w:name="_Toc8833545"/>
      <w:bookmarkStart w:id="1206" w:name="_Toc8835372"/>
      <w:bookmarkStart w:id="1207" w:name="_Toc8834002"/>
      <w:bookmarkStart w:id="1208" w:name="_Toc8909465"/>
      <w:bookmarkStart w:id="1209" w:name="_Toc8910677"/>
      <w:bookmarkStart w:id="1210" w:name="_Toc8911714"/>
      <w:bookmarkStart w:id="1211" w:name="_Toc8974535"/>
      <w:bookmarkStart w:id="1212" w:name="_Toc9008188"/>
      <w:bookmarkStart w:id="1213" w:name="_Toc9008591"/>
      <w:bookmarkStart w:id="1214" w:name="_Toc9348587"/>
      <w:bookmarkStart w:id="1215" w:name="_Toc9608038"/>
      <w:bookmarkStart w:id="1216" w:name="_Toc16000613"/>
      <w:r>
        <w:t>1.1 Trade in goods overall</w:t>
      </w:r>
      <w:bookmarkEnd w:id="1205"/>
      <w:bookmarkEnd w:id="1206"/>
      <w:bookmarkEnd w:id="1207"/>
      <w:bookmarkEnd w:id="1208"/>
      <w:bookmarkEnd w:id="1209"/>
      <w:bookmarkEnd w:id="1210"/>
      <w:bookmarkEnd w:id="1211"/>
      <w:bookmarkEnd w:id="1212"/>
      <w:bookmarkEnd w:id="1213"/>
      <w:bookmarkEnd w:id="1214"/>
      <w:bookmarkEnd w:id="1215"/>
      <w:bookmarkEnd w:id="1216"/>
    </w:p>
    <w:p>
      <w:pPr>
        <w:pStyle w:val="Heading3"/>
        <w:ind w:left="0" w:firstLine="0"/>
        <w:rPr>
          <w:noProof/>
        </w:rPr>
      </w:pPr>
      <w:bookmarkStart w:id="1217" w:name="_Toc8833546"/>
      <w:bookmarkStart w:id="1218" w:name="_Toc8835373"/>
      <w:bookmarkStart w:id="1219" w:name="_Toc8834003"/>
      <w:bookmarkStart w:id="1220" w:name="_Toc8909466"/>
      <w:bookmarkStart w:id="1221" w:name="_Toc8910678"/>
      <w:bookmarkStart w:id="1222" w:name="_Toc8911715"/>
      <w:bookmarkStart w:id="1223" w:name="_Toc8974536"/>
      <w:bookmarkStart w:id="1224" w:name="_Toc9008189"/>
      <w:bookmarkStart w:id="1225" w:name="_Toc9008592"/>
      <w:bookmarkStart w:id="1226" w:name="_Toc9348588"/>
      <w:bookmarkStart w:id="1227" w:name="_Toc9608039"/>
      <w:bookmarkStart w:id="1228" w:name="_Toc16000614"/>
      <w:r>
        <w:rPr>
          <w:noProof/>
        </w:rPr>
        <w:t>The scope of trade liberalisation</w:t>
      </w:r>
      <w:bookmarkEnd w:id="1217"/>
      <w:bookmarkEnd w:id="1218"/>
      <w:bookmarkEnd w:id="1219"/>
      <w:bookmarkEnd w:id="1220"/>
      <w:bookmarkEnd w:id="1221"/>
      <w:bookmarkEnd w:id="1222"/>
      <w:bookmarkEnd w:id="1223"/>
      <w:bookmarkEnd w:id="1224"/>
      <w:bookmarkEnd w:id="1225"/>
      <w:bookmarkEnd w:id="1226"/>
      <w:bookmarkEnd w:id="1227"/>
      <w:bookmarkEnd w:id="1228"/>
    </w:p>
    <w:p>
      <w:pPr>
        <w:jc w:val="both"/>
        <w:rPr>
          <w:rFonts w:eastAsia="Times New Roman"/>
          <w:noProof/>
        </w:rPr>
      </w:pPr>
      <w:r>
        <w:rPr>
          <w:rFonts w:eastAsia="Times New Roman"/>
          <w:noProof/>
        </w:rPr>
        <w:t xml:space="preserve">At the start of the DCFTA provisional application on 1 September 2014, the European Union eliminated all customs duties on goods imported from Moldova except six agricultural products i.e. apples, table grapes, plums, grape juice, garlic and tomatoes, that are subject to annual duty-free Tariff Rate Quotas (TRQs). Further to that, the EU has eliminated the </w:t>
      </w:r>
      <w:r>
        <w:rPr>
          <w:rFonts w:eastAsia="Times New Roman"/>
          <w:bCs/>
          <w:i/>
          <w:iCs/>
          <w:noProof/>
        </w:rPr>
        <w:t xml:space="preserve">ad valorem </w:t>
      </w:r>
      <w:r>
        <w:rPr>
          <w:rFonts w:eastAsia="Times New Roman"/>
          <w:bCs/>
          <w:noProof/>
        </w:rPr>
        <w:t>component of the import duty</w:t>
      </w:r>
      <w:r>
        <w:rPr>
          <w:rFonts w:eastAsia="Times New Roman"/>
          <w:noProof/>
        </w:rPr>
        <w:t xml:space="preserve"> for twenty agricultural products (the entry prices for fruits and vegetables remain)</w:t>
      </w:r>
      <w:r>
        <w:rPr>
          <w:rFonts w:eastAsia="Times New Roman"/>
          <w:bCs/>
          <w:noProof/>
        </w:rPr>
        <w:t>.</w:t>
      </w:r>
      <w:r>
        <w:rPr>
          <w:rFonts w:eastAsia="Times New Roman"/>
          <w:b/>
          <w:bCs/>
          <w:noProof/>
        </w:rPr>
        <w:t xml:space="preserve"> </w:t>
      </w:r>
      <w:r>
        <w:rPr>
          <w:rFonts w:eastAsia="Times New Roman"/>
          <w:noProof/>
        </w:rPr>
        <w:t xml:space="preserve">Import of 14 groups of agricultural and processed agricultural products (pig meat, poultry, dairy products and processed dairy products, eggs and albumins, cereals and processed cereals, sugar and sugar processed goods, cigarettes and sweet corn) is duty-free but monitored under </w:t>
      </w:r>
      <w:r>
        <w:rPr>
          <w:rFonts w:eastAsia="Times New Roman"/>
          <w:b/>
          <w:noProof/>
        </w:rPr>
        <w:t>anti-circumvention mechanism</w:t>
      </w:r>
      <w:r>
        <w:rPr>
          <w:rFonts w:eastAsia="Times New Roman"/>
          <w:noProof/>
        </w:rPr>
        <w:t xml:space="preserve"> (if the imports to the EU reaches certain agreed levels and Moldova fails to provide the origin of these imports, the EU may temporarily suspend the preferential treatment of the products concerned).</w:t>
      </w:r>
    </w:p>
    <w:p>
      <w:pPr>
        <w:jc w:val="both"/>
        <w:rPr>
          <w:rFonts w:eastAsia="Times New Roman"/>
          <w:noProof/>
        </w:rPr>
      </w:pPr>
    </w:p>
    <w:p>
      <w:pPr>
        <w:jc w:val="both"/>
        <w:rPr>
          <w:rFonts w:eastAsia="Times New Roman"/>
          <w:noProof/>
        </w:rPr>
      </w:pPr>
      <w:r>
        <w:rPr>
          <w:rFonts w:eastAsia="Times New Roman"/>
          <w:noProof/>
        </w:rPr>
        <w:t xml:space="preserve">Moldova liberalised import duties on 93.6% of tariff lines for goods imported from the EU at the start of provisional application of the DCFTA. One per cent of tariff lines (for agricultural products) are covered by preferential TRQs (pork meat, poultry meat, dairy, prepared meat, sugar). Customs duties on 4.8% of products in terms of tariff lines are to be liberalised in stages (3, 5, 7 or 10 years; the longest liberalisation period applies to agri-food products). This schedule of tariff elimination reflects an asymmetric market opening for the benefit of Moldova. </w:t>
      </w:r>
    </w:p>
    <w:p>
      <w:pPr>
        <w:pStyle w:val="Heading3"/>
        <w:ind w:left="0" w:firstLine="0"/>
        <w:rPr>
          <w:noProof/>
        </w:rPr>
      </w:pPr>
      <w:bookmarkStart w:id="1229" w:name="_Toc8833547"/>
      <w:bookmarkStart w:id="1230" w:name="_Toc8835374"/>
      <w:bookmarkStart w:id="1231" w:name="_Toc8834004"/>
      <w:bookmarkStart w:id="1232" w:name="_Toc8909467"/>
      <w:bookmarkStart w:id="1233" w:name="_Toc8910679"/>
      <w:bookmarkStart w:id="1234" w:name="_Toc8911716"/>
      <w:bookmarkStart w:id="1235" w:name="_Toc8974537"/>
      <w:bookmarkStart w:id="1236" w:name="_Toc9008190"/>
      <w:bookmarkStart w:id="1237" w:name="_Toc9008593"/>
      <w:bookmarkStart w:id="1238" w:name="_Toc9348589"/>
      <w:bookmarkStart w:id="1239" w:name="_Toc9608040"/>
      <w:bookmarkStart w:id="1240" w:name="_Toc16000615"/>
      <w:r>
        <w:rPr>
          <w:noProof/>
        </w:rPr>
        <w:t>Overall evolution of EU-Moldova trade in goods</w:t>
      </w:r>
      <w:bookmarkEnd w:id="1229"/>
      <w:bookmarkEnd w:id="1230"/>
      <w:bookmarkEnd w:id="1231"/>
      <w:bookmarkEnd w:id="1232"/>
      <w:bookmarkEnd w:id="1233"/>
      <w:bookmarkEnd w:id="1234"/>
      <w:bookmarkEnd w:id="1235"/>
      <w:bookmarkEnd w:id="1236"/>
      <w:bookmarkEnd w:id="1237"/>
      <w:bookmarkEnd w:id="1238"/>
      <w:bookmarkEnd w:id="1239"/>
      <w:bookmarkEnd w:id="1240"/>
    </w:p>
    <w:p>
      <w:pPr>
        <w:jc w:val="both"/>
        <w:rPr>
          <w:rFonts w:eastAsia="Times New Roman"/>
          <w:noProof/>
        </w:rPr>
      </w:pPr>
      <w:r>
        <w:rPr>
          <w:rFonts w:eastAsia="Times New Roman"/>
          <w:noProof/>
        </w:rPr>
        <w:t>The</w:t>
      </w:r>
      <w:r>
        <w:rPr>
          <w:rFonts w:eastAsia="Times New Roman"/>
          <w:b/>
          <w:noProof/>
        </w:rPr>
        <w:t xml:space="preserve"> EU in 2018 remained a key trade partner of Moldova, accounting for 56% of its total trade </w:t>
      </w:r>
      <w:r>
        <w:rPr>
          <w:rFonts w:eastAsia="Times New Roman"/>
          <w:noProof/>
        </w:rPr>
        <w:t xml:space="preserve">(70% of total exports and 50% of Moldova’s total imports), followed by Russia (8%) and Belarus (3%). </w:t>
      </w:r>
      <w:r>
        <w:rPr>
          <w:rFonts w:eastAsia="Times New Roman"/>
          <w:b/>
          <w:noProof/>
        </w:rPr>
        <w:t>Moldova is EU’s 61</w:t>
      </w:r>
      <w:r>
        <w:rPr>
          <w:rFonts w:eastAsia="Times New Roman"/>
          <w:b/>
          <w:noProof/>
          <w:vertAlign w:val="superscript"/>
        </w:rPr>
        <w:t>st</w:t>
      </w:r>
      <w:r>
        <w:rPr>
          <w:rFonts w:eastAsia="Times New Roman"/>
          <w:b/>
          <w:noProof/>
        </w:rPr>
        <w:t xml:space="preserve"> trade</w:t>
      </w:r>
      <w:r>
        <w:rPr>
          <w:rFonts w:eastAsia="Times New Roman"/>
          <w:noProof/>
        </w:rPr>
        <w:t xml:space="preserve"> </w:t>
      </w:r>
      <w:r>
        <w:rPr>
          <w:rFonts w:eastAsia="Times New Roman"/>
          <w:b/>
          <w:noProof/>
        </w:rPr>
        <w:t>partner</w:t>
      </w:r>
      <w:r>
        <w:rPr>
          <w:rFonts w:eastAsia="Times New Roman"/>
          <w:noProof/>
        </w:rPr>
        <w:t xml:space="preserve">. In 2018, the </w:t>
      </w:r>
      <w:r>
        <w:rPr>
          <w:rFonts w:eastAsia="Times New Roman"/>
          <w:b/>
          <w:noProof/>
        </w:rPr>
        <w:t xml:space="preserve">EU maintained a trade surplus with Moldova </w:t>
      </w:r>
      <w:r>
        <w:rPr>
          <w:rFonts w:eastAsia="Times New Roman"/>
          <w:noProof/>
        </w:rPr>
        <w:t>which</w:t>
      </w:r>
      <w:r>
        <w:rPr>
          <w:rFonts w:eastAsia="Times New Roman"/>
          <w:b/>
          <w:noProof/>
        </w:rPr>
        <w:t xml:space="preserve"> </w:t>
      </w:r>
      <w:r>
        <w:rPr>
          <w:rFonts w:eastAsia="Times New Roman"/>
          <w:noProof/>
        </w:rPr>
        <w:t xml:space="preserve">increased to €880 million. </w:t>
      </w:r>
    </w:p>
    <w:p>
      <w:pPr>
        <w:jc w:val="both"/>
        <w:rPr>
          <w:rFonts w:eastAsia="Times New Roman"/>
          <w:noProof/>
        </w:rPr>
      </w:pPr>
    </w:p>
    <w:p>
      <w:pPr>
        <w:jc w:val="both"/>
        <w:rPr>
          <w:rFonts w:eastAsia="Times New Roman"/>
          <w:noProof/>
        </w:rPr>
      </w:pPr>
      <w:r>
        <w:rPr>
          <w:rFonts w:eastAsia="Times New Roman"/>
          <w:noProof/>
        </w:rPr>
        <w:t xml:space="preserve">In 2018, the </w:t>
      </w:r>
      <w:r>
        <w:rPr>
          <w:rFonts w:eastAsia="Times New Roman"/>
          <w:b/>
          <w:noProof/>
        </w:rPr>
        <w:t>total trade</w:t>
      </w:r>
      <w:r>
        <w:rPr>
          <w:rFonts w:eastAsia="Times New Roman"/>
          <w:noProof/>
        </w:rPr>
        <w:t xml:space="preserve"> between the EU and Moldova grew by 14% compared to 2017 to slighlty over </w:t>
      </w:r>
      <w:r>
        <w:rPr>
          <w:rFonts w:eastAsia="Times New Roman"/>
          <w:b/>
          <w:noProof/>
        </w:rPr>
        <w:t>€4.6 billion</w:t>
      </w:r>
      <w:r>
        <w:rPr>
          <w:rFonts w:eastAsia="Times New Roman"/>
          <w:noProof/>
        </w:rPr>
        <w:t xml:space="preserve">. Over the reporting period, EU exports increased by 13% from €2.44 billion to €2.76 billion while EU imports from Moldova increased by 16% from €1.61 billion to €1.88 billion in that period. This has been driven by economic growth as well as a better export performance of Moldovan companies as concerns machinery and appliances, vegetable products, textile products and base metals. </w:t>
      </w:r>
    </w:p>
    <w:p>
      <w:pPr>
        <w:jc w:val="both"/>
        <w:rPr>
          <w:rFonts w:eastAsia="Times New Roman"/>
          <w:noProof/>
        </w:rPr>
      </w:pPr>
    </w:p>
    <w:p>
      <w:pPr>
        <w:jc w:val="both"/>
        <w:rPr>
          <w:rFonts w:eastAsia="Times New Roman"/>
          <w:noProof/>
        </w:rPr>
      </w:pPr>
      <w:r>
        <w:rPr>
          <w:rFonts w:eastAsia="Times New Roman"/>
          <w:noProof/>
        </w:rPr>
        <w:t xml:space="preserve">The number of companies involved in trade with the EU has continued to increase, with approximately 1 748 Moldovan companies exporting to the EU in 2017 up from 1 360 firms engaged in exporting to the EU in 2016. This figure diminished slightly in 2018 to </w:t>
      </w:r>
      <w:r>
        <w:rPr>
          <w:rFonts w:eastAsia="Times New Roman"/>
          <w:bCs/>
          <w:noProof/>
          <w:lang w:val="en-IE"/>
        </w:rPr>
        <w:t>1 734.</w:t>
      </w:r>
    </w:p>
    <w:p>
      <w:pPr>
        <w:pStyle w:val="Heading3"/>
        <w:ind w:left="0" w:firstLine="0"/>
        <w:rPr>
          <w:noProof/>
        </w:rPr>
      </w:pPr>
      <w:bookmarkStart w:id="1241" w:name="_Toc8833548"/>
      <w:bookmarkStart w:id="1242" w:name="_Toc8835375"/>
      <w:bookmarkStart w:id="1243" w:name="_Toc8834005"/>
      <w:bookmarkStart w:id="1244" w:name="_Toc8909468"/>
      <w:bookmarkStart w:id="1245" w:name="_Toc8910680"/>
      <w:bookmarkStart w:id="1246" w:name="_Toc8911717"/>
      <w:bookmarkStart w:id="1247" w:name="_Toc8974538"/>
      <w:bookmarkStart w:id="1248" w:name="_Toc9008191"/>
      <w:bookmarkStart w:id="1249" w:name="_Toc9008594"/>
      <w:bookmarkStart w:id="1250" w:name="_Toc9348590"/>
      <w:bookmarkStart w:id="1251" w:name="_Toc9608041"/>
      <w:bookmarkStart w:id="1252" w:name="_Toc16000616"/>
      <w:r>
        <w:rPr>
          <w:noProof/>
        </w:rPr>
        <w:t>Sectoral structure of EU-Moldova trade in goods</w:t>
      </w:r>
      <w:bookmarkEnd w:id="1241"/>
      <w:bookmarkEnd w:id="1242"/>
      <w:bookmarkEnd w:id="1243"/>
      <w:bookmarkEnd w:id="1244"/>
      <w:bookmarkEnd w:id="1245"/>
      <w:bookmarkEnd w:id="1246"/>
      <w:bookmarkEnd w:id="1247"/>
      <w:bookmarkEnd w:id="1248"/>
      <w:bookmarkEnd w:id="1249"/>
      <w:bookmarkEnd w:id="1250"/>
      <w:bookmarkEnd w:id="1251"/>
      <w:bookmarkEnd w:id="1252"/>
    </w:p>
    <w:p>
      <w:pPr>
        <w:jc w:val="both"/>
        <w:rPr>
          <w:rFonts w:eastAsia="Times New Roman"/>
          <w:noProof/>
        </w:rPr>
      </w:pPr>
      <w:r>
        <w:rPr>
          <w:rFonts w:eastAsia="Times New Roman"/>
          <w:noProof/>
        </w:rPr>
        <w:t xml:space="preserve">The </w:t>
      </w:r>
      <w:r>
        <w:rPr>
          <w:rFonts w:eastAsia="Times New Roman"/>
          <w:b/>
          <w:bCs/>
          <w:noProof/>
        </w:rPr>
        <w:t>main product categories</w:t>
      </w:r>
      <w:r>
        <w:rPr>
          <w:rFonts w:eastAsia="Times New Roman"/>
          <w:noProof/>
        </w:rPr>
        <w:t xml:space="preserve"> (according to the Sections of the Harmonized System Nomenclature – HS) </w:t>
      </w:r>
      <w:r>
        <w:rPr>
          <w:rFonts w:eastAsia="Times New Roman"/>
          <w:b/>
          <w:bCs/>
          <w:noProof/>
        </w:rPr>
        <w:t>exported by the EU to Moldova</w:t>
      </w:r>
      <w:r>
        <w:rPr>
          <w:rFonts w:eastAsia="Times New Roman"/>
          <w:noProof/>
        </w:rPr>
        <w:t xml:space="preserve"> in 2018 were </w:t>
      </w:r>
      <w:r>
        <w:rPr>
          <w:rFonts w:eastAsia="Times New Roman"/>
          <w:b/>
          <w:bCs/>
          <w:noProof/>
        </w:rPr>
        <w:t>machinery and appliances, mineral products, chemical products and transport equipment.</w:t>
      </w:r>
      <w:r>
        <w:rPr>
          <w:rFonts w:eastAsia="Times New Roman"/>
          <w:noProof/>
        </w:rPr>
        <w:t xml:space="preserve"> Machinery and appliances and mineral products rose by respectively 26% (the main increase) and 13%. Exports of chemical products increased by 7% to </w:t>
      </w:r>
      <w:r>
        <w:rPr>
          <w:noProof/>
        </w:rPr>
        <w:t>€</w:t>
      </w:r>
      <w:r>
        <w:rPr>
          <w:rFonts w:eastAsia="Times New Roman"/>
          <w:noProof/>
        </w:rPr>
        <w:t>296 million while transport equipment exports saw an increase of 11% to €261 million. The signs of recovery in EU exports witnessed in 2016 (after a general decline of EU exports in certain key sectors in 2014-2015 due in large part to the weak performance of the Moldovan economy) were therefore confirmed and sustained in 2017 and 2018. This is evidenced both by the general 13% increase in EU exports to Moldova in 2018 (following a 2% decrease in 2016) as well as by the increase of EU exports across most of the main HS product categories (notable exceptions are exports of wood, which decreased by 16%, and live animals and animal producs, which decreased by 2%).</w:t>
      </w:r>
    </w:p>
    <w:p>
      <w:pPr>
        <w:jc w:val="both"/>
        <w:rPr>
          <w:rFonts w:eastAsia="Times New Roman"/>
          <w:noProof/>
        </w:rPr>
      </w:pPr>
    </w:p>
    <w:p>
      <w:pPr>
        <w:jc w:val="both"/>
        <w:rPr>
          <w:rFonts w:eastAsia="Times New Roman"/>
          <w:noProof/>
        </w:rPr>
      </w:pPr>
      <w:r>
        <w:rPr>
          <w:rFonts w:eastAsia="Times New Roman"/>
          <w:noProof/>
        </w:rPr>
        <w:t xml:space="preserve">The main product categories in </w:t>
      </w:r>
      <w:r>
        <w:rPr>
          <w:rFonts w:eastAsia="Times New Roman"/>
          <w:b/>
          <w:noProof/>
        </w:rPr>
        <w:t>EU imports from Moldova in 2018 were machinery and appliances, vegetable products, textiles and textile articles and base metals.</w:t>
      </w:r>
      <w:r>
        <w:rPr>
          <w:rFonts w:eastAsia="Times New Roman"/>
          <w:noProof/>
        </w:rPr>
        <w:t xml:space="preserve"> Machinery accounted for a large part of Moldova’s export growth to the EU due to the trade and investment opportunities in specific sectors such as the manufacturing of wiring harnesses.  From the categories of products most widely imported from Moldova, the highest increase in imports was for transport equipment (+102%) although remaining at a low level of €11 million.</w:t>
      </w:r>
    </w:p>
    <w:p>
      <w:pPr>
        <w:jc w:val="both"/>
        <w:rPr>
          <w:rFonts w:eastAsia="Times New Roman"/>
          <w:noProof/>
        </w:rPr>
      </w:pPr>
    </w:p>
    <w:p>
      <w:pPr>
        <w:jc w:val="both"/>
        <w:rPr>
          <w:rFonts w:eastAsia="Times New Roman"/>
          <w:b/>
          <w:noProof/>
        </w:rPr>
      </w:pPr>
      <w:r>
        <w:rPr>
          <w:rFonts w:eastAsia="Times New Roman"/>
          <w:noProof/>
        </w:rPr>
        <w:t xml:space="preserve">Bilateral trade in non-agricultural products has experienced an increase of 19% (to €3.76 billion) in 2018, with EU imports of non-agricultural goods growing by 31% (to €1.29 billion) and EU exports of such goods increasing by 14% (to €2.5 billion). Trade has grown considerably in plastics, textiles, metals, machinery but also ceramics and toys. Similarly, the EU has become a major market for Moldova’s Information and Communication Technology services. </w:t>
      </w:r>
    </w:p>
    <w:p>
      <w:pPr>
        <w:pStyle w:val="Heading2"/>
        <w:ind w:left="0" w:firstLine="0"/>
      </w:pPr>
      <w:bookmarkStart w:id="1253" w:name="_Toc8833549"/>
      <w:bookmarkStart w:id="1254" w:name="_Toc8835376"/>
      <w:bookmarkStart w:id="1255" w:name="_Toc8834006"/>
      <w:bookmarkStart w:id="1256" w:name="_Toc8909469"/>
      <w:bookmarkStart w:id="1257" w:name="_Toc8910681"/>
      <w:bookmarkStart w:id="1258" w:name="_Toc8911718"/>
      <w:bookmarkStart w:id="1259" w:name="_Toc8974539"/>
      <w:bookmarkStart w:id="1260" w:name="_Toc9008192"/>
      <w:bookmarkStart w:id="1261" w:name="_Toc9008595"/>
      <w:bookmarkStart w:id="1262" w:name="_Toc9348591"/>
      <w:bookmarkStart w:id="1263" w:name="_Toc9608042"/>
      <w:bookmarkStart w:id="1264" w:name="_Toc16000617"/>
      <w:r>
        <w:t>1.2 Trade in agricultural goods</w:t>
      </w:r>
      <w:bookmarkEnd w:id="1253"/>
      <w:bookmarkEnd w:id="1254"/>
      <w:bookmarkEnd w:id="1255"/>
      <w:bookmarkEnd w:id="1256"/>
      <w:bookmarkEnd w:id="1257"/>
      <w:bookmarkEnd w:id="1258"/>
      <w:bookmarkEnd w:id="1259"/>
      <w:bookmarkEnd w:id="1260"/>
      <w:bookmarkEnd w:id="1261"/>
      <w:bookmarkEnd w:id="1262"/>
      <w:bookmarkEnd w:id="1263"/>
      <w:bookmarkEnd w:id="1264"/>
    </w:p>
    <w:p>
      <w:pPr>
        <w:jc w:val="both"/>
        <w:rPr>
          <w:rFonts w:eastAsia="Times New Roman"/>
          <w:noProof/>
        </w:rPr>
      </w:pPr>
      <w:r>
        <w:rPr>
          <w:rFonts w:eastAsia="Times New Roman"/>
          <w:noProof/>
        </w:rPr>
        <w:t xml:space="preserve">In 2018, agricultural goods accounted for 19% (€873 million) of total bilateral trade with Moldova while non-agricultural products represented 81% (€3.8 billion). In terms of EU imports from Moldova in 2018, the share of agricultural goods stood at 31% while non agricultural goods represented 69% of imports. Agricultural goods constituted 10% of EU exports to Moldova, with 90% of EU exports being non-agricultural. </w:t>
      </w:r>
    </w:p>
    <w:p>
      <w:pPr>
        <w:jc w:val="both"/>
        <w:rPr>
          <w:rFonts w:eastAsia="Times New Roman"/>
          <w:noProof/>
        </w:rPr>
      </w:pPr>
    </w:p>
    <w:p>
      <w:pPr>
        <w:jc w:val="both"/>
        <w:rPr>
          <w:rFonts w:eastAsia="Times New Roman"/>
          <w:noProof/>
        </w:rPr>
      </w:pPr>
      <w:r>
        <w:rPr>
          <w:rFonts w:eastAsia="Times New Roman"/>
          <w:noProof/>
        </w:rPr>
        <w:t xml:space="preserve">While trade in </w:t>
      </w:r>
      <w:r>
        <w:rPr>
          <w:rFonts w:eastAsia="Times New Roman"/>
          <w:b/>
          <w:noProof/>
        </w:rPr>
        <w:t>agri-food products</w:t>
      </w:r>
      <w:r>
        <w:rPr>
          <w:rFonts w:eastAsia="Times New Roman"/>
          <w:noProof/>
        </w:rPr>
        <w:t xml:space="preserve"> with Moldova had gradually increased up to 2017 (it increased by 25% in the period 2016-2017) to the benefit of both sides, it has slightly decreased in 2018 by 4% (€908 million to €873 million). EU imports of agricultural products from Moldova have decreased by 7% (€588 million) while EU exports have increased by 5% (€285 million).</w:t>
      </w:r>
    </w:p>
    <w:p>
      <w:pPr>
        <w:jc w:val="both"/>
        <w:rPr>
          <w:rFonts w:eastAsia="Times New Roman"/>
          <w:noProof/>
        </w:rPr>
      </w:pPr>
    </w:p>
    <w:p>
      <w:pPr>
        <w:jc w:val="both"/>
        <w:rPr>
          <w:rFonts w:eastAsia="Times New Roman"/>
          <w:noProof/>
        </w:rPr>
      </w:pPr>
      <w:r>
        <w:rPr>
          <w:rFonts w:eastAsia="Times New Roman"/>
          <w:noProof/>
        </w:rPr>
        <w:t>The main EU agricultural exports to Moldova included oilseeds, spirits and liqueurs, pork, pet food and other food preparations. Key EU imports from Moldova included oilseeds, wheat and other cereals, tropical fruits and nuts and vegetable oils. Imports of most of these products decreased in 2018 compared to 2017 (e.g. a decrease of 30% for wheat and 16% for oilseeds), while imports of other cereals increased (85%).</w:t>
      </w:r>
    </w:p>
    <w:p>
      <w:pPr>
        <w:pStyle w:val="Heading3"/>
        <w:ind w:left="0" w:firstLine="0"/>
        <w:rPr>
          <w:noProof/>
        </w:rPr>
      </w:pPr>
      <w:bookmarkStart w:id="1265" w:name="_Toc8833550"/>
      <w:bookmarkStart w:id="1266" w:name="_Toc8835377"/>
      <w:bookmarkStart w:id="1267" w:name="_Toc8834007"/>
      <w:bookmarkStart w:id="1268" w:name="_Toc8909470"/>
      <w:bookmarkStart w:id="1269" w:name="_Toc8910682"/>
      <w:bookmarkStart w:id="1270" w:name="_Toc8911719"/>
      <w:bookmarkStart w:id="1271" w:name="_Toc8974540"/>
      <w:bookmarkStart w:id="1272" w:name="_Toc9008193"/>
      <w:bookmarkStart w:id="1273" w:name="_Toc9008596"/>
      <w:bookmarkStart w:id="1274" w:name="_Toc9348592"/>
      <w:bookmarkStart w:id="1275" w:name="_Toc9608043"/>
      <w:bookmarkStart w:id="1276" w:name="_Toc16000618"/>
      <w:r>
        <w:rPr>
          <w:noProof/>
        </w:rPr>
        <w:t>Review clause for agricultural products</w:t>
      </w:r>
      <w:bookmarkEnd w:id="1265"/>
      <w:bookmarkEnd w:id="1266"/>
      <w:bookmarkEnd w:id="1267"/>
      <w:bookmarkEnd w:id="1268"/>
      <w:bookmarkEnd w:id="1269"/>
      <w:bookmarkEnd w:id="1270"/>
      <w:bookmarkEnd w:id="1271"/>
      <w:bookmarkEnd w:id="1272"/>
      <w:bookmarkEnd w:id="1273"/>
      <w:bookmarkEnd w:id="1274"/>
      <w:bookmarkEnd w:id="1275"/>
      <w:bookmarkEnd w:id="1276"/>
    </w:p>
    <w:p>
      <w:pPr>
        <w:jc w:val="both"/>
        <w:rPr>
          <w:rFonts w:eastAsia="Times New Roman"/>
          <w:noProof/>
        </w:rPr>
      </w:pPr>
      <w:r>
        <w:rPr>
          <w:rFonts w:eastAsia="Times New Roman"/>
          <w:noProof/>
        </w:rPr>
        <w:t xml:space="preserve">The EU and Moldova agreed on a </w:t>
      </w:r>
      <w:r>
        <w:rPr>
          <w:rFonts w:eastAsia="Times New Roman"/>
          <w:b/>
          <w:noProof/>
        </w:rPr>
        <w:t>review clause</w:t>
      </w:r>
      <w:r>
        <w:rPr>
          <w:rFonts w:eastAsia="Times New Roman"/>
          <w:noProof/>
        </w:rPr>
        <w:t xml:space="preserve"> which stipulates that three years after the entry into force of the DCFTA, the Parties may consider accelerating and broadening the scope of the elimination of customs duties on their bilateral trade. </w:t>
      </w:r>
    </w:p>
    <w:p>
      <w:pPr>
        <w:jc w:val="both"/>
        <w:rPr>
          <w:rFonts w:eastAsia="Times New Roman"/>
          <w:noProof/>
        </w:rPr>
      </w:pPr>
    </w:p>
    <w:p>
      <w:pPr>
        <w:jc w:val="both"/>
        <w:rPr>
          <w:rFonts w:eastAsia="Times New Roman"/>
          <w:noProof/>
        </w:rPr>
      </w:pPr>
      <w:r>
        <w:rPr>
          <w:rFonts w:eastAsia="Times New Roman"/>
          <w:noProof/>
        </w:rPr>
        <w:t xml:space="preserve">In this regard, Moldova made a request to increase the volumes for Tariff Rate Quotas (TRQs) and as a separate exercise, the anti-circumvention thresholds under the DCFTA for certain agricultural products at the meeting of the Association Committee in Trade configuration (ACTC) in October 2017, thus triggering the third year review clause mentioned above. The Commission has examined this proposal, which has been subject to talks with the Moldovan side (a first informal discussion took place in the margins of the ACTC, last October 2018). This review may result in the modification of Annex XV of the Agreement through a joint Decision of the ACTC.  </w:t>
      </w:r>
    </w:p>
    <w:p>
      <w:pPr>
        <w:pStyle w:val="Heading3"/>
        <w:ind w:left="0" w:firstLine="0"/>
        <w:rPr>
          <w:noProof/>
        </w:rPr>
      </w:pPr>
      <w:bookmarkStart w:id="1277" w:name="_Toc8833551"/>
      <w:bookmarkStart w:id="1278" w:name="_Toc8835378"/>
      <w:bookmarkStart w:id="1279" w:name="_Toc8834008"/>
      <w:bookmarkStart w:id="1280" w:name="_Toc8909471"/>
      <w:bookmarkStart w:id="1281" w:name="_Toc8910683"/>
      <w:bookmarkStart w:id="1282" w:name="_Toc8911720"/>
      <w:bookmarkStart w:id="1283" w:name="_Toc8974541"/>
      <w:bookmarkStart w:id="1284" w:name="_Toc9008194"/>
      <w:bookmarkStart w:id="1285" w:name="_Toc9008597"/>
      <w:bookmarkStart w:id="1286" w:name="_Toc9348593"/>
      <w:bookmarkStart w:id="1287" w:name="_Toc9608044"/>
      <w:bookmarkStart w:id="1288" w:name="_Toc16000619"/>
      <w:r>
        <w:rPr>
          <w:noProof/>
        </w:rPr>
        <w:t>Anti-circumvention mechanism for agricultural products</w:t>
      </w:r>
      <w:bookmarkEnd w:id="1277"/>
      <w:bookmarkEnd w:id="1278"/>
      <w:bookmarkEnd w:id="1279"/>
      <w:bookmarkEnd w:id="1280"/>
      <w:bookmarkEnd w:id="1281"/>
      <w:bookmarkEnd w:id="1282"/>
      <w:bookmarkEnd w:id="1283"/>
      <w:bookmarkEnd w:id="1284"/>
      <w:bookmarkEnd w:id="1285"/>
      <w:bookmarkEnd w:id="1286"/>
      <w:bookmarkEnd w:id="1287"/>
      <w:bookmarkEnd w:id="1288"/>
    </w:p>
    <w:p>
      <w:pPr>
        <w:jc w:val="both"/>
        <w:rPr>
          <w:rFonts w:eastAsia="Times New Roman"/>
          <w:noProof/>
        </w:rPr>
      </w:pPr>
      <w:r>
        <w:rPr>
          <w:rFonts w:eastAsia="Times New Roman"/>
          <w:noProof/>
        </w:rPr>
        <w:t xml:space="preserve">Fourteen product categories of agricultural and processed agricultural products included in Annex XV-C can be imported duty-free from Moldova into the EU; their imports are monitored under anti-circumvention mechanism. This means that the EU may temporarily suspend the preferential treatment of the products concerned if the imports into the EU reach certain trigger volumes. If those imports reach 100% without justification, the EU may temporarily suspend the preferential treatment. In 2018, those levels were exceeded for wheat, maize and processed cereals (ethanol). The Moldovan authorities provided due explanation about this in the context of the above mentioned review. </w:t>
      </w:r>
    </w:p>
    <w:p>
      <w:pPr>
        <w:pStyle w:val="Heading3"/>
        <w:ind w:left="0" w:firstLine="0"/>
        <w:rPr>
          <w:noProof/>
        </w:rPr>
      </w:pPr>
      <w:bookmarkStart w:id="1289" w:name="_Toc8833552"/>
      <w:bookmarkStart w:id="1290" w:name="_Toc8835379"/>
      <w:bookmarkStart w:id="1291" w:name="_Toc8834009"/>
      <w:bookmarkStart w:id="1292" w:name="_Toc8909472"/>
      <w:bookmarkStart w:id="1293" w:name="_Toc8910684"/>
      <w:bookmarkStart w:id="1294" w:name="_Toc8911721"/>
      <w:bookmarkStart w:id="1295" w:name="_Toc8974542"/>
      <w:bookmarkStart w:id="1296" w:name="_Toc9008195"/>
      <w:bookmarkStart w:id="1297" w:name="_Toc9008598"/>
      <w:bookmarkStart w:id="1298" w:name="_Toc9348594"/>
      <w:bookmarkStart w:id="1299" w:name="_Toc9608045"/>
      <w:bookmarkStart w:id="1300" w:name="_Toc16000620"/>
      <w:r>
        <w:rPr>
          <w:noProof/>
        </w:rPr>
        <w:t>Use of Tariff Rate Quotas (TRQs)</w:t>
      </w:r>
      <w:bookmarkEnd w:id="1289"/>
      <w:bookmarkEnd w:id="1290"/>
      <w:bookmarkEnd w:id="1291"/>
      <w:bookmarkEnd w:id="1292"/>
      <w:bookmarkEnd w:id="1293"/>
      <w:bookmarkEnd w:id="1294"/>
      <w:bookmarkEnd w:id="1295"/>
      <w:bookmarkEnd w:id="1296"/>
      <w:bookmarkEnd w:id="1297"/>
      <w:bookmarkEnd w:id="1298"/>
      <w:bookmarkEnd w:id="1299"/>
      <w:bookmarkEnd w:id="1300"/>
    </w:p>
    <w:p>
      <w:pPr>
        <w:jc w:val="both"/>
        <w:rPr>
          <w:rFonts w:eastAsia="Times New Roman"/>
          <w:noProof/>
        </w:rPr>
      </w:pPr>
      <w:r>
        <w:rPr>
          <w:rFonts w:eastAsia="Times New Roman"/>
          <w:noProof/>
        </w:rPr>
        <w:t xml:space="preserve">In accordance with Annex XV-B of the Association Agreement the EU applies annual duty-free TRQs for 6 agricultural products imported from Moldova: tomatoes, garlic, table grapes, apples, plums and grape juice. In 2018, only the TRQs for table grapes and plums were fully used (with a 100% utilisation for both products). </w:t>
      </w:r>
    </w:p>
    <w:p>
      <w:pPr>
        <w:rPr>
          <w:b/>
          <w:i/>
          <w:noProof/>
        </w:rPr>
      </w:pPr>
    </w:p>
    <w:p>
      <w:pPr>
        <w:rPr>
          <w:b/>
          <w:i/>
          <w:noProof/>
        </w:rPr>
      </w:pPr>
      <w:r>
        <w:rPr>
          <w:b/>
          <w:i/>
          <w:noProof/>
        </w:rPr>
        <w:t>Utilisation of TRQs for imports from Moldova to the EU in 2018</w:t>
      </w:r>
    </w:p>
    <w:tbl>
      <w:tblPr>
        <w:tblStyle w:val="TableGrid"/>
        <w:tblW w:w="0" w:type="auto"/>
        <w:tblLook w:val="04A0" w:firstRow="1" w:lastRow="0" w:firstColumn="1" w:lastColumn="0" w:noHBand="0" w:noVBand="1"/>
      </w:tblPr>
      <w:tblGrid>
        <w:gridCol w:w="3652"/>
        <w:gridCol w:w="2268"/>
        <w:gridCol w:w="2126"/>
        <w:gridCol w:w="1242"/>
      </w:tblGrid>
      <w:tr>
        <w:trPr>
          <w:trHeight w:val="702"/>
        </w:trPr>
        <w:tc>
          <w:tcPr>
            <w:tcW w:w="3652" w:type="dxa"/>
          </w:tcPr>
          <w:p>
            <w:pPr>
              <w:spacing w:after="200"/>
              <w:jc w:val="center"/>
              <w:rPr>
                <w:b/>
                <w:noProof/>
              </w:rPr>
            </w:pPr>
            <w:r>
              <w:rPr>
                <w:b/>
                <w:noProof/>
              </w:rPr>
              <w:t>Product</w:t>
            </w:r>
          </w:p>
        </w:tc>
        <w:tc>
          <w:tcPr>
            <w:tcW w:w="2268" w:type="dxa"/>
            <w:noWrap/>
          </w:tcPr>
          <w:p>
            <w:pPr>
              <w:spacing w:after="200"/>
              <w:jc w:val="center"/>
              <w:rPr>
                <w:b/>
                <w:noProof/>
              </w:rPr>
            </w:pPr>
            <w:r>
              <w:rPr>
                <w:b/>
                <w:noProof/>
              </w:rPr>
              <w:t>TRQ volume (t)</w:t>
            </w:r>
          </w:p>
        </w:tc>
        <w:tc>
          <w:tcPr>
            <w:tcW w:w="2126" w:type="dxa"/>
            <w:noWrap/>
          </w:tcPr>
          <w:p>
            <w:pPr>
              <w:spacing w:after="200"/>
              <w:jc w:val="center"/>
              <w:rPr>
                <w:b/>
                <w:noProof/>
              </w:rPr>
            </w:pPr>
            <w:r>
              <w:rPr>
                <w:b/>
                <w:noProof/>
              </w:rPr>
              <w:t>Imported volume (t)</w:t>
            </w:r>
          </w:p>
        </w:tc>
        <w:tc>
          <w:tcPr>
            <w:tcW w:w="1242" w:type="dxa"/>
            <w:noWrap/>
          </w:tcPr>
          <w:p>
            <w:pPr>
              <w:spacing w:after="200"/>
              <w:jc w:val="center"/>
              <w:rPr>
                <w:b/>
                <w:noProof/>
              </w:rPr>
            </w:pPr>
            <w:r>
              <w:rPr>
                <w:b/>
                <w:noProof/>
              </w:rPr>
              <w:t>TRQ use</w:t>
            </w:r>
          </w:p>
        </w:tc>
      </w:tr>
      <w:tr>
        <w:trPr>
          <w:trHeight w:val="702"/>
        </w:trPr>
        <w:tc>
          <w:tcPr>
            <w:tcW w:w="3652" w:type="dxa"/>
            <w:hideMark/>
          </w:tcPr>
          <w:p>
            <w:pPr>
              <w:spacing w:after="200"/>
              <w:rPr>
                <w:noProof/>
              </w:rPr>
            </w:pPr>
            <w:r>
              <w:rPr>
                <w:noProof/>
              </w:rPr>
              <w:t>Tomatoes, fresh or chilled</w:t>
            </w:r>
          </w:p>
        </w:tc>
        <w:tc>
          <w:tcPr>
            <w:tcW w:w="2268" w:type="dxa"/>
            <w:noWrap/>
            <w:hideMark/>
          </w:tcPr>
          <w:p>
            <w:pPr>
              <w:spacing w:after="200"/>
              <w:jc w:val="right"/>
              <w:rPr>
                <w:noProof/>
              </w:rPr>
            </w:pPr>
            <w:r>
              <w:rPr>
                <w:noProof/>
              </w:rPr>
              <w:t>2.000</w:t>
            </w:r>
          </w:p>
        </w:tc>
        <w:tc>
          <w:tcPr>
            <w:tcW w:w="2126" w:type="dxa"/>
            <w:noWrap/>
            <w:hideMark/>
          </w:tcPr>
          <w:p>
            <w:pPr>
              <w:spacing w:after="200"/>
              <w:jc w:val="right"/>
              <w:rPr>
                <w:noProof/>
              </w:rPr>
            </w:pPr>
            <w:r>
              <w:rPr>
                <w:noProof/>
              </w:rPr>
              <w:t>39,75</w:t>
            </w:r>
          </w:p>
        </w:tc>
        <w:tc>
          <w:tcPr>
            <w:tcW w:w="1242" w:type="dxa"/>
            <w:noWrap/>
            <w:hideMark/>
          </w:tcPr>
          <w:p>
            <w:pPr>
              <w:spacing w:after="200"/>
              <w:jc w:val="right"/>
              <w:rPr>
                <w:noProof/>
              </w:rPr>
            </w:pPr>
            <w:r>
              <w:rPr>
                <w:noProof/>
              </w:rPr>
              <w:t>2,0%</w:t>
            </w:r>
          </w:p>
        </w:tc>
      </w:tr>
      <w:tr>
        <w:trPr>
          <w:trHeight w:val="702"/>
        </w:trPr>
        <w:tc>
          <w:tcPr>
            <w:tcW w:w="3652" w:type="dxa"/>
            <w:hideMark/>
          </w:tcPr>
          <w:p>
            <w:pPr>
              <w:spacing w:after="200"/>
              <w:rPr>
                <w:noProof/>
              </w:rPr>
            </w:pPr>
            <w:r>
              <w:rPr>
                <w:noProof/>
              </w:rPr>
              <w:t>Garlic, fresh or chilled</w:t>
            </w:r>
          </w:p>
        </w:tc>
        <w:tc>
          <w:tcPr>
            <w:tcW w:w="2268" w:type="dxa"/>
            <w:noWrap/>
            <w:hideMark/>
          </w:tcPr>
          <w:p>
            <w:pPr>
              <w:spacing w:after="200"/>
              <w:jc w:val="right"/>
              <w:rPr>
                <w:noProof/>
              </w:rPr>
            </w:pPr>
            <w:r>
              <w:rPr>
                <w:noProof/>
              </w:rPr>
              <w:t>220</w:t>
            </w:r>
          </w:p>
        </w:tc>
        <w:tc>
          <w:tcPr>
            <w:tcW w:w="2126" w:type="dxa"/>
            <w:noWrap/>
            <w:hideMark/>
          </w:tcPr>
          <w:p>
            <w:pPr>
              <w:spacing w:after="200"/>
              <w:jc w:val="right"/>
              <w:rPr>
                <w:noProof/>
              </w:rPr>
            </w:pPr>
            <w:r>
              <w:rPr>
                <w:noProof/>
              </w:rPr>
              <w:t>0</w:t>
            </w:r>
          </w:p>
        </w:tc>
        <w:tc>
          <w:tcPr>
            <w:tcW w:w="1242" w:type="dxa"/>
            <w:noWrap/>
            <w:hideMark/>
          </w:tcPr>
          <w:p>
            <w:pPr>
              <w:spacing w:after="200"/>
              <w:jc w:val="right"/>
              <w:rPr>
                <w:noProof/>
              </w:rPr>
            </w:pPr>
            <w:r>
              <w:rPr>
                <w:noProof/>
              </w:rPr>
              <w:t>0,0%</w:t>
            </w:r>
          </w:p>
        </w:tc>
      </w:tr>
      <w:tr>
        <w:trPr>
          <w:trHeight w:val="702"/>
        </w:trPr>
        <w:tc>
          <w:tcPr>
            <w:tcW w:w="3652" w:type="dxa"/>
            <w:hideMark/>
          </w:tcPr>
          <w:p>
            <w:pPr>
              <w:spacing w:after="200"/>
              <w:rPr>
                <w:noProof/>
              </w:rPr>
            </w:pPr>
            <w:r>
              <w:rPr>
                <w:noProof/>
              </w:rPr>
              <w:t>Table grapes, fresh</w:t>
            </w:r>
          </w:p>
        </w:tc>
        <w:tc>
          <w:tcPr>
            <w:tcW w:w="2268" w:type="dxa"/>
            <w:noWrap/>
            <w:hideMark/>
          </w:tcPr>
          <w:p>
            <w:pPr>
              <w:spacing w:after="200"/>
              <w:jc w:val="right"/>
              <w:rPr>
                <w:noProof/>
              </w:rPr>
            </w:pPr>
            <w:r>
              <w:rPr>
                <w:noProof/>
              </w:rPr>
              <w:t>10.000</w:t>
            </w:r>
          </w:p>
        </w:tc>
        <w:tc>
          <w:tcPr>
            <w:tcW w:w="2126" w:type="dxa"/>
            <w:noWrap/>
            <w:hideMark/>
          </w:tcPr>
          <w:p>
            <w:pPr>
              <w:spacing w:after="200"/>
              <w:jc w:val="right"/>
              <w:rPr>
                <w:noProof/>
              </w:rPr>
            </w:pPr>
            <w:r>
              <w:rPr>
                <w:noProof/>
              </w:rPr>
              <w:t>10.000</w:t>
            </w:r>
          </w:p>
        </w:tc>
        <w:tc>
          <w:tcPr>
            <w:tcW w:w="1242" w:type="dxa"/>
            <w:noWrap/>
            <w:hideMark/>
          </w:tcPr>
          <w:p>
            <w:pPr>
              <w:spacing w:after="200"/>
              <w:jc w:val="right"/>
              <w:rPr>
                <w:noProof/>
              </w:rPr>
            </w:pPr>
            <w:r>
              <w:rPr>
                <w:noProof/>
              </w:rPr>
              <w:t>100,0%</w:t>
            </w:r>
          </w:p>
        </w:tc>
      </w:tr>
      <w:tr>
        <w:trPr>
          <w:trHeight w:val="702"/>
        </w:trPr>
        <w:tc>
          <w:tcPr>
            <w:tcW w:w="3652" w:type="dxa"/>
            <w:hideMark/>
          </w:tcPr>
          <w:p>
            <w:pPr>
              <w:spacing w:after="200"/>
              <w:rPr>
                <w:noProof/>
              </w:rPr>
            </w:pPr>
            <w:r>
              <w:rPr>
                <w:noProof/>
              </w:rPr>
              <w:t xml:space="preserve">Apples, fresh </w:t>
            </w:r>
          </w:p>
        </w:tc>
        <w:tc>
          <w:tcPr>
            <w:tcW w:w="2268" w:type="dxa"/>
            <w:noWrap/>
            <w:hideMark/>
          </w:tcPr>
          <w:p>
            <w:pPr>
              <w:spacing w:after="200"/>
              <w:jc w:val="right"/>
              <w:rPr>
                <w:noProof/>
              </w:rPr>
            </w:pPr>
            <w:r>
              <w:rPr>
                <w:noProof/>
              </w:rPr>
              <w:t>40.000</w:t>
            </w:r>
          </w:p>
        </w:tc>
        <w:tc>
          <w:tcPr>
            <w:tcW w:w="2126" w:type="dxa"/>
            <w:noWrap/>
            <w:hideMark/>
          </w:tcPr>
          <w:p>
            <w:pPr>
              <w:spacing w:after="200"/>
              <w:jc w:val="right"/>
              <w:rPr>
                <w:noProof/>
              </w:rPr>
            </w:pPr>
            <w:r>
              <w:rPr>
                <w:noProof/>
              </w:rPr>
              <w:t>1.858,88</w:t>
            </w:r>
          </w:p>
        </w:tc>
        <w:tc>
          <w:tcPr>
            <w:tcW w:w="1242" w:type="dxa"/>
            <w:noWrap/>
            <w:hideMark/>
          </w:tcPr>
          <w:p>
            <w:pPr>
              <w:spacing w:after="200"/>
              <w:jc w:val="right"/>
              <w:rPr>
                <w:noProof/>
              </w:rPr>
            </w:pPr>
            <w:r>
              <w:rPr>
                <w:noProof/>
              </w:rPr>
              <w:t>4,6%</w:t>
            </w:r>
          </w:p>
        </w:tc>
      </w:tr>
      <w:tr>
        <w:trPr>
          <w:trHeight w:val="702"/>
        </w:trPr>
        <w:tc>
          <w:tcPr>
            <w:tcW w:w="3652" w:type="dxa"/>
            <w:hideMark/>
          </w:tcPr>
          <w:p>
            <w:pPr>
              <w:spacing w:after="200"/>
              <w:rPr>
                <w:noProof/>
              </w:rPr>
            </w:pPr>
            <w:r>
              <w:rPr>
                <w:noProof/>
              </w:rPr>
              <w:t>Plums, fresh</w:t>
            </w:r>
          </w:p>
        </w:tc>
        <w:tc>
          <w:tcPr>
            <w:tcW w:w="2268" w:type="dxa"/>
            <w:noWrap/>
            <w:hideMark/>
          </w:tcPr>
          <w:p>
            <w:pPr>
              <w:spacing w:after="200"/>
              <w:jc w:val="right"/>
              <w:rPr>
                <w:noProof/>
              </w:rPr>
            </w:pPr>
            <w:r>
              <w:rPr>
                <w:noProof/>
              </w:rPr>
              <w:t>10.000</w:t>
            </w:r>
          </w:p>
        </w:tc>
        <w:tc>
          <w:tcPr>
            <w:tcW w:w="2126" w:type="dxa"/>
            <w:noWrap/>
            <w:hideMark/>
          </w:tcPr>
          <w:p>
            <w:pPr>
              <w:spacing w:after="200"/>
              <w:jc w:val="right"/>
              <w:rPr>
                <w:noProof/>
              </w:rPr>
            </w:pPr>
            <w:r>
              <w:rPr>
                <w:noProof/>
              </w:rPr>
              <w:t>9.899,39</w:t>
            </w:r>
          </w:p>
        </w:tc>
        <w:tc>
          <w:tcPr>
            <w:tcW w:w="1242" w:type="dxa"/>
            <w:noWrap/>
            <w:hideMark/>
          </w:tcPr>
          <w:p>
            <w:pPr>
              <w:spacing w:after="200"/>
              <w:jc w:val="right"/>
              <w:rPr>
                <w:noProof/>
              </w:rPr>
            </w:pPr>
            <w:r>
              <w:rPr>
                <w:noProof/>
              </w:rPr>
              <w:t>99,0%</w:t>
            </w:r>
          </w:p>
        </w:tc>
      </w:tr>
      <w:tr>
        <w:trPr>
          <w:trHeight w:val="702"/>
        </w:trPr>
        <w:tc>
          <w:tcPr>
            <w:tcW w:w="3652" w:type="dxa"/>
            <w:hideMark/>
          </w:tcPr>
          <w:p>
            <w:pPr>
              <w:spacing w:after="200"/>
              <w:rPr>
                <w:noProof/>
              </w:rPr>
            </w:pPr>
            <w:r>
              <w:rPr>
                <w:noProof/>
              </w:rPr>
              <w:t xml:space="preserve">Grape juice </w:t>
            </w:r>
          </w:p>
        </w:tc>
        <w:tc>
          <w:tcPr>
            <w:tcW w:w="2268" w:type="dxa"/>
            <w:noWrap/>
            <w:hideMark/>
          </w:tcPr>
          <w:p>
            <w:pPr>
              <w:spacing w:after="200"/>
              <w:jc w:val="right"/>
              <w:rPr>
                <w:noProof/>
              </w:rPr>
            </w:pPr>
            <w:r>
              <w:rPr>
                <w:noProof/>
              </w:rPr>
              <w:t>500</w:t>
            </w:r>
          </w:p>
        </w:tc>
        <w:tc>
          <w:tcPr>
            <w:tcW w:w="2126" w:type="dxa"/>
            <w:noWrap/>
            <w:hideMark/>
          </w:tcPr>
          <w:p>
            <w:pPr>
              <w:spacing w:after="200"/>
              <w:jc w:val="right"/>
              <w:rPr>
                <w:noProof/>
              </w:rPr>
            </w:pPr>
            <w:r>
              <w:rPr>
                <w:noProof/>
              </w:rPr>
              <w:t>0</w:t>
            </w:r>
          </w:p>
        </w:tc>
        <w:tc>
          <w:tcPr>
            <w:tcW w:w="1242" w:type="dxa"/>
            <w:noWrap/>
            <w:hideMark/>
          </w:tcPr>
          <w:p>
            <w:pPr>
              <w:spacing w:after="200"/>
              <w:jc w:val="right"/>
              <w:rPr>
                <w:noProof/>
              </w:rPr>
            </w:pPr>
            <w:r>
              <w:rPr>
                <w:noProof/>
              </w:rPr>
              <w:t>0,0%</w:t>
            </w:r>
          </w:p>
        </w:tc>
      </w:tr>
    </w:tbl>
    <w:p>
      <w:pPr>
        <w:rPr>
          <w:noProof/>
          <w:sz w:val="20"/>
          <w:szCs w:val="20"/>
        </w:rPr>
      </w:pPr>
      <w:r>
        <w:rPr>
          <w:noProof/>
          <w:sz w:val="20"/>
          <w:szCs w:val="20"/>
        </w:rPr>
        <w:t>Source: DG TAXUD</w:t>
      </w:r>
    </w:p>
    <w:p>
      <w:pPr>
        <w:jc w:val="both"/>
        <w:rPr>
          <w:rFonts w:eastAsia="Times New Roman"/>
          <w:noProof/>
        </w:rPr>
      </w:pPr>
    </w:p>
    <w:p>
      <w:pPr>
        <w:jc w:val="both"/>
        <w:rPr>
          <w:rFonts w:eastAsia="Times New Roman"/>
          <w:noProof/>
        </w:rPr>
      </w:pPr>
      <w:r>
        <w:rPr>
          <w:rFonts w:eastAsia="Times New Roman"/>
          <w:noProof/>
        </w:rPr>
        <w:t xml:space="preserve">Moldova grants six duty-free TRQs for agricultural products exported by the EU (pork and poultry meat, dairy, processed meat, sugar and sweeteners). All EU exports were in excess of the quota amount in 2018 except for sweeteners. </w:t>
      </w:r>
    </w:p>
    <w:p>
      <w:pPr>
        <w:keepNext/>
        <w:spacing w:before="240" w:after="120"/>
        <w:jc w:val="both"/>
        <w:rPr>
          <w:rFonts w:eastAsia="Times New Roman"/>
          <w:b/>
          <w:i/>
          <w:noProof/>
        </w:rPr>
      </w:pPr>
      <w:r>
        <w:rPr>
          <w:rFonts w:eastAsia="Times New Roman"/>
          <w:b/>
          <w:i/>
          <w:noProof/>
        </w:rPr>
        <w:t xml:space="preserve">Utilisation of TRQs for EU exports to Moldova in 2018 </w:t>
      </w:r>
    </w:p>
    <w:tbl>
      <w:tblPr>
        <w:tblW w:w="7560" w:type="dxa"/>
        <w:tblInd w:w="108" w:type="dxa"/>
        <w:tblCellMar>
          <w:left w:w="0" w:type="dxa"/>
          <w:right w:w="0" w:type="dxa"/>
        </w:tblCellMar>
        <w:tblLook w:val="04A0" w:firstRow="1" w:lastRow="0" w:firstColumn="1" w:lastColumn="0" w:noHBand="0" w:noVBand="1"/>
      </w:tblPr>
      <w:tblGrid>
        <w:gridCol w:w="1680"/>
        <w:gridCol w:w="2040"/>
        <w:gridCol w:w="1920"/>
        <w:gridCol w:w="1920"/>
      </w:tblGrid>
      <w:tr>
        <w:tc>
          <w:tcPr>
            <w:tcW w:w="16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pPr>
              <w:pStyle w:val="NoSpacing"/>
              <w:rPr>
                <w:rFonts w:ascii="Times New Roman" w:hAnsi="Times New Roman" w:cs="Times New Roman"/>
                <w:noProof/>
              </w:rPr>
            </w:pPr>
          </w:p>
        </w:tc>
        <w:tc>
          <w:tcPr>
            <w:tcW w:w="20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pStyle w:val="NoSpacing"/>
              <w:rPr>
                <w:rFonts w:ascii="Times New Roman" w:hAnsi="Times New Roman" w:cs="Times New Roman"/>
                <w:noProof/>
              </w:rPr>
            </w:pPr>
            <w:r>
              <w:rPr>
                <w:rFonts w:ascii="Times New Roman" w:hAnsi="Times New Roman" w:cs="Times New Roman"/>
                <w:noProof/>
              </w:rPr>
              <w:t>TRQ volume (tons)</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pStyle w:val="NoSpacing"/>
              <w:rPr>
                <w:rFonts w:ascii="Times New Roman" w:hAnsi="Times New Roman" w:cs="Times New Roman"/>
                <w:noProof/>
              </w:rPr>
            </w:pPr>
            <w:r>
              <w:rPr>
                <w:rFonts w:ascii="Times New Roman" w:hAnsi="Times New Roman" w:cs="Times New Roman"/>
                <w:noProof/>
              </w:rPr>
              <w:t>EU exports (tons)</w:t>
            </w:r>
          </w:p>
        </w:tc>
        <w:tc>
          <w:tcPr>
            <w:tcW w:w="1920" w:type="dxa"/>
            <w:tcBorders>
              <w:top w:val="single" w:sz="8" w:space="0" w:color="auto"/>
              <w:left w:val="nil"/>
              <w:bottom w:val="single" w:sz="8" w:space="0" w:color="auto"/>
              <w:right w:val="single" w:sz="8" w:space="0" w:color="auto"/>
            </w:tcBorders>
          </w:tcPr>
          <w:p>
            <w:pPr>
              <w:pStyle w:val="NoSpacing"/>
              <w:rPr>
                <w:rFonts w:ascii="Times New Roman" w:hAnsi="Times New Roman" w:cs="Times New Roman"/>
                <w:noProof/>
              </w:rPr>
            </w:pPr>
            <w:r>
              <w:rPr>
                <w:rFonts w:ascii="Times New Roman" w:hAnsi="Times New Roman" w:cs="Times New Roman"/>
                <w:noProof/>
              </w:rPr>
              <w:t>TRQ use</w:t>
            </w:r>
          </w:p>
        </w:tc>
      </w:tr>
      <w:tr>
        <w:tc>
          <w:tcPr>
            <w:tcW w:w="16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pStyle w:val="NoSpacing"/>
              <w:rPr>
                <w:rFonts w:ascii="Times New Roman" w:hAnsi="Times New Roman" w:cs="Times New Roman"/>
                <w:noProof/>
              </w:rPr>
            </w:pPr>
            <w:r>
              <w:rPr>
                <w:rFonts w:ascii="Times New Roman" w:hAnsi="Times New Roman" w:cs="Times New Roman"/>
                <w:noProof/>
              </w:rPr>
              <w:t>Pork</w:t>
            </w:r>
          </w:p>
        </w:tc>
        <w:tc>
          <w:tcPr>
            <w:tcW w:w="2040" w:type="dxa"/>
            <w:tcBorders>
              <w:top w:val="nil"/>
              <w:left w:val="nil"/>
              <w:bottom w:val="single" w:sz="8" w:space="0" w:color="auto"/>
              <w:right w:val="single" w:sz="8" w:space="0" w:color="auto"/>
            </w:tcBorders>
            <w:tcMar>
              <w:top w:w="0" w:type="dxa"/>
              <w:left w:w="108" w:type="dxa"/>
              <w:bottom w:w="0" w:type="dxa"/>
              <w:right w:w="108" w:type="dxa"/>
            </w:tcMar>
          </w:tcPr>
          <w:p>
            <w:pPr>
              <w:pStyle w:val="NoSpacing"/>
              <w:rPr>
                <w:rFonts w:ascii="Times New Roman" w:hAnsi="Times New Roman" w:cs="Times New Roman"/>
                <w:noProof/>
              </w:rPr>
            </w:pPr>
            <w:r>
              <w:rPr>
                <w:rFonts w:ascii="Times New Roman" w:hAnsi="Times New Roman" w:cs="Times New Roman"/>
                <w:noProof/>
              </w:rPr>
              <w:t>4 000</w:t>
            </w:r>
          </w:p>
        </w:tc>
        <w:tc>
          <w:tcPr>
            <w:tcW w:w="1920" w:type="dxa"/>
            <w:tcBorders>
              <w:top w:val="nil"/>
              <w:left w:val="nil"/>
              <w:bottom w:val="single" w:sz="8" w:space="0" w:color="auto"/>
              <w:right w:val="single" w:sz="8" w:space="0" w:color="auto"/>
            </w:tcBorders>
            <w:tcMar>
              <w:top w:w="0" w:type="dxa"/>
              <w:left w:w="108" w:type="dxa"/>
              <w:bottom w:w="0" w:type="dxa"/>
              <w:right w:w="108" w:type="dxa"/>
            </w:tcMar>
          </w:tcPr>
          <w:p>
            <w:pPr>
              <w:pStyle w:val="NoSpacing"/>
              <w:jc w:val="right"/>
              <w:rPr>
                <w:rFonts w:ascii="Times New Roman" w:hAnsi="Times New Roman" w:cs="Times New Roman"/>
                <w:noProof/>
              </w:rPr>
            </w:pPr>
            <w:r>
              <w:rPr>
                <w:rFonts w:ascii="Times New Roman" w:hAnsi="Times New Roman" w:cs="Times New Roman"/>
                <w:noProof/>
              </w:rPr>
              <w:t>4 907</w:t>
            </w:r>
          </w:p>
        </w:tc>
        <w:tc>
          <w:tcPr>
            <w:tcW w:w="1920" w:type="dxa"/>
            <w:tcBorders>
              <w:top w:val="nil"/>
              <w:left w:val="nil"/>
              <w:bottom w:val="single" w:sz="8" w:space="0" w:color="auto"/>
              <w:right w:val="single" w:sz="8" w:space="0" w:color="auto"/>
            </w:tcBorders>
          </w:tcPr>
          <w:p>
            <w:pPr>
              <w:pStyle w:val="NoSpacing"/>
              <w:rPr>
                <w:rFonts w:ascii="Times New Roman" w:hAnsi="Times New Roman" w:cs="Times New Roman"/>
                <w:noProof/>
              </w:rPr>
            </w:pPr>
            <w:r>
              <w:rPr>
                <w:rFonts w:ascii="Times New Roman" w:hAnsi="Times New Roman" w:cs="Times New Roman"/>
                <w:noProof/>
              </w:rPr>
              <w:t>100%</w:t>
            </w:r>
          </w:p>
        </w:tc>
      </w:tr>
      <w:tr>
        <w:tc>
          <w:tcPr>
            <w:tcW w:w="1680" w:type="dxa"/>
            <w:tcBorders>
              <w:top w:val="nil"/>
              <w:left w:val="single" w:sz="8" w:space="0" w:color="auto"/>
              <w:bottom w:val="single" w:sz="8" w:space="0" w:color="auto"/>
              <w:right w:val="single" w:sz="8" w:space="0" w:color="auto"/>
            </w:tcBorders>
            <w:tcMar>
              <w:top w:w="0" w:type="dxa"/>
              <w:left w:w="108" w:type="dxa"/>
              <w:bottom w:w="0" w:type="dxa"/>
              <w:right w:w="108" w:type="dxa"/>
            </w:tcMar>
          </w:tcPr>
          <w:p>
            <w:pPr>
              <w:pStyle w:val="NoSpacing"/>
              <w:rPr>
                <w:rFonts w:ascii="Times New Roman" w:hAnsi="Times New Roman" w:cs="Times New Roman"/>
                <w:noProof/>
              </w:rPr>
            </w:pPr>
            <w:r>
              <w:rPr>
                <w:rFonts w:ascii="Times New Roman" w:hAnsi="Times New Roman" w:cs="Times New Roman"/>
                <w:noProof/>
              </w:rPr>
              <w:t>Poultry meat</w:t>
            </w:r>
          </w:p>
        </w:tc>
        <w:tc>
          <w:tcPr>
            <w:tcW w:w="2040" w:type="dxa"/>
            <w:tcBorders>
              <w:top w:val="nil"/>
              <w:left w:val="nil"/>
              <w:bottom w:val="single" w:sz="8" w:space="0" w:color="auto"/>
              <w:right w:val="single" w:sz="8" w:space="0" w:color="auto"/>
            </w:tcBorders>
            <w:tcMar>
              <w:top w:w="0" w:type="dxa"/>
              <w:left w:w="108" w:type="dxa"/>
              <w:bottom w:w="0" w:type="dxa"/>
              <w:right w:w="108" w:type="dxa"/>
            </w:tcMar>
          </w:tcPr>
          <w:p>
            <w:pPr>
              <w:pStyle w:val="NoSpacing"/>
              <w:rPr>
                <w:rFonts w:ascii="Times New Roman" w:hAnsi="Times New Roman" w:cs="Times New Roman"/>
                <w:noProof/>
              </w:rPr>
            </w:pPr>
            <w:r>
              <w:rPr>
                <w:rFonts w:ascii="Times New Roman" w:hAnsi="Times New Roman" w:cs="Times New Roman"/>
                <w:noProof/>
              </w:rPr>
              <w:t>4 000</w:t>
            </w:r>
          </w:p>
        </w:tc>
        <w:tc>
          <w:tcPr>
            <w:tcW w:w="1920" w:type="dxa"/>
            <w:tcBorders>
              <w:top w:val="nil"/>
              <w:left w:val="nil"/>
              <w:bottom w:val="single" w:sz="8" w:space="0" w:color="auto"/>
              <w:right w:val="single" w:sz="8" w:space="0" w:color="auto"/>
            </w:tcBorders>
            <w:tcMar>
              <w:top w:w="0" w:type="dxa"/>
              <w:left w:w="108" w:type="dxa"/>
              <w:bottom w:w="0" w:type="dxa"/>
              <w:right w:w="108" w:type="dxa"/>
            </w:tcMar>
          </w:tcPr>
          <w:p>
            <w:pPr>
              <w:pStyle w:val="NoSpacing"/>
              <w:jc w:val="right"/>
              <w:rPr>
                <w:rFonts w:ascii="Times New Roman" w:hAnsi="Times New Roman" w:cs="Times New Roman"/>
                <w:noProof/>
              </w:rPr>
            </w:pPr>
            <w:r>
              <w:rPr>
                <w:rFonts w:ascii="Times New Roman" w:hAnsi="Times New Roman" w:cs="Times New Roman"/>
                <w:noProof/>
              </w:rPr>
              <w:t>8 280</w:t>
            </w:r>
          </w:p>
        </w:tc>
        <w:tc>
          <w:tcPr>
            <w:tcW w:w="1920" w:type="dxa"/>
            <w:tcBorders>
              <w:top w:val="nil"/>
              <w:left w:val="nil"/>
              <w:bottom w:val="single" w:sz="8" w:space="0" w:color="auto"/>
              <w:right w:val="single" w:sz="8" w:space="0" w:color="auto"/>
            </w:tcBorders>
          </w:tcPr>
          <w:p>
            <w:pPr>
              <w:pStyle w:val="NoSpacing"/>
              <w:rPr>
                <w:rFonts w:ascii="Times New Roman" w:hAnsi="Times New Roman" w:cs="Times New Roman"/>
                <w:noProof/>
              </w:rPr>
            </w:pPr>
            <w:r>
              <w:rPr>
                <w:rFonts w:ascii="Times New Roman" w:hAnsi="Times New Roman" w:cs="Times New Roman"/>
                <w:noProof/>
              </w:rPr>
              <w:t>100%</w:t>
            </w:r>
          </w:p>
        </w:tc>
      </w:tr>
      <w:tr>
        <w:tc>
          <w:tcPr>
            <w:tcW w:w="16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pStyle w:val="NoSpacing"/>
              <w:rPr>
                <w:rFonts w:ascii="Times New Roman" w:hAnsi="Times New Roman" w:cs="Times New Roman"/>
                <w:noProof/>
              </w:rPr>
            </w:pPr>
            <w:r>
              <w:rPr>
                <w:rFonts w:ascii="Times New Roman" w:hAnsi="Times New Roman" w:cs="Times New Roman"/>
                <w:noProof/>
              </w:rPr>
              <w:t>Dairy</w:t>
            </w:r>
          </w:p>
        </w:tc>
        <w:tc>
          <w:tcPr>
            <w:tcW w:w="2040" w:type="dxa"/>
            <w:tcBorders>
              <w:top w:val="nil"/>
              <w:left w:val="nil"/>
              <w:bottom w:val="single" w:sz="8" w:space="0" w:color="auto"/>
              <w:right w:val="single" w:sz="8" w:space="0" w:color="auto"/>
            </w:tcBorders>
            <w:tcMar>
              <w:top w:w="0" w:type="dxa"/>
              <w:left w:w="108" w:type="dxa"/>
              <w:bottom w:w="0" w:type="dxa"/>
              <w:right w:w="108" w:type="dxa"/>
            </w:tcMar>
          </w:tcPr>
          <w:p>
            <w:pPr>
              <w:pStyle w:val="NoSpacing"/>
              <w:rPr>
                <w:rFonts w:ascii="Times New Roman" w:hAnsi="Times New Roman" w:cs="Times New Roman"/>
                <w:noProof/>
              </w:rPr>
            </w:pPr>
            <w:r>
              <w:rPr>
                <w:rFonts w:ascii="Times New Roman" w:hAnsi="Times New Roman" w:cs="Times New Roman"/>
                <w:noProof/>
              </w:rPr>
              <w:t>1 000</w:t>
            </w:r>
          </w:p>
        </w:tc>
        <w:tc>
          <w:tcPr>
            <w:tcW w:w="1920" w:type="dxa"/>
            <w:tcBorders>
              <w:top w:val="nil"/>
              <w:left w:val="nil"/>
              <w:bottom w:val="single" w:sz="8" w:space="0" w:color="auto"/>
              <w:right w:val="single" w:sz="8" w:space="0" w:color="auto"/>
            </w:tcBorders>
            <w:tcMar>
              <w:top w:w="0" w:type="dxa"/>
              <w:left w:w="108" w:type="dxa"/>
              <w:bottom w:w="0" w:type="dxa"/>
              <w:right w:w="108" w:type="dxa"/>
            </w:tcMar>
          </w:tcPr>
          <w:p>
            <w:pPr>
              <w:pStyle w:val="NoSpacing"/>
              <w:jc w:val="right"/>
              <w:rPr>
                <w:rFonts w:ascii="Times New Roman" w:hAnsi="Times New Roman" w:cs="Times New Roman"/>
                <w:noProof/>
              </w:rPr>
            </w:pPr>
            <w:r>
              <w:rPr>
                <w:rFonts w:ascii="Times New Roman" w:hAnsi="Times New Roman" w:cs="Times New Roman"/>
                <w:noProof/>
              </w:rPr>
              <w:t>16 529</w:t>
            </w:r>
          </w:p>
        </w:tc>
        <w:tc>
          <w:tcPr>
            <w:tcW w:w="1920" w:type="dxa"/>
            <w:tcBorders>
              <w:top w:val="nil"/>
              <w:left w:val="nil"/>
              <w:bottom w:val="single" w:sz="8" w:space="0" w:color="auto"/>
              <w:right w:val="single" w:sz="8" w:space="0" w:color="auto"/>
            </w:tcBorders>
          </w:tcPr>
          <w:p>
            <w:pPr>
              <w:pStyle w:val="NoSpacing"/>
              <w:rPr>
                <w:rFonts w:ascii="Times New Roman" w:hAnsi="Times New Roman" w:cs="Times New Roman"/>
                <w:noProof/>
              </w:rPr>
            </w:pPr>
            <w:r>
              <w:rPr>
                <w:rFonts w:ascii="Times New Roman" w:hAnsi="Times New Roman" w:cs="Times New Roman"/>
                <w:noProof/>
              </w:rPr>
              <w:t>100%</w:t>
            </w:r>
          </w:p>
        </w:tc>
      </w:tr>
      <w:tr>
        <w:tc>
          <w:tcPr>
            <w:tcW w:w="1680" w:type="dxa"/>
            <w:tcBorders>
              <w:top w:val="nil"/>
              <w:left w:val="single" w:sz="8" w:space="0" w:color="auto"/>
              <w:bottom w:val="single" w:sz="8" w:space="0" w:color="auto"/>
              <w:right w:val="single" w:sz="8" w:space="0" w:color="auto"/>
            </w:tcBorders>
            <w:tcMar>
              <w:top w:w="0" w:type="dxa"/>
              <w:left w:w="108" w:type="dxa"/>
              <w:bottom w:w="0" w:type="dxa"/>
              <w:right w:w="108" w:type="dxa"/>
            </w:tcMar>
          </w:tcPr>
          <w:p>
            <w:pPr>
              <w:pStyle w:val="NoSpacing"/>
              <w:rPr>
                <w:rFonts w:ascii="Times New Roman" w:hAnsi="Times New Roman" w:cs="Times New Roman"/>
                <w:noProof/>
              </w:rPr>
            </w:pPr>
            <w:r>
              <w:rPr>
                <w:rFonts w:ascii="Times New Roman" w:hAnsi="Times New Roman" w:cs="Times New Roman"/>
                <w:noProof/>
              </w:rPr>
              <w:t>Processed meat</w:t>
            </w:r>
          </w:p>
        </w:tc>
        <w:tc>
          <w:tcPr>
            <w:tcW w:w="2040" w:type="dxa"/>
            <w:tcBorders>
              <w:top w:val="nil"/>
              <w:left w:val="nil"/>
              <w:bottom w:val="single" w:sz="8" w:space="0" w:color="auto"/>
              <w:right w:val="single" w:sz="8" w:space="0" w:color="auto"/>
            </w:tcBorders>
            <w:tcMar>
              <w:top w:w="0" w:type="dxa"/>
              <w:left w:w="108" w:type="dxa"/>
              <w:bottom w:w="0" w:type="dxa"/>
              <w:right w:w="108" w:type="dxa"/>
            </w:tcMar>
          </w:tcPr>
          <w:p>
            <w:pPr>
              <w:pStyle w:val="NoSpacing"/>
              <w:rPr>
                <w:rFonts w:ascii="Times New Roman" w:hAnsi="Times New Roman" w:cs="Times New Roman"/>
                <w:noProof/>
              </w:rPr>
            </w:pPr>
            <w:r>
              <w:rPr>
                <w:rFonts w:ascii="Times New Roman" w:hAnsi="Times New Roman" w:cs="Times New Roman"/>
                <w:noProof/>
              </w:rPr>
              <w:t>1 700</w:t>
            </w:r>
          </w:p>
        </w:tc>
        <w:tc>
          <w:tcPr>
            <w:tcW w:w="1920" w:type="dxa"/>
            <w:tcBorders>
              <w:top w:val="nil"/>
              <w:left w:val="nil"/>
              <w:bottom w:val="single" w:sz="8" w:space="0" w:color="auto"/>
              <w:right w:val="single" w:sz="8" w:space="0" w:color="auto"/>
            </w:tcBorders>
            <w:tcMar>
              <w:top w:w="0" w:type="dxa"/>
              <w:left w:w="108" w:type="dxa"/>
              <w:bottom w:w="0" w:type="dxa"/>
              <w:right w:w="108" w:type="dxa"/>
            </w:tcMar>
          </w:tcPr>
          <w:p>
            <w:pPr>
              <w:pStyle w:val="NoSpacing"/>
              <w:jc w:val="right"/>
              <w:rPr>
                <w:rFonts w:ascii="Times New Roman" w:hAnsi="Times New Roman" w:cs="Times New Roman"/>
                <w:noProof/>
              </w:rPr>
            </w:pPr>
            <w:r>
              <w:rPr>
                <w:rFonts w:ascii="Times New Roman" w:hAnsi="Times New Roman" w:cs="Times New Roman"/>
                <w:noProof/>
              </w:rPr>
              <w:t>2 488</w:t>
            </w:r>
          </w:p>
        </w:tc>
        <w:tc>
          <w:tcPr>
            <w:tcW w:w="1920" w:type="dxa"/>
            <w:tcBorders>
              <w:top w:val="nil"/>
              <w:left w:val="nil"/>
              <w:bottom w:val="single" w:sz="8" w:space="0" w:color="auto"/>
              <w:right w:val="single" w:sz="8" w:space="0" w:color="auto"/>
            </w:tcBorders>
          </w:tcPr>
          <w:p>
            <w:pPr>
              <w:pStyle w:val="NoSpacing"/>
              <w:rPr>
                <w:rFonts w:ascii="Times New Roman" w:hAnsi="Times New Roman" w:cs="Times New Roman"/>
                <w:noProof/>
              </w:rPr>
            </w:pPr>
            <w:r>
              <w:rPr>
                <w:rFonts w:ascii="Times New Roman" w:hAnsi="Times New Roman" w:cs="Times New Roman"/>
                <w:noProof/>
              </w:rPr>
              <w:t>100%</w:t>
            </w:r>
          </w:p>
        </w:tc>
      </w:tr>
      <w:tr>
        <w:tc>
          <w:tcPr>
            <w:tcW w:w="1680"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pPr>
              <w:pStyle w:val="NoSpacing"/>
              <w:rPr>
                <w:rFonts w:ascii="Times New Roman" w:hAnsi="Times New Roman" w:cs="Times New Roman"/>
                <w:noProof/>
              </w:rPr>
            </w:pPr>
            <w:r>
              <w:rPr>
                <w:rFonts w:ascii="Times New Roman" w:hAnsi="Times New Roman" w:cs="Times New Roman"/>
                <w:noProof/>
              </w:rPr>
              <w:t>Sugar</w:t>
            </w:r>
          </w:p>
        </w:tc>
        <w:tc>
          <w:tcPr>
            <w:tcW w:w="2040" w:type="dxa"/>
            <w:tcBorders>
              <w:top w:val="nil"/>
              <w:left w:val="nil"/>
              <w:bottom w:val="single" w:sz="4" w:space="0" w:color="auto"/>
              <w:right w:val="single" w:sz="8" w:space="0" w:color="auto"/>
            </w:tcBorders>
            <w:tcMar>
              <w:top w:w="0" w:type="dxa"/>
              <w:left w:w="108" w:type="dxa"/>
              <w:bottom w:w="0" w:type="dxa"/>
              <w:right w:w="108" w:type="dxa"/>
            </w:tcMar>
          </w:tcPr>
          <w:p>
            <w:pPr>
              <w:pStyle w:val="NoSpacing"/>
              <w:rPr>
                <w:rFonts w:ascii="Times New Roman" w:hAnsi="Times New Roman" w:cs="Times New Roman"/>
                <w:noProof/>
              </w:rPr>
            </w:pPr>
            <w:r>
              <w:rPr>
                <w:rFonts w:ascii="Times New Roman" w:hAnsi="Times New Roman" w:cs="Times New Roman"/>
                <w:noProof/>
              </w:rPr>
              <w:t>5 400</w:t>
            </w:r>
          </w:p>
        </w:tc>
        <w:tc>
          <w:tcPr>
            <w:tcW w:w="1920" w:type="dxa"/>
            <w:tcBorders>
              <w:top w:val="nil"/>
              <w:left w:val="nil"/>
              <w:bottom w:val="single" w:sz="4" w:space="0" w:color="auto"/>
              <w:right w:val="single" w:sz="8" w:space="0" w:color="auto"/>
            </w:tcBorders>
            <w:tcMar>
              <w:top w:w="0" w:type="dxa"/>
              <w:left w:w="108" w:type="dxa"/>
              <w:bottom w:w="0" w:type="dxa"/>
              <w:right w:w="108" w:type="dxa"/>
            </w:tcMar>
          </w:tcPr>
          <w:p>
            <w:pPr>
              <w:pStyle w:val="NoSpacing"/>
              <w:jc w:val="right"/>
              <w:rPr>
                <w:rFonts w:ascii="Times New Roman" w:hAnsi="Times New Roman" w:cs="Times New Roman"/>
                <w:noProof/>
              </w:rPr>
            </w:pPr>
            <w:r>
              <w:rPr>
                <w:rFonts w:ascii="Times New Roman" w:hAnsi="Times New Roman" w:cs="Times New Roman"/>
                <w:noProof/>
              </w:rPr>
              <w:t>13 659</w:t>
            </w:r>
          </w:p>
        </w:tc>
        <w:tc>
          <w:tcPr>
            <w:tcW w:w="1920" w:type="dxa"/>
            <w:tcBorders>
              <w:top w:val="nil"/>
              <w:left w:val="nil"/>
              <w:bottom w:val="single" w:sz="4" w:space="0" w:color="auto"/>
              <w:right w:val="single" w:sz="8" w:space="0" w:color="auto"/>
            </w:tcBorders>
          </w:tcPr>
          <w:p>
            <w:pPr>
              <w:pStyle w:val="NoSpacing"/>
              <w:rPr>
                <w:rFonts w:ascii="Times New Roman" w:hAnsi="Times New Roman" w:cs="Times New Roman"/>
                <w:noProof/>
              </w:rPr>
            </w:pPr>
            <w:r>
              <w:rPr>
                <w:rFonts w:ascii="Times New Roman" w:hAnsi="Times New Roman" w:cs="Times New Roman"/>
                <w:noProof/>
              </w:rPr>
              <w:t>100%</w:t>
            </w:r>
          </w:p>
        </w:tc>
      </w:tr>
      <w:tr>
        <w:tc>
          <w:tcPr>
            <w:tcW w:w="168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pPr>
              <w:pStyle w:val="NoSpacing"/>
              <w:rPr>
                <w:rFonts w:ascii="Times New Roman" w:hAnsi="Times New Roman" w:cs="Times New Roman"/>
                <w:noProof/>
              </w:rPr>
            </w:pPr>
            <w:r>
              <w:rPr>
                <w:rFonts w:ascii="Times New Roman" w:hAnsi="Times New Roman" w:cs="Times New Roman"/>
                <w:noProof/>
              </w:rPr>
              <w:t>Sweeteners</w:t>
            </w:r>
          </w:p>
        </w:tc>
        <w:tc>
          <w:tcPr>
            <w:tcW w:w="2040" w:type="dxa"/>
            <w:tcBorders>
              <w:top w:val="single" w:sz="4" w:space="0" w:color="auto"/>
              <w:left w:val="nil"/>
              <w:bottom w:val="single" w:sz="8" w:space="0" w:color="auto"/>
              <w:right w:val="single" w:sz="8" w:space="0" w:color="auto"/>
            </w:tcBorders>
            <w:tcMar>
              <w:top w:w="0" w:type="dxa"/>
              <w:left w:w="108" w:type="dxa"/>
              <w:bottom w:w="0" w:type="dxa"/>
              <w:right w:w="108" w:type="dxa"/>
            </w:tcMar>
          </w:tcPr>
          <w:p>
            <w:pPr>
              <w:pStyle w:val="NoSpacing"/>
              <w:rPr>
                <w:rFonts w:ascii="Times New Roman" w:hAnsi="Times New Roman" w:cs="Times New Roman"/>
                <w:noProof/>
              </w:rPr>
            </w:pPr>
            <w:r>
              <w:rPr>
                <w:rFonts w:ascii="Times New Roman" w:hAnsi="Times New Roman" w:cs="Times New Roman"/>
                <w:noProof/>
              </w:rPr>
              <w:t>640</w:t>
            </w:r>
          </w:p>
        </w:tc>
        <w:tc>
          <w:tcPr>
            <w:tcW w:w="1920" w:type="dxa"/>
            <w:tcBorders>
              <w:top w:val="single" w:sz="4" w:space="0" w:color="auto"/>
              <w:left w:val="nil"/>
              <w:bottom w:val="single" w:sz="8" w:space="0" w:color="auto"/>
              <w:right w:val="single" w:sz="8" w:space="0" w:color="auto"/>
            </w:tcBorders>
            <w:tcMar>
              <w:top w:w="0" w:type="dxa"/>
              <w:left w:w="108" w:type="dxa"/>
              <w:bottom w:w="0" w:type="dxa"/>
              <w:right w:w="108" w:type="dxa"/>
            </w:tcMar>
          </w:tcPr>
          <w:p>
            <w:pPr>
              <w:pStyle w:val="NoSpacing"/>
              <w:jc w:val="right"/>
              <w:rPr>
                <w:rFonts w:ascii="Times New Roman" w:hAnsi="Times New Roman" w:cs="Times New Roman"/>
                <w:noProof/>
              </w:rPr>
            </w:pPr>
            <w:r>
              <w:rPr>
                <w:rFonts w:ascii="Times New Roman" w:hAnsi="Times New Roman" w:cs="Times New Roman"/>
                <w:noProof/>
              </w:rPr>
              <w:t>319</w:t>
            </w:r>
          </w:p>
        </w:tc>
        <w:tc>
          <w:tcPr>
            <w:tcW w:w="1920" w:type="dxa"/>
            <w:tcBorders>
              <w:top w:val="single" w:sz="4" w:space="0" w:color="auto"/>
              <w:left w:val="nil"/>
              <w:bottom w:val="single" w:sz="8" w:space="0" w:color="auto"/>
              <w:right w:val="single" w:sz="8" w:space="0" w:color="auto"/>
            </w:tcBorders>
          </w:tcPr>
          <w:p>
            <w:pPr>
              <w:pStyle w:val="NoSpacing"/>
              <w:rPr>
                <w:rFonts w:ascii="Times New Roman" w:hAnsi="Times New Roman" w:cs="Times New Roman"/>
                <w:noProof/>
              </w:rPr>
            </w:pPr>
            <w:r>
              <w:rPr>
                <w:rFonts w:ascii="Times New Roman" w:hAnsi="Times New Roman" w:cs="Times New Roman"/>
                <w:noProof/>
              </w:rPr>
              <w:t>50%</w:t>
            </w:r>
          </w:p>
        </w:tc>
      </w:tr>
    </w:tbl>
    <w:p>
      <w:pPr>
        <w:jc w:val="both"/>
        <w:rPr>
          <w:rFonts w:eastAsia="Times New Roman"/>
          <w:noProof/>
          <w:sz w:val="20"/>
        </w:rPr>
      </w:pPr>
      <w:r>
        <w:rPr>
          <w:rFonts w:eastAsia="Times New Roman"/>
          <w:noProof/>
          <w:sz w:val="20"/>
        </w:rPr>
        <w:t>Source: European Commission</w:t>
      </w:r>
    </w:p>
    <w:p>
      <w:pPr>
        <w:pStyle w:val="Heading2"/>
        <w:ind w:left="0" w:firstLine="0"/>
      </w:pPr>
      <w:bookmarkStart w:id="1301" w:name="_Toc8833554"/>
      <w:bookmarkStart w:id="1302" w:name="_Toc8835381"/>
      <w:bookmarkStart w:id="1303" w:name="_Toc8834011"/>
      <w:bookmarkStart w:id="1304" w:name="_Toc8909474"/>
      <w:bookmarkStart w:id="1305" w:name="_Toc8910686"/>
      <w:bookmarkStart w:id="1306" w:name="_Toc8911723"/>
      <w:bookmarkStart w:id="1307" w:name="_Toc8974544"/>
      <w:bookmarkStart w:id="1308" w:name="_Toc9008197"/>
      <w:bookmarkStart w:id="1309" w:name="_Toc9008600"/>
      <w:bookmarkStart w:id="1310" w:name="_Toc9348596"/>
      <w:bookmarkStart w:id="1311" w:name="_Toc9608047"/>
      <w:bookmarkStart w:id="1312" w:name="_Toc16000621"/>
      <w:r>
        <w:t>1.3 Establishment, trade in services and investments</w:t>
      </w:r>
      <w:bookmarkEnd w:id="1301"/>
      <w:bookmarkEnd w:id="1302"/>
      <w:bookmarkEnd w:id="1303"/>
      <w:bookmarkEnd w:id="1304"/>
      <w:bookmarkEnd w:id="1305"/>
      <w:bookmarkEnd w:id="1306"/>
      <w:bookmarkEnd w:id="1307"/>
      <w:bookmarkEnd w:id="1308"/>
      <w:bookmarkEnd w:id="1309"/>
      <w:bookmarkEnd w:id="1310"/>
      <w:bookmarkEnd w:id="1311"/>
      <w:bookmarkEnd w:id="1312"/>
    </w:p>
    <w:p>
      <w:pPr>
        <w:pStyle w:val="Heading3"/>
        <w:ind w:left="0" w:firstLine="0"/>
        <w:rPr>
          <w:noProof/>
        </w:rPr>
      </w:pPr>
      <w:bookmarkStart w:id="1313" w:name="_Toc8833555"/>
      <w:bookmarkStart w:id="1314" w:name="_Toc8835382"/>
      <w:bookmarkStart w:id="1315" w:name="_Toc8834012"/>
      <w:bookmarkStart w:id="1316" w:name="_Toc8909475"/>
      <w:bookmarkStart w:id="1317" w:name="_Toc8910687"/>
      <w:bookmarkStart w:id="1318" w:name="_Toc8911724"/>
      <w:bookmarkStart w:id="1319" w:name="_Toc8974545"/>
      <w:bookmarkStart w:id="1320" w:name="_Toc9008198"/>
      <w:bookmarkStart w:id="1321" w:name="_Toc9008601"/>
      <w:bookmarkStart w:id="1322" w:name="_Toc9348597"/>
      <w:bookmarkStart w:id="1323" w:name="_Toc9608048"/>
      <w:bookmarkStart w:id="1324" w:name="_Toc16000622"/>
      <w:r>
        <w:rPr>
          <w:noProof/>
        </w:rPr>
        <w:t>Market access related to establishment and trade in services</w:t>
      </w:r>
      <w:bookmarkEnd w:id="1313"/>
      <w:bookmarkEnd w:id="1314"/>
      <w:bookmarkEnd w:id="1315"/>
      <w:bookmarkEnd w:id="1316"/>
      <w:bookmarkEnd w:id="1317"/>
      <w:bookmarkEnd w:id="1318"/>
      <w:bookmarkEnd w:id="1319"/>
      <w:bookmarkEnd w:id="1320"/>
      <w:bookmarkEnd w:id="1321"/>
      <w:bookmarkEnd w:id="1322"/>
      <w:bookmarkEnd w:id="1323"/>
      <w:bookmarkEnd w:id="1324"/>
    </w:p>
    <w:p>
      <w:pPr>
        <w:jc w:val="both"/>
        <w:rPr>
          <w:rFonts w:eastAsia="Times New Roman"/>
          <w:b/>
          <w:i/>
          <w:noProof/>
        </w:rPr>
      </w:pPr>
      <w:r>
        <w:rPr>
          <w:rFonts w:eastAsia="Times New Roman"/>
          <w:noProof/>
        </w:rPr>
        <w:t xml:space="preserve">Approximation to the EU acquis is foreseen in four services sectors (postal and courier services, telecommunication services, financial services and international maritime transport services). Moldova recognised the importance of gradual (lasting between 3 and 8 years) approximation of its existing and future legislation to the list of the EU </w:t>
      </w:r>
      <w:r>
        <w:rPr>
          <w:rFonts w:eastAsia="Times New Roman"/>
          <w:i/>
          <w:noProof/>
        </w:rPr>
        <w:t>acquis</w:t>
      </w:r>
      <w:r>
        <w:rPr>
          <w:rFonts w:eastAsia="Times New Roman"/>
          <w:noProof/>
        </w:rPr>
        <w:t xml:space="preserve"> (in case of financial services also to the international best practice and standards).</w:t>
      </w:r>
    </w:p>
    <w:p>
      <w:pPr>
        <w:pStyle w:val="Heading3"/>
        <w:ind w:left="0" w:firstLine="0"/>
        <w:rPr>
          <w:noProof/>
        </w:rPr>
      </w:pPr>
      <w:bookmarkStart w:id="1325" w:name="_Toc8833556"/>
      <w:bookmarkStart w:id="1326" w:name="_Toc8835383"/>
      <w:bookmarkStart w:id="1327" w:name="_Toc8834013"/>
      <w:bookmarkStart w:id="1328" w:name="_Toc8909476"/>
      <w:bookmarkStart w:id="1329" w:name="_Toc8910688"/>
      <w:bookmarkStart w:id="1330" w:name="_Toc8911725"/>
      <w:bookmarkStart w:id="1331" w:name="_Toc8974546"/>
      <w:bookmarkStart w:id="1332" w:name="_Toc9008199"/>
      <w:bookmarkStart w:id="1333" w:name="_Toc9008602"/>
      <w:bookmarkStart w:id="1334" w:name="_Toc9348598"/>
      <w:bookmarkStart w:id="1335" w:name="_Toc9608049"/>
      <w:bookmarkStart w:id="1336" w:name="_Toc16000623"/>
      <w:r>
        <w:rPr>
          <w:noProof/>
        </w:rPr>
        <w:t>Trade in Services</w:t>
      </w:r>
      <w:bookmarkEnd w:id="1325"/>
      <w:bookmarkEnd w:id="1326"/>
      <w:bookmarkEnd w:id="1327"/>
      <w:bookmarkEnd w:id="1328"/>
      <w:bookmarkEnd w:id="1329"/>
      <w:bookmarkEnd w:id="1330"/>
      <w:bookmarkEnd w:id="1331"/>
      <w:bookmarkEnd w:id="1332"/>
      <w:bookmarkEnd w:id="1333"/>
      <w:bookmarkEnd w:id="1334"/>
      <w:bookmarkEnd w:id="1335"/>
      <w:bookmarkEnd w:id="1336"/>
    </w:p>
    <w:p>
      <w:pPr>
        <w:jc w:val="both"/>
        <w:rPr>
          <w:rFonts w:eastAsia="Times New Roman"/>
          <w:noProof/>
        </w:rPr>
      </w:pPr>
      <w:r>
        <w:rPr>
          <w:rFonts w:eastAsia="Times New Roman"/>
          <w:noProof/>
        </w:rPr>
        <w:t xml:space="preserve">In 2017, total trade in services between the EU and Moldova increased by 3.4% when compared to 2016 (i.e., up from €1.3 billion). Over the same period of time, </w:t>
      </w:r>
      <w:r>
        <w:rPr>
          <w:rFonts w:eastAsia="Times New Roman"/>
          <w:b/>
          <w:noProof/>
        </w:rPr>
        <w:t>EU exports of services to Moldova</w:t>
      </w:r>
      <w:r>
        <w:rPr>
          <w:rFonts w:eastAsia="Times New Roman"/>
          <w:noProof/>
        </w:rPr>
        <w:t xml:space="preserve"> decreased by 1.3% (from €483 million to €477 million) while EU imports increased by 6.4% (rising from €747 million to €795 million). </w:t>
      </w:r>
    </w:p>
    <w:p>
      <w:pPr>
        <w:jc w:val="both"/>
        <w:rPr>
          <w:rFonts w:eastAsia="Times New Roman"/>
          <w:noProof/>
        </w:rPr>
      </w:pPr>
    </w:p>
    <w:p>
      <w:pPr>
        <w:jc w:val="both"/>
        <w:rPr>
          <w:rFonts w:eastAsia="Times New Roman"/>
          <w:noProof/>
        </w:rPr>
      </w:pPr>
      <w:r>
        <w:rPr>
          <w:rFonts w:eastAsia="Times New Roman"/>
          <w:noProof/>
        </w:rPr>
        <w:t>While import and export values had been evolving mostly in tandem with a slight surplus for the EU, this was reversed in 2016, where the value of imports from Moldova into the EU was higher than the value of exports from the EU to Moldova. This trade deficit in services slightly widened in 2017. The main sub-sectors of services exported by Moldova to the world remain transport, travel, ICT and other business services as well as manufacturing services on physical inputs owned by others. In terms of imports, the most important sub-sectors belong to transport and travel-related services.</w:t>
      </w:r>
    </w:p>
    <w:p>
      <w:pPr>
        <w:pStyle w:val="Heading3"/>
        <w:ind w:left="0" w:firstLine="0"/>
        <w:rPr>
          <w:noProof/>
        </w:rPr>
      </w:pPr>
      <w:bookmarkStart w:id="1337" w:name="_Toc8833557"/>
      <w:bookmarkStart w:id="1338" w:name="_Toc8835384"/>
      <w:bookmarkStart w:id="1339" w:name="_Toc8834014"/>
      <w:bookmarkStart w:id="1340" w:name="_Toc8909477"/>
      <w:bookmarkStart w:id="1341" w:name="_Toc8910689"/>
      <w:bookmarkStart w:id="1342" w:name="_Toc8911726"/>
      <w:bookmarkStart w:id="1343" w:name="_Toc8974547"/>
      <w:bookmarkStart w:id="1344" w:name="_Toc9008200"/>
      <w:bookmarkStart w:id="1345" w:name="_Toc9008603"/>
      <w:bookmarkStart w:id="1346" w:name="_Toc9348599"/>
      <w:bookmarkStart w:id="1347" w:name="_Toc9608050"/>
      <w:bookmarkStart w:id="1348" w:name="_Toc16000624"/>
      <w:r>
        <w:rPr>
          <w:noProof/>
        </w:rPr>
        <w:t>Foreign Direct investment (FDIs)</w:t>
      </w:r>
      <w:bookmarkEnd w:id="1337"/>
      <w:bookmarkEnd w:id="1338"/>
      <w:bookmarkEnd w:id="1339"/>
      <w:bookmarkEnd w:id="1340"/>
      <w:bookmarkEnd w:id="1341"/>
      <w:bookmarkEnd w:id="1342"/>
      <w:bookmarkEnd w:id="1343"/>
      <w:bookmarkEnd w:id="1344"/>
      <w:bookmarkEnd w:id="1345"/>
      <w:bookmarkEnd w:id="1346"/>
      <w:bookmarkEnd w:id="1347"/>
      <w:bookmarkEnd w:id="1348"/>
    </w:p>
    <w:p>
      <w:pPr>
        <w:jc w:val="both"/>
        <w:rPr>
          <w:rFonts w:eastAsia="Times New Roman"/>
          <w:noProof/>
        </w:rPr>
      </w:pPr>
      <w:r>
        <w:rPr>
          <w:rFonts w:eastAsia="Times New Roman"/>
          <w:noProof/>
        </w:rPr>
        <w:t xml:space="preserve">In 2017, EU FDI stocks in Moldova remained at similar levels as in previous years and amounted to around € 1 billion, with the EU ranking as a major foreign investor representing over 60% of overall FDI stocks. EU companies are present in many sectors (including energy, financial sector, industry, retail trade, agriculture and services). According to data provided by Moldova, 5 712 active companies with foreign investments coming from the EU are registered in Moldova. These are mainly from Romania (1 765), Italy (1 399), Germany (427), Cyprus (306) and France (242). </w:t>
      </w:r>
    </w:p>
    <w:p>
      <w:pPr>
        <w:jc w:val="both"/>
        <w:rPr>
          <w:rFonts w:eastAsia="Times New Roman"/>
          <w:noProof/>
        </w:rPr>
      </w:pPr>
    </w:p>
    <w:p>
      <w:pPr>
        <w:jc w:val="both"/>
        <w:rPr>
          <w:rFonts w:eastAsia="Times New Roman"/>
          <w:noProof/>
        </w:rPr>
      </w:pPr>
      <w:r>
        <w:rPr>
          <w:rFonts w:eastAsia="Times New Roman"/>
          <w:noProof/>
        </w:rPr>
        <w:t xml:space="preserve">As in 2016, direct investment flows from the EU also increased in 2017 (to €105 million), following a decrease in 2015 and 2014 as a result of the banking fraud scandal. </w:t>
      </w:r>
    </w:p>
    <w:p>
      <w:pPr>
        <w:pStyle w:val="ManualHeading1"/>
      </w:pPr>
      <w:bookmarkStart w:id="1349" w:name="_Toc8833558"/>
      <w:bookmarkStart w:id="1350" w:name="_Toc8835385"/>
      <w:bookmarkStart w:id="1351" w:name="_Toc8834015"/>
      <w:bookmarkStart w:id="1352" w:name="_Toc8909478"/>
      <w:bookmarkStart w:id="1353" w:name="_Toc8910690"/>
      <w:bookmarkStart w:id="1354" w:name="_Toc8911727"/>
      <w:bookmarkStart w:id="1355" w:name="_Toc8974548"/>
      <w:bookmarkStart w:id="1356" w:name="_Toc9008201"/>
      <w:bookmarkStart w:id="1357" w:name="_Toc9008604"/>
      <w:bookmarkStart w:id="1358" w:name="_Toc9348600"/>
      <w:bookmarkStart w:id="1359" w:name="_Toc9608051"/>
      <w:bookmarkStart w:id="1360" w:name="_Toc16000625"/>
      <w:r>
        <w:t>2.</w:t>
      </w:r>
      <w:r>
        <w:tab/>
        <w:t>Activities of the implementation bodies</w:t>
      </w:r>
      <w:bookmarkEnd w:id="1349"/>
      <w:bookmarkEnd w:id="1350"/>
      <w:bookmarkEnd w:id="1351"/>
      <w:bookmarkEnd w:id="1352"/>
      <w:bookmarkEnd w:id="1353"/>
      <w:bookmarkEnd w:id="1354"/>
      <w:bookmarkEnd w:id="1355"/>
      <w:bookmarkEnd w:id="1356"/>
      <w:bookmarkEnd w:id="1357"/>
      <w:bookmarkEnd w:id="1358"/>
      <w:bookmarkEnd w:id="1359"/>
      <w:bookmarkEnd w:id="1360"/>
      <w:r>
        <w:t xml:space="preserve"> </w:t>
      </w:r>
    </w:p>
    <w:p>
      <w:pPr>
        <w:pStyle w:val="Heading2"/>
        <w:ind w:left="0" w:firstLine="0"/>
      </w:pPr>
      <w:bookmarkStart w:id="1361" w:name="_Toc8833559"/>
      <w:bookmarkStart w:id="1362" w:name="_Toc8835386"/>
      <w:bookmarkStart w:id="1363" w:name="_Toc8834016"/>
      <w:bookmarkStart w:id="1364" w:name="_Toc8909479"/>
      <w:bookmarkStart w:id="1365" w:name="_Toc8910691"/>
      <w:bookmarkStart w:id="1366" w:name="_Toc8911728"/>
      <w:bookmarkStart w:id="1367" w:name="_Toc8974549"/>
      <w:bookmarkStart w:id="1368" w:name="_Toc9008202"/>
      <w:bookmarkStart w:id="1369" w:name="_Toc9008605"/>
      <w:bookmarkStart w:id="1370" w:name="_Toc9348601"/>
      <w:bookmarkStart w:id="1371" w:name="_Toc9608052"/>
      <w:bookmarkStart w:id="1372" w:name="_Toc16000626"/>
      <w:r>
        <w:t>2.1 Joint decisions of the Association Bodies</w:t>
      </w:r>
      <w:bookmarkEnd w:id="1361"/>
      <w:bookmarkEnd w:id="1362"/>
      <w:bookmarkEnd w:id="1363"/>
      <w:bookmarkEnd w:id="1364"/>
      <w:bookmarkEnd w:id="1365"/>
      <w:bookmarkEnd w:id="1366"/>
      <w:bookmarkEnd w:id="1367"/>
      <w:bookmarkEnd w:id="1368"/>
      <w:bookmarkEnd w:id="1369"/>
      <w:bookmarkEnd w:id="1370"/>
      <w:bookmarkEnd w:id="1371"/>
      <w:bookmarkEnd w:id="1372"/>
    </w:p>
    <w:p>
      <w:pPr>
        <w:spacing w:after="120"/>
        <w:jc w:val="both"/>
        <w:rPr>
          <w:rFonts w:eastAsia="Times New Roman"/>
          <w:noProof/>
        </w:rPr>
      </w:pPr>
      <w:r>
        <w:rPr>
          <w:rFonts w:eastAsia="Times New Roman"/>
          <w:noProof/>
        </w:rPr>
        <w:t xml:space="preserve">In 2018, the </w:t>
      </w:r>
      <w:r>
        <w:rPr>
          <w:rFonts w:eastAsia="Times New Roman"/>
          <w:b/>
          <w:noProof/>
        </w:rPr>
        <w:t>following amendments/updates</w:t>
      </w:r>
      <w:r>
        <w:rPr>
          <w:rFonts w:eastAsia="Times New Roman"/>
          <w:noProof/>
        </w:rPr>
        <w:t xml:space="preserve"> have been adopted by the Association bodies in 2018 or are in the process of being adopted:</w:t>
      </w:r>
    </w:p>
    <w:p>
      <w:pPr>
        <w:numPr>
          <w:ilvl w:val="0"/>
          <w:numId w:val="32"/>
        </w:numPr>
        <w:spacing w:after="120"/>
        <w:jc w:val="both"/>
        <w:rPr>
          <w:rFonts w:eastAsia="Times New Roman"/>
          <w:noProof/>
        </w:rPr>
      </w:pPr>
      <w:r>
        <w:rPr>
          <w:rFonts w:eastAsia="Times New Roman"/>
          <w:b/>
          <w:bCs/>
          <w:noProof/>
        </w:rPr>
        <w:t>Customs:</w:t>
      </w:r>
      <w:r>
        <w:rPr>
          <w:rFonts w:eastAsia="Times New Roman"/>
          <w:noProof/>
        </w:rPr>
        <w:t xml:space="preserve"> Annex XXVI on approximation of customs legislation</w:t>
      </w:r>
      <w:r>
        <w:rPr>
          <w:rFonts w:eastAsia="Times New Roman"/>
          <w:noProof/>
          <w:vertAlign w:val="superscript"/>
        </w:rPr>
        <w:footnoteReference w:id="42"/>
      </w:r>
    </w:p>
    <w:p>
      <w:pPr>
        <w:numPr>
          <w:ilvl w:val="0"/>
          <w:numId w:val="32"/>
        </w:numPr>
        <w:spacing w:after="120"/>
        <w:jc w:val="both"/>
        <w:rPr>
          <w:rFonts w:eastAsia="Times New Roman"/>
          <w:noProof/>
        </w:rPr>
      </w:pPr>
      <w:r>
        <w:rPr>
          <w:rFonts w:eastAsia="Times New Roman"/>
          <w:b/>
          <w:bCs/>
          <w:noProof/>
        </w:rPr>
        <w:t>Services</w:t>
      </w:r>
      <w:r>
        <w:rPr>
          <w:rFonts w:eastAsia="Times New Roman"/>
          <w:noProof/>
        </w:rPr>
        <w:t>: Annex XXVIII-A (Rules applicable to financial services), Annex XXVIII-B (Rules applicable to telecommunication services), and Annex XXVIII-D (Rules applicable to international maritime transport)</w:t>
      </w:r>
      <w:r>
        <w:rPr>
          <w:rFonts w:eastAsia="Times New Roman"/>
          <w:noProof/>
          <w:vertAlign w:val="superscript"/>
        </w:rPr>
        <w:footnoteReference w:id="43"/>
      </w:r>
    </w:p>
    <w:p>
      <w:pPr>
        <w:numPr>
          <w:ilvl w:val="0"/>
          <w:numId w:val="32"/>
        </w:numPr>
        <w:spacing w:after="120"/>
        <w:jc w:val="both"/>
        <w:rPr>
          <w:rFonts w:eastAsia="Times New Roman"/>
          <w:noProof/>
        </w:rPr>
      </w:pPr>
      <w:r>
        <w:rPr>
          <w:rFonts w:eastAsia="Times New Roman"/>
          <w:b/>
          <w:bCs/>
          <w:noProof/>
        </w:rPr>
        <w:t>Public Procurement</w:t>
      </w:r>
      <w:r>
        <w:rPr>
          <w:rFonts w:eastAsia="Times New Roman"/>
          <w:noProof/>
        </w:rPr>
        <w:t>: Decision giving a favorable opinion regarding Moldova’s comprehensive roadmap on public procurement</w:t>
      </w:r>
      <w:r>
        <w:rPr>
          <w:rFonts w:eastAsia="Times New Roman"/>
          <w:noProof/>
          <w:vertAlign w:val="superscript"/>
        </w:rPr>
        <w:footnoteReference w:id="44"/>
      </w:r>
    </w:p>
    <w:p>
      <w:pPr>
        <w:pStyle w:val="Heading2"/>
        <w:ind w:left="0" w:firstLine="0"/>
      </w:pPr>
      <w:bookmarkStart w:id="1373" w:name="_Toc8833560"/>
      <w:bookmarkStart w:id="1374" w:name="_Toc8835387"/>
      <w:bookmarkStart w:id="1375" w:name="_Toc8834017"/>
      <w:bookmarkStart w:id="1376" w:name="_Toc8909480"/>
      <w:bookmarkStart w:id="1377" w:name="_Toc8910692"/>
      <w:bookmarkStart w:id="1378" w:name="_Toc8911729"/>
      <w:bookmarkStart w:id="1379" w:name="_Toc8974550"/>
      <w:bookmarkStart w:id="1380" w:name="_Toc9008203"/>
      <w:bookmarkStart w:id="1381" w:name="_Toc9008606"/>
      <w:bookmarkStart w:id="1382" w:name="_Toc9348602"/>
      <w:bookmarkStart w:id="1383" w:name="_Toc9608053"/>
      <w:bookmarkStart w:id="1384" w:name="_Toc16000627"/>
      <w:r>
        <w:t>2.2 Meetings of the Association Bodies</w:t>
      </w:r>
      <w:bookmarkEnd w:id="1373"/>
      <w:bookmarkEnd w:id="1374"/>
      <w:bookmarkEnd w:id="1375"/>
      <w:bookmarkEnd w:id="1376"/>
      <w:bookmarkEnd w:id="1377"/>
      <w:bookmarkEnd w:id="1378"/>
      <w:bookmarkEnd w:id="1379"/>
      <w:bookmarkEnd w:id="1380"/>
      <w:bookmarkEnd w:id="1381"/>
      <w:bookmarkEnd w:id="1382"/>
      <w:bookmarkEnd w:id="1383"/>
      <w:bookmarkEnd w:id="1384"/>
    </w:p>
    <w:p>
      <w:pPr>
        <w:jc w:val="both"/>
        <w:rPr>
          <w:rFonts w:eastAsia="Times New Roman"/>
          <w:noProof/>
        </w:rPr>
      </w:pPr>
      <w:r>
        <w:rPr>
          <w:rFonts w:eastAsia="Times New Roman"/>
          <w:noProof/>
        </w:rPr>
        <w:t xml:space="preserve">The following section contains an overview of the </w:t>
      </w:r>
      <w:r>
        <w:rPr>
          <w:rFonts w:eastAsia="Times New Roman"/>
          <w:b/>
          <w:noProof/>
        </w:rPr>
        <w:t>most important meetings</w:t>
      </w:r>
      <w:r>
        <w:rPr>
          <w:rFonts w:eastAsia="Times New Roman"/>
          <w:noProof/>
        </w:rPr>
        <w:t xml:space="preserve"> of the implementation bodies in 2018. </w:t>
      </w:r>
    </w:p>
    <w:p>
      <w:pPr>
        <w:jc w:val="both"/>
        <w:rPr>
          <w:rFonts w:eastAsia="Times New Roman"/>
          <w:noProof/>
        </w:rPr>
      </w:pPr>
    </w:p>
    <w:p>
      <w:pPr>
        <w:jc w:val="both"/>
        <w:rPr>
          <w:rFonts w:eastAsia="Times New Roman"/>
          <w:noProof/>
        </w:rPr>
      </w:pPr>
      <w:r>
        <w:rPr>
          <w:rFonts w:eastAsia="Times New Roman"/>
          <w:noProof/>
        </w:rPr>
        <w:t xml:space="preserve">The </w:t>
      </w:r>
      <w:r>
        <w:rPr>
          <w:rFonts w:eastAsia="Times New Roman"/>
          <w:b/>
          <w:noProof/>
        </w:rPr>
        <w:t>5</w:t>
      </w:r>
      <w:r>
        <w:rPr>
          <w:rFonts w:eastAsia="Times New Roman"/>
          <w:b/>
          <w:noProof/>
          <w:vertAlign w:val="superscript"/>
        </w:rPr>
        <w:t>th</w:t>
      </w:r>
      <w:r>
        <w:rPr>
          <w:rFonts w:eastAsia="Times New Roman"/>
          <w:noProof/>
        </w:rPr>
        <w:t xml:space="preserve"> </w:t>
      </w:r>
      <w:r>
        <w:rPr>
          <w:rFonts w:eastAsia="Times New Roman"/>
          <w:b/>
          <w:noProof/>
        </w:rPr>
        <w:t>Association Committee in Trade Configuration</w:t>
      </w:r>
      <w:r>
        <w:rPr>
          <w:rFonts w:eastAsia="Times New Roman"/>
          <w:noProof/>
        </w:rPr>
        <w:t xml:space="preserve"> met on 19 October 2018. The Parties reviewed progress made in all DCFTA chapters, including trade in goods, SPS measures, intellectual property rights, customs and trade facilitation, technical barriers to trade, public procurement, establishment, trade in services and electronic commerce, trade-related energy, competition, trade and sustainable development. The Committee also assessed trade performance, trade policy aspects and business climate issues in bilateral trade relations. </w:t>
      </w:r>
    </w:p>
    <w:p>
      <w:pPr>
        <w:jc w:val="both"/>
        <w:rPr>
          <w:rFonts w:eastAsia="Times New Roman"/>
          <w:noProof/>
        </w:rPr>
      </w:pPr>
    </w:p>
    <w:p>
      <w:pPr>
        <w:jc w:val="both"/>
        <w:rPr>
          <w:rFonts w:eastAsia="Times New Roman"/>
          <w:noProof/>
        </w:rPr>
      </w:pPr>
      <w:r>
        <w:rPr>
          <w:rFonts w:eastAsia="Times New Roman"/>
          <w:noProof/>
        </w:rPr>
        <w:t xml:space="preserve">The Moldovan authorities underlined their commitment to respect the rule of law to the benefit of its citizens and the business environment, and also in order to gain the confidence of the EU. Moldova presented its latest achievements as regards the evolution of trade with the EU and harmonisation with the acquis in intellectual property, public procurement, trade in services, quality infrastructure, energy, competition, etc. </w:t>
      </w:r>
    </w:p>
    <w:p>
      <w:pPr>
        <w:jc w:val="both"/>
        <w:rPr>
          <w:rFonts w:eastAsia="Times New Roman"/>
          <w:noProof/>
        </w:rPr>
      </w:pPr>
    </w:p>
    <w:p>
      <w:pPr>
        <w:jc w:val="both"/>
        <w:rPr>
          <w:rFonts w:eastAsia="Times New Roman"/>
          <w:noProof/>
        </w:rPr>
      </w:pPr>
      <w:r>
        <w:rPr>
          <w:rFonts w:eastAsia="Times New Roman"/>
          <w:noProof/>
        </w:rPr>
        <w:t xml:space="preserve">The EU side welcomed the legislative efforts made by Moldova so far to implement the DCFTA across different areas and stressed the need for further reform efforts to be made in order to reap the full benefits of the Agreement. It also recalled the positive trade dynamics since the start of application of the DCFTA, confirmed in the previous year (2017) by a 20% increase in bilateral trade. The EU nevertheless expressed concern about the particular circumstances under which the ACTC was taking place this year, and which have a negative impact on the stability and certainty of the Moldovan legal framework, its business and investment climate and, ultimately, on the results of the DCFTA. </w:t>
      </w:r>
    </w:p>
    <w:p>
      <w:pPr>
        <w:jc w:val="both"/>
        <w:rPr>
          <w:rFonts w:eastAsia="Times New Roman"/>
          <w:noProof/>
        </w:rPr>
      </w:pPr>
    </w:p>
    <w:p>
      <w:pPr>
        <w:jc w:val="both"/>
        <w:rPr>
          <w:rFonts w:eastAsia="Times New Roman"/>
          <w:noProof/>
        </w:rPr>
      </w:pPr>
      <w:r>
        <w:rPr>
          <w:rFonts w:eastAsia="Times New Roman"/>
          <w:noProof/>
        </w:rPr>
        <w:t xml:space="preserve">Both sides underlined the importance of EU financial assistance for the implementation of the DCFTA which aims at supporting both the Moldovan administration and the companies (notably SMEs) in aligning with the </w:t>
      </w:r>
      <w:r>
        <w:rPr>
          <w:rFonts w:eastAsia="Times New Roman"/>
          <w:i/>
          <w:noProof/>
        </w:rPr>
        <w:t>acquis</w:t>
      </w:r>
      <w:r>
        <w:rPr>
          <w:rFonts w:eastAsia="Times New Roman"/>
          <w:noProof/>
        </w:rPr>
        <w:t xml:space="preserve"> and reaping the benefits of the Association Agreement. </w:t>
      </w:r>
    </w:p>
    <w:p>
      <w:pPr>
        <w:jc w:val="both"/>
        <w:rPr>
          <w:rFonts w:eastAsia="Times New Roman"/>
          <w:noProof/>
        </w:rPr>
      </w:pPr>
    </w:p>
    <w:p>
      <w:pPr>
        <w:jc w:val="both"/>
        <w:rPr>
          <w:rFonts w:eastAsia="Times New Roman"/>
          <w:noProof/>
        </w:rPr>
      </w:pPr>
      <w:r>
        <w:rPr>
          <w:rFonts w:eastAsia="Times New Roman"/>
          <w:noProof/>
        </w:rPr>
        <w:t xml:space="preserve">The </w:t>
      </w:r>
      <w:r>
        <w:rPr>
          <w:rFonts w:eastAsia="Times New Roman"/>
          <w:b/>
          <w:noProof/>
        </w:rPr>
        <w:t>4th Sub-Committee on SPS measures</w:t>
      </w:r>
      <w:r>
        <w:rPr>
          <w:rFonts w:eastAsia="Times New Roman"/>
          <w:noProof/>
        </w:rPr>
        <w:t xml:space="preserve"> (SPS Sub-Committee) met on 12 July 2018 in Brussels. The Moldovan authorities presented progress in the implementation of the operational conclusions from the previous Sub-Committee meeting of June 2017 and updates as regards the implementation of the DCFTA SPS Chapter and institutional capacity of the Food Safety Agency (ANSA). The EU underlined the importance for Moldovan authorities to meet the deadlines foreseen in Annex XXIV-B of the DCFTA ranging from 2014-2019, and to allocate human resources in order to meet this priority. Discussions also touched upon the need for the laboratory network to be strengthened and extended, the negotiation on veterinary-sanitary certificates for export from the EU to Moldova, Moldova’s application for export of poultry meat and eggs as well as continuing the working closely together combatting African swine fever (ASF).</w:t>
      </w:r>
    </w:p>
    <w:p>
      <w:pPr>
        <w:jc w:val="both"/>
        <w:rPr>
          <w:rFonts w:eastAsia="Times New Roman"/>
          <w:noProof/>
        </w:rPr>
      </w:pPr>
    </w:p>
    <w:p>
      <w:pPr>
        <w:jc w:val="both"/>
        <w:rPr>
          <w:rFonts w:eastAsia="Times New Roman"/>
          <w:noProof/>
        </w:rPr>
      </w:pPr>
      <w:r>
        <w:rPr>
          <w:rFonts w:eastAsia="Times New Roman"/>
          <w:noProof/>
        </w:rPr>
        <w:t xml:space="preserve">The </w:t>
      </w:r>
      <w:r>
        <w:rPr>
          <w:rFonts w:eastAsia="Times New Roman"/>
          <w:b/>
          <w:bCs/>
          <w:noProof/>
        </w:rPr>
        <w:t>4</w:t>
      </w:r>
      <w:r>
        <w:rPr>
          <w:rFonts w:eastAsia="Times New Roman"/>
          <w:b/>
          <w:bCs/>
          <w:noProof/>
          <w:vertAlign w:val="superscript"/>
        </w:rPr>
        <w:t>th</w:t>
      </w:r>
      <w:r>
        <w:rPr>
          <w:rFonts w:eastAsia="Times New Roman"/>
          <w:b/>
          <w:bCs/>
          <w:noProof/>
        </w:rPr>
        <w:t xml:space="preserve"> Sub-Committee on Customs and Trade Facilitation</w:t>
      </w:r>
      <w:r>
        <w:rPr>
          <w:rFonts w:eastAsia="Times New Roman"/>
          <w:noProof/>
        </w:rPr>
        <w:t xml:space="preserve"> took place on 21-22 November 2018. </w:t>
      </w:r>
      <w:r>
        <w:rPr>
          <w:noProof/>
        </w:rPr>
        <w:t>Both sides welcomed the amendment to Annex XXVI referring to the Union Customs Code for harmonisation and the EU informed about the implementation phases of the Union Customs Code and the related IT systems. Moldova informed that the national legislation on Authorised Economic Operator (AEO) in approximation to EU provisions applies since 2017, with currently 117 AEOs in the Republic of Moldova, and mentioned the successful pilot project at RO-MD crossing Leuseni-Albita with unilateral recognition of EU AEOs</w:t>
      </w:r>
      <w:r>
        <w:rPr>
          <w:rFonts w:eastAsia="Times New Roman"/>
          <w:noProof/>
        </w:rPr>
        <w:t xml:space="preserve">. </w:t>
      </w:r>
    </w:p>
    <w:p>
      <w:pPr>
        <w:jc w:val="both"/>
        <w:rPr>
          <w:noProof/>
        </w:rPr>
      </w:pPr>
    </w:p>
    <w:p>
      <w:pPr>
        <w:jc w:val="both"/>
        <w:rPr>
          <w:rFonts w:eastAsia="Times New Roman"/>
          <w:noProof/>
        </w:rPr>
      </w:pPr>
      <w:r>
        <w:rPr>
          <w:rFonts w:eastAsia="Times New Roman"/>
          <w:noProof/>
        </w:rPr>
        <w:t xml:space="preserve">The </w:t>
      </w:r>
      <w:r>
        <w:rPr>
          <w:rFonts w:eastAsia="Times New Roman"/>
          <w:b/>
          <w:bCs/>
          <w:noProof/>
        </w:rPr>
        <w:t>4</w:t>
      </w:r>
      <w:r>
        <w:rPr>
          <w:rFonts w:eastAsia="Times New Roman"/>
          <w:b/>
          <w:bCs/>
          <w:noProof/>
          <w:vertAlign w:val="superscript"/>
        </w:rPr>
        <w:t>th</w:t>
      </w:r>
      <w:r>
        <w:rPr>
          <w:rFonts w:eastAsia="Times New Roman"/>
          <w:noProof/>
        </w:rPr>
        <w:t xml:space="preserve"> </w:t>
      </w:r>
      <w:r>
        <w:rPr>
          <w:rFonts w:eastAsia="Times New Roman"/>
          <w:b/>
          <w:bCs/>
          <w:noProof/>
        </w:rPr>
        <w:t>Geographical Indications (GIs) Sub-Committee</w:t>
      </w:r>
      <w:r>
        <w:rPr>
          <w:rFonts w:eastAsia="Times New Roman"/>
          <w:noProof/>
        </w:rPr>
        <w:t xml:space="preserve"> met on 18 October 2018 and discussed the changes in the GIs system in the Common Agricultural policy post 2020, the respective agreements on GIs with third partners, the enforcement of the protection of GIs by customs, the update of the GIs lists, as well as the promotional events organised by Moldova to raise awareness and encourage producers to engage in the GIs system. Areas of cooperation and technical assistance as well as progress made by Moldova as regards the alignment to the EU</w:t>
      </w:r>
      <w:r>
        <w:rPr>
          <w:rFonts w:eastAsia="Times New Roman"/>
          <w:i/>
          <w:iCs/>
          <w:noProof/>
        </w:rPr>
        <w:t xml:space="preserve"> acquis</w:t>
      </w:r>
      <w:r>
        <w:rPr>
          <w:rFonts w:eastAsia="Times New Roman"/>
          <w:noProof/>
        </w:rPr>
        <w:t xml:space="preserve"> were also discussed. </w:t>
      </w:r>
    </w:p>
    <w:p>
      <w:pPr>
        <w:rPr>
          <w:rFonts w:eastAsia="Times New Roman"/>
          <w:i/>
          <w:iCs/>
          <w:noProof/>
        </w:rPr>
      </w:pPr>
    </w:p>
    <w:p>
      <w:pPr>
        <w:jc w:val="both"/>
        <w:rPr>
          <w:rFonts w:eastAsia="Times New Roman"/>
          <w:noProof/>
        </w:rPr>
      </w:pPr>
      <w:r>
        <w:rPr>
          <w:rFonts w:eastAsia="Times New Roman"/>
          <w:noProof/>
        </w:rPr>
        <w:t xml:space="preserve">As regards the </w:t>
      </w:r>
      <w:r>
        <w:rPr>
          <w:rFonts w:eastAsia="Times New Roman"/>
          <w:b/>
          <w:noProof/>
        </w:rPr>
        <w:t>3</w:t>
      </w:r>
      <w:r>
        <w:rPr>
          <w:rFonts w:eastAsia="Times New Roman"/>
          <w:b/>
          <w:noProof/>
          <w:vertAlign w:val="superscript"/>
        </w:rPr>
        <w:t xml:space="preserve">rd </w:t>
      </w:r>
      <w:r>
        <w:rPr>
          <w:rFonts w:eastAsia="Times New Roman"/>
          <w:b/>
          <w:noProof/>
        </w:rPr>
        <w:t xml:space="preserve">TSD Sub-Committee </w:t>
      </w:r>
      <w:r>
        <w:rPr>
          <w:rFonts w:eastAsia="Times New Roman"/>
          <w:noProof/>
        </w:rPr>
        <w:t>meeting</w:t>
      </w:r>
      <w:r>
        <w:rPr>
          <w:rFonts w:eastAsia="Times New Roman"/>
          <w:b/>
          <w:noProof/>
        </w:rPr>
        <w:t xml:space="preserve"> -</w:t>
      </w:r>
      <w:r>
        <w:rPr>
          <w:rFonts w:eastAsia="Times New Roman"/>
          <w:noProof/>
        </w:rPr>
        <w:t xml:space="preserve">see section 3 below. </w:t>
      </w:r>
    </w:p>
    <w:p>
      <w:pPr>
        <w:pStyle w:val="ManualHeading1"/>
      </w:pPr>
      <w:bookmarkStart w:id="1385" w:name="_Toc8833561"/>
      <w:bookmarkStart w:id="1386" w:name="_Toc8835388"/>
      <w:bookmarkStart w:id="1387" w:name="_Toc8834018"/>
      <w:bookmarkStart w:id="1388" w:name="_Toc8909481"/>
      <w:bookmarkStart w:id="1389" w:name="_Toc8910693"/>
      <w:bookmarkStart w:id="1390" w:name="_Toc8911730"/>
      <w:bookmarkStart w:id="1391" w:name="_Toc8974551"/>
      <w:bookmarkStart w:id="1392" w:name="_Toc9008204"/>
      <w:bookmarkStart w:id="1393" w:name="_Toc9008607"/>
      <w:bookmarkStart w:id="1394" w:name="_Toc9348603"/>
      <w:bookmarkStart w:id="1395" w:name="_Toc9608054"/>
      <w:bookmarkStart w:id="1396" w:name="_Toc16000628"/>
      <w:r>
        <w:t>3.</w:t>
      </w:r>
      <w:r>
        <w:tab/>
        <w:t>Implementation of the provisions on trade and sustainable development</w:t>
      </w:r>
      <w:bookmarkEnd w:id="1385"/>
      <w:bookmarkEnd w:id="1386"/>
      <w:bookmarkEnd w:id="1387"/>
      <w:bookmarkEnd w:id="1388"/>
      <w:bookmarkEnd w:id="1389"/>
      <w:bookmarkEnd w:id="1390"/>
      <w:bookmarkEnd w:id="1391"/>
      <w:bookmarkEnd w:id="1392"/>
      <w:bookmarkEnd w:id="1393"/>
      <w:bookmarkEnd w:id="1394"/>
      <w:bookmarkEnd w:id="1395"/>
      <w:bookmarkEnd w:id="1396"/>
    </w:p>
    <w:p>
      <w:pPr>
        <w:jc w:val="both"/>
        <w:rPr>
          <w:noProof/>
        </w:rPr>
      </w:pPr>
      <w:r>
        <w:rPr>
          <w:noProof/>
        </w:rPr>
        <w:t xml:space="preserve">The </w:t>
      </w:r>
      <w:r>
        <w:rPr>
          <w:b/>
          <w:bCs/>
          <w:noProof/>
        </w:rPr>
        <w:t>TSD Sub-Committee</w:t>
      </w:r>
      <w:r>
        <w:rPr>
          <w:noProof/>
        </w:rPr>
        <w:t xml:space="preserve"> established under the TSD Chapter of the Association Agreement did not meet in 2018. Nonetheless, exchanges on labour, environmental and climate matters took place in a more informal nature and both sides discussed further cooperation on priority areas such as labour inspection (including operational safety and health), child labour, EU Eco-label scheme, the Convention on International Trade of Endangered Species (CITES) and climate change. </w:t>
      </w:r>
    </w:p>
    <w:p>
      <w:pPr>
        <w:jc w:val="both"/>
        <w:rPr>
          <w:noProof/>
        </w:rPr>
      </w:pPr>
    </w:p>
    <w:p>
      <w:pPr>
        <w:jc w:val="both"/>
        <w:rPr>
          <w:noProof/>
        </w:rPr>
      </w:pPr>
      <w:r>
        <w:rPr>
          <w:noProof/>
        </w:rPr>
        <w:t>The EU also stressed its expectation for civil society in Moldova to play an active role in overseeing the implementation of the TSD Chapter. The EU presented the new project it has put in place to support the functioning of civil society consultation mechanisms established under TSD chapters of its trade agreements that will benefit both EU and Moldova’s Domestic Advisory Groups.</w:t>
      </w:r>
    </w:p>
    <w:p>
      <w:pPr>
        <w:pStyle w:val="ManualHeading1"/>
      </w:pPr>
      <w:bookmarkStart w:id="1397" w:name="_Toc8833562"/>
      <w:bookmarkStart w:id="1398" w:name="_Toc8835389"/>
      <w:bookmarkStart w:id="1399" w:name="_Toc8834019"/>
      <w:bookmarkStart w:id="1400" w:name="_Toc8909482"/>
      <w:bookmarkStart w:id="1401" w:name="_Toc8910694"/>
      <w:bookmarkStart w:id="1402" w:name="_Toc8911731"/>
      <w:bookmarkStart w:id="1403" w:name="_Toc8974552"/>
      <w:bookmarkStart w:id="1404" w:name="_Toc9008205"/>
      <w:bookmarkStart w:id="1405" w:name="_Toc9008608"/>
      <w:bookmarkStart w:id="1406" w:name="_Toc9348604"/>
      <w:bookmarkStart w:id="1407" w:name="_Toc9608055"/>
      <w:bookmarkStart w:id="1408" w:name="_Toc16000629"/>
      <w:r>
        <w:t>4.</w:t>
      </w:r>
      <w:r>
        <w:tab/>
        <w:t>Progress made, main open issues and follow-up actions</w:t>
      </w:r>
      <w:bookmarkEnd w:id="1397"/>
      <w:bookmarkEnd w:id="1398"/>
      <w:bookmarkEnd w:id="1399"/>
      <w:bookmarkEnd w:id="1400"/>
      <w:bookmarkEnd w:id="1401"/>
      <w:bookmarkEnd w:id="1402"/>
      <w:bookmarkEnd w:id="1403"/>
      <w:bookmarkEnd w:id="1404"/>
      <w:bookmarkEnd w:id="1405"/>
      <w:bookmarkEnd w:id="1406"/>
      <w:bookmarkEnd w:id="1407"/>
      <w:bookmarkEnd w:id="1408"/>
    </w:p>
    <w:p>
      <w:pPr>
        <w:pStyle w:val="Heading2"/>
        <w:ind w:left="0" w:firstLine="0"/>
        <w:rPr>
          <w:b w:val="0"/>
          <w:bCs/>
        </w:rPr>
      </w:pPr>
      <w:bookmarkStart w:id="1409" w:name="_Toc8833563"/>
      <w:bookmarkStart w:id="1410" w:name="_Toc8835390"/>
      <w:bookmarkStart w:id="1411" w:name="_Toc8834020"/>
      <w:bookmarkStart w:id="1412" w:name="_Toc8909483"/>
      <w:bookmarkStart w:id="1413" w:name="_Toc8910695"/>
      <w:bookmarkStart w:id="1414" w:name="_Toc8911732"/>
      <w:bookmarkStart w:id="1415" w:name="_Toc8974553"/>
      <w:bookmarkStart w:id="1416" w:name="_Toc9008206"/>
      <w:bookmarkStart w:id="1417" w:name="_Toc9008609"/>
      <w:bookmarkStart w:id="1418" w:name="_Toc9348605"/>
      <w:bookmarkStart w:id="1419" w:name="_Toc9608056"/>
      <w:bookmarkStart w:id="1420" w:name="_Toc16000630"/>
      <w:r>
        <w:t>4.1 SPS aspects</w:t>
      </w:r>
      <w:bookmarkEnd w:id="1409"/>
      <w:bookmarkEnd w:id="1410"/>
      <w:bookmarkEnd w:id="1411"/>
      <w:bookmarkEnd w:id="1412"/>
      <w:bookmarkEnd w:id="1413"/>
      <w:bookmarkEnd w:id="1414"/>
      <w:bookmarkEnd w:id="1415"/>
      <w:bookmarkEnd w:id="1416"/>
      <w:bookmarkEnd w:id="1417"/>
      <w:bookmarkEnd w:id="1418"/>
      <w:bookmarkEnd w:id="1419"/>
      <w:bookmarkEnd w:id="1420"/>
      <w:r>
        <w:t xml:space="preserve"> </w:t>
      </w:r>
    </w:p>
    <w:p>
      <w:pPr>
        <w:jc w:val="both"/>
        <w:rPr>
          <w:noProof/>
        </w:rPr>
      </w:pPr>
      <w:r>
        <w:rPr>
          <w:noProof/>
        </w:rPr>
        <w:t xml:space="preserve">In terms of SPS measures, the administrative capacity of the Food Safety Agency in verifying animal health and animal welfare rules has been strengthened. However, it still needs to be enhanced. The SPS strategy was adopted by the Government in December 2017 and is currently being implemented (implementation period is from 2017-2022). </w:t>
      </w:r>
    </w:p>
    <w:p>
      <w:pPr>
        <w:jc w:val="both"/>
        <w:rPr>
          <w:noProof/>
          <w:sz w:val="22"/>
          <w:szCs w:val="22"/>
        </w:rPr>
      </w:pPr>
    </w:p>
    <w:p>
      <w:pPr>
        <w:jc w:val="both"/>
        <w:rPr>
          <w:noProof/>
        </w:rPr>
      </w:pPr>
      <w:r>
        <w:rPr>
          <w:noProof/>
        </w:rPr>
        <w:t>Moldova informed the EU that it is working to approximate to the EU</w:t>
      </w:r>
      <w:r>
        <w:rPr>
          <w:i/>
          <w:iCs/>
          <w:noProof/>
        </w:rPr>
        <w:t xml:space="preserve"> acquis </w:t>
      </w:r>
      <w:r>
        <w:rPr>
          <w:noProof/>
        </w:rPr>
        <w:t xml:space="preserve">and that Tables of Correspondence will be shared twice a year to follow the progress. In the last ACTC meeting in October 2018, Moldova informed that 60% of </w:t>
      </w:r>
      <w:r>
        <w:rPr>
          <w:i/>
          <w:iCs/>
          <w:noProof/>
        </w:rPr>
        <w:t>acquis</w:t>
      </w:r>
      <w:r>
        <w:rPr>
          <w:noProof/>
        </w:rPr>
        <w:t xml:space="preserve"> have been approximated.</w:t>
      </w:r>
    </w:p>
    <w:p>
      <w:pPr>
        <w:jc w:val="both"/>
        <w:rPr>
          <w:noProof/>
        </w:rPr>
      </w:pPr>
    </w:p>
    <w:p>
      <w:pPr>
        <w:jc w:val="both"/>
        <w:rPr>
          <w:noProof/>
        </w:rPr>
      </w:pPr>
      <w:r>
        <w:rPr>
          <w:noProof/>
        </w:rPr>
        <w:t xml:space="preserve">Moldova has shown interest to be authorised to export poultry meat and table egg eto the EU. Moldova presented a draft roadmap describing how it will meet EU import requirements and, as a first step, the EU provided a questionnaire on the authorisation to export these products. Moldova will secure effective implementation of the roadmap and the Commission will carry out an audit for verifying Moldova’s readiness, when requested. </w:t>
      </w:r>
    </w:p>
    <w:p>
      <w:pPr>
        <w:jc w:val="both"/>
        <w:rPr>
          <w:noProof/>
        </w:rPr>
      </w:pPr>
    </w:p>
    <w:p>
      <w:pPr>
        <w:jc w:val="both"/>
        <w:rPr>
          <w:noProof/>
        </w:rPr>
      </w:pPr>
      <w:r>
        <w:rPr>
          <w:noProof/>
        </w:rPr>
        <w:t xml:space="preserve">Moldova implemented articles 186 and 187 of the DCFTA (respectively related to SPS import conditions and certification) in autumn 2018, and consequently EU business operators reflected on the website of EU Member States are now eligible for exporting to Moldova without any further listing mechanisms being required. </w:t>
      </w:r>
    </w:p>
    <w:p>
      <w:pPr>
        <w:jc w:val="both"/>
        <w:rPr>
          <w:noProof/>
        </w:rPr>
      </w:pPr>
    </w:p>
    <w:p>
      <w:pPr>
        <w:jc w:val="both"/>
        <w:rPr>
          <w:noProof/>
        </w:rPr>
      </w:pPr>
      <w:r>
        <w:rPr>
          <w:noProof/>
        </w:rPr>
        <w:t>Thirteen veterinary-sanitary certificates were agreed for export of animal products and live animals from the EU to Moldova.</w:t>
      </w:r>
    </w:p>
    <w:p>
      <w:pPr>
        <w:pStyle w:val="Heading2"/>
        <w:ind w:left="0" w:firstLine="0"/>
        <w:rPr>
          <w:rFonts w:eastAsia="Calibri"/>
          <w:b w:val="0"/>
          <w:i/>
        </w:rPr>
      </w:pPr>
      <w:bookmarkStart w:id="1421" w:name="_Toc8833564"/>
      <w:bookmarkStart w:id="1422" w:name="_Toc8835391"/>
      <w:bookmarkStart w:id="1423" w:name="_Toc8834021"/>
      <w:bookmarkStart w:id="1424" w:name="_Toc8909484"/>
      <w:bookmarkStart w:id="1425" w:name="_Toc8910696"/>
      <w:bookmarkStart w:id="1426" w:name="_Toc8911733"/>
      <w:bookmarkStart w:id="1427" w:name="_Toc8974554"/>
      <w:bookmarkStart w:id="1428" w:name="_Toc9008207"/>
      <w:bookmarkStart w:id="1429" w:name="_Toc9008610"/>
      <w:bookmarkStart w:id="1430" w:name="_Toc9348606"/>
      <w:bookmarkStart w:id="1431" w:name="_Toc9608057"/>
      <w:bookmarkStart w:id="1432" w:name="_Toc16000631"/>
      <w:r>
        <w:t>4.2 Technical Barriers to Trade</w:t>
      </w:r>
      <w:bookmarkEnd w:id="1421"/>
      <w:bookmarkEnd w:id="1422"/>
      <w:bookmarkEnd w:id="1423"/>
      <w:bookmarkEnd w:id="1424"/>
      <w:bookmarkEnd w:id="1425"/>
      <w:bookmarkEnd w:id="1426"/>
      <w:bookmarkEnd w:id="1427"/>
      <w:bookmarkEnd w:id="1428"/>
      <w:bookmarkEnd w:id="1429"/>
      <w:bookmarkEnd w:id="1430"/>
      <w:bookmarkEnd w:id="1431"/>
      <w:bookmarkEnd w:id="1432"/>
    </w:p>
    <w:p>
      <w:pPr>
        <w:jc w:val="both"/>
        <w:rPr>
          <w:noProof/>
        </w:rPr>
      </w:pPr>
      <w:r>
        <w:rPr>
          <w:rFonts w:eastAsia="Times New Roman"/>
          <w:noProof/>
        </w:rPr>
        <w:t xml:space="preserve">Moldova informed that all acts were transposed according to Annex XVI. </w:t>
      </w:r>
      <w:r>
        <w:rPr>
          <w:noProof/>
        </w:rPr>
        <w:t>Moldova also indicated that it had decided to carry out a study in order to re-assess the priority sectors it had defined for the future negotiations of an Agreement on Conformity Assessment and Acceptance of industrial products (ACAA)</w:t>
      </w:r>
      <w:r>
        <w:rPr>
          <w:rFonts w:eastAsia="Times New Roman"/>
          <w:noProof/>
        </w:rPr>
        <w:t>.</w:t>
      </w:r>
    </w:p>
    <w:p>
      <w:pPr>
        <w:pStyle w:val="Heading2"/>
        <w:ind w:left="0" w:firstLine="0"/>
        <w:rPr>
          <w:rFonts w:eastAsia="Calibri"/>
          <w:b w:val="0"/>
          <w:i/>
        </w:rPr>
      </w:pPr>
      <w:bookmarkStart w:id="1433" w:name="_Toc8833565"/>
      <w:bookmarkStart w:id="1434" w:name="_Toc8835392"/>
      <w:bookmarkStart w:id="1435" w:name="_Toc8834022"/>
      <w:bookmarkStart w:id="1436" w:name="_Toc8909485"/>
      <w:bookmarkStart w:id="1437" w:name="_Toc8910697"/>
      <w:bookmarkStart w:id="1438" w:name="_Toc8911734"/>
      <w:bookmarkStart w:id="1439" w:name="_Toc8974555"/>
      <w:bookmarkStart w:id="1440" w:name="_Toc9008208"/>
      <w:bookmarkStart w:id="1441" w:name="_Toc9008611"/>
      <w:bookmarkStart w:id="1442" w:name="_Toc9348607"/>
      <w:bookmarkStart w:id="1443" w:name="_Toc9608058"/>
      <w:bookmarkStart w:id="1444" w:name="_Toc16000632"/>
      <w:r>
        <w:t>4.3 Customs and Trade Facilitation</w:t>
      </w:r>
      <w:bookmarkEnd w:id="1433"/>
      <w:bookmarkEnd w:id="1434"/>
      <w:bookmarkEnd w:id="1435"/>
      <w:bookmarkEnd w:id="1436"/>
      <w:bookmarkEnd w:id="1437"/>
      <w:bookmarkEnd w:id="1438"/>
      <w:bookmarkEnd w:id="1439"/>
      <w:bookmarkEnd w:id="1440"/>
      <w:bookmarkEnd w:id="1441"/>
      <w:bookmarkEnd w:id="1442"/>
      <w:bookmarkEnd w:id="1443"/>
      <w:bookmarkEnd w:id="1444"/>
    </w:p>
    <w:p>
      <w:pPr>
        <w:jc w:val="both"/>
        <w:rPr>
          <w:rFonts w:eastAsia="Times New Roman"/>
          <w:noProof/>
        </w:rPr>
      </w:pPr>
      <w:r>
        <w:rPr>
          <w:noProof/>
        </w:rPr>
        <w:t>Moldova reported on its ongoing legislative efforts to align to the Union Customs Code and the EU's provisions on customs enforcement of IPR. The amendment to the Annex XXVI (approximation of customs legislation) of the Association Agreement was adopted (via a Decision of the Association Council on 3 May 2018) with a view to clarifying that Moldova needs to approximate to the Union Customs Code, not the repealed Community Customs Code. The EU side voiced its concerns with regard to the Law #172 that allows tax-free sales of fuel at land border crossing points, which will provide additional incentives for smuggling and is not in line with Directive 2008/118/EC.</w:t>
      </w:r>
    </w:p>
    <w:p>
      <w:pPr>
        <w:pStyle w:val="Heading2"/>
        <w:ind w:left="0" w:firstLine="0"/>
        <w:rPr>
          <w:rFonts w:eastAsia="Calibri"/>
          <w:b w:val="0"/>
          <w:i/>
        </w:rPr>
      </w:pPr>
      <w:bookmarkStart w:id="1445" w:name="_Toc8833566"/>
      <w:bookmarkStart w:id="1446" w:name="_Toc8835393"/>
      <w:bookmarkStart w:id="1447" w:name="_Toc8834023"/>
      <w:bookmarkStart w:id="1448" w:name="_Toc8909486"/>
      <w:bookmarkStart w:id="1449" w:name="_Toc8910698"/>
      <w:bookmarkStart w:id="1450" w:name="_Toc8911735"/>
      <w:bookmarkStart w:id="1451" w:name="_Toc8974556"/>
      <w:bookmarkStart w:id="1452" w:name="_Toc9008209"/>
      <w:bookmarkStart w:id="1453" w:name="_Toc9008612"/>
      <w:bookmarkStart w:id="1454" w:name="_Toc9348608"/>
      <w:bookmarkStart w:id="1455" w:name="_Toc9608059"/>
      <w:bookmarkStart w:id="1456" w:name="_Toc16000633"/>
      <w:r>
        <w:t>4.4 Energy</w:t>
      </w:r>
      <w:bookmarkEnd w:id="1445"/>
      <w:bookmarkEnd w:id="1446"/>
      <w:bookmarkEnd w:id="1447"/>
      <w:bookmarkEnd w:id="1448"/>
      <w:bookmarkEnd w:id="1449"/>
      <w:bookmarkEnd w:id="1450"/>
      <w:bookmarkEnd w:id="1451"/>
      <w:bookmarkEnd w:id="1452"/>
      <w:bookmarkEnd w:id="1453"/>
      <w:bookmarkEnd w:id="1454"/>
      <w:bookmarkEnd w:id="1455"/>
      <w:bookmarkEnd w:id="1456"/>
      <w:r>
        <w:t xml:space="preserve"> </w:t>
      </w:r>
    </w:p>
    <w:p>
      <w:pPr>
        <w:jc w:val="both"/>
        <w:rPr>
          <w:rFonts w:eastAsia="Times New Roman"/>
          <w:noProof/>
        </w:rPr>
      </w:pPr>
      <w:r>
        <w:rPr>
          <w:rFonts w:eastAsia="Times New Roman"/>
          <w:noProof/>
        </w:rPr>
        <w:t xml:space="preserve">With regards to </w:t>
      </w:r>
      <w:r>
        <w:rPr>
          <w:rFonts w:eastAsia="Times New Roman"/>
          <w:b/>
          <w:noProof/>
        </w:rPr>
        <w:t>trade-related energy</w:t>
      </w:r>
      <w:r>
        <w:rPr>
          <w:rFonts w:eastAsia="Times New Roman"/>
          <w:noProof/>
        </w:rPr>
        <w:t xml:space="preserve">, Moldova pursued alignment with the EU acquis however concerns remain as regards the independence of the energy regulator ANRE and the transparency of the electricity procurement process. In this regard, the recommendations made by the Group of Observers </w:t>
      </w:r>
      <w:r>
        <w:rPr>
          <w:rFonts w:eastAsia="Times New Roman"/>
          <w:noProof/>
          <w:lang w:val="en"/>
        </w:rPr>
        <w:t xml:space="preserve">for the 2018 Electricity Procurement in Moldova </w:t>
      </w:r>
      <w:r>
        <w:rPr>
          <w:rFonts w:eastAsia="Times New Roman"/>
          <w:noProof/>
        </w:rPr>
        <w:t>should be taken into account to improve the next procurement exercise. Full independence and impartiality of the energy regulator is crucial to ensure proper functioning of the energy market, including proper implementation of the Third EU Energy Package and secondary legislation. It is equally important for Moldova to pursue work on the new distribution tariff methodology for electricity in consultation with all concerned stakeholders and the Energy Community Secretariat and comply with the settlement agreement reached with the company Gas Natural Fenosa in 2016.</w:t>
      </w:r>
    </w:p>
    <w:p>
      <w:pPr>
        <w:pStyle w:val="Heading2"/>
        <w:ind w:left="0" w:firstLine="0"/>
        <w:rPr>
          <w:rFonts w:eastAsia="Calibri"/>
          <w:b w:val="0"/>
          <w:i/>
        </w:rPr>
      </w:pPr>
      <w:bookmarkStart w:id="1457" w:name="_Toc8833567"/>
      <w:bookmarkStart w:id="1458" w:name="_Toc8835394"/>
      <w:bookmarkStart w:id="1459" w:name="_Toc8834024"/>
      <w:bookmarkStart w:id="1460" w:name="_Toc8909487"/>
      <w:bookmarkStart w:id="1461" w:name="_Toc8910699"/>
      <w:bookmarkStart w:id="1462" w:name="_Toc8911736"/>
      <w:bookmarkStart w:id="1463" w:name="_Toc8974557"/>
      <w:bookmarkStart w:id="1464" w:name="_Toc9008210"/>
      <w:bookmarkStart w:id="1465" w:name="_Toc9008613"/>
      <w:bookmarkStart w:id="1466" w:name="_Toc9348609"/>
      <w:bookmarkStart w:id="1467" w:name="_Toc9608060"/>
      <w:bookmarkStart w:id="1468" w:name="_Toc16000634"/>
      <w:r>
        <w:t>4.5 Competition policy</w:t>
      </w:r>
      <w:bookmarkEnd w:id="1457"/>
      <w:bookmarkEnd w:id="1458"/>
      <w:bookmarkEnd w:id="1459"/>
      <w:bookmarkEnd w:id="1460"/>
      <w:bookmarkEnd w:id="1461"/>
      <w:bookmarkEnd w:id="1462"/>
      <w:bookmarkEnd w:id="1463"/>
      <w:bookmarkEnd w:id="1464"/>
      <w:bookmarkEnd w:id="1465"/>
      <w:bookmarkEnd w:id="1466"/>
      <w:bookmarkEnd w:id="1467"/>
      <w:bookmarkEnd w:id="1468"/>
    </w:p>
    <w:p>
      <w:pPr>
        <w:jc w:val="both"/>
        <w:rPr>
          <w:rFonts w:eastAsia="Times New Roman"/>
          <w:noProof/>
        </w:rPr>
      </w:pPr>
      <w:r>
        <w:rPr>
          <w:rFonts w:eastAsia="Times New Roman"/>
          <w:noProof/>
        </w:rPr>
        <w:t xml:space="preserve">With regards to </w:t>
      </w:r>
      <w:r>
        <w:rPr>
          <w:rFonts w:eastAsia="Times New Roman"/>
          <w:b/>
          <w:noProof/>
        </w:rPr>
        <w:t>competition policy</w:t>
      </w:r>
      <w:r>
        <w:rPr>
          <w:rFonts w:eastAsia="Times New Roman"/>
          <w:noProof/>
        </w:rPr>
        <w:t xml:space="preserve"> Moldova should pursue the implementation of the </w:t>
      </w:r>
      <w:r>
        <w:rPr>
          <w:rFonts w:eastAsia="Times New Roman"/>
          <w:i/>
          <w:noProof/>
        </w:rPr>
        <w:t>National Program on Competition and State Aid for 2017-2020</w:t>
      </w:r>
      <w:r>
        <w:rPr>
          <w:rFonts w:eastAsia="Times New Roman"/>
          <w:noProof/>
        </w:rPr>
        <w:t>. There are serious concerns with certain provisions contained in Moldova’s law on Domestic Trade which may limit free competition on the market. These relate in particular to limitations of discounts between traders and producers and an obligation for retailers to have at least 50% of local products on their shelves, contrary to DCFTA and WTO provisions on national treatment of goods. If implemented, these provisions will severely affect the ability of European economic operators to conduct their business in Moldova.</w:t>
      </w:r>
    </w:p>
    <w:p>
      <w:pPr>
        <w:pStyle w:val="Heading2"/>
        <w:ind w:left="0" w:firstLine="0"/>
        <w:rPr>
          <w:rFonts w:eastAsia="Calibri"/>
          <w:b w:val="0"/>
          <w:i/>
        </w:rPr>
      </w:pPr>
      <w:bookmarkStart w:id="1469" w:name="_Toc8833568"/>
      <w:bookmarkStart w:id="1470" w:name="_Toc8835395"/>
      <w:bookmarkStart w:id="1471" w:name="_Toc8834025"/>
      <w:bookmarkStart w:id="1472" w:name="_Toc8909488"/>
      <w:bookmarkStart w:id="1473" w:name="_Toc8910700"/>
      <w:bookmarkStart w:id="1474" w:name="_Toc8911737"/>
      <w:bookmarkStart w:id="1475" w:name="_Toc8974558"/>
      <w:bookmarkStart w:id="1476" w:name="_Toc9008211"/>
      <w:bookmarkStart w:id="1477" w:name="_Toc9008614"/>
      <w:bookmarkStart w:id="1478" w:name="_Toc9348610"/>
      <w:bookmarkStart w:id="1479" w:name="_Toc9608061"/>
      <w:bookmarkStart w:id="1480" w:name="_Toc16000635"/>
      <w:r>
        <w:t>4.6 Intellectual Property Rights</w:t>
      </w:r>
      <w:bookmarkEnd w:id="1469"/>
      <w:bookmarkEnd w:id="1470"/>
      <w:bookmarkEnd w:id="1471"/>
      <w:bookmarkEnd w:id="1472"/>
      <w:bookmarkEnd w:id="1473"/>
      <w:bookmarkEnd w:id="1474"/>
      <w:bookmarkEnd w:id="1475"/>
      <w:bookmarkEnd w:id="1476"/>
      <w:bookmarkEnd w:id="1477"/>
      <w:bookmarkEnd w:id="1478"/>
      <w:bookmarkEnd w:id="1479"/>
      <w:bookmarkEnd w:id="1480"/>
    </w:p>
    <w:p>
      <w:pPr>
        <w:jc w:val="both"/>
        <w:rPr>
          <w:rFonts w:eastAsia="Times New Roman"/>
          <w:noProof/>
        </w:rPr>
      </w:pPr>
      <w:r>
        <w:rPr>
          <w:rFonts w:eastAsia="Times New Roman"/>
          <w:noProof/>
        </w:rPr>
        <w:t xml:space="preserve">In the field of </w:t>
      </w:r>
      <w:r>
        <w:rPr>
          <w:rFonts w:eastAsia="Times New Roman"/>
          <w:b/>
          <w:noProof/>
        </w:rPr>
        <w:t>intellectual property rights</w:t>
      </w:r>
      <w:r>
        <w:rPr>
          <w:rFonts w:eastAsia="Times New Roman"/>
          <w:noProof/>
        </w:rPr>
        <w:t xml:space="preserve"> (IPRs) progress has been registered in particular with regards to the usurpation of the EU Geographical Indication </w:t>
      </w:r>
      <w:r>
        <w:rPr>
          <w:rFonts w:eastAsia="Times New Roman"/>
          <w:i/>
          <w:noProof/>
        </w:rPr>
        <w:t>‘Prosecco’</w:t>
      </w:r>
      <w:r>
        <w:rPr>
          <w:rFonts w:eastAsia="Times New Roman"/>
          <w:noProof/>
        </w:rPr>
        <w:t xml:space="preserve">. In December 2017 and April 2018, the Moldovan Supreme Court of Justice has issued a final and irrevocable decision as a result of which Moldovan companies now </w:t>
      </w:r>
      <w:r>
        <w:rPr>
          <w:rFonts w:eastAsia="Times New Roman"/>
          <w:noProof/>
          <w:lang w:val="en-US"/>
        </w:rPr>
        <w:t>have a ban on the production and placing on the market of sparkling wine under the name ‘</w:t>
      </w:r>
      <w:r>
        <w:rPr>
          <w:rFonts w:eastAsia="Times New Roman"/>
          <w:i/>
          <w:noProof/>
          <w:lang w:val="en-US"/>
        </w:rPr>
        <w:t>Prosecco</w:t>
      </w:r>
      <w:r>
        <w:rPr>
          <w:rFonts w:eastAsia="Times New Roman"/>
          <w:noProof/>
          <w:lang w:val="en-US"/>
        </w:rPr>
        <w:t>’ and the corresponding international trademark is protected in Moldova. Besides,</w:t>
      </w:r>
      <w:r>
        <w:rPr>
          <w:rFonts w:eastAsia="Times New Roman"/>
          <w:b/>
          <w:noProof/>
          <w:lang w:val="en-US"/>
        </w:rPr>
        <w:t xml:space="preserve"> </w:t>
      </w:r>
      <w:r>
        <w:rPr>
          <w:rFonts w:eastAsia="Times New Roman"/>
          <w:noProof/>
          <w:lang w:val="en-US"/>
        </w:rPr>
        <w:t>some copyright related provisions need to be improved in Moldova (i.e. terms of protection for music recordings and the collective right management).</w:t>
      </w:r>
    </w:p>
    <w:p>
      <w:pPr>
        <w:pStyle w:val="Heading2"/>
        <w:ind w:left="0" w:firstLine="0"/>
        <w:rPr>
          <w:rFonts w:eastAsia="Calibri"/>
          <w:b w:val="0"/>
          <w:i/>
        </w:rPr>
      </w:pPr>
      <w:bookmarkStart w:id="1481" w:name="_Toc8833569"/>
      <w:bookmarkStart w:id="1482" w:name="_Toc8835396"/>
      <w:bookmarkStart w:id="1483" w:name="_Toc8834026"/>
      <w:bookmarkStart w:id="1484" w:name="_Toc8909489"/>
      <w:bookmarkStart w:id="1485" w:name="_Toc8910701"/>
      <w:bookmarkStart w:id="1486" w:name="_Toc8911738"/>
      <w:bookmarkStart w:id="1487" w:name="_Toc8974559"/>
      <w:bookmarkStart w:id="1488" w:name="_Toc9008212"/>
      <w:bookmarkStart w:id="1489" w:name="_Toc9008615"/>
      <w:bookmarkStart w:id="1490" w:name="_Toc9348611"/>
      <w:bookmarkStart w:id="1491" w:name="_Toc9608062"/>
      <w:bookmarkStart w:id="1492" w:name="_Toc16000636"/>
      <w:r>
        <w:t>4.7 Services</w:t>
      </w:r>
      <w:bookmarkEnd w:id="1481"/>
      <w:bookmarkEnd w:id="1482"/>
      <w:bookmarkEnd w:id="1483"/>
      <w:bookmarkEnd w:id="1484"/>
      <w:bookmarkEnd w:id="1485"/>
      <w:bookmarkEnd w:id="1486"/>
      <w:bookmarkEnd w:id="1487"/>
      <w:bookmarkEnd w:id="1488"/>
      <w:bookmarkEnd w:id="1489"/>
      <w:bookmarkEnd w:id="1490"/>
      <w:bookmarkEnd w:id="1491"/>
      <w:bookmarkEnd w:id="1492"/>
      <w:r>
        <w:t xml:space="preserve"> </w:t>
      </w:r>
    </w:p>
    <w:p>
      <w:pPr>
        <w:jc w:val="both"/>
        <w:rPr>
          <w:rFonts w:eastAsia="Times New Roman"/>
          <w:noProof/>
        </w:rPr>
      </w:pPr>
      <w:r>
        <w:rPr>
          <w:rFonts w:eastAsia="Times New Roman"/>
          <w:noProof/>
        </w:rPr>
        <w:t xml:space="preserve">On </w:t>
      </w:r>
      <w:r>
        <w:rPr>
          <w:rFonts w:eastAsia="Times New Roman"/>
          <w:b/>
          <w:noProof/>
        </w:rPr>
        <w:t>services</w:t>
      </w:r>
      <w:r>
        <w:rPr>
          <w:rFonts w:eastAsia="Times New Roman"/>
          <w:noProof/>
        </w:rPr>
        <w:t xml:space="preserve">, in international maritime transport services the main concerns relate to Moldova’s continued presence on the ‘black list’ of the Paris Memorandum of Understanding on Port State Control. Moldova has developed an Action Plan to exit the ‘black list’. Moldova informed of delays in the implementation of the newly created naval agency, which is expected to be fully operational in 2019. Moldova has made progress in reforming its postal services in line with the EU </w:t>
      </w:r>
      <w:r>
        <w:rPr>
          <w:rFonts w:eastAsia="Times New Roman"/>
          <w:i/>
          <w:noProof/>
        </w:rPr>
        <w:t xml:space="preserve">acquis </w:t>
      </w:r>
      <w:r>
        <w:rPr>
          <w:rFonts w:eastAsia="Times New Roman"/>
          <w:noProof/>
        </w:rPr>
        <w:t>(next steps foreseen in 2019), as well as in telecommunications services with the adoption of a law on electronic communications. Moldova has also aligned with the 4</w:t>
      </w:r>
      <w:r>
        <w:rPr>
          <w:rFonts w:eastAsia="Times New Roman"/>
          <w:noProof/>
          <w:vertAlign w:val="superscript"/>
        </w:rPr>
        <w:t>th</w:t>
      </w:r>
      <w:r>
        <w:rPr>
          <w:rFonts w:eastAsia="Times New Roman"/>
          <w:noProof/>
        </w:rPr>
        <w:t xml:space="preserve"> Anti-Money Laundering Directive. An update of Annex XXVIII-A (Rules applicable to financial services with regards to anti-money laundering), Annex XXVIII-B (Rules applicable to telecommunication services) and Annex XXVIII-D (Rules applicable to international maritime transport) has been prepared and is pending approval.</w:t>
      </w:r>
    </w:p>
    <w:p>
      <w:pPr>
        <w:pStyle w:val="Heading2"/>
        <w:ind w:left="0" w:firstLine="0"/>
        <w:rPr>
          <w:rFonts w:eastAsia="Calibri"/>
          <w:b w:val="0"/>
          <w:i/>
        </w:rPr>
      </w:pPr>
      <w:bookmarkStart w:id="1493" w:name="_Toc8833570"/>
      <w:bookmarkStart w:id="1494" w:name="_Toc8835397"/>
      <w:bookmarkStart w:id="1495" w:name="_Toc8834027"/>
      <w:bookmarkStart w:id="1496" w:name="_Toc8909490"/>
      <w:bookmarkStart w:id="1497" w:name="_Toc8910702"/>
      <w:bookmarkStart w:id="1498" w:name="_Toc8911739"/>
      <w:bookmarkStart w:id="1499" w:name="_Toc8974560"/>
      <w:bookmarkStart w:id="1500" w:name="_Toc9008213"/>
      <w:bookmarkStart w:id="1501" w:name="_Toc9008616"/>
      <w:bookmarkStart w:id="1502" w:name="_Toc9348612"/>
      <w:bookmarkStart w:id="1503" w:name="_Toc9608063"/>
      <w:bookmarkStart w:id="1504" w:name="_Toc16000637"/>
      <w:r>
        <w:t>4.8 Public Procurement</w:t>
      </w:r>
      <w:bookmarkEnd w:id="1493"/>
      <w:bookmarkEnd w:id="1494"/>
      <w:bookmarkEnd w:id="1495"/>
      <w:bookmarkEnd w:id="1496"/>
      <w:bookmarkEnd w:id="1497"/>
      <w:bookmarkEnd w:id="1498"/>
      <w:bookmarkEnd w:id="1499"/>
      <w:bookmarkEnd w:id="1500"/>
      <w:bookmarkEnd w:id="1501"/>
      <w:bookmarkEnd w:id="1502"/>
      <w:bookmarkEnd w:id="1503"/>
      <w:bookmarkEnd w:id="1504"/>
      <w:r>
        <w:t xml:space="preserve"> </w:t>
      </w:r>
    </w:p>
    <w:p>
      <w:pPr>
        <w:jc w:val="both"/>
        <w:rPr>
          <w:noProof/>
        </w:rPr>
      </w:pPr>
      <w:r>
        <w:rPr>
          <w:rFonts w:eastAsia="Times New Roman"/>
          <w:noProof/>
        </w:rPr>
        <w:t xml:space="preserve">Reforms in </w:t>
      </w:r>
      <w:r>
        <w:rPr>
          <w:rFonts w:eastAsia="Times New Roman"/>
          <w:b/>
          <w:bCs/>
          <w:noProof/>
        </w:rPr>
        <w:t>public procurement</w:t>
      </w:r>
      <w:r>
        <w:rPr>
          <w:rFonts w:eastAsia="Times New Roman"/>
          <w:noProof/>
        </w:rPr>
        <w:t xml:space="preserve"> were pursued according to the National Reform Plan for Public Procurement for 2016-2020 including approximation of the legal framework to the EU acquis, the reform of the Public Procurement Agency and progressive introduction of e-procurement for which an EU-funded pilot project is ongoing. This National Reform Plan received </w:t>
      </w:r>
      <w:r>
        <w:rPr>
          <w:noProof/>
        </w:rPr>
        <w:t xml:space="preserve">a favourable opinion via Decision No 1/2018 of the EU-Moldova ACTC of 16 April 2018. </w:t>
      </w:r>
    </w:p>
    <w:p>
      <w:pPr>
        <w:pStyle w:val="ManualHeading1"/>
        <w:rPr>
          <w:lang w:val="fr-BE"/>
        </w:rPr>
      </w:pPr>
      <w:bookmarkStart w:id="1505" w:name="_Toc8833571"/>
      <w:bookmarkStart w:id="1506" w:name="_Toc8835398"/>
      <w:bookmarkStart w:id="1507" w:name="_Toc8834028"/>
      <w:bookmarkStart w:id="1508" w:name="_Toc8909491"/>
      <w:bookmarkStart w:id="1509" w:name="_Toc8910703"/>
      <w:bookmarkStart w:id="1510" w:name="_Toc8911740"/>
      <w:bookmarkStart w:id="1511" w:name="_Toc8974561"/>
      <w:bookmarkStart w:id="1512" w:name="_Toc9008214"/>
      <w:bookmarkStart w:id="1513" w:name="_Toc9008617"/>
      <w:bookmarkStart w:id="1514" w:name="_Toc9348613"/>
      <w:bookmarkStart w:id="1515" w:name="_Toc9608064"/>
      <w:bookmarkStart w:id="1516" w:name="_Toc16000638"/>
      <w:r>
        <w:t>5.</w:t>
      </w:r>
      <w:r>
        <w:tab/>
        <w:t>EU support to DCFTA implementation</w:t>
      </w:r>
      <w:bookmarkEnd w:id="1505"/>
      <w:bookmarkEnd w:id="1506"/>
      <w:bookmarkEnd w:id="1507"/>
      <w:bookmarkEnd w:id="1508"/>
      <w:bookmarkEnd w:id="1509"/>
      <w:bookmarkEnd w:id="1510"/>
      <w:bookmarkEnd w:id="1511"/>
      <w:bookmarkEnd w:id="1512"/>
      <w:bookmarkEnd w:id="1513"/>
      <w:bookmarkEnd w:id="1514"/>
      <w:bookmarkEnd w:id="1515"/>
      <w:bookmarkEnd w:id="1516"/>
    </w:p>
    <w:p>
      <w:pPr>
        <w:pStyle w:val="Heading2"/>
        <w:ind w:left="0" w:firstLine="0"/>
        <w:rPr>
          <w:rFonts w:eastAsia="Times New Roman"/>
          <w:b w:val="0"/>
          <w:i/>
        </w:rPr>
      </w:pPr>
      <w:bookmarkStart w:id="1517" w:name="_Toc8833572"/>
      <w:bookmarkStart w:id="1518" w:name="_Toc8835399"/>
      <w:bookmarkStart w:id="1519" w:name="_Toc8834029"/>
      <w:bookmarkStart w:id="1520" w:name="_Toc8909492"/>
      <w:bookmarkStart w:id="1521" w:name="_Toc8910704"/>
      <w:bookmarkStart w:id="1522" w:name="_Toc8911741"/>
      <w:bookmarkStart w:id="1523" w:name="_Toc8974562"/>
      <w:bookmarkStart w:id="1524" w:name="_Toc9008215"/>
      <w:bookmarkStart w:id="1525" w:name="_Toc9008618"/>
      <w:bookmarkStart w:id="1526" w:name="_Toc9348614"/>
      <w:bookmarkStart w:id="1527" w:name="_Toc9608065"/>
      <w:bookmarkStart w:id="1528" w:name="_Toc16000639"/>
      <w:r>
        <w:t>5.1 EU Support to DCFTA-related reforms</w:t>
      </w:r>
      <w:bookmarkEnd w:id="1517"/>
      <w:bookmarkEnd w:id="1518"/>
      <w:bookmarkEnd w:id="1519"/>
      <w:bookmarkEnd w:id="1520"/>
      <w:bookmarkEnd w:id="1521"/>
      <w:bookmarkEnd w:id="1522"/>
      <w:bookmarkEnd w:id="1523"/>
      <w:bookmarkEnd w:id="1524"/>
      <w:bookmarkEnd w:id="1525"/>
      <w:bookmarkEnd w:id="1526"/>
      <w:bookmarkEnd w:id="1527"/>
      <w:bookmarkEnd w:id="1528"/>
    </w:p>
    <w:p>
      <w:pPr>
        <w:jc w:val="both"/>
        <w:rPr>
          <w:rFonts w:eastAsia="Times New Roman"/>
          <w:noProof/>
          <w:szCs w:val="20"/>
        </w:rPr>
      </w:pPr>
      <w:r>
        <w:rPr>
          <w:rFonts w:eastAsia="Times New Roman"/>
          <w:noProof/>
          <w:szCs w:val="20"/>
        </w:rPr>
        <w:t xml:space="preserve">EU financial assistance is being provided to Moldova for the implementation of the DCFTA: it aims at supporting both the Moldovan administration and the companies (notably SMEs) in aligning with the </w:t>
      </w:r>
      <w:r>
        <w:rPr>
          <w:rFonts w:eastAsia="Times New Roman"/>
          <w:i/>
          <w:noProof/>
          <w:szCs w:val="20"/>
        </w:rPr>
        <w:t>acquis</w:t>
      </w:r>
      <w:r>
        <w:rPr>
          <w:rFonts w:eastAsia="Times New Roman"/>
          <w:noProof/>
          <w:szCs w:val="20"/>
        </w:rPr>
        <w:t xml:space="preserve"> (i.e. norms for food products and non-food products) and reaping the benefits of the Agreement. Furthermore, the EU supports the implementation of structural reforms in Moldova, including in the financial and the public administration sectors, with a view to improving the business environment and facilitating trade. The EU also provides assistance for the development of value chains (e.g. textile) and of economic clusters in Moldova.</w:t>
      </w:r>
    </w:p>
    <w:p>
      <w:pPr>
        <w:jc w:val="both"/>
        <w:rPr>
          <w:rFonts w:eastAsia="Times New Roman"/>
          <w:noProof/>
          <w:szCs w:val="20"/>
        </w:rPr>
      </w:pPr>
    </w:p>
    <w:p>
      <w:pPr>
        <w:jc w:val="both"/>
        <w:rPr>
          <w:rFonts w:eastAsia="Times New Roman"/>
          <w:noProof/>
          <w:szCs w:val="20"/>
        </w:rPr>
      </w:pPr>
      <w:r>
        <w:rPr>
          <w:rFonts w:eastAsia="Times New Roman"/>
          <w:noProof/>
          <w:szCs w:val="20"/>
        </w:rPr>
        <w:t>In addition to regular cooperation assistance, DCFTA implementation is also supported by policy conditionality of the EU’s MFA to Moldova. Reforms supported by the current MFA operation approved in 2017 include, among others, reduction of the administrative burden for starting and operating a business, facilitation of customs procedures (the adoption of a new Customs Service Law and a new Customs Code) as well as strengthening of the effectiveness and independence of the judiciary.</w:t>
      </w:r>
    </w:p>
    <w:p>
      <w:pPr>
        <w:pStyle w:val="Heading2"/>
        <w:ind w:left="0" w:firstLine="0"/>
        <w:rPr>
          <w:rFonts w:eastAsia="Times New Roman"/>
          <w:b w:val="0"/>
          <w:i/>
        </w:rPr>
      </w:pPr>
      <w:bookmarkStart w:id="1529" w:name="_Toc8833573"/>
      <w:bookmarkStart w:id="1530" w:name="_Toc8835400"/>
      <w:bookmarkStart w:id="1531" w:name="_Toc8834030"/>
      <w:bookmarkStart w:id="1532" w:name="_Toc8909493"/>
      <w:bookmarkStart w:id="1533" w:name="_Toc8910705"/>
      <w:bookmarkStart w:id="1534" w:name="_Toc8911742"/>
      <w:bookmarkStart w:id="1535" w:name="_Toc8974563"/>
      <w:bookmarkStart w:id="1536" w:name="_Toc9008216"/>
      <w:bookmarkStart w:id="1537" w:name="_Toc9008619"/>
      <w:bookmarkStart w:id="1538" w:name="_Toc9348615"/>
      <w:bookmarkStart w:id="1539" w:name="_Toc9608066"/>
      <w:bookmarkStart w:id="1540" w:name="_Toc16000640"/>
      <w:r>
        <w:t>5.2 EU Support for SMEs</w:t>
      </w:r>
      <w:bookmarkEnd w:id="1529"/>
      <w:bookmarkEnd w:id="1530"/>
      <w:bookmarkEnd w:id="1531"/>
      <w:bookmarkEnd w:id="1532"/>
      <w:bookmarkEnd w:id="1533"/>
      <w:bookmarkEnd w:id="1534"/>
      <w:bookmarkEnd w:id="1535"/>
      <w:bookmarkEnd w:id="1536"/>
      <w:bookmarkEnd w:id="1537"/>
      <w:bookmarkEnd w:id="1538"/>
      <w:bookmarkEnd w:id="1539"/>
      <w:bookmarkEnd w:id="1540"/>
    </w:p>
    <w:p>
      <w:pPr>
        <w:jc w:val="both"/>
        <w:rPr>
          <w:rFonts w:eastAsia="Times New Roman"/>
          <w:noProof/>
          <w:szCs w:val="20"/>
        </w:rPr>
      </w:pPr>
      <w:r>
        <w:rPr>
          <w:rFonts w:eastAsia="Times New Roman"/>
          <w:noProof/>
          <w:szCs w:val="20"/>
        </w:rPr>
        <w:t xml:space="preserve">SMEs in Moldova are benefitting from the EU support under the DCFTA Facility for SMEs, which aims at increasing SMEs competitiveness, easing their access to finance, helping them to seize new trade opportunities and comply with new food safety, technical and quality standards, as well as with environmental protection measures implied by the DCFTA implementation.  </w:t>
      </w:r>
    </w:p>
    <w:p>
      <w:pPr>
        <w:jc w:val="both"/>
        <w:rPr>
          <w:rFonts w:eastAsia="Times New Roman"/>
          <w:noProof/>
          <w:szCs w:val="20"/>
        </w:rPr>
      </w:pPr>
    </w:p>
    <w:p>
      <w:pPr>
        <w:jc w:val="both"/>
        <w:rPr>
          <w:rFonts w:eastAsia="Times New Roman"/>
          <w:noProof/>
          <w:szCs w:val="20"/>
        </w:rPr>
      </w:pPr>
      <w:r>
        <w:rPr>
          <w:rFonts w:eastAsia="Times New Roman"/>
          <w:noProof/>
          <w:szCs w:val="20"/>
        </w:rPr>
        <w:t xml:space="preserve">The DCFTA Facility consists of a set of programmes implemented principally by European Bank for Reconstruction and Development and European Investment Bank. SMEs are benefiting from the EU support through four types of instruments: </w:t>
      </w:r>
    </w:p>
    <w:p>
      <w:pPr>
        <w:jc w:val="both"/>
        <w:rPr>
          <w:rFonts w:eastAsia="Times New Roman"/>
          <w:noProof/>
          <w:szCs w:val="20"/>
        </w:rPr>
      </w:pPr>
    </w:p>
    <w:p>
      <w:pPr>
        <w:pStyle w:val="ListParagraph"/>
        <w:numPr>
          <w:ilvl w:val="1"/>
          <w:numId w:val="41"/>
        </w:num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risk sharing mechanisms (mostly first loss portfolio guarantees for local banks); </w:t>
      </w:r>
    </w:p>
    <w:p>
      <w:pPr>
        <w:pStyle w:val="ListParagraph"/>
        <w:numPr>
          <w:ilvl w:val="1"/>
          <w:numId w:val="41"/>
        </w:num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currency hedging (interest rate subsidies for loans in local currency); </w:t>
      </w:r>
    </w:p>
    <w:p>
      <w:pPr>
        <w:pStyle w:val="ListParagraph"/>
        <w:numPr>
          <w:ilvl w:val="1"/>
          <w:numId w:val="41"/>
        </w:num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investment incentives (grants provided to SMEs combined with investment loans to upgrade machinery or production processes in line with the EU standards) and </w:t>
      </w:r>
    </w:p>
    <w:p>
      <w:pPr>
        <w:pStyle w:val="ListParagraph"/>
        <w:numPr>
          <w:ilvl w:val="1"/>
          <w:numId w:val="41"/>
        </w:numPr>
        <w:spacing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technical assistance (business advice to SMEs and local banks, assessment of the compliance with the EU standards, capacity building for local banks). </w:t>
      </w:r>
    </w:p>
    <w:p>
      <w:pPr>
        <w:pStyle w:val="ManualHeading1"/>
      </w:pPr>
      <w:bookmarkStart w:id="1541" w:name="_Toc8833574"/>
      <w:bookmarkStart w:id="1542" w:name="_Toc8835401"/>
      <w:bookmarkStart w:id="1543" w:name="_Toc8834031"/>
      <w:bookmarkStart w:id="1544" w:name="_Toc8909494"/>
      <w:bookmarkStart w:id="1545" w:name="_Toc8910706"/>
      <w:bookmarkStart w:id="1546" w:name="_Toc8911743"/>
      <w:bookmarkStart w:id="1547" w:name="_Toc8974564"/>
      <w:bookmarkStart w:id="1548" w:name="_Toc9008217"/>
      <w:bookmarkStart w:id="1549" w:name="_Toc9008620"/>
      <w:bookmarkStart w:id="1550" w:name="_Toc9348616"/>
      <w:bookmarkStart w:id="1551" w:name="_Toc9608067"/>
      <w:bookmarkStart w:id="1552" w:name="_Toc16000641"/>
      <w:r>
        <w:t>6.</w:t>
      </w:r>
      <w:r>
        <w:tab/>
        <w:t>Outlook and Conclusion</w:t>
      </w:r>
      <w:bookmarkEnd w:id="1541"/>
      <w:bookmarkEnd w:id="1542"/>
      <w:bookmarkEnd w:id="1543"/>
      <w:bookmarkEnd w:id="1544"/>
      <w:bookmarkEnd w:id="1545"/>
      <w:bookmarkEnd w:id="1546"/>
      <w:bookmarkEnd w:id="1547"/>
      <w:bookmarkEnd w:id="1548"/>
      <w:bookmarkEnd w:id="1549"/>
      <w:bookmarkEnd w:id="1550"/>
      <w:bookmarkEnd w:id="1551"/>
      <w:bookmarkEnd w:id="1552"/>
    </w:p>
    <w:p>
      <w:pPr>
        <w:jc w:val="both"/>
        <w:rPr>
          <w:rFonts w:eastAsia="Times New Roman"/>
          <w:noProof/>
        </w:rPr>
      </w:pPr>
      <w:r>
        <w:rPr>
          <w:rFonts w:eastAsia="Times New Roman"/>
          <w:noProof/>
        </w:rPr>
        <w:t xml:space="preserve">Moldova </w:t>
      </w:r>
      <w:r>
        <w:rPr>
          <w:rFonts w:eastAsia="Times New Roman"/>
          <w:b/>
          <w:noProof/>
        </w:rPr>
        <w:t>adopted ambitious legal approximation commitments</w:t>
      </w:r>
      <w:r>
        <w:rPr>
          <w:rFonts w:eastAsia="Times New Roman"/>
          <w:noProof/>
        </w:rPr>
        <w:t xml:space="preserve"> under the DCFTA with extensive work required in the first four years of implementation. After four years of implementation of the trade and trade-related part of the Association Agreement, good progress could be observed in terms of regulatory approximation, despite political and economic turbulence. With extensive support from the EU, Moldova has adopted a number of </w:t>
      </w:r>
      <w:r>
        <w:rPr>
          <w:rFonts w:eastAsia="Times New Roman"/>
          <w:b/>
          <w:noProof/>
        </w:rPr>
        <w:t>trade-related programmes</w:t>
      </w:r>
      <w:r>
        <w:rPr>
          <w:rFonts w:eastAsia="Times New Roman"/>
          <w:noProof/>
        </w:rPr>
        <w:t xml:space="preserve">, including for example a </w:t>
      </w:r>
      <w:r>
        <w:rPr>
          <w:rFonts w:eastAsia="Times New Roman"/>
          <w:b/>
          <w:noProof/>
        </w:rPr>
        <w:t>plan for SPS reform</w:t>
      </w:r>
      <w:r>
        <w:rPr>
          <w:rFonts w:eastAsia="Times New Roman"/>
          <w:noProof/>
        </w:rPr>
        <w:t xml:space="preserve">, roadmaps for the approximation of legislation in </w:t>
      </w:r>
      <w:r>
        <w:rPr>
          <w:rFonts w:eastAsia="Times New Roman"/>
          <w:b/>
          <w:noProof/>
        </w:rPr>
        <w:t>TBT</w:t>
      </w:r>
      <w:r>
        <w:rPr>
          <w:rFonts w:eastAsia="Times New Roman"/>
          <w:noProof/>
        </w:rPr>
        <w:t xml:space="preserve"> and </w:t>
      </w:r>
      <w:r>
        <w:rPr>
          <w:rFonts w:eastAsia="Times New Roman"/>
          <w:b/>
          <w:noProof/>
        </w:rPr>
        <w:t>public procurement</w:t>
      </w:r>
      <w:r>
        <w:rPr>
          <w:rFonts w:eastAsia="Times New Roman"/>
          <w:noProof/>
        </w:rPr>
        <w:t xml:space="preserve"> and Moldova has also taken steps in preparing to adopt a </w:t>
      </w:r>
      <w:r>
        <w:rPr>
          <w:rFonts w:eastAsia="Times New Roman"/>
          <w:b/>
          <w:noProof/>
        </w:rPr>
        <w:t>new Customs Code</w:t>
      </w:r>
      <w:r>
        <w:rPr>
          <w:rFonts w:eastAsia="Times New Roman"/>
          <w:noProof/>
        </w:rPr>
        <w:t xml:space="preserve"> to align with the one of the EU. Furthermore, the comprehensive reform of the public administration completed in 2017 should enhance the capacity and functioning of key regulatory bodies such as the National Food Safety Agency (ANSA), National Energy Regulator (ANRE), National Regulator in Telecommunications (ANRCETI).</w:t>
      </w:r>
    </w:p>
    <w:p>
      <w:pPr>
        <w:jc w:val="both"/>
        <w:rPr>
          <w:rFonts w:eastAsia="Times New Roman"/>
          <w:noProof/>
        </w:rPr>
      </w:pPr>
    </w:p>
    <w:p>
      <w:pPr>
        <w:jc w:val="both"/>
        <w:rPr>
          <w:rFonts w:eastAsia="Times New Roman"/>
          <w:noProof/>
        </w:rPr>
      </w:pPr>
      <w:r>
        <w:rPr>
          <w:rFonts w:eastAsia="Times New Roman"/>
          <w:noProof/>
        </w:rPr>
        <w:t>The DCFTA has helped Moldova to gradually enter into integrated and predictable international value chains, and engage into a structural transformation of its trade patterns towards a more sustainable model. Examples of successful companies testify to the benefits of the trade agreement with the EU both in the agricultural sector, producing wine, nuts, juices, fruit conserves and alcohol, and in the industrial sector, making electrical cables, apparel, shoes and smart electricity meters.</w:t>
      </w:r>
    </w:p>
    <w:p>
      <w:pPr>
        <w:jc w:val="both"/>
        <w:rPr>
          <w:rFonts w:eastAsia="Times New Roman"/>
          <w:noProof/>
        </w:rPr>
      </w:pPr>
    </w:p>
    <w:p>
      <w:pPr>
        <w:jc w:val="both"/>
        <w:rPr>
          <w:rFonts w:eastAsia="Times New Roman"/>
          <w:noProof/>
        </w:rPr>
      </w:pPr>
      <w:r>
        <w:rPr>
          <w:rFonts w:eastAsia="Times New Roman"/>
          <w:noProof/>
        </w:rPr>
        <w:t xml:space="preserve">The EU is supporting Moldova to </w:t>
      </w:r>
      <w:r>
        <w:rPr>
          <w:rFonts w:eastAsia="Times New Roman"/>
          <w:b/>
          <w:noProof/>
        </w:rPr>
        <w:t>align with and implement European norms for food products and non-food products</w:t>
      </w:r>
      <w:r>
        <w:rPr>
          <w:rFonts w:eastAsia="Times New Roman"/>
          <w:noProof/>
        </w:rPr>
        <w:t xml:space="preserve"> with a view to ensuring higher standards for the Moldovan consumers and workers and facilitating international trade. Furthermore, the EU is delivering financial and technical assistance in the implementation of structural reforms in Moldova, including in the financial and the public administration sectors, with a view to improving the business environment. The EU has also </w:t>
      </w:r>
      <w:r>
        <w:rPr>
          <w:rFonts w:eastAsia="Times New Roman"/>
          <w:b/>
          <w:noProof/>
        </w:rPr>
        <w:t>strengthened the export capacity</w:t>
      </w:r>
      <w:r>
        <w:rPr>
          <w:rFonts w:eastAsia="Times New Roman"/>
          <w:noProof/>
        </w:rPr>
        <w:t xml:space="preserve"> of a number of Moldovan companies and facilitated their access to finance: over 2009-2017 in Moldova, it has provided financial support for 5 000 enterprises, supported 56 000 jobs in </w:t>
      </w:r>
      <w:r>
        <w:rPr>
          <w:rFonts w:eastAsia="Times New Roman"/>
          <w:b/>
          <w:noProof/>
        </w:rPr>
        <w:t>SMEs</w:t>
      </w:r>
      <w:r>
        <w:rPr>
          <w:rFonts w:eastAsia="Times New Roman"/>
          <w:noProof/>
        </w:rPr>
        <w:t>, and created at least 1 735 new jobs. The EU also provides assistance for the development of value chains (e.g. textile) and of economic clusters in Moldova.</w:t>
      </w:r>
    </w:p>
    <w:p>
      <w:pPr>
        <w:jc w:val="both"/>
        <w:rPr>
          <w:rFonts w:eastAsia="Times New Roman"/>
          <w:noProof/>
        </w:rPr>
      </w:pPr>
    </w:p>
    <w:p>
      <w:pPr>
        <w:jc w:val="both"/>
        <w:rPr>
          <w:rFonts w:eastAsia="Times New Roman"/>
          <w:noProof/>
        </w:rPr>
      </w:pPr>
      <w:r>
        <w:rPr>
          <w:rFonts w:eastAsia="Times New Roman"/>
          <w:noProof/>
        </w:rPr>
        <w:t xml:space="preserve">However, </w:t>
      </w:r>
      <w:r>
        <w:rPr>
          <w:rFonts w:eastAsia="Times New Roman"/>
          <w:b/>
          <w:noProof/>
        </w:rPr>
        <w:t>further reform efforts are needed</w:t>
      </w:r>
      <w:r>
        <w:rPr>
          <w:rFonts w:eastAsia="Times New Roman"/>
          <w:noProof/>
        </w:rPr>
        <w:t xml:space="preserve"> to ensure the respect of  the rule of law, to step up the fight against corruption, including high-level corruption, and to improve the business environment. Implementation and enforcement of new laws and strengthening of administrative capacity and relevant institutions should be the focus of attention. In particular, concrete progress is needed in the SPS area in meeting EU import requirements. Besides food safety reform, in 2019 focus should remain on technical regulations and standards (TBT), implementation of the customs code and of the public procurement strategy. </w:t>
      </w:r>
    </w:p>
    <w:p>
      <w:pPr>
        <w:jc w:val="both"/>
        <w:rPr>
          <w:rFonts w:eastAsia="Times New Roman"/>
          <w:noProof/>
        </w:rPr>
      </w:pPr>
    </w:p>
    <w:p>
      <w:pPr>
        <w:jc w:val="both"/>
        <w:rPr>
          <w:rFonts w:eastAsia="Times New Roman"/>
          <w:noProof/>
        </w:rPr>
      </w:pPr>
      <w:r>
        <w:rPr>
          <w:rFonts w:eastAsia="Times New Roman"/>
          <w:noProof/>
        </w:rPr>
        <w:t xml:space="preserve">Moldova should refrain from adopting any trade measures incompatible with the provisions of the Association Agreement/DCFTA. In this regard, the specialised Sub-Committees established to implement the DCFTA will continue to discuss and seek solutions to the implementation and market access issues, with the aim to produce tangible results. </w:t>
      </w:r>
    </w:p>
    <w:p>
      <w:pPr>
        <w:jc w:val="both"/>
        <w:rPr>
          <w:rFonts w:eastAsia="Times New Roman"/>
          <w:noProof/>
        </w:rPr>
      </w:pPr>
    </w:p>
    <w:p>
      <w:pPr>
        <w:jc w:val="both"/>
        <w:rPr>
          <w:rFonts w:eastAsia="Times New Roman"/>
          <w:noProof/>
        </w:rPr>
      </w:pPr>
      <w:r>
        <w:rPr>
          <w:rFonts w:eastAsia="Times New Roman"/>
          <w:noProof/>
        </w:rPr>
        <w:t xml:space="preserve">In addition, for the DCFTA to deliver its full benefits, it is crucial for Moldova to </w:t>
      </w:r>
      <w:r>
        <w:rPr>
          <w:rFonts w:eastAsia="Times New Roman"/>
          <w:b/>
          <w:noProof/>
        </w:rPr>
        <w:t>improve working conditions, the business and investment climate</w:t>
      </w:r>
      <w:r>
        <w:rPr>
          <w:rFonts w:eastAsia="Times New Roman"/>
          <w:noProof/>
        </w:rPr>
        <w:t>, strengthen the rule of law and ensure a level-playing field for all businesses and citizens alike. There is untapped potential in the level of FDI in Moldova, which is needed to modernise and diversify the economy. Pursuing the fight against corruption</w:t>
      </w:r>
      <w:r>
        <w:rPr>
          <w:rFonts w:eastAsia="Times New Roman"/>
          <w:noProof/>
          <w:vertAlign w:val="superscript"/>
        </w:rPr>
        <w:footnoteReference w:id="45"/>
      </w:r>
      <w:r>
        <w:rPr>
          <w:rFonts w:eastAsia="Times New Roman"/>
          <w:noProof/>
        </w:rPr>
        <w:t>, ensuring policy stability and predictability, and improving access to finance as well as governance of labour rights and standards is crucial to attract more investors and reap the full benefits of the DCFTA.</w:t>
      </w:r>
    </w:p>
    <w:p>
      <w:pPr>
        <w:pStyle w:val="ManualHeading1"/>
      </w:pPr>
      <w:bookmarkStart w:id="1553" w:name="_Toc8833575"/>
      <w:bookmarkStart w:id="1554" w:name="_Toc8835402"/>
      <w:bookmarkStart w:id="1555" w:name="_Toc8834032"/>
      <w:bookmarkStart w:id="1556" w:name="_Toc8909495"/>
      <w:bookmarkStart w:id="1557" w:name="_Toc8910707"/>
      <w:bookmarkStart w:id="1558" w:name="_Toc8911744"/>
      <w:bookmarkStart w:id="1559" w:name="_Toc8974565"/>
      <w:bookmarkStart w:id="1560" w:name="_Toc9008218"/>
      <w:bookmarkStart w:id="1561" w:name="_Toc9008621"/>
      <w:bookmarkStart w:id="1562" w:name="_Toc9348617"/>
      <w:bookmarkStart w:id="1563" w:name="_Toc9608068"/>
      <w:bookmarkStart w:id="1564" w:name="_Toc16000642"/>
      <w:r>
        <w:t>7.</w:t>
      </w:r>
      <w:r>
        <w:tab/>
        <w:t>Statistics</w:t>
      </w:r>
      <w:bookmarkEnd w:id="1553"/>
      <w:bookmarkEnd w:id="1554"/>
      <w:bookmarkEnd w:id="1555"/>
      <w:bookmarkEnd w:id="1556"/>
      <w:bookmarkEnd w:id="1557"/>
      <w:bookmarkEnd w:id="1558"/>
      <w:bookmarkEnd w:id="1559"/>
      <w:bookmarkEnd w:id="1560"/>
      <w:bookmarkEnd w:id="1561"/>
      <w:bookmarkEnd w:id="1562"/>
      <w:bookmarkEnd w:id="1563"/>
      <w:bookmarkEnd w:id="1564"/>
    </w:p>
    <w:tbl>
      <w:tblPr>
        <w:tblW w:w="8008" w:type="dxa"/>
        <w:tblInd w:w="108" w:type="dxa"/>
        <w:tblLook w:val="04A0" w:firstRow="1" w:lastRow="0" w:firstColumn="1" w:lastColumn="0" w:noHBand="0" w:noVBand="1"/>
      </w:tblPr>
      <w:tblGrid>
        <w:gridCol w:w="3728"/>
        <w:gridCol w:w="840"/>
        <w:gridCol w:w="840"/>
        <w:gridCol w:w="920"/>
        <w:gridCol w:w="840"/>
        <w:gridCol w:w="840"/>
      </w:tblGrid>
      <w:tr>
        <w:trPr>
          <w:trHeight w:val="210"/>
        </w:trPr>
        <w:tc>
          <w:tcPr>
            <w:tcW w:w="3728"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40"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40"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920"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40"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40"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10"/>
        </w:trPr>
        <w:tc>
          <w:tcPr>
            <w:tcW w:w="8008"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Merchandise trade EU28 2014-2018</w:t>
            </w:r>
          </w:p>
        </w:tc>
      </w:tr>
      <w:tr>
        <w:trPr>
          <w:trHeight w:val="210"/>
        </w:trPr>
        <w:tc>
          <w:tcPr>
            <w:tcW w:w="3728" w:type="dxa"/>
            <w:tcBorders>
              <w:top w:val="single" w:sz="4" w:space="0" w:color="auto"/>
              <w:left w:val="nil"/>
              <w:bottom w:val="single" w:sz="4" w:space="0" w:color="auto"/>
              <w:right w:val="nil"/>
            </w:tcBorders>
            <w:shd w:val="clear" w:color="000000" w:fill="FFFFFF"/>
            <w:noWrap/>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 </w:t>
            </w:r>
          </w:p>
        </w:tc>
        <w:tc>
          <w:tcPr>
            <w:tcW w:w="840"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840"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920"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840"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840"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r>
      <w:tr>
        <w:trPr>
          <w:trHeight w:val="210"/>
        </w:trPr>
        <w:tc>
          <w:tcPr>
            <w:tcW w:w="3728" w:type="dxa"/>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EU28 trade with Moldova (mio €)</w:t>
            </w:r>
          </w:p>
        </w:tc>
        <w:tc>
          <w:tcPr>
            <w:tcW w:w="840"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n-IE" w:eastAsia="en-IE"/>
              </w:rPr>
            </w:pPr>
          </w:p>
        </w:tc>
        <w:tc>
          <w:tcPr>
            <w:tcW w:w="840"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920"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840"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840"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r>
      <w:tr>
        <w:trPr>
          <w:trHeight w:val="210"/>
        </w:trPr>
        <w:tc>
          <w:tcPr>
            <w:tcW w:w="372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1.160</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1.223</w:t>
            </w:r>
          </w:p>
        </w:tc>
        <w:tc>
          <w:tcPr>
            <w:tcW w:w="92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1.320</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1.615</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1.877</w:t>
            </w:r>
          </w:p>
        </w:tc>
      </w:tr>
      <w:tr>
        <w:trPr>
          <w:trHeight w:val="210"/>
        </w:trPr>
        <w:tc>
          <w:tcPr>
            <w:tcW w:w="372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2.352</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2.066</w:t>
            </w:r>
          </w:p>
        </w:tc>
        <w:tc>
          <w:tcPr>
            <w:tcW w:w="92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2.053</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2.447</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2.757</w:t>
            </w:r>
          </w:p>
        </w:tc>
      </w:tr>
      <w:tr>
        <w:trPr>
          <w:trHeight w:val="210"/>
        </w:trPr>
        <w:tc>
          <w:tcPr>
            <w:tcW w:w="372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1.192</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842</w:t>
            </w:r>
          </w:p>
        </w:tc>
        <w:tc>
          <w:tcPr>
            <w:tcW w:w="92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733</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832</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880</w:t>
            </w:r>
          </w:p>
        </w:tc>
      </w:tr>
      <w:tr>
        <w:trPr>
          <w:trHeight w:val="210"/>
        </w:trPr>
        <w:tc>
          <w:tcPr>
            <w:tcW w:w="3728" w:type="dxa"/>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Share Moldova in EU28 trade with Extra-EU28</w:t>
            </w:r>
          </w:p>
        </w:tc>
        <w:tc>
          <w:tcPr>
            <w:tcW w:w="840"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n-IE" w:eastAsia="en-IE"/>
              </w:rPr>
            </w:pPr>
          </w:p>
        </w:tc>
        <w:tc>
          <w:tcPr>
            <w:tcW w:w="840"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920"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840"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840"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r>
      <w:tr>
        <w:trPr>
          <w:trHeight w:val="210"/>
        </w:trPr>
        <w:tc>
          <w:tcPr>
            <w:tcW w:w="372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92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r>
      <w:tr>
        <w:trPr>
          <w:trHeight w:val="210"/>
        </w:trPr>
        <w:tc>
          <w:tcPr>
            <w:tcW w:w="372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92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r>
      <w:tr>
        <w:trPr>
          <w:trHeight w:val="210"/>
        </w:trPr>
        <w:tc>
          <w:tcPr>
            <w:tcW w:w="372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92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r>
      <w:tr>
        <w:trPr>
          <w:trHeight w:val="210"/>
        </w:trPr>
        <w:tc>
          <w:tcPr>
            <w:tcW w:w="8008"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Share EU28 in trade Moldova with world</w:t>
            </w:r>
          </w:p>
        </w:tc>
      </w:tr>
      <w:tr>
        <w:trPr>
          <w:trHeight w:val="210"/>
        </w:trPr>
        <w:tc>
          <w:tcPr>
            <w:tcW w:w="372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48,6%</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49,0%</w:t>
            </w:r>
          </w:p>
        </w:tc>
        <w:tc>
          <w:tcPr>
            <w:tcW w:w="92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49,1%</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49,4%</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50,1%</w:t>
            </w:r>
          </w:p>
        </w:tc>
      </w:tr>
      <w:tr>
        <w:trPr>
          <w:trHeight w:val="210"/>
        </w:trPr>
        <w:tc>
          <w:tcPr>
            <w:tcW w:w="372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54,1%</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61,4%</w:t>
            </w:r>
          </w:p>
        </w:tc>
        <w:tc>
          <w:tcPr>
            <w:tcW w:w="92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64,8%</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65,7%</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70,2%</w:t>
            </w:r>
          </w:p>
        </w:tc>
      </w:tr>
      <w:tr>
        <w:trPr>
          <w:trHeight w:val="210"/>
        </w:trPr>
        <w:tc>
          <w:tcPr>
            <w:tcW w:w="372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50,3%</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53,1%</w:t>
            </w:r>
          </w:p>
        </w:tc>
        <w:tc>
          <w:tcPr>
            <w:tcW w:w="92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54,4%</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54,9%</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56,7%</w:t>
            </w:r>
          </w:p>
        </w:tc>
      </w:tr>
      <w:tr>
        <w:trPr>
          <w:trHeight w:val="225"/>
        </w:trPr>
        <w:tc>
          <w:tcPr>
            <w:tcW w:w="5408" w:type="dxa"/>
            <w:gridSpan w:val="3"/>
            <w:tcBorders>
              <w:top w:val="single" w:sz="4" w:space="0" w:color="auto"/>
              <w:left w:val="nil"/>
              <w:bottom w:val="nil"/>
              <w:right w:val="nil"/>
            </w:tcBorders>
            <w:shd w:val="clear" w:color="000000" w:fill="FFFFFF"/>
            <w:noWrap/>
            <w:vAlign w:val="bottom"/>
            <w:hideMark/>
          </w:tcPr>
          <w:p>
            <w:pPr>
              <w:rPr>
                <w:rFonts w:eastAsia="Times New Roman"/>
                <w:noProof/>
                <w:sz w:val="12"/>
                <w:szCs w:val="12"/>
                <w:lang w:val="en-IE" w:eastAsia="en-IE"/>
              </w:rPr>
            </w:pPr>
            <w:r>
              <w:rPr>
                <w:rFonts w:eastAsia="Times New Roman"/>
                <w:noProof/>
                <w:sz w:val="12"/>
                <w:szCs w:val="12"/>
                <w:lang w:val="en-IE" w:eastAsia="en-IE"/>
              </w:rPr>
              <w:t xml:space="preserve">Source Trade G2 Statistics/ISDB </w:t>
            </w:r>
          </w:p>
        </w:tc>
        <w:tc>
          <w:tcPr>
            <w:tcW w:w="920"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840"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840" w:type="dxa"/>
            <w:tcBorders>
              <w:top w:val="single" w:sz="4" w:space="0" w:color="auto"/>
              <w:left w:val="nil"/>
              <w:bottom w:val="nil"/>
              <w:right w:val="nil"/>
            </w:tcBorders>
            <w:shd w:val="clear" w:color="000000" w:fill="FFFFFF"/>
            <w:noWrap/>
            <w:hideMark/>
          </w:tcPr>
          <w:p>
            <w:pPr>
              <w:jc w:val="right"/>
              <w:rPr>
                <w:rFonts w:eastAsia="Times New Roman"/>
                <w:noProof/>
                <w:sz w:val="12"/>
                <w:szCs w:val="12"/>
                <w:lang w:val="en-IE" w:eastAsia="en-IE"/>
              </w:rPr>
            </w:pPr>
            <w:r>
              <w:rPr>
                <w:rFonts w:eastAsia="Times New Roman"/>
                <w:noProof/>
                <w:sz w:val="12"/>
                <w:szCs w:val="12"/>
                <w:lang w:val="en-IE" w:eastAsia="en-IE"/>
              </w:rPr>
              <w:t>25-mars-19</w:t>
            </w:r>
          </w:p>
        </w:tc>
      </w:tr>
      <w:tr>
        <w:trPr>
          <w:trHeight w:val="210"/>
        </w:trPr>
        <w:tc>
          <w:tcPr>
            <w:tcW w:w="6328" w:type="dxa"/>
            <w:gridSpan w:val="4"/>
            <w:tcBorders>
              <w:top w:val="nil"/>
              <w:left w:val="nil"/>
              <w:bottom w:val="nil"/>
              <w:right w:val="nil"/>
            </w:tcBorders>
            <w:shd w:val="clear" w:color="000000" w:fill="FFFFFF"/>
            <w:noWrap/>
            <w:hideMark/>
          </w:tcPr>
          <w:p>
            <w:pPr>
              <w:rPr>
                <w:rFonts w:eastAsia="Times New Roman"/>
                <w:noProof/>
                <w:color w:val="000000"/>
                <w:sz w:val="12"/>
                <w:szCs w:val="12"/>
                <w:lang w:val="pt-PT" w:eastAsia="en-IE"/>
              </w:rPr>
            </w:pPr>
            <w:r>
              <w:rPr>
                <w:rFonts w:eastAsia="Times New Roman"/>
                <w:noProof/>
                <w:color w:val="000000"/>
                <w:sz w:val="12"/>
                <w:szCs w:val="12"/>
                <w:lang w:val="pt-PT" w:eastAsia="en-IE"/>
              </w:rPr>
              <w:t>Trade EU28: Eurostat COMEXT;  Trade Moldova: IMF Dots</w:t>
            </w:r>
          </w:p>
        </w:tc>
        <w:tc>
          <w:tcPr>
            <w:tcW w:w="840"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pt-PT" w:eastAsia="en-IE"/>
              </w:rPr>
            </w:pPr>
            <w:r>
              <w:rPr>
                <w:rFonts w:eastAsia="Times New Roman"/>
                <w:noProof/>
                <w:color w:val="000000"/>
                <w:sz w:val="16"/>
                <w:szCs w:val="16"/>
                <w:lang w:val="pt-PT" w:eastAsia="en-IE"/>
              </w:rPr>
              <w:t> </w:t>
            </w:r>
          </w:p>
        </w:tc>
        <w:tc>
          <w:tcPr>
            <w:tcW w:w="840"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pt-PT" w:eastAsia="en-IE"/>
              </w:rPr>
            </w:pPr>
            <w:r>
              <w:rPr>
                <w:rFonts w:eastAsia="Times New Roman"/>
                <w:noProof/>
                <w:color w:val="000000"/>
                <w:sz w:val="16"/>
                <w:szCs w:val="16"/>
                <w:lang w:val="pt-PT" w:eastAsia="en-IE"/>
              </w:rPr>
              <w:t> </w:t>
            </w:r>
          </w:p>
        </w:tc>
      </w:tr>
      <w:tr>
        <w:trPr>
          <w:trHeight w:val="210"/>
        </w:trPr>
        <w:tc>
          <w:tcPr>
            <w:tcW w:w="3728"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pt-PT" w:eastAsia="en-IE"/>
              </w:rPr>
            </w:pPr>
            <w:r>
              <w:rPr>
                <w:rFonts w:eastAsia="Times New Roman"/>
                <w:noProof/>
                <w:color w:val="000000"/>
                <w:sz w:val="16"/>
                <w:szCs w:val="16"/>
                <w:lang w:val="pt-PT" w:eastAsia="en-IE"/>
              </w:rPr>
              <w:t> </w:t>
            </w:r>
          </w:p>
        </w:tc>
        <w:tc>
          <w:tcPr>
            <w:tcW w:w="840"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pt-PT" w:eastAsia="en-IE"/>
              </w:rPr>
            </w:pPr>
            <w:r>
              <w:rPr>
                <w:rFonts w:eastAsia="Times New Roman"/>
                <w:noProof/>
                <w:color w:val="000000"/>
                <w:sz w:val="16"/>
                <w:szCs w:val="16"/>
                <w:lang w:val="pt-PT" w:eastAsia="en-IE"/>
              </w:rPr>
              <w:t> </w:t>
            </w:r>
          </w:p>
        </w:tc>
        <w:tc>
          <w:tcPr>
            <w:tcW w:w="840"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pt-PT" w:eastAsia="en-IE"/>
              </w:rPr>
            </w:pPr>
            <w:r>
              <w:rPr>
                <w:rFonts w:eastAsia="Times New Roman"/>
                <w:noProof/>
                <w:color w:val="000000"/>
                <w:sz w:val="16"/>
                <w:szCs w:val="16"/>
                <w:lang w:val="pt-PT" w:eastAsia="en-IE"/>
              </w:rPr>
              <w:t> </w:t>
            </w:r>
          </w:p>
        </w:tc>
        <w:tc>
          <w:tcPr>
            <w:tcW w:w="920"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pt-PT" w:eastAsia="en-IE"/>
              </w:rPr>
            </w:pPr>
            <w:r>
              <w:rPr>
                <w:rFonts w:eastAsia="Times New Roman"/>
                <w:noProof/>
                <w:color w:val="000000"/>
                <w:sz w:val="16"/>
                <w:szCs w:val="16"/>
                <w:lang w:val="pt-PT" w:eastAsia="en-IE"/>
              </w:rPr>
              <w:t> </w:t>
            </w:r>
          </w:p>
        </w:tc>
        <w:tc>
          <w:tcPr>
            <w:tcW w:w="840"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pt-PT" w:eastAsia="en-IE"/>
              </w:rPr>
            </w:pPr>
            <w:r>
              <w:rPr>
                <w:rFonts w:eastAsia="Times New Roman"/>
                <w:noProof/>
                <w:color w:val="000000"/>
                <w:sz w:val="16"/>
                <w:szCs w:val="16"/>
                <w:lang w:val="pt-PT" w:eastAsia="en-IE"/>
              </w:rPr>
              <w:t> </w:t>
            </w:r>
          </w:p>
        </w:tc>
        <w:tc>
          <w:tcPr>
            <w:tcW w:w="840"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pt-PT" w:eastAsia="en-IE"/>
              </w:rPr>
            </w:pPr>
            <w:r>
              <w:rPr>
                <w:rFonts w:eastAsia="Times New Roman"/>
                <w:noProof/>
                <w:color w:val="000000"/>
                <w:sz w:val="16"/>
                <w:szCs w:val="16"/>
                <w:lang w:val="pt-PT" w:eastAsia="en-IE"/>
              </w:rPr>
              <w:t> </w:t>
            </w:r>
          </w:p>
        </w:tc>
      </w:tr>
      <w:tr>
        <w:trPr>
          <w:trHeight w:val="225"/>
        </w:trPr>
        <w:tc>
          <w:tcPr>
            <w:tcW w:w="8008"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Total merchandise trade EU28 with Moldova (mio €)</w:t>
            </w:r>
          </w:p>
        </w:tc>
      </w:tr>
      <w:tr>
        <w:trPr>
          <w:trHeight w:val="225"/>
        </w:trPr>
        <w:tc>
          <w:tcPr>
            <w:tcW w:w="4568"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Moldova</w:t>
            </w:r>
          </w:p>
        </w:tc>
        <w:tc>
          <w:tcPr>
            <w:tcW w:w="84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92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680"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568"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40"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920"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40"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40"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72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4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1.615</w:t>
            </w:r>
          </w:p>
        </w:tc>
        <w:tc>
          <w:tcPr>
            <w:tcW w:w="92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1.877</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262</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16,2%</w:t>
            </w:r>
          </w:p>
        </w:tc>
      </w:tr>
      <w:tr>
        <w:trPr>
          <w:trHeight w:val="225"/>
        </w:trPr>
        <w:tc>
          <w:tcPr>
            <w:tcW w:w="372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4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2.447</w:t>
            </w:r>
          </w:p>
        </w:tc>
        <w:tc>
          <w:tcPr>
            <w:tcW w:w="92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2.757</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310</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12,7%</w:t>
            </w:r>
          </w:p>
        </w:tc>
      </w:tr>
      <w:tr>
        <w:trPr>
          <w:trHeight w:val="225"/>
        </w:trPr>
        <w:tc>
          <w:tcPr>
            <w:tcW w:w="372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4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832</w:t>
            </w:r>
          </w:p>
        </w:tc>
        <w:tc>
          <w:tcPr>
            <w:tcW w:w="92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880</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48</w:t>
            </w:r>
          </w:p>
        </w:tc>
        <w:tc>
          <w:tcPr>
            <w:tcW w:w="84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728"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40"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4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4.063</w:t>
            </w:r>
          </w:p>
        </w:tc>
        <w:tc>
          <w:tcPr>
            <w:tcW w:w="92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4.634</w:t>
            </w:r>
          </w:p>
        </w:tc>
        <w:tc>
          <w:tcPr>
            <w:tcW w:w="84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572</w:t>
            </w:r>
          </w:p>
        </w:tc>
        <w:tc>
          <w:tcPr>
            <w:tcW w:w="84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14,1%</w:t>
            </w:r>
          </w:p>
        </w:tc>
      </w:tr>
      <w:tr>
        <w:trPr>
          <w:trHeight w:val="240"/>
        </w:trPr>
        <w:tc>
          <w:tcPr>
            <w:tcW w:w="6328"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840"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840"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8008"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Agrifood trade EU28 with Moldova (mio €)</w:t>
            </w:r>
          </w:p>
        </w:tc>
      </w:tr>
      <w:tr>
        <w:trPr>
          <w:trHeight w:val="255"/>
        </w:trPr>
        <w:tc>
          <w:tcPr>
            <w:tcW w:w="4568"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Moldova</w:t>
            </w:r>
          </w:p>
        </w:tc>
        <w:tc>
          <w:tcPr>
            <w:tcW w:w="84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92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680"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568"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40"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920"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40"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40"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72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4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634</w:t>
            </w:r>
          </w:p>
        </w:tc>
        <w:tc>
          <w:tcPr>
            <w:tcW w:w="92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588</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-46</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-7,3%</w:t>
            </w:r>
          </w:p>
        </w:tc>
      </w:tr>
      <w:tr>
        <w:trPr>
          <w:trHeight w:val="225"/>
        </w:trPr>
        <w:tc>
          <w:tcPr>
            <w:tcW w:w="372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4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271</w:t>
            </w:r>
          </w:p>
        </w:tc>
        <w:tc>
          <w:tcPr>
            <w:tcW w:w="92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285</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4,9%</w:t>
            </w:r>
          </w:p>
        </w:tc>
      </w:tr>
      <w:tr>
        <w:trPr>
          <w:trHeight w:val="225"/>
        </w:trPr>
        <w:tc>
          <w:tcPr>
            <w:tcW w:w="372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4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-363</w:t>
            </w:r>
          </w:p>
        </w:tc>
        <w:tc>
          <w:tcPr>
            <w:tcW w:w="92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-304</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59</w:t>
            </w:r>
          </w:p>
        </w:tc>
        <w:tc>
          <w:tcPr>
            <w:tcW w:w="84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728"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4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4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906</w:t>
            </w:r>
          </w:p>
        </w:tc>
        <w:tc>
          <w:tcPr>
            <w:tcW w:w="92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873</w:t>
            </w:r>
          </w:p>
        </w:tc>
        <w:tc>
          <w:tcPr>
            <w:tcW w:w="84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-33</w:t>
            </w:r>
          </w:p>
        </w:tc>
        <w:tc>
          <w:tcPr>
            <w:tcW w:w="84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-3,6%</w:t>
            </w:r>
          </w:p>
        </w:tc>
      </w:tr>
      <w:tr>
        <w:trPr>
          <w:trHeight w:val="240"/>
        </w:trPr>
        <w:tc>
          <w:tcPr>
            <w:tcW w:w="6328"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840"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840"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8008"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NAMA trade EU28 with Moldova (mio €)</w:t>
            </w:r>
          </w:p>
        </w:tc>
      </w:tr>
      <w:tr>
        <w:trPr>
          <w:trHeight w:val="225"/>
        </w:trPr>
        <w:tc>
          <w:tcPr>
            <w:tcW w:w="4568"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Moldova</w:t>
            </w:r>
          </w:p>
        </w:tc>
        <w:tc>
          <w:tcPr>
            <w:tcW w:w="84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92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680"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568"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40"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920"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40"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40"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4568"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imports</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981</w:t>
            </w:r>
          </w:p>
        </w:tc>
        <w:tc>
          <w:tcPr>
            <w:tcW w:w="92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1.289</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308</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31,4%</w:t>
            </w:r>
          </w:p>
        </w:tc>
      </w:tr>
      <w:tr>
        <w:trPr>
          <w:trHeight w:val="225"/>
        </w:trPr>
        <w:tc>
          <w:tcPr>
            <w:tcW w:w="4568"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exports</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2.176</w:t>
            </w:r>
          </w:p>
        </w:tc>
        <w:tc>
          <w:tcPr>
            <w:tcW w:w="92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2.473</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297</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13,6%</w:t>
            </w:r>
          </w:p>
        </w:tc>
      </w:tr>
      <w:tr>
        <w:trPr>
          <w:trHeight w:val="225"/>
        </w:trPr>
        <w:tc>
          <w:tcPr>
            <w:tcW w:w="372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4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1.195</w:t>
            </w:r>
          </w:p>
        </w:tc>
        <w:tc>
          <w:tcPr>
            <w:tcW w:w="92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1.184</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w:t>
            </w:r>
          </w:p>
        </w:tc>
        <w:tc>
          <w:tcPr>
            <w:tcW w:w="84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72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4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3.157</w:t>
            </w:r>
          </w:p>
        </w:tc>
        <w:tc>
          <w:tcPr>
            <w:tcW w:w="92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3.762</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605</w:t>
            </w:r>
          </w:p>
        </w:tc>
        <w:tc>
          <w:tcPr>
            <w:tcW w:w="84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19,2%</w:t>
            </w:r>
          </w:p>
        </w:tc>
      </w:tr>
      <w:tr>
        <w:trPr>
          <w:trHeight w:val="240"/>
        </w:trPr>
        <w:tc>
          <w:tcPr>
            <w:tcW w:w="6328"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840" w:type="dxa"/>
            <w:tcBorders>
              <w:top w:val="single" w:sz="4" w:space="0" w:color="auto"/>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840"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6328" w:type="dxa"/>
            <w:gridSpan w:val="4"/>
            <w:tcBorders>
              <w:top w:val="nil"/>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Services trade EU28 with Moldova (mio €)</w:t>
            </w:r>
          </w:p>
        </w:tc>
        <w:tc>
          <w:tcPr>
            <w:tcW w:w="840" w:type="dxa"/>
            <w:tcBorders>
              <w:top w:val="nil"/>
              <w:left w:val="nil"/>
              <w:bottom w:val="nil"/>
              <w:right w:val="nil"/>
            </w:tcBorders>
            <w:shd w:val="clear" w:color="000000" w:fill="FFFFFF"/>
            <w:noWrap/>
            <w:vAlign w:val="center"/>
            <w:hideMark/>
          </w:tcPr>
          <w:p>
            <w:pPr>
              <w:rPr>
                <w:rFonts w:eastAsia="Times New Roman"/>
                <w:b/>
                <w:bCs/>
                <w:noProof/>
                <w:sz w:val="16"/>
                <w:szCs w:val="16"/>
                <w:lang w:val="en-IE" w:eastAsia="en-IE"/>
              </w:rPr>
            </w:pPr>
            <w:r>
              <w:rPr>
                <w:rFonts w:eastAsia="Times New Roman"/>
                <w:b/>
                <w:bCs/>
                <w:noProof/>
                <w:sz w:val="16"/>
                <w:szCs w:val="16"/>
                <w:lang w:val="en-IE" w:eastAsia="en-IE"/>
              </w:rPr>
              <w:t> </w:t>
            </w:r>
          </w:p>
        </w:tc>
        <w:tc>
          <w:tcPr>
            <w:tcW w:w="840" w:type="dxa"/>
            <w:tcBorders>
              <w:top w:val="nil"/>
              <w:left w:val="nil"/>
              <w:bottom w:val="nil"/>
              <w:right w:val="nil"/>
            </w:tcBorders>
            <w:shd w:val="clear" w:color="000000" w:fill="FFFFFF"/>
            <w:noWrap/>
            <w:vAlign w:val="center"/>
            <w:hideMark/>
          </w:tcPr>
          <w:p>
            <w:pPr>
              <w:rPr>
                <w:rFonts w:eastAsia="Times New Roman"/>
                <w:b/>
                <w:bCs/>
                <w:noProof/>
                <w:sz w:val="16"/>
                <w:szCs w:val="16"/>
                <w:lang w:val="en-IE" w:eastAsia="en-IE"/>
              </w:rPr>
            </w:pPr>
            <w:r>
              <w:rPr>
                <w:rFonts w:eastAsia="Times New Roman"/>
                <w:b/>
                <w:bCs/>
                <w:noProof/>
                <w:sz w:val="16"/>
                <w:szCs w:val="16"/>
                <w:lang w:val="en-IE" w:eastAsia="en-IE"/>
              </w:rPr>
              <w:t> </w:t>
            </w:r>
          </w:p>
        </w:tc>
      </w:tr>
      <w:tr>
        <w:trPr>
          <w:trHeight w:val="225"/>
        </w:trPr>
        <w:tc>
          <w:tcPr>
            <w:tcW w:w="4568"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Moldova</w:t>
            </w:r>
          </w:p>
        </w:tc>
        <w:tc>
          <w:tcPr>
            <w:tcW w:w="840"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920"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1680"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568"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40"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920"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840"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40"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72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4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747</w:t>
            </w:r>
          </w:p>
        </w:tc>
        <w:tc>
          <w:tcPr>
            <w:tcW w:w="92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795</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48</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6,4%</w:t>
            </w:r>
          </w:p>
        </w:tc>
      </w:tr>
      <w:tr>
        <w:trPr>
          <w:trHeight w:val="225"/>
        </w:trPr>
        <w:tc>
          <w:tcPr>
            <w:tcW w:w="372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4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483</w:t>
            </w:r>
          </w:p>
        </w:tc>
        <w:tc>
          <w:tcPr>
            <w:tcW w:w="92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477</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w:t>
            </w:r>
          </w:p>
        </w:tc>
      </w:tr>
      <w:tr>
        <w:trPr>
          <w:trHeight w:val="225"/>
        </w:trPr>
        <w:tc>
          <w:tcPr>
            <w:tcW w:w="372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4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-264</w:t>
            </w:r>
          </w:p>
        </w:tc>
        <w:tc>
          <w:tcPr>
            <w:tcW w:w="92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-318</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-54</w:t>
            </w:r>
          </w:p>
        </w:tc>
        <w:tc>
          <w:tcPr>
            <w:tcW w:w="84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728"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40"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4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1.231</w:t>
            </w:r>
          </w:p>
        </w:tc>
        <w:tc>
          <w:tcPr>
            <w:tcW w:w="92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1.272</w:t>
            </w:r>
          </w:p>
        </w:tc>
        <w:tc>
          <w:tcPr>
            <w:tcW w:w="84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42</w:t>
            </w:r>
          </w:p>
        </w:tc>
        <w:tc>
          <w:tcPr>
            <w:tcW w:w="84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3,4%</w:t>
            </w:r>
          </w:p>
        </w:tc>
      </w:tr>
      <w:tr>
        <w:trPr>
          <w:trHeight w:val="240"/>
        </w:trPr>
        <w:tc>
          <w:tcPr>
            <w:tcW w:w="7168" w:type="dxa"/>
            <w:gridSpan w:val="5"/>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840"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40"/>
        </w:trPr>
        <w:tc>
          <w:tcPr>
            <w:tcW w:w="8008"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Services trade EU28 with Moldova (mio €)</w:t>
            </w:r>
          </w:p>
        </w:tc>
      </w:tr>
      <w:tr>
        <w:trPr>
          <w:trHeight w:val="225"/>
        </w:trPr>
        <w:tc>
          <w:tcPr>
            <w:tcW w:w="3728"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4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84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92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84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84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372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475</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547</w:t>
            </w:r>
          </w:p>
        </w:tc>
        <w:tc>
          <w:tcPr>
            <w:tcW w:w="92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569</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747</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795</w:t>
            </w:r>
          </w:p>
        </w:tc>
      </w:tr>
      <w:tr>
        <w:trPr>
          <w:trHeight w:val="225"/>
        </w:trPr>
        <w:tc>
          <w:tcPr>
            <w:tcW w:w="372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524</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582</w:t>
            </w:r>
          </w:p>
        </w:tc>
        <w:tc>
          <w:tcPr>
            <w:tcW w:w="92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588</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483</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477</w:t>
            </w:r>
          </w:p>
        </w:tc>
      </w:tr>
      <w:tr>
        <w:trPr>
          <w:trHeight w:val="225"/>
        </w:trPr>
        <w:tc>
          <w:tcPr>
            <w:tcW w:w="372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49</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35</w:t>
            </w:r>
          </w:p>
        </w:tc>
        <w:tc>
          <w:tcPr>
            <w:tcW w:w="92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-264</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-318</w:t>
            </w:r>
          </w:p>
        </w:tc>
      </w:tr>
      <w:tr>
        <w:trPr>
          <w:trHeight w:val="225"/>
        </w:trPr>
        <w:tc>
          <w:tcPr>
            <w:tcW w:w="3728"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4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999</w:t>
            </w:r>
          </w:p>
        </w:tc>
        <w:tc>
          <w:tcPr>
            <w:tcW w:w="84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1.130</w:t>
            </w:r>
          </w:p>
        </w:tc>
        <w:tc>
          <w:tcPr>
            <w:tcW w:w="92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1.157</w:t>
            </w:r>
          </w:p>
        </w:tc>
        <w:tc>
          <w:tcPr>
            <w:tcW w:w="84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1.231</w:t>
            </w:r>
          </w:p>
        </w:tc>
        <w:tc>
          <w:tcPr>
            <w:tcW w:w="84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1.272</w:t>
            </w:r>
          </w:p>
        </w:tc>
      </w:tr>
      <w:tr>
        <w:trPr>
          <w:trHeight w:val="225"/>
        </w:trPr>
        <w:tc>
          <w:tcPr>
            <w:tcW w:w="3728"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840"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 </w:t>
            </w:r>
          </w:p>
        </w:tc>
        <w:tc>
          <w:tcPr>
            <w:tcW w:w="84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92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4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4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8008" w:type="dxa"/>
            <w:gridSpan w:val="6"/>
            <w:tcBorders>
              <w:top w:val="nil"/>
              <w:left w:val="nil"/>
              <w:bottom w:val="nil"/>
              <w:right w:val="nil"/>
            </w:tcBorders>
            <w:shd w:val="clear" w:color="000000" w:fill="FFFFFF"/>
            <w:noWrap/>
            <w:vAlign w:val="center"/>
            <w:hideMark/>
          </w:tcPr>
          <w:p>
            <w:pPr>
              <w:jc w:val="center"/>
              <w:rPr>
                <w:rFonts w:eastAsia="Times New Roman"/>
                <w:b/>
                <w:noProof/>
                <w:sz w:val="16"/>
                <w:szCs w:val="16"/>
                <w:lang w:val="it-IT" w:eastAsia="en-IE"/>
              </w:rPr>
            </w:pPr>
            <w:r>
              <w:rPr>
                <w:rFonts w:eastAsia="Times New Roman"/>
                <w:b/>
                <w:noProof/>
                <w:sz w:val="16"/>
                <w:szCs w:val="16"/>
                <w:lang w:val="it-IT" w:eastAsia="en-IE"/>
              </w:rPr>
              <w:t>FDI EU28 with Moldova (mio €)</w:t>
            </w:r>
          </w:p>
        </w:tc>
      </w:tr>
      <w:tr>
        <w:trPr>
          <w:trHeight w:val="225"/>
        </w:trPr>
        <w:tc>
          <w:tcPr>
            <w:tcW w:w="3728"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val="it-IT" w:eastAsia="en-IE"/>
              </w:rPr>
            </w:pPr>
            <w:r>
              <w:rPr>
                <w:rFonts w:eastAsia="Times New Roman"/>
                <w:noProof/>
                <w:sz w:val="16"/>
                <w:szCs w:val="16"/>
                <w:lang w:val="it-IT" w:eastAsia="en-IE"/>
              </w:rPr>
              <w:t> </w:t>
            </w:r>
          </w:p>
        </w:tc>
        <w:tc>
          <w:tcPr>
            <w:tcW w:w="840"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84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92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84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84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8008"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Stocks</w:t>
            </w:r>
          </w:p>
        </w:tc>
      </w:tr>
      <w:tr>
        <w:trPr>
          <w:trHeight w:val="225"/>
        </w:trPr>
        <w:tc>
          <w:tcPr>
            <w:tcW w:w="372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52</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64</w:t>
            </w:r>
          </w:p>
        </w:tc>
        <w:tc>
          <w:tcPr>
            <w:tcW w:w="92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95</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92</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100</w:t>
            </w:r>
          </w:p>
        </w:tc>
      </w:tr>
      <w:tr>
        <w:trPr>
          <w:trHeight w:val="225"/>
        </w:trPr>
        <w:tc>
          <w:tcPr>
            <w:tcW w:w="372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941</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1.001</w:t>
            </w:r>
          </w:p>
        </w:tc>
        <w:tc>
          <w:tcPr>
            <w:tcW w:w="92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1.128</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957</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1.008</w:t>
            </w:r>
          </w:p>
        </w:tc>
      </w:tr>
      <w:tr>
        <w:trPr>
          <w:trHeight w:val="225"/>
        </w:trPr>
        <w:tc>
          <w:tcPr>
            <w:tcW w:w="8008"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Flows</w:t>
            </w:r>
          </w:p>
        </w:tc>
      </w:tr>
      <w:tr>
        <w:trPr>
          <w:trHeight w:val="225"/>
        </w:trPr>
        <w:tc>
          <w:tcPr>
            <w:tcW w:w="372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28</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w:t>
            </w:r>
          </w:p>
        </w:tc>
        <w:tc>
          <w:tcPr>
            <w:tcW w:w="92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w:t>
            </w:r>
          </w:p>
        </w:tc>
        <w:tc>
          <w:tcPr>
            <w:tcW w:w="84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w:t>
            </w:r>
          </w:p>
        </w:tc>
      </w:tr>
      <w:tr>
        <w:trPr>
          <w:trHeight w:val="225"/>
        </w:trPr>
        <w:tc>
          <w:tcPr>
            <w:tcW w:w="372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84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263</w:t>
            </w:r>
          </w:p>
        </w:tc>
        <w:tc>
          <w:tcPr>
            <w:tcW w:w="84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37</w:t>
            </w:r>
          </w:p>
        </w:tc>
        <w:tc>
          <w:tcPr>
            <w:tcW w:w="92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w:t>
            </w:r>
          </w:p>
        </w:tc>
        <w:tc>
          <w:tcPr>
            <w:tcW w:w="84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80</w:t>
            </w:r>
          </w:p>
        </w:tc>
        <w:tc>
          <w:tcPr>
            <w:tcW w:w="84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105</w:t>
            </w:r>
          </w:p>
        </w:tc>
      </w:tr>
      <w:tr>
        <w:trPr>
          <w:trHeight w:val="225"/>
        </w:trPr>
        <w:tc>
          <w:tcPr>
            <w:tcW w:w="3728" w:type="dxa"/>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840"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 </w:t>
            </w:r>
          </w:p>
        </w:tc>
        <w:tc>
          <w:tcPr>
            <w:tcW w:w="84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92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4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4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bl>
    <w:p>
      <w:pPr>
        <w:rPr>
          <w:noProof/>
        </w:rPr>
      </w:pPr>
    </w:p>
    <w:p>
      <w:pPr>
        <w:spacing w:after="200" w:line="276" w:lineRule="auto"/>
        <w:rPr>
          <w:noProof/>
        </w:rPr>
      </w:pPr>
      <w:r>
        <w:rPr>
          <w:noProof/>
        </w:rPr>
        <w:br w:type="page"/>
      </w:r>
    </w:p>
    <w:p>
      <w:pPr>
        <w:pStyle w:val="ChapterHead"/>
        <w:rPr>
          <w:b/>
          <w:noProof/>
        </w:rPr>
      </w:pPr>
      <w:bookmarkStart w:id="1565" w:name="_Toc8833576"/>
      <w:bookmarkStart w:id="1566" w:name="_Toc8835403"/>
      <w:bookmarkStart w:id="1567" w:name="_Toc8834033"/>
      <w:bookmarkStart w:id="1568" w:name="_Toc8909496"/>
      <w:bookmarkStart w:id="1569" w:name="_Toc8910708"/>
      <w:bookmarkStart w:id="1570" w:name="_Toc8911745"/>
      <w:bookmarkStart w:id="1571" w:name="_Toc8974566"/>
      <w:bookmarkStart w:id="1572" w:name="_Toc9008219"/>
      <w:bookmarkStart w:id="1573" w:name="_Toc9008622"/>
      <w:bookmarkStart w:id="1574" w:name="_Toc9348618"/>
      <w:bookmarkStart w:id="1575" w:name="_Toc9608069"/>
      <w:bookmarkStart w:id="1576" w:name="_Toc16000643"/>
      <w:r>
        <w:rPr>
          <w:b/>
          <w:noProof/>
        </w:rPr>
        <w:t>PART III: FIRST GENERATION FREE TRADE AGREEMENTS</w:t>
      </w:r>
      <w:bookmarkEnd w:id="1565"/>
      <w:bookmarkEnd w:id="1566"/>
      <w:bookmarkEnd w:id="1567"/>
      <w:bookmarkEnd w:id="1568"/>
      <w:bookmarkEnd w:id="1569"/>
      <w:bookmarkEnd w:id="1570"/>
      <w:bookmarkEnd w:id="1571"/>
      <w:bookmarkEnd w:id="1572"/>
      <w:bookmarkEnd w:id="1573"/>
      <w:bookmarkEnd w:id="1574"/>
      <w:bookmarkEnd w:id="1575"/>
      <w:bookmarkEnd w:id="1576"/>
    </w:p>
    <w:p>
      <w:pPr>
        <w:spacing w:after="200" w:line="276" w:lineRule="auto"/>
        <w:rPr>
          <w:noProof/>
        </w:rPr>
      </w:pPr>
      <w:r>
        <w:rPr>
          <w:noProof/>
        </w:rPr>
        <w:br w:type="page"/>
      </w:r>
    </w:p>
    <w:p>
      <w:pPr>
        <w:pStyle w:val="ChapterHead"/>
        <w:rPr>
          <w:b/>
          <w:noProof/>
        </w:rPr>
      </w:pPr>
      <w:bookmarkStart w:id="1577" w:name="_Toc8833577"/>
      <w:bookmarkStart w:id="1578" w:name="_Toc8835404"/>
      <w:bookmarkStart w:id="1579" w:name="_Toc8834034"/>
      <w:bookmarkStart w:id="1580" w:name="_Toc8909497"/>
      <w:bookmarkStart w:id="1581" w:name="_Toc8910709"/>
      <w:bookmarkStart w:id="1582" w:name="_Toc8911746"/>
      <w:bookmarkStart w:id="1583" w:name="_Toc8974567"/>
      <w:bookmarkStart w:id="1584" w:name="_Toc9008220"/>
      <w:bookmarkStart w:id="1585" w:name="_Toc9008623"/>
      <w:bookmarkStart w:id="1586" w:name="_Toc9348619"/>
      <w:bookmarkStart w:id="1587" w:name="_Toc9608070"/>
      <w:bookmarkStart w:id="1588" w:name="_Toc16000644"/>
      <w:r>
        <w:rPr>
          <w:b/>
          <w:noProof/>
        </w:rPr>
        <w:t>FIRST GENERATION FREE TRADE AGREEMENTS WITH MEDITERRANEAN PARTNERS</w:t>
      </w:r>
      <w:bookmarkEnd w:id="1577"/>
      <w:bookmarkEnd w:id="1578"/>
      <w:bookmarkEnd w:id="1579"/>
      <w:bookmarkEnd w:id="1580"/>
      <w:bookmarkEnd w:id="1581"/>
      <w:bookmarkEnd w:id="1582"/>
      <w:bookmarkEnd w:id="1583"/>
      <w:bookmarkEnd w:id="1584"/>
      <w:bookmarkEnd w:id="1585"/>
      <w:bookmarkEnd w:id="1586"/>
      <w:bookmarkEnd w:id="1587"/>
      <w:bookmarkEnd w:id="1588"/>
    </w:p>
    <w:p>
      <w:pPr>
        <w:spacing w:after="200" w:line="276" w:lineRule="auto"/>
        <w:rPr>
          <w:noProof/>
        </w:rPr>
      </w:pPr>
      <w:r>
        <w:rPr>
          <w:noProof/>
        </w:rPr>
        <w:br w:type="page"/>
      </w:r>
    </w:p>
    <w:p>
      <w:pPr>
        <w:pStyle w:val="ChapterHead"/>
        <w:rPr>
          <w:b/>
          <w:noProof/>
        </w:rPr>
      </w:pPr>
      <w:bookmarkStart w:id="1589" w:name="_Toc8833578"/>
      <w:bookmarkStart w:id="1590" w:name="_Toc8835405"/>
      <w:bookmarkStart w:id="1591" w:name="_Toc8834035"/>
      <w:bookmarkStart w:id="1592" w:name="_Toc8909498"/>
      <w:bookmarkStart w:id="1593" w:name="_Toc8910710"/>
      <w:bookmarkStart w:id="1594" w:name="_Toc8911747"/>
      <w:bookmarkStart w:id="1595" w:name="_Toc8974568"/>
      <w:bookmarkStart w:id="1596" w:name="_Toc9008221"/>
      <w:bookmarkStart w:id="1597" w:name="_Toc9008624"/>
      <w:bookmarkStart w:id="1598" w:name="_Toc9348620"/>
      <w:bookmarkStart w:id="1599" w:name="_Toc9608071"/>
      <w:bookmarkStart w:id="1600" w:name="_Toc16000645"/>
      <w:r>
        <w:rPr>
          <w:b/>
          <w:noProof/>
        </w:rPr>
        <w:t>ANNUAL INFO SHEET ON THE IMPLEMENTATION OF THE EU-ALGERIA ASSOCIATION AGREEMENT</w:t>
      </w:r>
      <w:bookmarkEnd w:id="1589"/>
      <w:bookmarkEnd w:id="1590"/>
      <w:bookmarkEnd w:id="1591"/>
      <w:bookmarkEnd w:id="1592"/>
      <w:bookmarkEnd w:id="1593"/>
      <w:bookmarkEnd w:id="1594"/>
      <w:bookmarkEnd w:id="1595"/>
      <w:bookmarkEnd w:id="1596"/>
      <w:bookmarkEnd w:id="1597"/>
      <w:bookmarkEnd w:id="1598"/>
      <w:bookmarkEnd w:id="1599"/>
      <w:bookmarkEnd w:id="1600"/>
    </w:p>
    <w:p>
      <w:pPr>
        <w:pStyle w:val="ManualHeading1"/>
      </w:pPr>
      <w:bookmarkStart w:id="1601" w:name="_Toc8833579"/>
      <w:bookmarkStart w:id="1602" w:name="_Toc8835406"/>
      <w:bookmarkStart w:id="1603" w:name="_Toc8834036"/>
      <w:bookmarkStart w:id="1604" w:name="_Toc8909499"/>
      <w:bookmarkStart w:id="1605" w:name="_Toc8910711"/>
      <w:bookmarkStart w:id="1606" w:name="_Toc8911748"/>
      <w:bookmarkStart w:id="1607" w:name="_Toc8974569"/>
      <w:bookmarkStart w:id="1608" w:name="_Toc9008222"/>
      <w:bookmarkStart w:id="1609" w:name="_Toc9008625"/>
      <w:bookmarkStart w:id="1610" w:name="_Toc9348621"/>
      <w:bookmarkStart w:id="1611" w:name="_Toc9608072"/>
      <w:bookmarkStart w:id="1612" w:name="_Toc16000646"/>
      <w:r>
        <w:t>1.</w:t>
      </w:r>
      <w:r>
        <w:tab/>
        <w:t>Introduction</w:t>
      </w:r>
      <w:bookmarkEnd w:id="1601"/>
      <w:bookmarkEnd w:id="1602"/>
      <w:bookmarkEnd w:id="1603"/>
      <w:bookmarkEnd w:id="1604"/>
      <w:bookmarkEnd w:id="1605"/>
      <w:bookmarkEnd w:id="1606"/>
      <w:bookmarkEnd w:id="1607"/>
      <w:bookmarkEnd w:id="1608"/>
      <w:bookmarkEnd w:id="1609"/>
      <w:bookmarkEnd w:id="1610"/>
      <w:bookmarkEnd w:id="1611"/>
      <w:bookmarkEnd w:id="1612"/>
    </w:p>
    <w:p>
      <w:pPr>
        <w:spacing w:after="120"/>
        <w:jc w:val="both"/>
        <w:rPr>
          <w:rFonts w:eastAsia="Times New Roman"/>
          <w:noProof/>
          <w:szCs w:val="20"/>
        </w:rPr>
      </w:pPr>
      <w:r>
        <w:rPr>
          <w:rFonts w:eastAsia="Times New Roman"/>
          <w:noProof/>
        </w:rPr>
        <w:t>The EU and Algeria established a free trade area under the EU-Algeria Association Agreement, signed in 2002, which entered into force on 1 September 2005 (hereinafter called ‘the Agreement’). The Agreement provides for a reciprocal liberalisation of trade in goods, with elements of asymmetry in favour of Algeria, such as a 12 years’ transitional period for dismantling tariffs of industrial goods and a selective liberalisation on agriculture. In 2012, the EU and Algeria agreed to review the timetable of tariff dismantling set forth in the Association Agreement for certain products (steel, textile, electronics, and automobiles), extending the transitional period from 12 to 15 years. Complete dismantling of tariffs and thus completion of the EU-Algeria free trade area is now scheduled for September 2020.</w:t>
      </w:r>
      <w:r>
        <w:rPr>
          <w:rFonts w:eastAsia="Times New Roman"/>
          <w:noProof/>
          <w:lang w:eastAsia="en-GB"/>
        </w:rPr>
        <w:t xml:space="preserve"> Market opening for agricultural products so far only concerns a limited number of tariff lines subject to full liberalisation, Tariff Rate Quotas (TRQ) </w:t>
      </w:r>
      <w:r>
        <w:rPr>
          <w:rFonts w:eastAsia="Times New Roman"/>
          <w:noProof/>
        </w:rPr>
        <w:t>or a reduction of Most Favoured Nation (MFN) rates respectively, for both</w:t>
      </w:r>
      <w:r>
        <w:rPr>
          <w:rFonts w:eastAsia="Times New Roman"/>
          <w:noProof/>
          <w:lang w:eastAsia="en-GB"/>
        </w:rPr>
        <w:t xml:space="preserve"> Parties. </w:t>
      </w:r>
      <w:r>
        <w:rPr>
          <w:rFonts w:eastAsia="Times New Roman"/>
          <w:noProof/>
        </w:rPr>
        <w:t xml:space="preserve">The Agreement also features provisions on investment and services, although less far-reaching than those on goods. </w:t>
      </w:r>
      <w:r>
        <w:rPr>
          <w:rFonts w:eastAsia="Times New Roman"/>
          <w:noProof/>
          <w:szCs w:val="20"/>
        </w:rPr>
        <w:t xml:space="preserve">So far, no additional negotiations have been opened on a Dispute Settlement Protocol. </w:t>
      </w:r>
    </w:p>
    <w:p>
      <w:pPr>
        <w:spacing w:after="120"/>
        <w:jc w:val="both"/>
        <w:rPr>
          <w:noProof/>
        </w:rPr>
      </w:pPr>
      <w:r>
        <w:rPr>
          <w:rFonts w:eastAsia="Times New Roman"/>
          <w:noProof/>
        </w:rPr>
        <w:t xml:space="preserve">Algeria is a member of the Regional Convention on pan-Euro-Mediterranean preferential rules of origin, which it signed in 2012 and notified the EU of ratification in January 2017. The main objective of the Convention is to </w:t>
      </w:r>
      <w:r>
        <w:rPr>
          <w:noProof/>
        </w:rPr>
        <w:t>provide a more unified framework for origin protocols.</w:t>
      </w:r>
    </w:p>
    <w:p>
      <w:pPr>
        <w:spacing w:after="120"/>
        <w:jc w:val="both"/>
        <w:rPr>
          <w:rFonts w:eastAsia="Times New Roman"/>
          <w:noProof/>
        </w:rPr>
      </w:pPr>
      <w:r>
        <w:rPr>
          <w:rFonts w:eastAsia="Times New Roman"/>
          <w:noProof/>
        </w:rPr>
        <w:t xml:space="preserve">Algeria started negotiating its accession to the WTO  in 1987. The negotiation process with the Accession Working Party has, however, stalled since 2014. </w:t>
      </w:r>
    </w:p>
    <w:p>
      <w:pPr>
        <w:rPr>
          <w:noProof/>
        </w:rPr>
      </w:pPr>
    </w:p>
    <w:p>
      <w:pPr>
        <w:pStyle w:val="ManualHeading1"/>
      </w:pPr>
      <w:bookmarkStart w:id="1613" w:name="_Toc8833580"/>
      <w:bookmarkStart w:id="1614" w:name="_Toc8835407"/>
      <w:bookmarkStart w:id="1615" w:name="_Toc8834037"/>
      <w:bookmarkStart w:id="1616" w:name="_Toc8909500"/>
      <w:bookmarkStart w:id="1617" w:name="_Toc8910712"/>
      <w:bookmarkStart w:id="1618" w:name="_Toc8911749"/>
      <w:bookmarkStart w:id="1619" w:name="_Toc8974570"/>
      <w:bookmarkStart w:id="1620" w:name="_Toc9008223"/>
      <w:bookmarkStart w:id="1621" w:name="_Toc9008626"/>
      <w:bookmarkStart w:id="1622" w:name="_Toc9348622"/>
      <w:bookmarkStart w:id="1623" w:name="_Toc9608073"/>
      <w:bookmarkStart w:id="1624" w:name="_Toc16000647"/>
      <w:r>
        <w:t>2.</w:t>
      </w:r>
      <w:r>
        <w:tab/>
        <w:t>Evolution of trade</w:t>
      </w:r>
      <w:bookmarkEnd w:id="1613"/>
      <w:bookmarkEnd w:id="1614"/>
      <w:bookmarkEnd w:id="1615"/>
      <w:bookmarkEnd w:id="1616"/>
      <w:bookmarkEnd w:id="1617"/>
      <w:bookmarkEnd w:id="1618"/>
      <w:bookmarkEnd w:id="1619"/>
      <w:bookmarkEnd w:id="1620"/>
      <w:bookmarkEnd w:id="1621"/>
      <w:bookmarkEnd w:id="1622"/>
      <w:bookmarkEnd w:id="1623"/>
      <w:bookmarkEnd w:id="1624"/>
    </w:p>
    <w:p>
      <w:pPr>
        <w:pStyle w:val="Heading2"/>
        <w:ind w:left="0" w:firstLine="0"/>
      </w:pPr>
      <w:bookmarkStart w:id="1625" w:name="_Toc8833581"/>
      <w:bookmarkStart w:id="1626" w:name="_Toc8835408"/>
      <w:bookmarkStart w:id="1627" w:name="_Toc8834038"/>
      <w:bookmarkStart w:id="1628" w:name="_Toc8909501"/>
      <w:bookmarkStart w:id="1629" w:name="_Toc8910713"/>
      <w:bookmarkStart w:id="1630" w:name="_Toc8911750"/>
      <w:bookmarkStart w:id="1631" w:name="_Toc8974571"/>
      <w:bookmarkStart w:id="1632" w:name="_Toc9008224"/>
      <w:bookmarkStart w:id="1633" w:name="_Toc9008627"/>
      <w:bookmarkStart w:id="1634" w:name="_Toc9348623"/>
      <w:bookmarkStart w:id="1635" w:name="_Toc9608074"/>
      <w:bookmarkStart w:id="1636" w:name="_Toc16000648"/>
      <w:r>
        <w:t>2.1 Trade in Goods</w:t>
      </w:r>
      <w:bookmarkEnd w:id="1625"/>
      <w:bookmarkEnd w:id="1626"/>
      <w:bookmarkEnd w:id="1627"/>
      <w:bookmarkEnd w:id="1628"/>
      <w:bookmarkEnd w:id="1629"/>
      <w:bookmarkEnd w:id="1630"/>
      <w:bookmarkEnd w:id="1631"/>
      <w:bookmarkEnd w:id="1632"/>
      <w:bookmarkEnd w:id="1633"/>
      <w:bookmarkEnd w:id="1634"/>
      <w:bookmarkEnd w:id="1635"/>
      <w:bookmarkEnd w:id="1636"/>
    </w:p>
    <w:p>
      <w:pPr>
        <w:spacing w:after="120"/>
        <w:jc w:val="both"/>
        <w:rPr>
          <w:rFonts w:eastAsia="Times New Roman"/>
          <w:noProof/>
          <w:szCs w:val="20"/>
        </w:rPr>
      </w:pPr>
      <w:r>
        <w:rPr>
          <w:rFonts w:eastAsia="Times New Roman"/>
          <w:noProof/>
          <w:szCs w:val="20"/>
        </w:rPr>
        <w:t xml:space="preserve">The EU was Algeria’s first partner for merchandise trade in 2018, accounting for 59% of Algeria’s total trade, before the United States and China (both 7%) and Brazil (4%). The EU is Algeria’s first export market. The EU is also Algeria’s first source of imports. </w:t>
      </w:r>
    </w:p>
    <w:p>
      <w:pPr>
        <w:spacing w:after="120"/>
        <w:jc w:val="both"/>
        <w:rPr>
          <w:rFonts w:eastAsia="Times New Roman"/>
          <w:noProof/>
          <w:szCs w:val="20"/>
        </w:rPr>
      </w:pPr>
      <w:r>
        <w:rPr>
          <w:rFonts w:eastAsia="Times New Roman"/>
          <w:noProof/>
          <w:szCs w:val="20"/>
        </w:rPr>
        <w:t>Algeria is the EU’s first trading partner amongst all Euromed countries, ahead of Morocco and Israel: in 2018, taking into account the eight Euromed countries with which the EU has trade agreements, 30% of EU imports originated from Algeria and 18% of EU exports went to Algeria. This privileged position is mainly due to the prevalence of hydrocarbons in EU-Algeria trade flows.</w:t>
      </w:r>
    </w:p>
    <w:p>
      <w:pPr>
        <w:spacing w:after="360"/>
        <w:jc w:val="both"/>
        <w:rPr>
          <w:rFonts w:eastAsia="Times New Roman"/>
          <w:noProof/>
        </w:rPr>
      </w:pPr>
      <w:r>
        <w:rPr>
          <w:rFonts w:eastAsia="Times New Roman"/>
          <w:noProof/>
        </w:rPr>
        <w:t>Trade in goods between the EU and Algeria has intensified within the progressive free-trade area established by the Association Agreement: in 2018, the total two-way trade amounted to €40 billion, an increase of 61% from its 2004 value of €24.8 billion, the year preceding the entry into force of the Association Agreement. Two-way trade peaked in 2012 at €53.9 billion.</w:t>
      </w:r>
    </w:p>
    <w:p>
      <w:pPr>
        <w:rPr>
          <w:noProof/>
          <w:lang w:eastAsia="en-GB"/>
        </w:rPr>
      </w:pPr>
      <w:r>
        <w:rPr>
          <w:noProof/>
          <w:lang w:eastAsia="en-GB"/>
        </w:rPr>
        <w:drawing>
          <wp:inline distT="0" distB="0" distL="0" distR="0">
            <wp:extent cx="5740842" cy="2949934"/>
            <wp:effectExtent l="0" t="0" r="12700" b="317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jc w:val="both"/>
        <w:rPr>
          <w:rFonts w:eastAsia="Times New Roman"/>
          <w:noProof/>
          <w:szCs w:val="20"/>
          <w:u w:val="single"/>
        </w:rPr>
      </w:pPr>
    </w:p>
    <w:p>
      <w:pPr>
        <w:jc w:val="both"/>
        <w:rPr>
          <w:rFonts w:eastAsia="Times New Roman"/>
          <w:noProof/>
          <w:szCs w:val="20"/>
        </w:rPr>
      </w:pPr>
      <w:r>
        <w:rPr>
          <w:rFonts w:eastAsia="Times New Roman"/>
          <w:noProof/>
          <w:szCs w:val="20"/>
          <w:u w:val="single"/>
        </w:rPr>
        <w:t>EU exports</w:t>
      </w:r>
      <w:r>
        <w:rPr>
          <w:rFonts w:eastAsia="Times New Roman"/>
          <w:noProof/>
          <w:szCs w:val="20"/>
        </w:rPr>
        <w:t xml:space="preserve"> to Algeria grew by 99% between 2004 and 2018, from €9.5 billion to €18.9 billion; the 2018 data, compared to the data from 2017 (€18.8 billion), marked a very small increase after several year of declining exports, from the peak of 2014 (€23.4 billion). In 2018, EU exports to Algeria were mainly made in the sectors of machinery and transport equipment (37%), agricultural and food products (14%) and chemicals (12%). The four biggest EU exporters to Algeria were France, Spain, Italy and Germany.</w:t>
      </w:r>
    </w:p>
    <w:p>
      <w:pPr>
        <w:jc w:val="both"/>
        <w:rPr>
          <w:rFonts w:eastAsia="Times New Roman"/>
          <w:noProof/>
        </w:rPr>
      </w:pPr>
    </w:p>
    <w:p>
      <w:pPr>
        <w:jc w:val="both"/>
        <w:rPr>
          <w:rFonts w:eastAsia="Times New Roman"/>
          <w:noProof/>
        </w:rPr>
      </w:pPr>
      <w:r>
        <w:rPr>
          <w:rFonts w:eastAsia="Times New Roman"/>
          <w:noProof/>
          <w:u w:val="single"/>
        </w:rPr>
        <w:t>EU imports</w:t>
      </w:r>
      <w:r>
        <w:rPr>
          <w:rFonts w:eastAsia="Times New Roman"/>
          <w:noProof/>
        </w:rPr>
        <w:t xml:space="preserve"> from Algeria are dominated by trade in the sectors of oil and gas (mineral fuels amount to 96% of the total exports</w:t>
      </w:r>
      <w:r>
        <w:rPr>
          <w:rFonts w:eastAsia="Times New Roman"/>
          <w:noProof/>
          <w:vertAlign w:val="superscript"/>
        </w:rPr>
        <w:footnoteReference w:id="46"/>
      </w:r>
      <w:r>
        <w:rPr>
          <w:rFonts w:eastAsia="Times New Roman"/>
          <w:noProof/>
        </w:rPr>
        <w:t xml:space="preserve"> to the EU) which has a significant impact on overall volumes. EU imports from Algeria rose 38% between 2004 and 2018, from €15.2 billion to €21 billion (with a peak of €32.7 billion in 2012, which represented a 115% increase compared to 2004). EU imports increased (14%) between 2017 and 2018, with imports reaching €21 billion compared to €18.5 billion in 2017. The three biggest EU importers for Algeria in 2018 were Italy, Spain, and France. </w:t>
      </w:r>
    </w:p>
    <w:p>
      <w:pPr>
        <w:jc w:val="both"/>
        <w:rPr>
          <w:rFonts w:eastAsia="Times New Roman"/>
          <w:noProof/>
          <w:szCs w:val="20"/>
        </w:rPr>
      </w:pPr>
    </w:p>
    <w:p>
      <w:pPr>
        <w:jc w:val="both"/>
        <w:rPr>
          <w:rFonts w:eastAsia="Times New Roman"/>
          <w:noProof/>
        </w:rPr>
      </w:pPr>
      <w:r>
        <w:rPr>
          <w:rFonts w:eastAsia="Times New Roman"/>
          <w:noProof/>
          <w:szCs w:val="20"/>
        </w:rPr>
        <w:t>Because of the absolute preminence of oil and gas in Algeria’s exports, their international price has a direct impact on the value of Algerian exports and on the merchandise trade balance with the EU. Historically, Algeria shows a trade suplus, but the decline in oil and gas prices led to the shrinking of that surplus from 2012 to 2014, while in 2015 and 2016, the EU recorded a trade surplus. In 2017, oil and gas prices began to rise, consequently Algeria’s trade balance with the EU reached the equilibrium in 2017 and became positive again in 2018 (plus €2.1 billion).</w:t>
      </w:r>
      <w:r>
        <w:rPr>
          <w:rFonts w:eastAsia="Times New Roman"/>
          <w:noProof/>
        </w:rPr>
        <w:t xml:space="preserve"> This result is also due to the effect of several trade restrictive measures that Algerian authorities have put in place since 2016 (see section 5).</w:t>
      </w:r>
    </w:p>
    <w:p>
      <w:pPr>
        <w:rPr>
          <w:noProof/>
          <w:lang w:eastAsia="en-GB"/>
        </w:rPr>
      </w:pPr>
    </w:p>
    <w:p>
      <w:pPr>
        <w:pStyle w:val="Heading2"/>
        <w:ind w:left="0" w:firstLine="0"/>
      </w:pPr>
      <w:bookmarkStart w:id="1637" w:name="_Toc8833582"/>
      <w:bookmarkStart w:id="1638" w:name="_Toc8835409"/>
      <w:bookmarkStart w:id="1639" w:name="_Toc8834039"/>
      <w:bookmarkStart w:id="1640" w:name="_Toc8909502"/>
      <w:bookmarkStart w:id="1641" w:name="_Toc8910714"/>
      <w:bookmarkStart w:id="1642" w:name="_Toc8911751"/>
      <w:bookmarkStart w:id="1643" w:name="_Toc8974572"/>
      <w:bookmarkStart w:id="1644" w:name="_Toc9008225"/>
      <w:bookmarkStart w:id="1645" w:name="_Toc9008628"/>
      <w:bookmarkStart w:id="1646" w:name="_Toc9348624"/>
      <w:bookmarkStart w:id="1647" w:name="_Toc9608075"/>
      <w:bookmarkStart w:id="1648" w:name="_Toc16000649"/>
      <w:r>
        <w:t>2.2 Trade in agricultural goods</w:t>
      </w:r>
      <w:bookmarkEnd w:id="1637"/>
      <w:bookmarkEnd w:id="1638"/>
      <w:bookmarkEnd w:id="1639"/>
      <w:bookmarkEnd w:id="1640"/>
      <w:bookmarkEnd w:id="1641"/>
      <w:bookmarkEnd w:id="1642"/>
      <w:bookmarkEnd w:id="1643"/>
      <w:bookmarkEnd w:id="1644"/>
      <w:bookmarkEnd w:id="1645"/>
      <w:bookmarkEnd w:id="1646"/>
      <w:bookmarkEnd w:id="1647"/>
      <w:bookmarkEnd w:id="1648"/>
    </w:p>
    <w:p>
      <w:pPr>
        <w:jc w:val="both"/>
        <w:rPr>
          <w:rFonts w:eastAsia="Times New Roman"/>
          <w:noProof/>
        </w:rPr>
      </w:pPr>
      <w:r>
        <w:rPr>
          <w:rFonts w:eastAsia="Times New Roman"/>
          <w:noProof/>
        </w:rPr>
        <w:t xml:space="preserve">Total trade in agricultural products between the EU and Algeria increased by 170% between 2003 (€1.0 billion) and 2018 (€2.7 billion). Between 2017 and 2018, EU agricultural exports increased by 10%, going from €2.4 billion to €2.6 billion. EU imports, on the other hand, decreased by 28%, from €100 million to €74 million. In 2018, among our Euromed partners, Algeria was the EU's most important destination for exports of agri-food products (1.9% of total exports). The main product categories the EU exported to Algeria were wheat (39%), milk powders &amp; whey (11%), vegetable oils other than palm and olive oils (7%), infant food and other cereals, flour, starch or milk preparations and live animals (6%). EU agricultural imports from Algeria were dominated by tropical fruit, fresh or dried, nuts and spices (51%) and  beet and cane sugar (18%). </w:t>
      </w:r>
    </w:p>
    <w:p>
      <w:pPr>
        <w:jc w:val="both"/>
        <w:rPr>
          <w:rFonts w:eastAsia="Times New Roman"/>
          <w:noProof/>
        </w:rPr>
      </w:pPr>
    </w:p>
    <w:p>
      <w:pPr>
        <w:jc w:val="both"/>
        <w:rPr>
          <w:rFonts w:eastAsia="Times New Roman"/>
          <w:noProof/>
        </w:rPr>
      </w:pPr>
      <w:r>
        <w:rPr>
          <w:rFonts w:eastAsia="Times New Roman"/>
          <w:noProof/>
        </w:rPr>
        <w:t>Regarding agricultural tariff ate quotas (TRQ), Algeria’s 2018 fill rate was low for a limited rnumber of products such as couscous (33% - though an improvement if compared to the value of 7% which was recored in 2017), olive oil (7%), seed potatoes (5%) and pasta (3%). It remained nil or close to zero for the majority of products, such as tomato juice, fruit juices, apricots, strawberries or wine.</w:t>
      </w:r>
    </w:p>
    <w:p>
      <w:pPr>
        <w:pStyle w:val="Heading2"/>
        <w:ind w:left="0" w:firstLine="0"/>
      </w:pPr>
      <w:bookmarkStart w:id="1649" w:name="_Toc8833584"/>
      <w:bookmarkStart w:id="1650" w:name="_Toc8835411"/>
      <w:bookmarkStart w:id="1651" w:name="_Toc8834041"/>
      <w:bookmarkStart w:id="1652" w:name="_Toc8909504"/>
      <w:bookmarkStart w:id="1653" w:name="_Toc8910716"/>
      <w:bookmarkStart w:id="1654" w:name="_Toc8911753"/>
      <w:bookmarkStart w:id="1655" w:name="_Toc8974574"/>
      <w:bookmarkStart w:id="1656" w:name="_Toc9008227"/>
      <w:bookmarkStart w:id="1657" w:name="_Toc9008630"/>
      <w:bookmarkStart w:id="1658" w:name="_Toc9348626"/>
      <w:bookmarkStart w:id="1659" w:name="_Toc9608077"/>
      <w:bookmarkStart w:id="1660" w:name="_Toc16000650"/>
      <w:r>
        <w:t>2.3 Trade in Services and Investment</w:t>
      </w:r>
      <w:bookmarkEnd w:id="1649"/>
      <w:bookmarkEnd w:id="1650"/>
      <w:bookmarkEnd w:id="1651"/>
      <w:bookmarkEnd w:id="1652"/>
      <w:bookmarkEnd w:id="1653"/>
      <w:bookmarkEnd w:id="1654"/>
      <w:bookmarkEnd w:id="1655"/>
      <w:bookmarkEnd w:id="1656"/>
      <w:bookmarkEnd w:id="1657"/>
      <w:bookmarkEnd w:id="1658"/>
      <w:bookmarkEnd w:id="1659"/>
      <w:bookmarkEnd w:id="1660"/>
    </w:p>
    <w:p>
      <w:pPr>
        <w:jc w:val="both"/>
        <w:rPr>
          <w:rFonts w:eastAsia="Times New Roman"/>
          <w:noProof/>
        </w:rPr>
      </w:pPr>
      <w:r>
        <w:rPr>
          <w:rFonts w:eastAsia="Times New Roman"/>
          <w:noProof/>
        </w:rPr>
        <w:t xml:space="preserve">The total </w:t>
      </w:r>
      <w:r>
        <w:rPr>
          <w:rFonts w:eastAsia="Times New Roman"/>
          <w:b/>
          <w:noProof/>
        </w:rPr>
        <w:t>trade in services</w:t>
      </w:r>
      <w:r>
        <w:rPr>
          <w:rFonts w:eastAsia="Times New Roman"/>
          <w:noProof/>
        </w:rPr>
        <w:t xml:space="preserve"> between the EU and Algeria remained relatively stable from 2010 to 2017, going from €4.6 billion to almost €4.9 billion. In 2017, Algeria exported €1.6 billion in services to the EU and imported €3.3 billion from the EU.</w:t>
      </w:r>
    </w:p>
    <w:p>
      <w:pPr>
        <w:jc w:val="both"/>
        <w:rPr>
          <w:rFonts w:eastAsia="Times New Roman"/>
          <w:noProof/>
        </w:rPr>
      </w:pPr>
    </w:p>
    <w:p>
      <w:pPr>
        <w:spacing w:after="120"/>
        <w:jc w:val="both"/>
        <w:rPr>
          <w:rFonts w:eastAsia="Times New Roman"/>
          <w:noProof/>
          <w:szCs w:val="20"/>
        </w:rPr>
      </w:pPr>
      <w:r>
        <w:rPr>
          <w:rFonts w:eastAsia="Times New Roman"/>
          <w:b/>
          <w:bCs/>
          <w:noProof/>
        </w:rPr>
        <w:t>FDI</w:t>
      </w:r>
      <w:r>
        <w:rPr>
          <w:rFonts w:eastAsia="Times New Roman"/>
          <w:noProof/>
        </w:rPr>
        <w:t xml:space="preserve"> flows between the EU and Algeria remained volatile between 2013 and 2017, with most investments coming from the EU to Algeria (€1.3 billion in 2017, for the total stock of EU FDI of €14.9 billion). Algerian investments in the EU are extremely low: the stock in 2017 levelled at €1.8 billion, more or less the same level of 2016. The weakness of EU-Algeria FDI flows is mainly due to investors’ concerns regarding the business climate in the Algeria. In 2016, Algeria introduced some changes in its Investment Code, in an attempt to attract more investments; according to the Wold Bank ranking on Ease of Doing Business, Algeria improved its performances, which nevertheless remain poor and below the regional standards; as a matter of fact, according to 2019 data, the country ranks 157</w:t>
      </w:r>
      <w:r>
        <w:rPr>
          <w:rFonts w:eastAsia="Times New Roman"/>
          <w:noProof/>
          <w:vertAlign w:val="superscript"/>
        </w:rPr>
        <w:t>th</w:t>
      </w:r>
      <w:r>
        <w:rPr>
          <w:rFonts w:eastAsia="Times New Roman"/>
          <w:noProof/>
        </w:rPr>
        <w:t xml:space="preserve"> out of 190 (it was 166</w:t>
      </w:r>
      <w:r>
        <w:rPr>
          <w:rFonts w:eastAsia="Times New Roman"/>
          <w:noProof/>
          <w:vertAlign w:val="superscript"/>
        </w:rPr>
        <w:t>th</w:t>
      </w:r>
      <w:r>
        <w:rPr>
          <w:rFonts w:eastAsia="Times New Roman"/>
          <w:noProof/>
        </w:rPr>
        <w:t xml:space="preserve"> in 2018), with a distance to frontier (DTF)</w:t>
      </w:r>
      <w:r>
        <w:rPr>
          <w:rFonts w:eastAsia="Times New Roman"/>
          <w:noProof/>
          <w:vertAlign w:val="superscript"/>
        </w:rPr>
        <w:footnoteReference w:id="47"/>
      </w:r>
      <w:r>
        <w:rPr>
          <w:rFonts w:eastAsia="Times New Roman"/>
          <w:noProof/>
        </w:rPr>
        <w:t xml:space="preserve"> score of 49.6 out of 100 (up from 47.6 in 2018).</w:t>
      </w:r>
    </w:p>
    <w:p>
      <w:pPr>
        <w:pStyle w:val="ManualHeading1"/>
      </w:pPr>
      <w:bookmarkStart w:id="1661" w:name="_Toc8833585"/>
      <w:bookmarkStart w:id="1662" w:name="_Toc8835412"/>
      <w:bookmarkStart w:id="1663" w:name="_Toc8834042"/>
      <w:bookmarkStart w:id="1664" w:name="_Toc8909505"/>
      <w:bookmarkStart w:id="1665" w:name="_Toc8910717"/>
      <w:bookmarkStart w:id="1666" w:name="_Toc8911754"/>
      <w:bookmarkStart w:id="1667" w:name="_Toc8974575"/>
      <w:bookmarkStart w:id="1668" w:name="_Toc9008228"/>
      <w:bookmarkStart w:id="1669" w:name="_Toc9008631"/>
      <w:bookmarkStart w:id="1670" w:name="_Toc9348627"/>
      <w:bookmarkStart w:id="1671" w:name="_Toc9608078"/>
      <w:bookmarkStart w:id="1672" w:name="_Toc16000651"/>
      <w:r>
        <w:t>3.</w:t>
      </w:r>
      <w:r>
        <w:tab/>
        <w:t>Issues addressed in the Sub-Committee meetings</w:t>
      </w:r>
      <w:bookmarkEnd w:id="1661"/>
      <w:bookmarkEnd w:id="1662"/>
      <w:bookmarkEnd w:id="1663"/>
      <w:bookmarkEnd w:id="1664"/>
      <w:bookmarkEnd w:id="1665"/>
      <w:bookmarkEnd w:id="1666"/>
      <w:bookmarkEnd w:id="1667"/>
      <w:bookmarkEnd w:id="1668"/>
      <w:bookmarkEnd w:id="1669"/>
      <w:bookmarkEnd w:id="1670"/>
      <w:bookmarkEnd w:id="1671"/>
      <w:bookmarkEnd w:id="1672"/>
    </w:p>
    <w:p>
      <w:pPr>
        <w:spacing w:after="120"/>
        <w:jc w:val="both"/>
        <w:rPr>
          <w:rFonts w:eastAsia="Times New Roman"/>
          <w:noProof/>
        </w:rPr>
      </w:pPr>
      <w:r>
        <w:rPr>
          <w:rFonts w:eastAsia="Times New Roman"/>
          <w:noProof/>
        </w:rPr>
        <w:t xml:space="preserve">The last </w:t>
      </w:r>
      <w:r>
        <w:rPr>
          <w:rFonts w:eastAsia="Times New Roman"/>
          <w:b/>
          <w:noProof/>
        </w:rPr>
        <w:t>Sub-Committee on Trade, Industry, and Services</w:t>
      </w:r>
      <w:r>
        <w:rPr>
          <w:rFonts w:eastAsia="Times New Roman"/>
          <w:noProof/>
        </w:rPr>
        <w:t xml:space="preserve"> was held in October 2018. Major trade irritants addressed included chiefly the newly introduced DAPS (</w:t>
      </w:r>
      <w:r>
        <w:rPr>
          <w:rFonts w:eastAsia="Times New Roman"/>
          <w:i/>
          <w:noProof/>
        </w:rPr>
        <w:t>droit additionnel de prélevement spécial</w:t>
      </w:r>
      <w:r>
        <w:rPr>
          <w:rFonts w:eastAsia="Times New Roman"/>
          <w:noProof/>
        </w:rPr>
        <w:t>), a tax having an effect equivalent to custom duties, as well as outstanding</w:t>
      </w:r>
      <w:r>
        <w:rPr>
          <w:rFonts w:eastAsia="Times New Roman"/>
          <w:i/>
          <w:noProof/>
        </w:rPr>
        <w:t xml:space="preserve"> </w:t>
      </w:r>
      <w:r>
        <w:rPr>
          <w:rFonts w:eastAsia="Times New Roman"/>
          <w:noProof/>
        </w:rPr>
        <w:t xml:space="preserve">import suspension on certain other products (mainly vehicles)  (see in more detail section 5). Legal restrictions to foreign investments were also addressed, such as the so-called ‘49/51 Law’, which sets a 49% cap for foreign ownership of any company established in Algeria, regardless of the sector of activity. Other long-standing issues were also mentioned, such as  the issue of ship-owners’ disbursement accounts. Notwithstanding these issues, the EU recalled its commitment to support Algeria’s accession to the WTO. </w:t>
      </w:r>
    </w:p>
    <w:p>
      <w:pPr>
        <w:spacing w:after="120"/>
        <w:jc w:val="both"/>
        <w:rPr>
          <w:rFonts w:eastAsia="Times New Roman"/>
          <w:noProof/>
        </w:rPr>
      </w:pPr>
      <w:r>
        <w:rPr>
          <w:rFonts w:eastAsia="Times New Roman"/>
          <w:noProof/>
        </w:rPr>
        <w:t xml:space="preserve">The </w:t>
      </w:r>
      <w:r>
        <w:rPr>
          <w:rFonts w:eastAsia="Times New Roman"/>
          <w:b/>
          <w:noProof/>
        </w:rPr>
        <w:t>Sub-Committee on Agricultural and Fisheries Products</w:t>
      </w:r>
      <w:r>
        <w:rPr>
          <w:rFonts w:eastAsia="Times New Roman"/>
          <w:noProof/>
        </w:rPr>
        <w:t xml:space="preserve"> met in October 2018. Several technical assistance programmes were discussed, as well as potential ways to reinforce EU technical assistance to Algeria in the field of quality policy and understanding the reasons behind Algeria’s poor utilisation rate of preferences.</w:t>
      </w:r>
    </w:p>
    <w:p>
      <w:pPr>
        <w:spacing w:after="120"/>
        <w:jc w:val="both"/>
        <w:rPr>
          <w:rFonts w:eastAsia="Times New Roman"/>
          <w:noProof/>
          <w:szCs w:val="20"/>
        </w:rPr>
      </w:pPr>
      <w:r>
        <w:rPr>
          <w:rFonts w:eastAsia="Times New Roman"/>
          <w:noProof/>
          <w:szCs w:val="20"/>
        </w:rPr>
        <w:t xml:space="preserve">During the EU-Algeria </w:t>
      </w:r>
      <w:r>
        <w:rPr>
          <w:rFonts w:eastAsia="Times New Roman"/>
          <w:b/>
          <w:noProof/>
          <w:szCs w:val="20"/>
        </w:rPr>
        <w:t>Sub-Committee on Customs Cooperation</w:t>
      </w:r>
      <w:r>
        <w:rPr>
          <w:rFonts w:eastAsia="Times New Roman"/>
          <w:noProof/>
          <w:szCs w:val="20"/>
        </w:rPr>
        <w:t xml:space="preserve"> the parties discussed the development of their respective customs legislation and procedures, the revision of the PEM convention on Preferential Rules of Origin, the fight against counterfeiting and smuggling and modalities for setting in motion an ad-hoc working group on customs valuation.</w:t>
      </w:r>
    </w:p>
    <w:p>
      <w:pPr>
        <w:spacing w:after="120"/>
        <w:jc w:val="both"/>
        <w:rPr>
          <w:rFonts w:eastAsia="Times New Roman"/>
          <w:noProof/>
          <w:szCs w:val="20"/>
        </w:rPr>
      </w:pPr>
      <w:r>
        <w:rPr>
          <w:rFonts w:eastAsia="Times New Roman"/>
          <w:noProof/>
        </w:rPr>
        <w:t xml:space="preserve">A number of senior officials' meetings were held in 2018, in an effort to tackle several market access barriers that Algeria has been imposing on trade with the EU, especially from 2016. The </w:t>
      </w:r>
      <w:r>
        <w:rPr>
          <w:rFonts w:eastAsia="Times New Roman"/>
          <w:b/>
          <w:noProof/>
        </w:rPr>
        <w:t>Association Council conclusions of May 2018</w:t>
      </w:r>
      <w:r>
        <w:rPr>
          <w:rStyle w:val="FootnoteReference"/>
          <w:rFonts w:eastAsia="Times New Roman"/>
          <w:noProof/>
        </w:rPr>
        <w:footnoteReference w:id="48"/>
      </w:r>
      <w:r>
        <w:rPr>
          <w:rFonts w:eastAsia="Times New Roman"/>
          <w:noProof/>
        </w:rPr>
        <w:t xml:space="preserve">, provided that a negotiated solution should be found by the end of 2018, but this has not proven possible, due to a lack of real commitment on the side of the Algerian authorities. </w:t>
      </w:r>
    </w:p>
    <w:p>
      <w:pPr>
        <w:pStyle w:val="ManualHeading1"/>
      </w:pPr>
      <w:bookmarkStart w:id="1673" w:name="_Toc8833586"/>
      <w:bookmarkStart w:id="1674" w:name="_Toc8835413"/>
      <w:bookmarkStart w:id="1675" w:name="_Toc8834043"/>
      <w:bookmarkStart w:id="1676" w:name="_Toc8909506"/>
      <w:bookmarkStart w:id="1677" w:name="_Toc8910718"/>
      <w:bookmarkStart w:id="1678" w:name="_Toc8911755"/>
      <w:bookmarkStart w:id="1679" w:name="_Toc8974576"/>
      <w:bookmarkStart w:id="1680" w:name="_Toc9008229"/>
      <w:bookmarkStart w:id="1681" w:name="_Toc9008632"/>
      <w:bookmarkStart w:id="1682" w:name="_Toc9348628"/>
      <w:bookmarkStart w:id="1683" w:name="_Toc9608079"/>
      <w:bookmarkStart w:id="1684" w:name="_Toc16000652"/>
      <w:r>
        <w:t>4.</w:t>
      </w:r>
      <w:r>
        <w:tab/>
        <w:t>Specific areas of importance</w:t>
      </w:r>
      <w:bookmarkEnd w:id="1673"/>
      <w:bookmarkEnd w:id="1674"/>
      <w:bookmarkEnd w:id="1675"/>
      <w:bookmarkEnd w:id="1676"/>
      <w:bookmarkEnd w:id="1677"/>
      <w:bookmarkEnd w:id="1678"/>
      <w:bookmarkEnd w:id="1679"/>
      <w:bookmarkEnd w:id="1680"/>
      <w:bookmarkEnd w:id="1681"/>
      <w:bookmarkEnd w:id="1682"/>
      <w:bookmarkEnd w:id="1683"/>
      <w:bookmarkEnd w:id="1684"/>
    </w:p>
    <w:p>
      <w:pPr>
        <w:spacing w:after="120"/>
        <w:jc w:val="both"/>
        <w:rPr>
          <w:rFonts w:eastAsia="Times New Roman"/>
          <w:noProof/>
          <w:lang w:eastAsia="en-GB"/>
        </w:rPr>
      </w:pPr>
      <w:r>
        <w:rPr>
          <w:rFonts w:eastAsia="Times New Roman"/>
          <w:noProof/>
          <w:lang w:eastAsia="en-GB"/>
        </w:rPr>
        <w:t xml:space="preserve">The recent fall in oil prices significantly impacted Algeria's finances. Algerian authorities resorted to severe measures to restrict imports, with a view to reducing trade deficits and countering shrinking foreign currency reserves. The EU reacted to these trade-restrictive measures and repeatedly requested full compliance with the provisions of the Association Agreement. Algeria argued that the present economic conjuncture justifies such exceptional measures while recognising the need for economic reforms in order to encourage greater economic diversification and to foster investment. </w:t>
      </w:r>
    </w:p>
    <w:p>
      <w:pPr>
        <w:spacing w:after="120"/>
        <w:jc w:val="both"/>
        <w:rPr>
          <w:rFonts w:eastAsia="Times New Roman"/>
          <w:noProof/>
          <w:szCs w:val="20"/>
          <w:lang w:eastAsia="en-GB"/>
        </w:rPr>
      </w:pPr>
      <w:r>
        <w:rPr>
          <w:rFonts w:eastAsia="Times New Roman"/>
          <w:noProof/>
          <w:lang w:eastAsia="en-GB"/>
        </w:rPr>
        <w:t xml:space="preserve">The </w:t>
      </w:r>
      <w:r>
        <w:rPr>
          <w:rFonts w:eastAsia="Times New Roman"/>
          <w:b/>
          <w:bCs/>
          <w:noProof/>
          <w:lang w:eastAsia="en-GB"/>
        </w:rPr>
        <w:t>Partnership Priorities</w:t>
      </w:r>
      <w:r>
        <w:rPr>
          <w:rFonts w:eastAsia="Times New Roman"/>
          <w:noProof/>
          <w:lang w:eastAsia="en-GB"/>
        </w:rPr>
        <w:t xml:space="preserve"> adopted by the EU and Algeria at the Association Council of 13 March 2017</w:t>
      </w:r>
      <w:r>
        <w:rPr>
          <w:rFonts w:eastAsia="Times New Roman"/>
          <w:noProof/>
          <w:vertAlign w:val="superscript"/>
          <w:lang w:eastAsia="en-GB"/>
        </w:rPr>
        <w:footnoteReference w:id="49"/>
      </w:r>
      <w:r>
        <w:rPr>
          <w:rFonts w:eastAsia="Times New Roman"/>
          <w:noProof/>
          <w:lang w:eastAsia="en-GB"/>
        </w:rPr>
        <w:t xml:space="preserve"> mention cooperation for the socio-economic development of Algeria, including trade and access to the European single market. The EU and Algeria also conducted a </w:t>
      </w:r>
      <w:r>
        <w:rPr>
          <w:rFonts w:eastAsia="Times New Roman"/>
          <w:b/>
          <w:bCs/>
          <w:noProof/>
          <w:lang w:eastAsia="en-GB"/>
        </w:rPr>
        <w:t>joint evaluation of the Association Agreement in 2016-17</w:t>
      </w:r>
      <w:r>
        <w:rPr>
          <w:rFonts w:eastAsia="Times New Roman"/>
          <w:noProof/>
          <w:lang w:eastAsia="en-GB"/>
        </w:rPr>
        <w:t>. The evaluation concluded that, as regards cooperation in the trade, economic and investment areas, Algerian efforts and EU assistance should focus on the following areas: diversification and competitiveness of the Algerian economy, improvement of the business climate and facilitation of investments. A number of trade related reforms were discussed following the release of the study and Algeria was encouraged to commit to the improvement of business climate, new financing mechanisms for SMEs (e.g. the EU’s External Investment Plan), a fine-tuning of subsidies, and the reduction of red tape.</w:t>
      </w:r>
    </w:p>
    <w:p>
      <w:pPr>
        <w:spacing w:after="120"/>
        <w:jc w:val="both"/>
        <w:rPr>
          <w:rFonts w:eastAsia="Times New Roman"/>
          <w:noProof/>
          <w:lang w:val="fr-BE" w:eastAsia="en-GB"/>
        </w:rPr>
      </w:pPr>
      <w:r>
        <w:rPr>
          <w:rFonts w:eastAsia="Times New Roman"/>
          <w:noProof/>
          <w:lang w:eastAsia="en-GB"/>
        </w:rPr>
        <w:t xml:space="preserve">The </w:t>
      </w:r>
      <w:r>
        <w:rPr>
          <w:rFonts w:eastAsia="Times New Roman"/>
          <w:b/>
          <w:bCs/>
          <w:noProof/>
          <w:lang w:eastAsia="en-GB"/>
        </w:rPr>
        <w:t>EU is providing support to Algeria through various trade-related assistance programmes</w:t>
      </w:r>
      <w:r>
        <w:rPr>
          <w:rFonts w:eastAsia="Times New Roman"/>
          <w:noProof/>
          <w:lang w:eastAsia="en-GB"/>
        </w:rPr>
        <w:t xml:space="preserve"> such as DIVECO I, II (</w:t>
      </w:r>
      <w:r>
        <w:rPr>
          <w:rFonts w:eastAsia="Times New Roman"/>
          <w:i/>
          <w:iCs/>
          <w:noProof/>
          <w:lang w:eastAsia="en-GB"/>
        </w:rPr>
        <w:t>Programme d’appui à la diversification de l’économie</w:t>
      </w:r>
      <w:r>
        <w:rPr>
          <w:rFonts w:eastAsia="Times New Roman"/>
          <w:noProof/>
          <w:lang w:eastAsia="en-GB"/>
        </w:rPr>
        <w:t>), P3A I and II (</w:t>
      </w:r>
      <w:r>
        <w:rPr>
          <w:rFonts w:eastAsia="Times New Roman"/>
          <w:i/>
          <w:iCs/>
          <w:noProof/>
          <w:lang w:eastAsia="en-GB"/>
        </w:rPr>
        <w:t>Programme d’appui à la mise en oeuvre de l’Accord d’Association</w:t>
      </w:r>
      <w:r>
        <w:rPr>
          <w:rFonts w:eastAsia="Times New Roman"/>
          <w:noProof/>
          <w:lang w:eastAsia="en-GB"/>
        </w:rPr>
        <w:t>), or PADICA (</w:t>
      </w:r>
      <w:r>
        <w:rPr>
          <w:rFonts w:eastAsia="Times New Roman"/>
          <w:i/>
          <w:iCs/>
          <w:noProof/>
          <w:lang w:eastAsia="en-GB"/>
        </w:rPr>
        <w:t>Programme d’appui à la diversification industrielle et à l’amélioration du climat des affaires</w:t>
      </w:r>
      <w:r>
        <w:rPr>
          <w:rFonts w:eastAsia="Times New Roman"/>
          <w:noProof/>
          <w:lang w:eastAsia="en-GB"/>
        </w:rPr>
        <w:t>), implemented in partnership with the Algerian authority for trade promotion (ALGEX)</w:t>
      </w:r>
      <w:r>
        <w:rPr>
          <w:rFonts w:eastAsia="Times New Roman"/>
          <w:noProof/>
          <w:vertAlign w:val="superscript"/>
          <w:lang w:eastAsia="en-GB"/>
        </w:rPr>
        <w:footnoteReference w:id="50"/>
      </w:r>
      <w:r>
        <w:rPr>
          <w:rFonts w:eastAsia="Times New Roman"/>
          <w:noProof/>
          <w:lang w:eastAsia="en-GB"/>
        </w:rPr>
        <w:t xml:space="preserve">. Such programmes aim to strengthen export competitiveness, to modernise the legal framework, to diversify the economy, and to improve the business climate in Algeria. This support will continue under the 2018-20 programming period. The EU also supports Algeria in preparation of negotiations on an Agreement on Conformity Assessment and Acceptance of industrial products (ACAA), in sectors identified as key priorities by Algerian authorities such as construction materials, domestic appliances and low voltage electric goods. This work has been conducted since 2013 through TAIEX missions, resulting for instance in twinning programmes involving the Algerian authority for certification and accreditation (ALGERAC). </w:t>
      </w:r>
      <w:r>
        <w:rPr>
          <w:rFonts w:eastAsia="Times New Roman"/>
          <w:noProof/>
          <w:lang w:val="fr-BE" w:eastAsia="en-GB"/>
        </w:rPr>
        <w:t>Additional programmes, such as PASSEM (</w:t>
      </w:r>
      <w:r>
        <w:rPr>
          <w:rFonts w:eastAsia="Times New Roman"/>
          <w:i/>
          <w:iCs/>
          <w:noProof/>
          <w:lang w:val="fr-BE" w:eastAsia="en-GB"/>
        </w:rPr>
        <w:t>Programme d’appui spécifique à la surveillance et à l’encadrement du marché</w:t>
      </w:r>
      <w:r>
        <w:rPr>
          <w:rFonts w:eastAsia="Times New Roman"/>
          <w:noProof/>
          <w:lang w:val="fr-BE" w:eastAsia="en-GB"/>
        </w:rPr>
        <w:t xml:space="preserve">), focus on specific areas, such as market surveillance and consumer protection. </w:t>
      </w:r>
    </w:p>
    <w:p>
      <w:pPr>
        <w:pStyle w:val="ManualHeading1"/>
      </w:pPr>
      <w:bookmarkStart w:id="1685" w:name="_Toc8833587"/>
      <w:bookmarkStart w:id="1686" w:name="_Toc8835414"/>
      <w:bookmarkStart w:id="1687" w:name="_Toc8834044"/>
      <w:bookmarkStart w:id="1688" w:name="_Toc8909507"/>
      <w:bookmarkStart w:id="1689" w:name="_Toc8910719"/>
      <w:bookmarkStart w:id="1690" w:name="_Toc8911756"/>
      <w:bookmarkStart w:id="1691" w:name="_Toc8974577"/>
      <w:bookmarkStart w:id="1692" w:name="_Toc9008230"/>
      <w:bookmarkStart w:id="1693" w:name="_Toc9008633"/>
      <w:bookmarkStart w:id="1694" w:name="_Toc9348629"/>
      <w:bookmarkStart w:id="1695" w:name="_Toc9608080"/>
      <w:bookmarkStart w:id="1696" w:name="_Toc16000653"/>
      <w:r>
        <w:t>5.</w:t>
      </w:r>
      <w:r>
        <w:tab/>
        <w:t>Progress made, main open issues and follow-up actions</w:t>
      </w:r>
      <w:bookmarkEnd w:id="1685"/>
      <w:bookmarkEnd w:id="1686"/>
      <w:bookmarkEnd w:id="1687"/>
      <w:bookmarkEnd w:id="1688"/>
      <w:bookmarkEnd w:id="1689"/>
      <w:bookmarkEnd w:id="1690"/>
      <w:bookmarkEnd w:id="1691"/>
      <w:bookmarkEnd w:id="1692"/>
      <w:bookmarkEnd w:id="1693"/>
      <w:bookmarkEnd w:id="1694"/>
      <w:bookmarkEnd w:id="1695"/>
      <w:bookmarkEnd w:id="1696"/>
    </w:p>
    <w:p>
      <w:pPr>
        <w:spacing w:after="120"/>
        <w:jc w:val="both"/>
        <w:rPr>
          <w:rFonts w:eastAsia="Times New Roman"/>
          <w:noProof/>
          <w:szCs w:val="20"/>
          <w:lang w:eastAsia="en-GB"/>
        </w:rPr>
      </w:pPr>
      <w:r>
        <w:rPr>
          <w:rFonts w:eastAsia="Times New Roman"/>
          <w:noProof/>
          <w:szCs w:val="20"/>
          <w:lang w:eastAsia="en-GB"/>
        </w:rPr>
        <w:t xml:space="preserve">Several market access issues </w:t>
      </w:r>
      <w:r>
        <w:rPr>
          <w:rFonts w:eastAsia="Times New Roman"/>
          <w:noProof/>
          <w:lang w:eastAsia="en-GB"/>
        </w:rPr>
        <w:t>remain</w:t>
      </w:r>
      <w:r>
        <w:rPr>
          <w:rFonts w:eastAsia="Times New Roman"/>
          <w:noProof/>
          <w:szCs w:val="20"/>
          <w:lang w:eastAsia="en-GB"/>
        </w:rPr>
        <w:t xml:space="preserve"> in Algeria. The most relevant in 2018 was the introduction of a tax having an effect equivalent to a custom duty, ranging from 30% to 200% of the value of the goods, which was levied on 1 095 tariff lines, across all sectors of the economy. This measure replaces an import ban which, in 2017, affected 877 products. The suspension of import currently concerns only vehicles - which were, until 2017, subject to an import licence scheme which effectively resulted in a zero quota for three years. A custom duty hike imposed in 2017 on another goup of 129 products still applies. </w:t>
      </w:r>
    </w:p>
    <w:p>
      <w:pPr>
        <w:spacing w:after="120"/>
        <w:jc w:val="both"/>
        <w:rPr>
          <w:rFonts w:eastAsia="Times New Roman"/>
          <w:noProof/>
          <w:szCs w:val="20"/>
          <w:lang w:eastAsia="en-GB"/>
        </w:rPr>
      </w:pPr>
      <w:r>
        <w:rPr>
          <w:rFonts w:eastAsia="Times New Roman"/>
          <w:noProof/>
          <w:szCs w:val="20"/>
          <w:lang w:eastAsia="en-GB"/>
        </w:rPr>
        <w:t xml:space="preserve">Other trade-related issues include: a </w:t>
      </w:r>
      <w:r>
        <w:rPr>
          <w:rFonts w:eastAsia="Times New Roman"/>
          <w:b/>
          <w:noProof/>
          <w:szCs w:val="20"/>
          <w:lang w:eastAsia="en-GB"/>
        </w:rPr>
        <w:t>ban on imports of medicines</w:t>
      </w:r>
      <w:r>
        <w:rPr>
          <w:rFonts w:eastAsia="Times New Roman"/>
          <w:noProof/>
          <w:szCs w:val="20"/>
          <w:lang w:eastAsia="en-GB"/>
        </w:rPr>
        <w:t xml:space="preserve"> for which exists a locally-produced equivalent; technical standards; particularly stringent mandatory security devices for vehicles, coupled with </w:t>
      </w:r>
      <w:r>
        <w:rPr>
          <w:rFonts w:eastAsia="Times New Roman"/>
          <w:b/>
          <w:noProof/>
          <w:szCs w:val="20"/>
          <w:lang w:eastAsia="en-GB"/>
        </w:rPr>
        <w:t>obligatory inspections</w:t>
      </w:r>
      <w:r>
        <w:rPr>
          <w:rFonts w:eastAsia="Times New Roman"/>
          <w:noProof/>
          <w:szCs w:val="20"/>
          <w:lang w:eastAsia="en-GB"/>
        </w:rPr>
        <w:t>. The EU is engaging in an active political and technical dialogue with Algerian authorities on these measures to ensure they are brought in to line with the Association Agreement.</w:t>
      </w:r>
    </w:p>
    <w:p>
      <w:pPr>
        <w:spacing w:after="120"/>
        <w:jc w:val="both"/>
        <w:rPr>
          <w:rFonts w:eastAsia="Times New Roman"/>
          <w:noProof/>
          <w:szCs w:val="20"/>
          <w:lang w:eastAsia="en-GB"/>
        </w:rPr>
      </w:pPr>
      <w:r>
        <w:rPr>
          <w:rFonts w:eastAsia="Times New Roman"/>
          <w:noProof/>
          <w:szCs w:val="20"/>
          <w:lang w:eastAsia="en-GB"/>
        </w:rPr>
        <w:t xml:space="preserve">Another long-standing issue is the </w:t>
      </w:r>
      <w:r>
        <w:rPr>
          <w:rFonts w:eastAsia="Times New Roman"/>
          <w:b/>
          <w:noProof/>
          <w:szCs w:val="20"/>
          <w:lang w:eastAsia="en-GB"/>
        </w:rPr>
        <w:t>business climate</w:t>
      </w:r>
      <w:r>
        <w:rPr>
          <w:rFonts w:eastAsia="Times New Roman"/>
          <w:noProof/>
          <w:szCs w:val="20"/>
          <w:lang w:eastAsia="en-GB"/>
        </w:rPr>
        <w:t xml:space="preserve"> in Algeria, and the reluctance to relax restrictions on foreign investment. Compliance with obligations in the field of competition and public aid has also to be enhanced. </w:t>
      </w:r>
      <w:r>
        <w:rPr>
          <w:rFonts w:eastAsia="Times New Roman"/>
          <w:b/>
          <w:noProof/>
          <w:szCs w:val="20"/>
          <w:lang w:eastAsia="en-GB"/>
        </w:rPr>
        <w:t>Numerous obstacles to foreign investment remain</w:t>
      </w:r>
      <w:r>
        <w:rPr>
          <w:rFonts w:eastAsia="Times New Roman"/>
          <w:noProof/>
          <w:szCs w:val="20"/>
          <w:lang w:eastAsia="en-GB"/>
        </w:rPr>
        <w:t xml:space="preserve">, most notably the horizontal ‘49%/51%’ foreign equity cap that applies across the board to all sectors. The Algerian government showed some willingness to consider changes in 2016, notably through the adoption of a </w:t>
      </w:r>
      <w:r>
        <w:rPr>
          <w:rFonts w:eastAsia="Times New Roman"/>
          <w:b/>
          <w:noProof/>
          <w:szCs w:val="20"/>
          <w:lang w:eastAsia="en-GB"/>
        </w:rPr>
        <w:t>new Investment Code</w:t>
      </w:r>
      <w:r>
        <w:rPr>
          <w:rFonts w:eastAsia="Times New Roman"/>
          <w:noProof/>
          <w:szCs w:val="20"/>
          <w:lang w:eastAsia="en-GB"/>
        </w:rPr>
        <w:t xml:space="preserve">, which no longer features the foreign equity cap. However, such a rule remains applicable as it is enshrined in the Budget Laws 2009 and 2012, and it will remain so until such a time these Budget Laws are repealed. Such a blanket foreign equity cap sends negative signals to potential investors and hampers Algeria’s prospects of accession to the WTO. The EU has routinely raised the issue with Algerian authorities, suggesting a more limited scope of application of the rule. </w:t>
      </w:r>
    </w:p>
    <w:p>
      <w:pPr>
        <w:pStyle w:val="ManualHeading1"/>
      </w:pPr>
      <w:bookmarkStart w:id="1697" w:name="_Toc8833588"/>
      <w:bookmarkStart w:id="1698" w:name="_Toc8835415"/>
      <w:bookmarkStart w:id="1699" w:name="_Toc8834045"/>
      <w:bookmarkStart w:id="1700" w:name="_Toc8909508"/>
      <w:bookmarkStart w:id="1701" w:name="_Toc8910720"/>
      <w:bookmarkStart w:id="1702" w:name="_Toc8911757"/>
      <w:bookmarkStart w:id="1703" w:name="_Toc8974578"/>
      <w:bookmarkStart w:id="1704" w:name="_Toc9008231"/>
      <w:bookmarkStart w:id="1705" w:name="_Toc9008634"/>
      <w:bookmarkStart w:id="1706" w:name="_Toc9348630"/>
      <w:bookmarkStart w:id="1707" w:name="_Toc9608081"/>
      <w:bookmarkStart w:id="1708" w:name="_Toc16000654"/>
      <w:r>
        <w:t>6.</w:t>
      </w:r>
      <w:r>
        <w:tab/>
        <w:t>Conclusions and outlook</w:t>
      </w:r>
      <w:bookmarkEnd w:id="1697"/>
      <w:bookmarkEnd w:id="1698"/>
      <w:bookmarkEnd w:id="1699"/>
      <w:bookmarkEnd w:id="1700"/>
      <w:bookmarkEnd w:id="1701"/>
      <w:bookmarkEnd w:id="1702"/>
      <w:bookmarkEnd w:id="1703"/>
      <w:bookmarkEnd w:id="1704"/>
      <w:bookmarkEnd w:id="1705"/>
      <w:bookmarkEnd w:id="1706"/>
      <w:bookmarkEnd w:id="1707"/>
      <w:bookmarkEnd w:id="1708"/>
    </w:p>
    <w:p>
      <w:pPr>
        <w:spacing w:after="120"/>
        <w:jc w:val="both"/>
        <w:rPr>
          <w:rFonts w:eastAsia="Times New Roman"/>
          <w:noProof/>
        </w:rPr>
      </w:pPr>
      <w:r>
        <w:rPr>
          <w:rFonts w:eastAsia="Times New Roman"/>
          <w:noProof/>
          <w:szCs w:val="20"/>
        </w:rPr>
        <w:t xml:space="preserve">There has been a </w:t>
      </w:r>
      <w:r>
        <w:rPr>
          <w:rFonts w:eastAsia="Times New Roman"/>
          <w:b/>
          <w:noProof/>
          <w:szCs w:val="20"/>
        </w:rPr>
        <w:t xml:space="preserve">positive overall trend in EU-Algeria trade </w:t>
      </w:r>
      <w:r>
        <w:rPr>
          <w:rFonts w:eastAsia="Times New Roman"/>
          <w:noProof/>
          <w:szCs w:val="20"/>
        </w:rPr>
        <w:t xml:space="preserve">since the entry into force of the Association Agreement, although </w:t>
      </w:r>
      <w:r>
        <w:rPr>
          <w:rFonts w:eastAsia="Times New Roman"/>
          <w:b/>
          <w:noProof/>
          <w:szCs w:val="20"/>
        </w:rPr>
        <w:t>Algeria’s heavy dependency on hydro-carbons</w:t>
      </w:r>
      <w:r>
        <w:rPr>
          <w:rFonts w:eastAsia="Times New Roman"/>
          <w:noProof/>
          <w:szCs w:val="20"/>
        </w:rPr>
        <w:t xml:space="preserve"> has held back any significant diversification of its exports. The country registered its first negative trade balance with the EU in 2015, as a result of the drop in international oil prices which had started in the second half of 2014. </w:t>
      </w:r>
      <w:r>
        <w:rPr>
          <w:rFonts w:eastAsia="Times New Roman"/>
          <w:noProof/>
        </w:rPr>
        <w:t xml:space="preserve">In 2018, following the upward trend in international oil prices, Algeria’s trade balance became positive again. The </w:t>
      </w:r>
      <w:r>
        <w:rPr>
          <w:rFonts w:eastAsia="Times New Roman"/>
          <w:noProof/>
          <w:szCs w:val="20"/>
        </w:rPr>
        <w:t xml:space="preserve">EU continues to offer its support to the Algerian government to diversify its economy. At the same time, the Commission has pursued its dialogue with Algerian authorities on trade restrictive measures, in order to bring them in line with the Association Agreement. </w:t>
      </w:r>
    </w:p>
    <w:p>
      <w:pPr>
        <w:rPr>
          <w:noProof/>
        </w:rPr>
      </w:pPr>
    </w:p>
    <w:p>
      <w:pPr>
        <w:pStyle w:val="ManualHeading1"/>
      </w:pPr>
      <w:bookmarkStart w:id="1709" w:name="_Toc8833589"/>
      <w:bookmarkStart w:id="1710" w:name="_Toc8835416"/>
      <w:bookmarkStart w:id="1711" w:name="_Toc8834046"/>
      <w:bookmarkStart w:id="1712" w:name="_Toc8909509"/>
      <w:bookmarkStart w:id="1713" w:name="_Toc8910721"/>
      <w:bookmarkStart w:id="1714" w:name="_Toc8911758"/>
      <w:bookmarkStart w:id="1715" w:name="_Toc8974579"/>
      <w:bookmarkStart w:id="1716" w:name="_Toc9008232"/>
      <w:bookmarkStart w:id="1717" w:name="_Toc9008635"/>
      <w:bookmarkStart w:id="1718" w:name="_Toc9348631"/>
      <w:bookmarkStart w:id="1719" w:name="_Toc9608082"/>
      <w:bookmarkStart w:id="1720" w:name="_Toc16000655"/>
      <w:r>
        <w:t>7.</w:t>
      </w:r>
      <w:r>
        <w:tab/>
        <w:t>Statistics</w:t>
      </w:r>
      <w:bookmarkEnd w:id="1709"/>
      <w:bookmarkEnd w:id="1710"/>
      <w:bookmarkEnd w:id="1711"/>
      <w:bookmarkEnd w:id="1712"/>
      <w:bookmarkEnd w:id="1713"/>
      <w:bookmarkEnd w:id="1714"/>
      <w:bookmarkEnd w:id="1715"/>
      <w:bookmarkEnd w:id="1716"/>
      <w:bookmarkEnd w:id="1717"/>
      <w:bookmarkEnd w:id="1718"/>
      <w:bookmarkEnd w:id="1719"/>
      <w:bookmarkEnd w:id="1720"/>
    </w:p>
    <w:tbl>
      <w:tblPr>
        <w:tblW w:w="7947" w:type="dxa"/>
        <w:tblInd w:w="108" w:type="dxa"/>
        <w:tblLook w:val="04A0" w:firstRow="1" w:lastRow="0" w:firstColumn="1" w:lastColumn="0" w:noHBand="0" w:noVBand="1"/>
      </w:tblPr>
      <w:tblGrid>
        <w:gridCol w:w="3587"/>
        <w:gridCol w:w="856"/>
        <w:gridCol w:w="856"/>
        <w:gridCol w:w="936"/>
        <w:gridCol w:w="856"/>
        <w:gridCol w:w="856"/>
      </w:tblGrid>
      <w:tr>
        <w:trPr>
          <w:trHeight w:val="210"/>
        </w:trPr>
        <w:tc>
          <w:tcPr>
            <w:tcW w:w="3587"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93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10"/>
        </w:trPr>
        <w:tc>
          <w:tcPr>
            <w:tcW w:w="7947"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Merchandise trade EU28 2014-2018</w:t>
            </w:r>
          </w:p>
        </w:tc>
      </w:tr>
      <w:tr>
        <w:trPr>
          <w:trHeight w:val="210"/>
        </w:trPr>
        <w:tc>
          <w:tcPr>
            <w:tcW w:w="3587" w:type="dxa"/>
            <w:tcBorders>
              <w:top w:val="single" w:sz="4" w:space="0" w:color="auto"/>
              <w:left w:val="nil"/>
              <w:bottom w:val="single" w:sz="4" w:space="0" w:color="auto"/>
              <w:right w:val="nil"/>
            </w:tcBorders>
            <w:shd w:val="clear" w:color="000000" w:fill="FFFFFF"/>
            <w:noWrap/>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 </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93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r>
      <w:tr>
        <w:trPr>
          <w:trHeight w:val="210"/>
        </w:trPr>
        <w:tc>
          <w:tcPr>
            <w:tcW w:w="3587" w:type="dxa"/>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EU28 trade with Algeria (mio €)</w:t>
            </w:r>
          </w:p>
        </w:tc>
        <w:tc>
          <w:tcPr>
            <w:tcW w:w="856"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n-IE" w:eastAsia="en-IE"/>
              </w:rPr>
            </w:pP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93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r>
      <w:tr>
        <w:trPr>
          <w:trHeight w:val="210"/>
        </w:trPr>
        <w:tc>
          <w:tcPr>
            <w:tcW w:w="358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29.458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20.908</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16.509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18.522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21.047</w:t>
            </w:r>
          </w:p>
        </w:tc>
      </w:tr>
      <w:tr>
        <w:trPr>
          <w:trHeight w:val="210"/>
        </w:trPr>
        <w:tc>
          <w:tcPr>
            <w:tcW w:w="358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23.442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22.253</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20.400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18.834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18.905</w:t>
            </w:r>
          </w:p>
        </w:tc>
      </w:tr>
      <w:tr>
        <w:trPr>
          <w:trHeight w:val="210"/>
        </w:trPr>
        <w:tc>
          <w:tcPr>
            <w:tcW w:w="358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-6.016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1.345</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3.891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312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-2.142</w:t>
            </w:r>
          </w:p>
        </w:tc>
      </w:tr>
      <w:tr>
        <w:trPr>
          <w:trHeight w:val="210"/>
        </w:trPr>
        <w:tc>
          <w:tcPr>
            <w:tcW w:w="3587" w:type="dxa"/>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Share Algeria in EU28 trade with Extra-EU28</w:t>
            </w:r>
          </w:p>
        </w:tc>
        <w:tc>
          <w:tcPr>
            <w:tcW w:w="856"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n-IE" w:eastAsia="en-IE"/>
              </w:rPr>
            </w:pP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93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r>
      <w:tr>
        <w:trPr>
          <w:trHeight w:val="210"/>
        </w:trPr>
        <w:tc>
          <w:tcPr>
            <w:tcW w:w="358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w:t>
            </w:r>
          </w:p>
        </w:tc>
      </w:tr>
      <w:tr>
        <w:trPr>
          <w:trHeight w:val="210"/>
        </w:trPr>
        <w:tc>
          <w:tcPr>
            <w:tcW w:w="358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w:t>
            </w:r>
          </w:p>
        </w:tc>
      </w:tr>
      <w:tr>
        <w:trPr>
          <w:trHeight w:val="210"/>
        </w:trPr>
        <w:tc>
          <w:tcPr>
            <w:tcW w:w="358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w:t>
            </w:r>
          </w:p>
        </w:tc>
      </w:tr>
      <w:tr>
        <w:trPr>
          <w:trHeight w:val="210"/>
        </w:trPr>
        <w:tc>
          <w:tcPr>
            <w:tcW w:w="7947"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Share EU28 in trade Algeria with world</w:t>
            </w:r>
          </w:p>
        </w:tc>
      </w:tr>
      <w:tr>
        <w:trPr>
          <w:trHeight w:val="210"/>
        </w:trPr>
        <w:tc>
          <w:tcPr>
            <w:tcW w:w="358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51,1%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49,7%</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47,5%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43,7%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53,6%</w:t>
            </w:r>
          </w:p>
        </w:tc>
      </w:tr>
      <w:tr>
        <w:trPr>
          <w:trHeight w:val="210"/>
        </w:trPr>
        <w:tc>
          <w:tcPr>
            <w:tcW w:w="358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64,3%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65,1%</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58,5%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58,9%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63,2%</w:t>
            </w:r>
          </w:p>
        </w:tc>
      </w:tr>
      <w:tr>
        <w:trPr>
          <w:trHeight w:val="210"/>
        </w:trPr>
        <w:tc>
          <w:tcPr>
            <w:tcW w:w="358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57,9%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56,0%</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51,7%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50,3%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58,3%</w:t>
            </w:r>
          </w:p>
        </w:tc>
      </w:tr>
      <w:tr>
        <w:trPr>
          <w:trHeight w:val="225"/>
        </w:trPr>
        <w:tc>
          <w:tcPr>
            <w:tcW w:w="5299" w:type="dxa"/>
            <w:gridSpan w:val="3"/>
            <w:tcBorders>
              <w:top w:val="single" w:sz="4" w:space="0" w:color="auto"/>
              <w:left w:val="nil"/>
              <w:bottom w:val="nil"/>
              <w:right w:val="nil"/>
            </w:tcBorders>
            <w:shd w:val="clear" w:color="000000" w:fill="FFFFFF"/>
            <w:noWrap/>
            <w:vAlign w:val="bottom"/>
            <w:hideMark/>
          </w:tcPr>
          <w:p>
            <w:pPr>
              <w:rPr>
                <w:rFonts w:eastAsia="Times New Roman"/>
                <w:noProof/>
                <w:sz w:val="12"/>
                <w:szCs w:val="12"/>
                <w:lang w:val="en-IE" w:eastAsia="en-IE"/>
              </w:rPr>
            </w:pPr>
            <w:r>
              <w:rPr>
                <w:rFonts w:eastAsia="Times New Roman"/>
                <w:noProof/>
                <w:sz w:val="12"/>
                <w:szCs w:val="12"/>
                <w:lang w:val="en-IE" w:eastAsia="en-IE"/>
              </w:rPr>
              <w:t xml:space="preserve">Source Trade G2 Statistics/ISDB </w:t>
            </w:r>
          </w:p>
        </w:tc>
        <w:tc>
          <w:tcPr>
            <w:tcW w:w="936"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single" w:sz="4" w:space="0" w:color="auto"/>
              <w:left w:val="nil"/>
              <w:bottom w:val="nil"/>
              <w:right w:val="nil"/>
            </w:tcBorders>
            <w:shd w:val="clear" w:color="000000" w:fill="FFFFFF"/>
            <w:noWrap/>
            <w:hideMark/>
          </w:tcPr>
          <w:p>
            <w:pPr>
              <w:jc w:val="right"/>
              <w:rPr>
                <w:rFonts w:eastAsia="Times New Roman"/>
                <w:noProof/>
                <w:sz w:val="12"/>
                <w:szCs w:val="12"/>
                <w:lang w:val="en-IE" w:eastAsia="en-IE"/>
              </w:rPr>
            </w:pPr>
            <w:r>
              <w:rPr>
                <w:rFonts w:eastAsia="Times New Roman"/>
                <w:noProof/>
                <w:sz w:val="12"/>
                <w:szCs w:val="12"/>
                <w:lang w:val="en-IE" w:eastAsia="en-IE"/>
              </w:rPr>
              <w:t>25-mars-19</w:t>
            </w:r>
          </w:p>
        </w:tc>
      </w:tr>
      <w:tr>
        <w:trPr>
          <w:trHeight w:val="210"/>
        </w:trPr>
        <w:tc>
          <w:tcPr>
            <w:tcW w:w="6235" w:type="dxa"/>
            <w:gridSpan w:val="4"/>
            <w:tcBorders>
              <w:top w:val="nil"/>
              <w:left w:val="nil"/>
              <w:bottom w:val="nil"/>
              <w:right w:val="nil"/>
            </w:tcBorders>
            <w:shd w:val="clear" w:color="000000" w:fill="FFFFFF"/>
            <w:noWrap/>
            <w:hideMark/>
          </w:tcPr>
          <w:p>
            <w:pPr>
              <w:rPr>
                <w:rFonts w:eastAsia="Times New Roman"/>
                <w:noProof/>
                <w:color w:val="000000"/>
                <w:sz w:val="12"/>
                <w:szCs w:val="12"/>
                <w:lang w:val="en-IE" w:eastAsia="en-IE"/>
              </w:rPr>
            </w:pPr>
            <w:r>
              <w:rPr>
                <w:rFonts w:eastAsia="Times New Roman"/>
                <w:noProof/>
                <w:color w:val="000000"/>
                <w:sz w:val="12"/>
                <w:szCs w:val="12"/>
                <w:lang w:val="en-IE" w:eastAsia="en-IE"/>
              </w:rPr>
              <w:t>Trade EU28: Eurostat COMEXT;  Trade Algeria: IMF Dots</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10"/>
        </w:trPr>
        <w:tc>
          <w:tcPr>
            <w:tcW w:w="3587"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93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25"/>
        </w:trPr>
        <w:tc>
          <w:tcPr>
            <w:tcW w:w="7947"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Total merchandise trade EU28 with Algeria (mio €)</w:t>
            </w:r>
          </w:p>
        </w:tc>
      </w:tr>
      <w:tr>
        <w:trPr>
          <w:trHeight w:val="225"/>
        </w:trPr>
        <w:tc>
          <w:tcPr>
            <w:tcW w:w="4443"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Algeria</w:t>
            </w:r>
          </w:p>
        </w:tc>
        <w:tc>
          <w:tcPr>
            <w:tcW w:w="85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93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71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443"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93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58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18.522</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21.047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2.525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13,6%</w:t>
            </w:r>
          </w:p>
        </w:tc>
      </w:tr>
      <w:tr>
        <w:trPr>
          <w:trHeight w:val="225"/>
        </w:trPr>
        <w:tc>
          <w:tcPr>
            <w:tcW w:w="358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18.834</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18.905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0,4%</w:t>
            </w:r>
          </w:p>
        </w:tc>
      </w:tr>
      <w:tr>
        <w:trPr>
          <w:trHeight w:val="225"/>
        </w:trPr>
        <w:tc>
          <w:tcPr>
            <w:tcW w:w="358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312</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-2.142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-2.454</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587"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37.356</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39.952</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2.596</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6,9%</w:t>
            </w:r>
          </w:p>
        </w:tc>
      </w:tr>
      <w:tr>
        <w:trPr>
          <w:trHeight w:val="240"/>
        </w:trPr>
        <w:tc>
          <w:tcPr>
            <w:tcW w:w="6235"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7947"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Agrifood trade EU28 with Algeria (mio €)</w:t>
            </w:r>
          </w:p>
        </w:tc>
      </w:tr>
      <w:tr>
        <w:trPr>
          <w:trHeight w:val="255"/>
        </w:trPr>
        <w:tc>
          <w:tcPr>
            <w:tcW w:w="4443"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Algeria</w:t>
            </w:r>
          </w:p>
        </w:tc>
        <w:tc>
          <w:tcPr>
            <w:tcW w:w="85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93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71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443"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93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58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103</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-28,4%</w:t>
            </w:r>
          </w:p>
        </w:tc>
      </w:tr>
      <w:tr>
        <w:trPr>
          <w:trHeight w:val="225"/>
        </w:trPr>
        <w:tc>
          <w:tcPr>
            <w:tcW w:w="358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2.422</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2.660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9,8%</w:t>
            </w:r>
          </w:p>
        </w:tc>
      </w:tr>
      <w:tr>
        <w:trPr>
          <w:trHeight w:val="225"/>
        </w:trPr>
        <w:tc>
          <w:tcPr>
            <w:tcW w:w="358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2.318</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2.586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267</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587"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2.525</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2.734</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209</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8,3%</w:t>
            </w:r>
          </w:p>
        </w:tc>
      </w:tr>
      <w:tr>
        <w:trPr>
          <w:trHeight w:val="240"/>
        </w:trPr>
        <w:tc>
          <w:tcPr>
            <w:tcW w:w="6235"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7947"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it-IT" w:eastAsia="en-IE"/>
              </w:rPr>
            </w:pPr>
            <w:r>
              <w:rPr>
                <w:rFonts w:eastAsia="Times New Roman"/>
                <w:b/>
                <w:bCs/>
                <w:noProof/>
                <w:sz w:val="16"/>
                <w:szCs w:val="16"/>
                <w:lang w:val="it-IT" w:eastAsia="en-IE"/>
              </w:rPr>
              <w:t>NAMA trade EU28 with Algeria (mio €)</w:t>
            </w:r>
          </w:p>
        </w:tc>
      </w:tr>
      <w:tr>
        <w:trPr>
          <w:trHeight w:val="225"/>
        </w:trPr>
        <w:tc>
          <w:tcPr>
            <w:tcW w:w="4443"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Algeria</w:t>
            </w:r>
          </w:p>
        </w:tc>
        <w:tc>
          <w:tcPr>
            <w:tcW w:w="85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93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71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443"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93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4443"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18.419</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20.973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2.554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13,9%</w:t>
            </w:r>
          </w:p>
        </w:tc>
      </w:tr>
      <w:tr>
        <w:trPr>
          <w:trHeight w:val="225"/>
        </w:trPr>
        <w:tc>
          <w:tcPr>
            <w:tcW w:w="4443"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16.412</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16.245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w:t>
            </w:r>
          </w:p>
        </w:tc>
      </w:tr>
      <w:tr>
        <w:trPr>
          <w:trHeight w:val="225"/>
        </w:trPr>
        <w:tc>
          <w:tcPr>
            <w:tcW w:w="358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-2.007</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-4.728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-2.722</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58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34.831</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37.218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2.387</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6,9%</w:t>
            </w:r>
          </w:p>
        </w:tc>
      </w:tr>
      <w:tr>
        <w:trPr>
          <w:trHeight w:val="240"/>
        </w:trPr>
        <w:tc>
          <w:tcPr>
            <w:tcW w:w="6235"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856" w:type="dxa"/>
            <w:tcBorders>
              <w:top w:val="single" w:sz="4" w:space="0" w:color="auto"/>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6235" w:type="dxa"/>
            <w:gridSpan w:val="4"/>
            <w:tcBorders>
              <w:top w:val="nil"/>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Services trade EU28 with Algeria (mio €)</w:t>
            </w:r>
          </w:p>
        </w:tc>
        <w:tc>
          <w:tcPr>
            <w:tcW w:w="856" w:type="dxa"/>
            <w:tcBorders>
              <w:top w:val="nil"/>
              <w:left w:val="nil"/>
              <w:bottom w:val="nil"/>
              <w:right w:val="nil"/>
            </w:tcBorders>
            <w:shd w:val="clear" w:color="000000" w:fill="FFFFFF"/>
            <w:noWrap/>
            <w:vAlign w:val="center"/>
            <w:hideMark/>
          </w:tcPr>
          <w:p>
            <w:pPr>
              <w:rPr>
                <w:rFonts w:eastAsia="Times New Roman"/>
                <w:b/>
                <w:bCs/>
                <w:noProof/>
                <w:sz w:val="16"/>
                <w:szCs w:val="16"/>
                <w:lang w:val="en-IE" w:eastAsia="en-IE"/>
              </w:rPr>
            </w:pPr>
            <w:r>
              <w:rPr>
                <w:rFonts w:eastAsia="Times New Roman"/>
                <w:b/>
                <w:bCs/>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bCs/>
                <w:noProof/>
                <w:sz w:val="16"/>
                <w:szCs w:val="16"/>
                <w:lang w:val="en-IE" w:eastAsia="en-IE"/>
              </w:rPr>
            </w:pPr>
            <w:r>
              <w:rPr>
                <w:rFonts w:eastAsia="Times New Roman"/>
                <w:b/>
                <w:bCs/>
                <w:noProof/>
                <w:sz w:val="16"/>
                <w:szCs w:val="16"/>
                <w:lang w:val="en-IE" w:eastAsia="en-IE"/>
              </w:rPr>
              <w:t> </w:t>
            </w:r>
          </w:p>
        </w:tc>
      </w:tr>
      <w:tr>
        <w:trPr>
          <w:trHeight w:val="225"/>
        </w:trPr>
        <w:tc>
          <w:tcPr>
            <w:tcW w:w="4443"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Algeria</w:t>
            </w:r>
          </w:p>
        </w:tc>
        <w:tc>
          <w:tcPr>
            <w:tcW w:w="856"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936"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171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443"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936"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58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1.500</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1.558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3,9%</w:t>
            </w:r>
          </w:p>
        </w:tc>
      </w:tr>
      <w:tr>
        <w:trPr>
          <w:trHeight w:val="225"/>
        </w:trPr>
        <w:tc>
          <w:tcPr>
            <w:tcW w:w="358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3.668</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3.298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-370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-10,1%</w:t>
            </w:r>
          </w:p>
        </w:tc>
      </w:tr>
      <w:tr>
        <w:trPr>
          <w:trHeight w:val="225"/>
        </w:trPr>
        <w:tc>
          <w:tcPr>
            <w:tcW w:w="358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2.168</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1.740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-427</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587"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5.168</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4.856</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-312</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-6,0%</w:t>
            </w:r>
          </w:p>
        </w:tc>
      </w:tr>
      <w:tr>
        <w:trPr>
          <w:trHeight w:val="240"/>
        </w:trPr>
        <w:tc>
          <w:tcPr>
            <w:tcW w:w="7091" w:type="dxa"/>
            <w:gridSpan w:val="5"/>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40"/>
        </w:trPr>
        <w:tc>
          <w:tcPr>
            <w:tcW w:w="7947"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Services trade EU28 with Algeria (mio €)</w:t>
            </w:r>
          </w:p>
        </w:tc>
      </w:tr>
      <w:tr>
        <w:trPr>
          <w:trHeight w:val="225"/>
        </w:trPr>
        <w:tc>
          <w:tcPr>
            <w:tcW w:w="3587"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93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358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1.487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1.619</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1.728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1.500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1.558</w:t>
            </w:r>
          </w:p>
        </w:tc>
      </w:tr>
      <w:tr>
        <w:trPr>
          <w:trHeight w:val="225"/>
        </w:trPr>
        <w:tc>
          <w:tcPr>
            <w:tcW w:w="358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2.839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3.295</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3.529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3.668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3.298</w:t>
            </w:r>
          </w:p>
        </w:tc>
      </w:tr>
      <w:tr>
        <w:trPr>
          <w:trHeight w:val="225"/>
        </w:trPr>
        <w:tc>
          <w:tcPr>
            <w:tcW w:w="358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1.352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1.676</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1.802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2.168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1.740</w:t>
            </w:r>
          </w:p>
        </w:tc>
      </w:tr>
      <w:tr>
        <w:trPr>
          <w:trHeight w:val="225"/>
        </w:trPr>
        <w:tc>
          <w:tcPr>
            <w:tcW w:w="3587"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4.326</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4.915</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5.257</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5.168</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4.856</w:t>
            </w:r>
          </w:p>
        </w:tc>
      </w:tr>
      <w:tr>
        <w:trPr>
          <w:trHeight w:val="225"/>
        </w:trPr>
        <w:tc>
          <w:tcPr>
            <w:tcW w:w="3587"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856"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93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7947" w:type="dxa"/>
            <w:gridSpan w:val="6"/>
            <w:tcBorders>
              <w:top w:val="nil"/>
              <w:left w:val="nil"/>
              <w:bottom w:val="nil"/>
              <w:right w:val="nil"/>
            </w:tcBorders>
            <w:shd w:val="clear" w:color="000000" w:fill="FFFFFF"/>
            <w:noWrap/>
            <w:vAlign w:val="center"/>
            <w:hideMark/>
          </w:tcPr>
          <w:p>
            <w:pPr>
              <w:jc w:val="center"/>
              <w:rPr>
                <w:rFonts w:eastAsia="Times New Roman"/>
                <w:b/>
                <w:noProof/>
                <w:sz w:val="16"/>
                <w:szCs w:val="16"/>
                <w:lang w:val="it-IT" w:eastAsia="en-IE"/>
              </w:rPr>
            </w:pPr>
            <w:r>
              <w:rPr>
                <w:rFonts w:eastAsia="Times New Roman"/>
                <w:b/>
                <w:noProof/>
                <w:sz w:val="16"/>
                <w:szCs w:val="16"/>
                <w:lang w:val="it-IT" w:eastAsia="en-IE"/>
              </w:rPr>
              <w:t>FDI EU28 with Algeria (mio €)</w:t>
            </w:r>
          </w:p>
        </w:tc>
      </w:tr>
      <w:tr>
        <w:trPr>
          <w:trHeight w:val="225"/>
        </w:trPr>
        <w:tc>
          <w:tcPr>
            <w:tcW w:w="3587"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val="it-IT" w:eastAsia="en-IE"/>
              </w:rPr>
            </w:pPr>
            <w:r>
              <w:rPr>
                <w:rFonts w:eastAsia="Times New Roman"/>
                <w:noProof/>
                <w:sz w:val="16"/>
                <w:szCs w:val="16"/>
                <w:lang w:val="it-IT" w:eastAsia="en-IE"/>
              </w:rPr>
              <w:t> </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93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7947"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Stocks</w:t>
            </w:r>
          </w:p>
        </w:tc>
      </w:tr>
      <w:tr>
        <w:trPr>
          <w:trHeight w:val="225"/>
        </w:trPr>
        <w:tc>
          <w:tcPr>
            <w:tcW w:w="358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1.135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1.878</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1.779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1.846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1.857</w:t>
            </w:r>
          </w:p>
        </w:tc>
      </w:tr>
      <w:tr>
        <w:trPr>
          <w:trHeight w:val="225"/>
        </w:trPr>
        <w:tc>
          <w:tcPr>
            <w:tcW w:w="358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14.022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14.117</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14.750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14.588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14.861</w:t>
            </w:r>
          </w:p>
        </w:tc>
      </w:tr>
      <w:tr>
        <w:trPr>
          <w:trHeight w:val="225"/>
        </w:trPr>
        <w:tc>
          <w:tcPr>
            <w:tcW w:w="7947"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Flows</w:t>
            </w:r>
          </w:p>
        </w:tc>
      </w:tr>
      <w:tr>
        <w:trPr>
          <w:trHeight w:val="225"/>
        </w:trPr>
        <w:tc>
          <w:tcPr>
            <w:tcW w:w="358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357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222</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26.661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w:t>
            </w:r>
          </w:p>
        </w:tc>
      </w:tr>
      <w:tr>
        <w:trPr>
          <w:trHeight w:val="225"/>
        </w:trPr>
        <w:tc>
          <w:tcPr>
            <w:tcW w:w="358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2.196</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769</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2.495</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1.921</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1.339</w:t>
            </w:r>
          </w:p>
        </w:tc>
      </w:tr>
      <w:tr>
        <w:trPr>
          <w:trHeight w:val="225"/>
        </w:trPr>
        <w:tc>
          <w:tcPr>
            <w:tcW w:w="3587" w:type="dxa"/>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856"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93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bl>
    <w:p>
      <w:pPr>
        <w:rPr>
          <w:noProof/>
          <w:lang w:val="en-IE"/>
        </w:rPr>
      </w:pPr>
    </w:p>
    <w:p>
      <w:pPr>
        <w:spacing w:after="200" w:line="276" w:lineRule="auto"/>
        <w:rPr>
          <w:noProof/>
        </w:rPr>
      </w:pPr>
      <w:r>
        <w:rPr>
          <w:noProof/>
        </w:rPr>
        <w:br w:type="page"/>
      </w:r>
    </w:p>
    <w:p>
      <w:pPr>
        <w:pStyle w:val="ChapterHead"/>
        <w:jc w:val="both"/>
        <w:rPr>
          <w:b/>
          <w:noProof/>
        </w:rPr>
      </w:pPr>
      <w:bookmarkStart w:id="1721" w:name="_Toc8833590"/>
      <w:bookmarkStart w:id="1722" w:name="_Toc8835417"/>
      <w:bookmarkStart w:id="1723" w:name="_Toc8834047"/>
      <w:bookmarkStart w:id="1724" w:name="_Toc8909510"/>
      <w:bookmarkStart w:id="1725" w:name="_Toc8910722"/>
      <w:bookmarkStart w:id="1726" w:name="_Toc8911759"/>
      <w:bookmarkStart w:id="1727" w:name="_Toc8974580"/>
      <w:bookmarkStart w:id="1728" w:name="_Toc9008233"/>
      <w:bookmarkStart w:id="1729" w:name="_Toc9008636"/>
      <w:bookmarkStart w:id="1730" w:name="_Toc9348632"/>
      <w:bookmarkStart w:id="1731" w:name="_Toc9608083"/>
      <w:bookmarkStart w:id="1732" w:name="_Toc16000656"/>
      <w:r>
        <w:rPr>
          <w:b/>
          <w:noProof/>
        </w:rPr>
        <w:t>ANNUAL INFO SHEET ON THE IMPLEMENTATION OF THE EU-EGYPT ASSOCIATION AGREEMENT</w:t>
      </w:r>
      <w:bookmarkEnd w:id="1721"/>
      <w:bookmarkEnd w:id="1722"/>
      <w:bookmarkEnd w:id="1723"/>
      <w:bookmarkEnd w:id="1724"/>
      <w:bookmarkEnd w:id="1725"/>
      <w:bookmarkEnd w:id="1726"/>
      <w:bookmarkEnd w:id="1727"/>
      <w:bookmarkEnd w:id="1728"/>
      <w:bookmarkEnd w:id="1729"/>
      <w:bookmarkEnd w:id="1730"/>
      <w:bookmarkEnd w:id="1731"/>
      <w:bookmarkEnd w:id="1732"/>
    </w:p>
    <w:p>
      <w:pPr>
        <w:pStyle w:val="ManualHeading1"/>
        <w:rPr>
          <w:caps/>
          <w:lang w:val="en-US"/>
        </w:rPr>
      </w:pPr>
      <w:bookmarkStart w:id="1733" w:name="_Toc8833591"/>
      <w:bookmarkStart w:id="1734" w:name="_Toc8835418"/>
      <w:bookmarkStart w:id="1735" w:name="_Toc8834048"/>
      <w:bookmarkStart w:id="1736" w:name="_Toc8909511"/>
      <w:bookmarkStart w:id="1737" w:name="_Toc8910723"/>
      <w:bookmarkStart w:id="1738" w:name="_Toc8911760"/>
      <w:bookmarkStart w:id="1739" w:name="_Toc8974581"/>
      <w:bookmarkStart w:id="1740" w:name="_Toc9008234"/>
      <w:bookmarkStart w:id="1741" w:name="_Toc9008637"/>
      <w:bookmarkStart w:id="1742" w:name="_Toc9348633"/>
      <w:bookmarkStart w:id="1743" w:name="_Toc9608084"/>
      <w:bookmarkStart w:id="1744" w:name="_Toc16000657"/>
      <w:r>
        <w:t>1.</w:t>
      </w:r>
      <w:r>
        <w:tab/>
      </w:r>
      <w:r>
        <w:rPr>
          <w:lang w:val="en-US"/>
        </w:rPr>
        <w:t>Introduction</w:t>
      </w:r>
      <w:bookmarkEnd w:id="1733"/>
      <w:bookmarkEnd w:id="1734"/>
      <w:bookmarkEnd w:id="1735"/>
      <w:bookmarkEnd w:id="1736"/>
      <w:bookmarkEnd w:id="1737"/>
      <w:bookmarkEnd w:id="1738"/>
      <w:bookmarkEnd w:id="1739"/>
      <w:bookmarkEnd w:id="1740"/>
      <w:bookmarkEnd w:id="1741"/>
      <w:bookmarkEnd w:id="1742"/>
      <w:bookmarkEnd w:id="1743"/>
      <w:bookmarkEnd w:id="1744"/>
    </w:p>
    <w:p>
      <w:pPr>
        <w:jc w:val="both"/>
        <w:rPr>
          <w:rFonts w:eastAsia="Times New Roman"/>
          <w:noProof/>
          <w:lang w:val="en-US"/>
        </w:rPr>
      </w:pPr>
      <w:r>
        <w:rPr>
          <w:rFonts w:eastAsia="Times New Roman"/>
          <w:noProof/>
          <w:lang w:val="en-US"/>
        </w:rPr>
        <w:t xml:space="preserve">The EU and Egypt established a free trade area as part of the EU-Egypt Association Agreement, signed in 2001 (hereinafter referred to as ‘the Agreement’). The Agreement was provisionally applied from 21 December 2003 and officially entered into force on 1 June 2004. It provides for reciprocal liberalisation of trade in goods, with elements of asymmetry in favour of Egypt: Egypt was able to export to the EU all industrial products covered by the Agreement tariff-free from the day of entry into force of the Agreement, while it benefited from a transitional period of 3 to 15 years, depending on the product, to dismantle tariffs on EU imports, Egypt finalized the process of fully dismantling tariffs applied to industrial goods on 1 January 2019. </w:t>
      </w:r>
    </w:p>
    <w:p>
      <w:pPr>
        <w:jc w:val="both"/>
        <w:rPr>
          <w:rFonts w:eastAsia="Times New Roman"/>
          <w:noProof/>
          <w:lang w:val="en-US"/>
        </w:rPr>
      </w:pPr>
    </w:p>
    <w:p>
      <w:pPr>
        <w:jc w:val="both"/>
        <w:rPr>
          <w:rFonts w:eastAsia="Times New Roman"/>
          <w:noProof/>
          <w:lang w:val="en-US"/>
        </w:rPr>
      </w:pPr>
      <w:r>
        <w:rPr>
          <w:rFonts w:eastAsia="Times New Roman"/>
          <w:noProof/>
          <w:lang w:val="en-US"/>
        </w:rPr>
        <w:t>In October 2008, the EU and Egypt signed an agreement providing for liberalisation in agricultural, processed agricultural and fisheries goods; the latter entered into force on 1 June 2010 and extended the list of agricultural products covered by the original Agreement. Today, 80% of trade in agricultural goods is covered by duty-free treatment.</w:t>
      </w:r>
    </w:p>
    <w:p>
      <w:pPr>
        <w:jc w:val="both"/>
        <w:rPr>
          <w:rFonts w:eastAsia="Times New Roman"/>
          <w:noProof/>
          <w:lang w:val="en-US"/>
        </w:rPr>
      </w:pPr>
    </w:p>
    <w:p>
      <w:pPr>
        <w:jc w:val="both"/>
        <w:rPr>
          <w:rFonts w:eastAsia="Times New Roman"/>
          <w:noProof/>
          <w:lang w:val="en-US"/>
        </w:rPr>
      </w:pPr>
      <w:r>
        <w:rPr>
          <w:rFonts w:eastAsia="Times New Roman"/>
          <w:noProof/>
          <w:lang w:val="en-US"/>
        </w:rPr>
        <w:t xml:space="preserve">In November 2010, the EU and Egypt signed a protocol establishing a Dispute Settlement Mechanism (DSM), for which the ratification process is still pending. </w:t>
      </w:r>
    </w:p>
    <w:p>
      <w:pPr>
        <w:jc w:val="both"/>
        <w:rPr>
          <w:rFonts w:eastAsia="Times New Roman"/>
          <w:noProof/>
          <w:lang w:val="en-US"/>
        </w:rPr>
      </w:pPr>
    </w:p>
    <w:p>
      <w:pPr>
        <w:jc w:val="both"/>
        <w:rPr>
          <w:rFonts w:eastAsia="Times New Roman"/>
          <w:noProof/>
          <w:lang w:val="en-US" w:eastAsia="en-GB"/>
        </w:rPr>
      </w:pPr>
      <w:r>
        <w:rPr>
          <w:rFonts w:eastAsia="Times New Roman"/>
          <w:noProof/>
          <w:lang w:val="en-US"/>
        </w:rPr>
        <w:t xml:space="preserve">In November 2011, </w:t>
      </w:r>
      <w:r>
        <w:rPr>
          <w:rFonts w:eastAsia="Times New Roman"/>
          <w:noProof/>
          <w:lang w:val="en-US" w:eastAsia="en-GB"/>
        </w:rPr>
        <w:t xml:space="preserve">the Commission received a Council mandate authorising it to negotiate a </w:t>
      </w:r>
      <w:r>
        <w:rPr>
          <w:rFonts w:eastAsia="Times New Roman"/>
          <w:b/>
          <w:noProof/>
          <w:lang w:val="en-US" w:eastAsia="en-GB"/>
        </w:rPr>
        <w:t>Deep and Comprehensive Free Trade Area</w:t>
      </w:r>
      <w:r>
        <w:rPr>
          <w:rFonts w:eastAsia="Times New Roman"/>
          <w:noProof/>
          <w:lang w:val="en-US" w:eastAsia="en-GB"/>
        </w:rPr>
        <w:t xml:space="preserve"> (DCFTA) with Egypt, but Egypt has shown limited interest so far.</w:t>
      </w:r>
    </w:p>
    <w:p>
      <w:pPr>
        <w:jc w:val="both"/>
        <w:rPr>
          <w:rFonts w:eastAsia="Times New Roman"/>
          <w:noProof/>
          <w:lang w:val="en-US"/>
        </w:rPr>
      </w:pPr>
    </w:p>
    <w:p>
      <w:pPr>
        <w:jc w:val="both"/>
        <w:rPr>
          <w:rFonts w:eastAsia="Times New Roman"/>
          <w:noProof/>
          <w:lang w:val="en-US"/>
        </w:rPr>
      </w:pPr>
      <w:r>
        <w:rPr>
          <w:rFonts w:eastAsia="Times New Roman"/>
          <w:noProof/>
          <w:lang w:val="en-US" w:eastAsia="en-GB"/>
        </w:rPr>
        <w:t xml:space="preserve">Egypt also signed the Regional Convention on pan-Euro-Mediterranean preferential rules of origin on 9 October 2013 and notified it on 1 June 2014. </w:t>
      </w:r>
      <w:r>
        <w:rPr>
          <w:rFonts w:eastAsia="Times New Roman"/>
          <w:noProof/>
          <w:lang w:val="en-US"/>
        </w:rPr>
        <w:t xml:space="preserve">The main objective of the Convention is to </w:t>
      </w:r>
      <w:r>
        <w:rPr>
          <w:noProof/>
          <w:lang w:val="en-US"/>
        </w:rPr>
        <w:t>provide a more unified framework for origin protocols.</w:t>
      </w:r>
    </w:p>
    <w:p>
      <w:pPr>
        <w:pStyle w:val="Heading1"/>
        <w:rPr>
          <w:b w:val="0"/>
          <w:caps/>
          <w:smallCaps w:val="0"/>
          <w:noProof/>
          <w:lang w:val="en-US" w:eastAsia="en-GB"/>
        </w:rPr>
      </w:pPr>
      <w:bookmarkStart w:id="1745" w:name="_Toc524628320"/>
      <w:bookmarkStart w:id="1746" w:name="_Toc8833592"/>
      <w:bookmarkStart w:id="1747" w:name="_Toc8835419"/>
      <w:bookmarkStart w:id="1748" w:name="_Toc8834049"/>
      <w:bookmarkStart w:id="1749" w:name="_Toc8909512"/>
      <w:bookmarkStart w:id="1750" w:name="_Toc8910724"/>
      <w:bookmarkStart w:id="1751" w:name="_Toc8911761"/>
      <w:bookmarkStart w:id="1752" w:name="_Toc8974582"/>
      <w:bookmarkStart w:id="1753" w:name="_Toc9008235"/>
      <w:bookmarkStart w:id="1754" w:name="_Toc9008638"/>
      <w:bookmarkStart w:id="1755" w:name="_Toc9348634"/>
      <w:bookmarkStart w:id="1756" w:name="_Toc9608085"/>
      <w:bookmarkStart w:id="1757" w:name="_Toc16000658"/>
      <w:r>
        <w:rPr>
          <w:noProof/>
          <w:lang w:val="en-US" w:eastAsia="en-GB"/>
        </w:rPr>
        <w:t>2.</w:t>
      </w:r>
      <w:r>
        <w:rPr>
          <w:noProof/>
          <w:lang w:val="en-US" w:eastAsia="en-GB"/>
        </w:rPr>
        <w:tab/>
        <w:t>Evolution of trade</w:t>
      </w:r>
      <w:bookmarkEnd w:id="1745"/>
      <w:bookmarkEnd w:id="1746"/>
      <w:bookmarkEnd w:id="1747"/>
      <w:bookmarkEnd w:id="1748"/>
      <w:bookmarkEnd w:id="1749"/>
      <w:bookmarkEnd w:id="1750"/>
      <w:bookmarkEnd w:id="1751"/>
      <w:bookmarkEnd w:id="1752"/>
      <w:bookmarkEnd w:id="1753"/>
      <w:bookmarkEnd w:id="1754"/>
      <w:bookmarkEnd w:id="1755"/>
      <w:bookmarkEnd w:id="1756"/>
      <w:bookmarkEnd w:id="1757"/>
    </w:p>
    <w:p>
      <w:pPr>
        <w:pStyle w:val="Heading2"/>
        <w:ind w:left="0" w:firstLine="0"/>
        <w:rPr>
          <w:rFonts w:eastAsia="Times New Roman"/>
          <w:b w:val="0"/>
          <w:lang w:val="en-US"/>
        </w:rPr>
      </w:pPr>
      <w:bookmarkStart w:id="1758" w:name="_Toc524628321"/>
      <w:bookmarkStart w:id="1759" w:name="_Toc8833593"/>
      <w:bookmarkStart w:id="1760" w:name="_Toc8835420"/>
      <w:bookmarkStart w:id="1761" w:name="_Toc8834050"/>
      <w:bookmarkStart w:id="1762" w:name="_Toc8909513"/>
      <w:bookmarkStart w:id="1763" w:name="_Toc8910725"/>
      <w:bookmarkStart w:id="1764" w:name="_Toc8911762"/>
      <w:bookmarkStart w:id="1765" w:name="_Toc8974583"/>
      <w:bookmarkStart w:id="1766" w:name="_Toc9008236"/>
      <w:bookmarkStart w:id="1767" w:name="_Toc9008639"/>
      <w:bookmarkStart w:id="1768" w:name="_Toc9348635"/>
      <w:bookmarkStart w:id="1769" w:name="_Toc9608086"/>
      <w:bookmarkStart w:id="1770" w:name="_Toc16000659"/>
      <w:r>
        <w:rPr>
          <w:lang w:val="en-US"/>
        </w:rPr>
        <w:t>2.1 Trade in Goods</w:t>
      </w:r>
      <w:bookmarkEnd w:id="1758"/>
      <w:bookmarkEnd w:id="1759"/>
      <w:bookmarkEnd w:id="1760"/>
      <w:bookmarkEnd w:id="1761"/>
      <w:bookmarkEnd w:id="1762"/>
      <w:bookmarkEnd w:id="1763"/>
      <w:bookmarkEnd w:id="1764"/>
      <w:bookmarkEnd w:id="1765"/>
      <w:bookmarkEnd w:id="1766"/>
      <w:bookmarkEnd w:id="1767"/>
      <w:bookmarkEnd w:id="1768"/>
      <w:bookmarkEnd w:id="1769"/>
      <w:bookmarkEnd w:id="1770"/>
      <w:r>
        <w:rPr>
          <w:lang w:val="en-US"/>
        </w:rPr>
        <w:t xml:space="preserve"> </w:t>
      </w:r>
    </w:p>
    <w:p>
      <w:pPr>
        <w:jc w:val="both"/>
        <w:rPr>
          <w:rFonts w:eastAsia="Times New Roman"/>
          <w:noProof/>
          <w:szCs w:val="20"/>
          <w:lang w:val="en-US"/>
        </w:rPr>
      </w:pPr>
      <w:r>
        <w:rPr>
          <w:rFonts w:eastAsia="Times New Roman"/>
          <w:noProof/>
          <w:szCs w:val="20"/>
          <w:lang w:val="en-US"/>
        </w:rPr>
        <w:t xml:space="preserve">In 2018, the EU remains Egypt’s main trading partner, accounting for 23% of the total Egyptian trade, before China (10%), the United States (8%) and Saudi Arabia (6%). The EU is Egypt’s first export market: 11% of Egyptian exports were directed towards the EU in 2018, followed by United States (8%), Ukraine (7%) and Jamaica (6%). The EU is also Egypts first source of imports, with 27% of Egyptian imports originating from the EU. </w:t>
      </w:r>
    </w:p>
    <w:p>
      <w:pPr>
        <w:jc w:val="both"/>
        <w:rPr>
          <w:rFonts w:eastAsia="Times New Roman"/>
          <w:noProof/>
          <w:szCs w:val="20"/>
          <w:lang w:val="en-US"/>
        </w:rPr>
      </w:pPr>
      <w:r>
        <w:rPr>
          <w:rFonts w:eastAsia="Times New Roman"/>
          <w:noProof/>
          <w:szCs w:val="20"/>
          <w:lang w:val="en-US"/>
        </w:rPr>
        <w:t>Total trade in goods between the EU and Egypt has increased significantly over the period since the FTA entered into force: +176% in 16 years, from €10.1 billion in 2002 (the year preceding the provisional entry into force of the Association Agreement) to €27.7 billion in 2018. The level of total EU-Egypt trade in 2018 was very similar to the one achieved in 2017 (€27.9 billion) , which was a record year in the bilateral trade of goods.</w:t>
      </w:r>
    </w:p>
    <w:p>
      <w:pPr>
        <w:jc w:val="both"/>
        <w:rPr>
          <w:rFonts w:eastAsia="Times New Roman"/>
          <w:noProof/>
          <w:szCs w:val="20"/>
          <w:u w:val="single"/>
          <w:lang w:val="en-US"/>
        </w:rPr>
      </w:pPr>
    </w:p>
    <w:p>
      <w:pPr>
        <w:jc w:val="both"/>
        <w:rPr>
          <w:rFonts w:eastAsia="Times New Roman"/>
          <w:noProof/>
          <w:szCs w:val="20"/>
          <w:u w:val="single"/>
          <w:lang w:val="en-US"/>
        </w:rPr>
      </w:pPr>
      <w:r>
        <w:rPr>
          <w:noProof/>
          <w:lang w:eastAsia="en-GB"/>
        </w:rPr>
        <w:drawing>
          <wp:inline distT="0" distB="0" distL="0" distR="0">
            <wp:extent cx="5760720" cy="2616200"/>
            <wp:effectExtent l="0" t="0" r="11430" b="12700"/>
            <wp:docPr id="84719527" name="Chart 847195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jc w:val="both"/>
        <w:rPr>
          <w:rFonts w:eastAsia="Times New Roman"/>
          <w:noProof/>
          <w:szCs w:val="20"/>
          <w:u w:val="single"/>
          <w:lang w:val="en-US"/>
        </w:rPr>
      </w:pPr>
    </w:p>
    <w:p>
      <w:pPr>
        <w:jc w:val="both"/>
        <w:rPr>
          <w:rFonts w:eastAsia="Times New Roman"/>
          <w:noProof/>
          <w:szCs w:val="20"/>
          <w:lang w:val="en-US"/>
        </w:rPr>
      </w:pPr>
      <w:r>
        <w:rPr>
          <w:rFonts w:eastAsia="Times New Roman"/>
          <w:noProof/>
          <w:szCs w:val="20"/>
          <w:u w:val="single"/>
          <w:lang w:val="en-US"/>
        </w:rPr>
        <w:t>EU exports</w:t>
      </w:r>
      <w:r>
        <w:rPr>
          <w:rFonts w:eastAsia="Times New Roman"/>
          <w:noProof/>
          <w:szCs w:val="20"/>
          <w:lang w:val="en-US"/>
        </w:rPr>
        <w:t xml:space="preserve"> increased by 193% between 2002 and 2018, from € 6.7 billion to €19.2 billion. Between 2017 and 2018, </w:t>
      </w:r>
      <w:r>
        <w:rPr>
          <w:rFonts w:eastAsia="Times New Roman"/>
          <w:noProof/>
          <w:lang w:val="en-US"/>
        </w:rPr>
        <w:t>EU exports decreased by 3%, from €19.2 billion to €19.8 billion.</w:t>
      </w:r>
      <w:r>
        <w:rPr>
          <w:rFonts w:eastAsia="Times New Roman"/>
          <w:noProof/>
          <w:szCs w:val="20"/>
          <w:lang w:val="en-US"/>
        </w:rPr>
        <w:t xml:space="preserve"> In 2018, the EU mainly exported to Egypt goods in the sectors of: machinery and transport equipment (34%), chemicals (15%), fuels and mining products (11%), and agricultural products (7%). The three biggest EU exporters to Egypt were Germany, Italy and France. </w:t>
      </w:r>
    </w:p>
    <w:p>
      <w:pPr>
        <w:jc w:val="both"/>
        <w:rPr>
          <w:rFonts w:eastAsia="Times New Roman"/>
          <w:noProof/>
          <w:szCs w:val="20"/>
          <w:lang w:val="en-US"/>
        </w:rPr>
      </w:pPr>
    </w:p>
    <w:p>
      <w:pPr>
        <w:jc w:val="both"/>
        <w:rPr>
          <w:rFonts w:eastAsia="Times New Roman"/>
          <w:noProof/>
          <w:szCs w:val="20"/>
          <w:lang w:val="en-US"/>
        </w:rPr>
      </w:pPr>
      <w:r>
        <w:rPr>
          <w:rFonts w:eastAsia="Times New Roman"/>
          <w:noProof/>
          <w:szCs w:val="20"/>
          <w:u w:val="single"/>
          <w:lang w:val="en-US"/>
        </w:rPr>
        <w:t>EU imports</w:t>
      </w:r>
      <w:r>
        <w:rPr>
          <w:rFonts w:eastAsia="Times New Roman"/>
          <w:noProof/>
          <w:szCs w:val="20"/>
          <w:lang w:val="en-US"/>
        </w:rPr>
        <w:t xml:space="preserve"> increased by 142% between 2002 and 2018, from €3.3 billion to €8.5 billion. Between 2017 and 2018, EU imports increased by 4.7%, from €8.1 billion to €8.5 billion. In 2018, EU imports were principally in the sectors of: fuel and mining products (35%), manufactured products (18%), and chemicals (16%). The three biggest importers of Egyptian products in the EU were: Italy, Germany and Spain. EU imports of agricultural and food products and in non-fuel industrial products have been stable since 2011, increasing during 2017 – most notably agricultural and food imports increased by 10.5% in 2017 – but back to a slower 1% growth in 2018.</w:t>
      </w:r>
    </w:p>
    <w:p>
      <w:pPr>
        <w:jc w:val="both"/>
        <w:rPr>
          <w:rFonts w:eastAsia="Times New Roman"/>
          <w:noProof/>
          <w:szCs w:val="20"/>
          <w:lang w:val="en-US"/>
        </w:rPr>
      </w:pPr>
    </w:p>
    <w:p>
      <w:pPr>
        <w:jc w:val="both"/>
        <w:rPr>
          <w:rFonts w:eastAsia="Times New Roman"/>
          <w:noProof/>
          <w:szCs w:val="20"/>
          <w:lang w:val="en-US"/>
        </w:rPr>
      </w:pPr>
      <w:r>
        <w:rPr>
          <w:rFonts w:eastAsia="Times New Roman"/>
          <w:noProof/>
          <w:szCs w:val="20"/>
          <w:lang w:val="en-US"/>
        </w:rPr>
        <w:t xml:space="preserve">A reduction in Egyptian exports between 2012 and 2016, coupled with significant increase of imports from the EU, has resulted in a widening trade imbalance between the EU and Egypt. The decrease in Egyptian exports was largely imputable to the fall of oil prices and growing internal demand for energy in Egypt (fuels accounted for one third of Egyptian exports to the EU in 2017, while, in the past, they used to constitute almost half of them). In 2017, an upward trend in Egyptian exports to the EU was noted with an increase of 21.2% which continued in 2018 (+4.7%), while imports from the EU somewhat decreased in 2017 and 2018. This was mainly the result of devaluation of the local currency carried out in November 2016, coupled with government policy aimed at import reduction. </w:t>
      </w:r>
    </w:p>
    <w:p>
      <w:pPr>
        <w:pStyle w:val="Heading2"/>
        <w:ind w:left="0" w:firstLine="0"/>
        <w:rPr>
          <w:rFonts w:eastAsia="Times New Roman"/>
          <w:lang w:val="en-US"/>
        </w:rPr>
      </w:pPr>
      <w:bookmarkStart w:id="1771" w:name="_Toc524628322"/>
      <w:bookmarkStart w:id="1772" w:name="_Toc8833594"/>
      <w:bookmarkStart w:id="1773" w:name="_Toc8835421"/>
      <w:bookmarkStart w:id="1774" w:name="_Toc8834051"/>
      <w:bookmarkStart w:id="1775" w:name="_Toc8909514"/>
      <w:bookmarkStart w:id="1776" w:name="_Toc8910726"/>
      <w:bookmarkStart w:id="1777" w:name="_Toc8911763"/>
      <w:bookmarkStart w:id="1778" w:name="_Toc8974584"/>
      <w:bookmarkStart w:id="1779" w:name="_Toc9008237"/>
      <w:bookmarkStart w:id="1780" w:name="_Toc9008640"/>
      <w:bookmarkStart w:id="1781" w:name="_Toc9348636"/>
      <w:bookmarkStart w:id="1782" w:name="_Toc9608087"/>
      <w:bookmarkStart w:id="1783" w:name="_Toc16000660"/>
      <w:r>
        <w:rPr>
          <w:lang w:val="en-US"/>
        </w:rPr>
        <w:t xml:space="preserve">2.2 Trade in agricultural </w:t>
      </w:r>
      <w:r>
        <w:rPr>
          <w:rFonts w:eastAsia="Times New Roman"/>
          <w:lang w:val="en-US"/>
        </w:rPr>
        <w:t>goods</w:t>
      </w:r>
      <w:bookmarkEnd w:id="1771"/>
      <w:bookmarkEnd w:id="1772"/>
      <w:bookmarkEnd w:id="1773"/>
      <w:bookmarkEnd w:id="1774"/>
      <w:bookmarkEnd w:id="1775"/>
      <w:bookmarkEnd w:id="1776"/>
      <w:bookmarkEnd w:id="1777"/>
      <w:bookmarkEnd w:id="1778"/>
      <w:bookmarkEnd w:id="1779"/>
      <w:bookmarkEnd w:id="1780"/>
      <w:bookmarkEnd w:id="1781"/>
      <w:bookmarkEnd w:id="1782"/>
      <w:bookmarkEnd w:id="1783"/>
      <w:r>
        <w:rPr>
          <w:rFonts w:eastAsia="Times New Roman"/>
          <w:lang w:val="en-US"/>
        </w:rPr>
        <w:t xml:space="preserve"> </w:t>
      </w:r>
    </w:p>
    <w:p>
      <w:pPr>
        <w:jc w:val="both"/>
        <w:rPr>
          <w:noProof/>
        </w:rPr>
      </w:pPr>
      <w:r>
        <w:rPr>
          <w:noProof/>
          <w:u w:val="single"/>
        </w:rPr>
        <w:t>Total trade in agri-food products</w:t>
      </w:r>
      <w:r>
        <w:rPr>
          <w:noProof/>
        </w:rPr>
        <w:t xml:space="preserve"> between the EU and Egypt increased by 225% between 2003 and 2018, from €0.8 billion in 2003 to €2.6 billion in 2018. EU agri-food exports increased slightly (+7%), going from €1.4 billion in 2017 to €1.5 billion in 2018. EU imports remained the same at €1 billion in 2018 compared to 2017. </w:t>
      </w:r>
    </w:p>
    <w:p>
      <w:pPr>
        <w:jc w:val="both"/>
        <w:rPr>
          <w:noProof/>
          <w:sz w:val="22"/>
          <w:szCs w:val="22"/>
        </w:rPr>
      </w:pPr>
    </w:p>
    <w:p>
      <w:pPr>
        <w:jc w:val="both"/>
        <w:rPr>
          <w:noProof/>
        </w:rPr>
      </w:pPr>
      <w:r>
        <w:rPr>
          <w:noProof/>
        </w:rPr>
        <w:t>In 2018, Egypt was the EU’s second biggest supplier of agri-food products among our Euromed-partners. The EU imported mainly fruit (€426 million, 41%), including citrus fruit, and vegetables (€291 million, 28%) from Egypt. EU agri-food exports to Egypt were dominated by wheat (€224 million, 15%), vegetables (€176 million, 12%) and sugar (€153 million, 10%).</w:t>
      </w:r>
    </w:p>
    <w:p>
      <w:pPr>
        <w:jc w:val="both"/>
        <w:rPr>
          <w:noProof/>
        </w:rPr>
      </w:pPr>
    </w:p>
    <w:p>
      <w:pPr>
        <w:jc w:val="both"/>
        <w:rPr>
          <w:noProof/>
        </w:rPr>
      </w:pPr>
      <w:r>
        <w:rPr>
          <w:noProof/>
        </w:rPr>
        <w:t xml:space="preserve">Regarding agri-food tariff rate quotas (TRQs), Egypt’s 2018 fill rate was high for a limited number of products such as sweet oranges (93%), strawberries (89%, and already 100% for the 2019 season), or garlic (87%), but remained nil or close to zero for the majority of products, such as cucumbers, brown rice, cereal preparations, etc. </w:t>
      </w:r>
    </w:p>
    <w:p>
      <w:pPr>
        <w:pStyle w:val="Heading2"/>
        <w:ind w:left="0" w:firstLine="0"/>
        <w:rPr>
          <w:rFonts w:eastAsia="Times New Roman"/>
          <w:b w:val="0"/>
          <w:lang w:val="en-US"/>
        </w:rPr>
      </w:pPr>
      <w:bookmarkStart w:id="1784" w:name="_Toc524628324"/>
      <w:bookmarkStart w:id="1785" w:name="_Toc8833596"/>
      <w:bookmarkStart w:id="1786" w:name="_Toc8835423"/>
      <w:bookmarkStart w:id="1787" w:name="_Toc8834053"/>
      <w:bookmarkStart w:id="1788" w:name="_Toc8909516"/>
      <w:bookmarkStart w:id="1789" w:name="_Toc8910728"/>
      <w:bookmarkStart w:id="1790" w:name="_Toc8911765"/>
      <w:bookmarkStart w:id="1791" w:name="_Toc8974586"/>
      <w:bookmarkStart w:id="1792" w:name="_Toc9008239"/>
      <w:bookmarkStart w:id="1793" w:name="_Toc9008642"/>
      <w:bookmarkStart w:id="1794" w:name="_Toc9348638"/>
      <w:bookmarkStart w:id="1795" w:name="_Toc9608089"/>
      <w:bookmarkStart w:id="1796" w:name="_Toc16000661"/>
      <w:r>
        <w:rPr>
          <w:lang w:val="en-US"/>
        </w:rPr>
        <w:t>2.3 Trade in Services and Foreign Direct Investment</w:t>
      </w:r>
      <w:r>
        <w:rPr>
          <w:rFonts w:eastAsia="Times New Roman"/>
          <w:b w:val="0"/>
          <w:vertAlign w:val="superscript"/>
          <w:lang w:val="en-US"/>
        </w:rPr>
        <w:footnoteReference w:id="51"/>
      </w:r>
      <w:bookmarkEnd w:id="1784"/>
      <w:bookmarkEnd w:id="1785"/>
      <w:bookmarkEnd w:id="1786"/>
      <w:bookmarkEnd w:id="1787"/>
      <w:bookmarkEnd w:id="1788"/>
      <w:bookmarkEnd w:id="1789"/>
      <w:bookmarkEnd w:id="1790"/>
      <w:bookmarkEnd w:id="1791"/>
      <w:bookmarkEnd w:id="1792"/>
      <w:bookmarkEnd w:id="1793"/>
      <w:bookmarkEnd w:id="1794"/>
      <w:bookmarkEnd w:id="1795"/>
      <w:bookmarkEnd w:id="1796"/>
    </w:p>
    <w:p>
      <w:pPr>
        <w:jc w:val="both"/>
        <w:rPr>
          <w:rFonts w:eastAsia="Times New Roman"/>
          <w:noProof/>
          <w:lang w:val="en-US"/>
        </w:rPr>
      </w:pPr>
      <w:r>
        <w:rPr>
          <w:rFonts w:eastAsia="Times New Roman"/>
          <w:noProof/>
          <w:lang w:val="en-US"/>
        </w:rPr>
        <w:t xml:space="preserve">After a period of instability from 2011 to 2014, the </w:t>
      </w:r>
      <w:r>
        <w:rPr>
          <w:rFonts w:eastAsia="Times New Roman"/>
          <w:b/>
          <w:noProof/>
          <w:lang w:val="en-US"/>
        </w:rPr>
        <w:t>total trade in services</w:t>
      </w:r>
      <w:r>
        <w:rPr>
          <w:rFonts w:eastAsia="Times New Roman"/>
          <w:noProof/>
          <w:lang w:val="en-US"/>
        </w:rPr>
        <w:t xml:space="preserve"> between the EU and Egypt had fully recovered its pre-2011 level in 2015, amounting to €10 billion (€10.2 billion in 2010). In 2016, Egypt witnessed a significant reduction in the export of services, due to the reduced inflow of tourists, aggravated by the crash of a Russian airliner in November 2015 over the Sinai, and slightly lower revenues of the Suez Canal due to reduced global trade. In 2016, total trade in services amounted to €9.1 billion, a 14% decrease from 2015 levels; however, in 2017 it increased by 4% driven by increased exports of services by Egypt; total trade in services reached €9.5 billion. </w:t>
      </w:r>
    </w:p>
    <w:p>
      <w:pPr>
        <w:jc w:val="both"/>
        <w:rPr>
          <w:rFonts w:eastAsia="Times New Roman"/>
          <w:noProof/>
          <w:lang w:val="en-US"/>
        </w:rPr>
      </w:pPr>
    </w:p>
    <w:p>
      <w:pPr>
        <w:jc w:val="both"/>
        <w:rPr>
          <w:rFonts w:eastAsia="Times New Roman"/>
          <w:noProof/>
          <w:szCs w:val="20"/>
          <w:lang w:val="en-US"/>
        </w:rPr>
      </w:pPr>
      <w:r>
        <w:rPr>
          <w:rFonts w:eastAsia="Times New Roman"/>
          <w:noProof/>
          <w:szCs w:val="20"/>
          <w:lang w:val="en-US"/>
        </w:rPr>
        <w:t xml:space="preserve">As regards </w:t>
      </w:r>
      <w:r>
        <w:rPr>
          <w:rFonts w:eastAsia="Times New Roman"/>
          <w:b/>
          <w:noProof/>
          <w:szCs w:val="20"/>
          <w:lang w:val="en-US"/>
        </w:rPr>
        <w:t>Foreign Direct Investment</w:t>
      </w:r>
      <w:r>
        <w:rPr>
          <w:rFonts w:eastAsia="Times New Roman"/>
          <w:noProof/>
          <w:szCs w:val="20"/>
          <w:lang w:val="en-US"/>
        </w:rPr>
        <w:t xml:space="preserve"> (FDI), the EU remains the biggest investor in Egypt but EU foreign investments</w:t>
      </w:r>
      <w:r>
        <w:rPr>
          <w:rFonts w:eastAsia="Times New Roman"/>
          <w:noProof/>
          <w:lang w:val="en-US"/>
        </w:rPr>
        <w:t xml:space="preserve"> in the country have been highly volatile, with divestments exceeding investments by €1.6 billion in 2015. Since 2016, the inflows of EU investments into Egypt have been increasing; they reached €2.7 billion in 2017, with the total EU investment stock amounting to €39.2 billion.</w:t>
      </w:r>
      <w:r>
        <w:rPr>
          <w:rFonts w:eastAsia="Times New Roman"/>
          <w:noProof/>
          <w:szCs w:val="20"/>
          <w:lang w:val="en-US"/>
        </w:rPr>
        <w:t xml:space="preserve"> </w:t>
      </w:r>
    </w:p>
    <w:p>
      <w:pPr>
        <w:jc w:val="both"/>
        <w:rPr>
          <w:rFonts w:eastAsia="Times New Roman"/>
          <w:noProof/>
          <w:szCs w:val="20"/>
          <w:lang w:val="en-US"/>
        </w:rPr>
      </w:pPr>
    </w:p>
    <w:p>
      <w:pPr>
        <w:jc w:val="both"/>
        <w:rPr>
          <w:rFonts w:eastAsia="Times New Roman"/>
          <w:noProof/>
          <w:lang w:val="en-US"/>
        </w:rPr>
      </w:pPr>
      <w:r>
        <w:rPr>
          <w:rFonts w:eastAsia="Times New Roman"/>
          <w:noProof/>
          <w:lang w:val="en-US"/>
        </w:rPr>
        <w:t>Overall, Egypt underperforms as regards its business climate. In 2018, it only ranked 120</w:t>
      </w:r>
      <w:r>
        <w:rPr>
          <w:rFonts w:eastAsia="Times New Roman"/>
          <w:noProof/>
          <w:vertAlign w:val="superscript"/>
          <w:lang w:val="en-US"/>
        </w:rPr>
        <w:t>th</w:t>
      </w:r>
      <w:r>
        <w:rPr>
          <w:rFonts w:eastAsia="Times New Roman"/>
          <w:noProof/>
          <w:lang w:val="en-US"/>
        </w:rPr>
        <w:t xml:space="preserve"> out of 190 in the World Bank ranking "Doing Business 2019", with a distance to frontier (DTF)</w:t>
      </w:r>
      <w:r>
        <w:rPr>
          <w:rFonts w:eastAsia="Times New Roman"/>
          <w:noProof/>
          <w:vertAlign w:val="superscript"/>
          <w:lang w:val="en-US"/>
        </w:rPr>
        <w:footnoteReference w:id="52"/>
      </w:r>
      <w:r>
        <w:rPr>
          <w:rFonts w:eastAsia="Times New Roman"/>
          <w:noProof/>
          <w:lang w:val="en-US"/>
        </w:rPr>
        <w:t xml:space="preserve"> score of 58.5 out of 100 -</w:t>
      </w:r>
      <w:r>
        <w:rPr>
          <w:rFonts w:eastAsia="Times New Roman"/>
          <w:noProof/>
          <w:szCs w:val="20"/>
          <w:lang w:val="en-US"/>
        </w:rPr>
        <w:t xml:space="preserve"> an increase of 2.7 </w:t>
      </w:r>
      <w:r>
        <w:rPr>
          <w:rFonts w:eastAsia="Times New Roman"/>
          <w:noProof/>
          <w:lang w:val="en-US"/>
        </w:rPr>
        <w:t>in DTF score compared to 2017. FDI remains concentrated in the oil and gas sector, with renewable energy on the rise (wind and solar). To improve this situation, on 1 June 2017 a new Investment Law entered into effect in Egypt. Since November 2017, the Egyptian Government also applies an online "Investment Map", a dedicated website that displays the details of investment opportunities across the country.</w:t>
      </w:r>
    </w:p>
    <w:p>
      <w:pPr>
        <w:pStyle w:val="Heading1"/>
        <w:rPr>
          <w:b w:val="0"/>
          <w:caps/>
          <w:smallCaps w:val="0"/>
          <w:noProof/>
          <w:lang w:val="en-US" w:eastAsia="en-GB"/>
        </w:rPr>
      </w:pPr>
      <w:bookmarkStart w:id="1797" w:name="_Toc524628325"/>
      <w:bookmarkStart w:id="1798" w:name="_Toc8833597"/>
      <w:bookmarkStart w:id="1799" w:name="_Toc8835424"/>
      <w:bookmarkStart w:id="1800" w:name="_Toc8834054"/>
      <w:bookmarkStart w:id="1801" w:name="_Toc8909517"/>
      <w:bookmarkStart w:id="1802" w:name="_Toc8910729"/>
      <w:bookmarkStart w:id="1803" w:name="_Toc8911766"/>
      <w:bookmarkStart w:id="1804" w:name="_Toc8974587"/>
      <w:bookmarkStart w:id="1805" w:name="_Toc9008240"/>
      <w:bookmarkStart w:id="1806" w:name="_Toc9008643"/>
      <w:bookmarkStart w:id="1807" w:name="_Toc9348639"/>
      <w:bookmarkStart w:id="1808" w:name="_Toc9608090"/>
      <w:bookmarkStart w:id="1809" w:name="_Toc16000662"/>
      <w:r>
        <w:rPr>
          <w:noProof/>
          <w:lang w:val="en-US" w:eastAsia="en-GB"/>
        </w:rPr>
        <w:t>3.</w:t>
      </w:r>
      <w:r>
        <w:rPr>
          <w:noProof/>
          <w:lang w:val="en-US" w:eastAsia="en-GB"/>
        </w:rPr>
        <w:tab/>
        <w:t>Issues addressed in the Joint Committee meetings</w:t>
      </w:r>
      <w:bookmarkEnd w:id="1797"/>
      <w:bookmarkEnd w:id="1798"/>
      <w:bookmarkEnd w:id="1799"/>
      <w:bookmarkEnd w:id="1800"/>
      <w:bookmarkEnd w:id="1801"/>
      <w:bookmarkEnd w:id="1802"/>
      <w:bookmarkEnd w:id="1803"/>
      <w:bookmarkEnd w:id="1804"/>
      <w:bookmarkEnd w:id="1805"/>
      <w:bookmarkEnd w:id="1806"/>
      <w:bookmarkEnd w:id="1807"/>
      <w:bookmarkEnd w:id="1808"/>
      <w:bookmarkEnd w:id="1809"/>
    </w:p>
    <w:p>
      <w:pPr>
        <w:jc w:val="both"/>
        <w:rPr>
          <w:rFonts w:eastAsia="Times New Roman"/>
          <w:noProof/>
          <w:lang w:val="en-US"/>
        </w:rPr>
      </w:pPr>
      <w:r>
        <w:rPr>
          <w:rFonts w:eastAsia="Times New Roman"/>
          <w:noProof/>
          <w:lang w:val="en-US"/>
        </w:rPr>
        <w:t>No meeting took place in 2018. The next meetings of the Sub-Committees are in 2019.</w:t>
      </w:r>
    </w:p>
    <w:p>
      <w:pPr>
        <w:jc w:val="both"/>
        <w:rPr>
          <w:rFonts w:eastAsia="Times New Roman"/>
          <w:noProof/>
          <w:lang w:val="en-US"/>
        </w:rPr>
      </w:pPr>
    </w:p>
    <w:p>
      <w:pPr>
        <w:jc w:val="both"/>
        <w:rPr>
          <w:rFonts w:eastAsia="Times New Roman"/>
          <w:noProof/>
          <w:lang w:val="en-US"/>
        </w:rPr>
      </w:pPr>
      <w:r>
        <w:rPr>
          <w:rFonts w:eastAsia="Times New Roman"/>
          <w:noProof/>
          <w:lang w:val="en-US"/>
        </w:rPr>
        <w:t xml:space="preserve">The latest </w:t>
      </w:r>
      <w:r>
        <w:rPr>
          <w:rFonts w:eastAsia="Times New Roman"/>
          <w:b/>
          <w:noProof/>
          <w:lang w:val="en-US"/>
        </w:rPr>
        <w:t>Sub-Committee on Industry, Trade, Services, and Investment</w:t>
      </w:r>
      <w:r>
        <w:rPr>
          <w:rFonts w:eastAsia="Times New Roman"/>
          <w:noProof/>
          <w:lang w:val="en-US"/>
        </w:rPr>
        <w:t xml:space="preserve"> met in November 2017 in Brussels. Bilateral issues discussed included Egypt’s delay in the dismantling of tariffs for passenger vehicles (this issue has meanwhile been addressed by Egypt in January 2019 in accordance with the Association Agreement), and the draft tax incentive scheme targeting the automotive industry, which in 2019 is still under review by Egypt. Egypt was invited to ratify the Protocol on the Dispute Settlement Mechanism. Discussions also covered various trade irritants – see in more detail section 5. Other issues included the progress on a potential Agreement on Conformity Assessment and Acceptance (ACAA), the need for time to adapt Egyptian SPS legislation to EU requirements, and the continued possibility of a DCFTA in the long-term.</w:t>
      </w:r>
    </w:p>
    <w:p>
      <w:pPr>
        <w:jc w:val="both"/>
        <w:rPr>
          <w:rFonts w:eastAsia="Times New Roman"/>
          <w:noProof/>
          <w:lang w:val="en-US"/>
        </w:rPr>
      </w:pPr>
    </w:p>
    <w:p>
      <w:pPr>
        <w:jc w:val="both"/>
        <w:rPr>
          <w:rFonts w:eastAsia="Times New Roman"/>
          <w:noProof/>
          <w:lang w:val="en-US"/>
        </w:rPr>
      </w:pPr>
      <w:r>
        <w:rPr>
          <w:rFonts w:eastAsia="Times New Roman"/>
          <w:noProof/>
          <w:lang w:val="en-US"/>
        </w:rPr>
        <w:t xml:space="preserve">During the 2017 </w:t>
      </w:r>
      <w:r>
        <w:rPr>
          <w:rFonts w:eastAsia="Times New Roman"/>
          <w:b/>
          <w:noProof/>
          <w:lang w:val="en-US"/>
        </w:rPr>
        <w:t>Sub-Committee on Agricultural and Fisheries products</w:t>
      </w:r>
      <w:r>
        <w:rPr>
          <w:rFonts w:eastAsia="Times New Roman"/>
          <w:noProof/>
          <w:lang w:val="en-US"/>
        </w:rPr>
        <w:t xml:space="preserve">, the following issues were discussed, among others: agri-food trade developments with the recent increase of Egyptian agri-food exports to the EU market, the latest developments in the agricultural policies of both EU and Egypt, possible future cooperation on organic farming and GIs, and a review of the impact of the EU technical assistance provided to Egypt in the sector of agriculture and rural development. </w:t>
      </w:r>
    </w:p>
    <w:p>
      <w:pPr>
        <w:jc w:val="both"/>
        <w:rPr>
          <w:rFonts w:eastAsia="Times New Roman"/>
          <w:noProof/>
          <w:lang w:val="en-US"/>
        </w:rPr>
      </w:pPr>
    </w:p>
    <w:p>
      <w:pPr>
        <w:jc w:val="both"/>
        <w:rPr>
          <w:rFonts w:eastAsia="Times New Roman"/>
          <w:noProof/>
          <w:lang w:val="en-US"/>
        </w:rPr>
      </w:pPr>
      <w:r>
        <w:rPr>
          <w:rFonts w:eastAsia="Times New Roman"/>
          <w:noProof/>
          <w:lang w:val="en-US"/>
        </w:rPr>
        <w:t xml:space="preserve">The last </w:t>
      </w:r>
      <w:r>
        <w:rPr>
          <w:rFonts w:eastAsia="Times New Roman"/>
          <w:b/>
          <w:noProof/>
          <w:lang w:val="en-US"/>
        </w:rPr>
        <w:t>Sub-Committee on Customs Cooperation</w:t>
      </w:r>
      <w:r>
        <w:rPr>
          <w:rFonts w:eastAsia="Times New Roman"/>
          <w:noProof/>
          <w:lang w:val="en-US"/>
        </w:rPr>
        <w:t xml:space="preserve"> was held in Brussels in November 2017. The EU and Egypt agreed to reinforce their cooperation through organisation of a TAIEX workshop on rules of origin and a workshop dedicated to tackle fraud (value, customs, forged documents). </w:t>
      </w:r>
    </w:p>
    <w:p>
      <w:pPr>
        <w:pStyle w:val="Heading1"/>
        <w:rPr>
          <w:b w:val="0"/>
          <w:caps/>
          <w:smallCaps w:val="0"/>
          <w:noProof/>
          <w:lang w:val="en-US" w:eastAsia="en-GB"/>
        </w:rPr>
      </w:pPr>
      <w:bookmarkStart w:id="1810" w:name="_Toc524628326"/>
      <w:bookmarkStart w:id="1811" w:name="_Toc8833598"/>
      <w:bookmarkStart w:id="1812" w:name="_Toc8835425"/>
      <w:bookmarkStart w:id="1813" w:name="_Toc8834055"/>
      <w:bookmarkStart w:id="1814" w:name="_Toc8909518"/>
      <w:bookmarkStart w:id="1815" w:name="_Toc8910730"/>
      <w:bookmarkStart w:id="1816" w:name="_Toc8911767"/>
      <w:bookmarkStart w:id="1817" w:name="_Toc8974588"/>
      <w:bookmarkStart w:id="1818" w:name="_Toc9008241"/>
      <w:bookmarkStart w:id="1819" w:name="_Toc9008644"/>
      <w:bookmarkStart w:id="1820" w:name="_Toc9348640"/>
      <w:bookmarkStart w:id="1821" w:name="_Toc9608091"/>
      <w:bookmarkStart w:id="1822" w:name="_Toc16000663"/>
      <w:r>
        <w:rPr>
          <w:noProof/>
          <w:lang w:val="en-US" w:eastAsia="en-GB"/>
        </w:rPr>
        <w:t>4.</w:t>
      </w:r>
      <w:r>
        <w:rPr>
          <w:noProof/>
          <w:lang w:val="en-US" w:eastAsia="en-GB"/>
        </w:rPr>
        <w:tab/>
        <w:t>Specific areas of importance</w:t>
      </w:r>
      <w:bookmarkEnd w:id="1810"/>
      <w:bookmarkEnd w:id="1811"/>
      <w:bookmarkEnd w:id="1812"/>
      <w:bookmarkEnd w:id="1813"/>
      <w:bookmarkEnd w:id="1814"/>
      <w:bookmarkEnd w:id="1815"/>
      <w:bookmarkEnd w:id="1816"/>
      <w:bookmarkEnd w:id="1817"/>
      <w:bookmarkEnd w:id="1818"/>
      <w:bookmarkEnd w:id="1819"/>
      <w:bookmarkEnd w:id="1820"/>
      <w:bookmarkEnd w:id="1821"/>
      <w:bookmarkEnd w:id="1822"/>
    </w:p>
    <w:p>
      <w:pPr>
        <w:jc w:val="both"/>
        <w:rPr>
          <w:rFonts w:eastAsia="Times New Roman"/>
          <w:noProof/>
          <w:lang w:val="en-US"/>
        </w:rPr>
      </w:pPr>
      <w:r>
        <w:rPr>
          <w:rFonts w:eastAsia="Times New Roman"/>
          <w:noProof/>
          <w:lang w:val="en-US"/>
        </w:rPr>
        <w:t xml:space="preserve">Since 2015, the Egyptian economic slowdown and currency </w:t>
      </w:r>
      <w:r>
        <w:rPr>
          <w:rFonts w:eastAsia="Times New Roman"/>
          <w:b/>
          <w:noProof/>
          <w:lang w:val="en-US"/>
        </w:rPr>
        <w:t>crisis have had serious consequences on trade</w:t>
      </w:r>
      <w:r>
        <w:rPr>
          <w:rFonts w:eastAsia="Times New Roman"/>
          <w:noProof/>
          <w:lang w:val="en-US"/>
        </w:rPr>
        <w:t>. Faced with growing trade deficits and a shortage of foreign exchange, in 2015 and 2016 the Egyptian government implemented a series of administrative measures aimed at restricting imports. In November 2016, the Egyptian authorities liberalised the exchange rate and adopted an economic reform programme supported by a three-year $12 billion IMF loan - the Extended Fund Facility (EFF)</w:t>
      </w:r>
      <w:r>
        <w:rPr>
          <w:noProof/>
          <w:lang w:val="en-US"/>
        </w:rPr>
        <w:t xml:space="preserve"> which is set to expire in mid-2019</w:t>
      </w:r>
      <w:r>
        <w:rPr>
          <w:rFonts w:eastAsia="Times New Roman"/>
          <w:noProof/>
          <w:lang w:val="en-US"/>
        </w:rPr>
        <w:t xml:space="preserve">. Although challenging in the short term, bold economic measures were taken to address fiscal and external unbalances: flotation of the currency, energy subsidy reform, VAT introduction, and wage restraint. </w:t>
      </w:r>
    </w:p>
    <w:p>
      <w:pPr>
        <w:jc w:val="both"/>
        <w:rPr>
          <w:rFonts w:eastAsia="Times New Roman"/>
          <w:noProof/>
          <w:lang w:val="en-US"/>
        </w:rPr>
      </w:pPr>
    </w:p>
    <w:p>
      <w:pPr>
        <w:jc w:val="both"/>
        <w:rPr>
          <w:noProof/>
          <w:lang w:val="en-US"/>
        </w:rPr>
      </w:pPr>
      <w:r>
        <w:rPr>
          <w:rFonts w:eastAsia="Times New Roman"/>
          <w:noProof/>
          <w:lang w:val="en-US"/>
        </w:rPr>
        <w:t>Overall, since the start of the IMF programme,</w:t>
      </w:r>
      <w:r>
        <w:rPr>
          <w:noProof/>
          <w:lang w:val="en-US"/>
        </w:rPr>
        <w:t xml:space="preserve"> Egypt’s economy has improved markedly</w:t>
      </w:r>
      <w:r>
        <w:rPr>
          <w:rFonts w:eastAsia="Times New Roman"/>
          <w:noProof/>
          <w:lang w:val="en-US"/>
        </w:rPr>
        <w:t xml:space="preserve">. </w:t>
      </w:r>
      <w:r>
        <w:rPr>
          <w:noProof/>
          <w:lang w:val="en-US"/>
        </w:rPr>
        <w:t>Growth has accelerated, external and fiscal deficits have narrowed, and public debt, inflation and unemployment have declined while international reserves have increased. Prudent monetary and fiscal policies have significantly helped the Egyptian economy that is showing clear</w:t>
      </w:r>
      <w:r>
        <w:rPr>
          <w:rFonts w:eastAsia="Times New Roman"/>
          <w:noProof/>
          <w:lang w:val="en-US"/>
        </w:rPr>
        <w:t xml:space="preserve"> </w:t>
      </w:r>
      <w:r>
        <w:rPr>
          <w:rFonts w:eastAsia="Times New Roman"/>
          <w:b/>
          <w:noProof/>
          <w:lang w:val="en-US"/>
        </w:rPr>
        <w:t xml:space="preserve">signs of stabilization </w:t>
      </w:r>
      <w:r>
        <w:rPr>
          <w:rFonts w:eastAsia="Times New Roman"/>
          <w:noProof/>
          <w:lang w:val="en-US"/>
        </w:rPr>
        <w:t xml:space="preserve">including an accelerated GDP growth (4.1% in 2017 fiscal year and 5.3% in 2018 fiscal year), declining paths of inflation and unemployment, achievements in fiscal consolidation, and increased international currency reserves. Going forward, the government’s reform agenda is focused on public finance management, financial sector, energy sector, business climate, competition, social protection, and encouraging women participation in the labour force. </w:t>
      </w:r>
      <w:r>
        <w:rPr>
          <w:noProof/>
          <w:lang w:val="en-US"/>
        </w:rPr>
        <w:t xml:space="preserve">While the principal objective of the reforms is macroeconomic stability, a longer term objective is to foster more participation of the private sector in the economy by creating a more business friendly environment. However, while the </w:t>
      </w:r>
      <w:r>
        <w:rPr>
          <w:b/>
          <w:noProof/>
          <w:lang w:val="en-US"/>
        </w:rPr>
        <w:t>Egyptian government</w:t>
      </w:r>
      <w:r>
        <w:rPr>
          <w:noProof/>
          <w:lang w:val="en-US"/>
        </w:rPr>
        <w:t xml:space="preserve"> seems to be committed to reforming legislation directly related to investments, it </w:t>
      </w:r>
      <w:r>
        <w:rPr>
          <w:b/>
          <w:noProof/>
          <w:lang w:val="en-US"/>
        </w:rPr>
        <w:t>does not focus to a sufficient extent on trade facilitation measures</w:t>
      </w:r>
      <w:r>
        <w:rPr>
          <w:noProof/>
          <w:lang w:val="en-US"/>
        </w:rPr>
        <w:t>; on the contrary, it has been observed to direct its efforts at reducing the trade deficit in goods by adopting measures aimed at making imports more difficult. Although the reforms have brought foreign reserves back to comfortable levels, the policy of import substitution is still prevalent. In addition, the business environment is hindered by excessive bureaucracy, and lack of transparency and predictability of regulations continue to affect economic operators.</w:t>
      </w:r>
    </w:p>
    <w:p>
      <w:pPr>
        <w:jc w:val="both"/>
        <w:rPr>
          <w:rFonts w:eastAsia="Times New Roman"/>
          <w:noProof/>
          <w:lang w:val="en-US"/>
        </w:rPr>
      </w:pPr>
    </w:p>
    <w:p>
      <w:pPr>
        <w:jc w:val="both"/>
        <w:rPr>
          <w:rFonts w:eastAsia="Times New Roman"/>
          <w:noProof/>
          <w:lang w:val="en-US"/>
        </w:rPr>
      </w:pPr>
      <w:r>
        <w:rPr>
          <w:rFonts w:eastAsia="Times New Roman"/>
          <w:noProof/>
          <w:szCs w:val="20"/>
          <w:lang w:val="en-US"/>
        </w:rPr>
        <w:t xml:space="preserve">In the light of the revised </w:t>
      </w:r>
      <w:r>
        <w:rPr>
          <w:rFonts w:eastAsia="Times New Roman"/>
          <w:b/>
          <w:noProof/>
          <w:szCs w:val="20"/>
          <w:lang w:val="en-US"/>
        </w:rPr>
        <w:t>European Neighbourhood Policy</w:t>
      </w:r>
      <w:r>
        <w:rPr>
          <w:rFonts w:eastAsia="Times New Roman"/>
          <w:noProof/>
          <w:szCs w:val="20"/>
          <w:lang w:val="en-US"/>
        </w:rPr>
        <w:t xml:space="preserve">, </w:t>
      </w:r>
      <w:r>
        <w:rPr>
          <w:rFonts w:eastAsia="Times New Roman"/>
          <w:b/>
          <w:noProof/>
          <w:szCs w:val="20"/>
          <w:lang w:val="en-US"/>
        </w:rPr>
        <w:t>Partnership Priorities</w:t>
      </w:r>
      <w:r>
        <w:rPr>
          <w:rFonts w:eastAsia="Times New Roman"/>
          <w:b/>
          <w:noProof/>
          <w:szCs w:val="20"/>
          <w:vertAlign w:val="superscript"/>
          <w:lang w:val="en-US"/>
        </w:rPr>
        <w:footnoteReference w:id="53"/>
      </w:r>
      <w:r>
        <w:rPr>
          <w:rFonts w:eastAsia="Times New Roman"/>
          <w:noProof/>
          <w:szCs w:val="20"/>
          <w:lang w:val="en-US"/>
        </w:rPr>
        <w:t xml:space="preserve"> were jointly agreed between the EU and Egypt, and adopted at the Ministerial Association Council on 25 July 2017. These priorities will further guide future relations, for three years with an annual review, and will also set the priorities for European Union support under the European Neighbourhood Instrument (ENI). </w:t>
      </w:r>
      <w:r>
        <w:rPr>
          <w:rFonts w:eastAsia="Times New Roman"/>
          <w:noProof/>
          <w:lang w:val="en-US"/>
        </w:rPr>
        <w:t>Trade-related assistance in Egypt has been conducted mainly under the EUR 20 million Trade and Domestic Market Enhancement Programme (TDMEP)</w:t>
      </w:r>
      <w:r>
        <w:rPr>
          <w:rFonts w:eastAsia="Times New Roman"/>
          <w:noProof/>
          <w:vertAlign w:val="superscript"/>
          <w:lang w:val="en-US"/>
        </w:rPr>
        <w:footnoteReference w:id="54"/>
      </w:r>
      <w:r>
        <w:rPr>
          <w:rFonts w:eastAsia="Times New Roman"/>
          <w:noProof/>
          <w:lang w:val="en-US"/>
        </w:rPr>
        <w:t xml:space="preserve">, structured around two components: i) foreign trade and trade agreements and ii) industrial policy and quality infrastructure. The TDMEP assists Egypt with the establishment of a </w:t>
      </w:r>
      <w:r>
        <w:rPr>
          <w:rFonts w:eastAsia="Times New Roman"/>
          <w:b/>
          <w:noProof/>
          <w:lang w:val="en-US"/>
        </w:rPr>
        <w:t>proper regulatory environment</w:t>
      </w:r>
      <w:r>
        <w:rPr>
          <w:rFonts w:eastAsia="Times New Roman"/>
          <w:noProof/>
          <w:lang w:val="en-US"/>
        </w:rPr>
        <w:t>,</w:t>
      </w:r>
      <w:r>
        <w:rPr>
          <w:rFonts w:eastAsia="Times New Roman"/>
          <w:b/>
          <w:noProof/>
          <w:lang w:val="en-US"/>
        </w:rPr>
        <w:t xml:space="preserve"> </w:t>
      </w:r>
      <w:r>
        <w:rPr>
          <w:rFonts w:eastAsia="Times New Roman"/>
          <w:noProof/>
          <w:lang w:val="en-US"/>
        </w:rPr>
        <w:t xml:space="preserve">including National Quality Policy, market surveillance strategy, horizontal and sector legislation, and supporting the alignment of quality infrastructure bodies. The </w:t>
      </w:r>
      <w:r>
        <w:rPr>
          <w:rFonts w:eastAsia="Times New Roman"/>
          <w:b/>
          <w:noProof/>
          <w:lang w:val="en-US"/>
        </w:rPr>
        <w:t>programme has delivered significant results</w:t>
      </w:r>
      <w:r>
        <w:rPr>
          <w:rFonts w:eastAsia="Times New Roman"/>
          <w:noProof/>
          <w:lang w:val="en-US"/>
        </w:rPr>
        <w:t>, such as the creation of a policy unit within the trade ministry and the adoption of a trade and industrial development strategy.</w:t>
      </w:r>
    </w:p>
    <w:p>
      <w:pPr>
        <w:pStyle w:val="Heading1"/>
        <w:rPr>
          <w:b w:val="0"/>
          <w:caps/>
          <w:smallCaps w:val="0"/>
          <w:noProof/>
          <w:lang w:val="en-US" w:eastAsia="en-GB"/>
        </w:rPr>
      </w:pPr>
      <w:bookmarkStart w:id="1823" w:name="_Toc524628327"/>
      <w:bookmarkStart w:id="1824" w:name="_Toc8833599"/>
      <w:bookmarkStart w:id="1825" w:name="_Toc8835426"/>
      <w:bookmarkStart w:id="1826" w:name="_Toc8834056"/>
      <w:bookmarkStart w:id="1827" w:name="_Toc8909519"/>
      <w:bookmarkStart w:id="1828" w:name="_Toc8910731"/>
      <w:bookmarkStart w:id="1829" w:name="_Toc8911768"/>
      <w:bookmarkStart w:id="1830" w:name="_Toc8974589"/>
      <w:bookmarkStart w:id="1831" w:name="_Toc9008242"/>
      <w:bookmarkStart w:id="1832" w:name="_Toc9008645"/>
      <w:bookmarkStart w:id="1833" w:name="_Toc9348641"/>
      <w:bookmarkStart w:id="1834" w:name="_Toc9608092"/>
      <w:bookmarkStart w:id="1835" w:name="_Toc16000664"/>
      <w:r>
        <w:rPr>
          <w:noProof/>
          <w:lang w:val="en-US" w:eastAsia="en-GB"/>
        </w:rPr>
        <w:t>5.</w:t>
      </w:r>
      <w:r>
        <w:rPr>
          <w:noProof/>
          <w:lang w:val="en-US" w:eastAsia="en-GB"/>
        </w:rPr>
        <w:tab/>
        <w:t>Progress made, main open issues and follow-up actions</w:t>
      </w:r>
      <w:bookmarkEnd w:id="1823"/>
      <w:bookmarkEnd w:id="1824"/>
      <w:bookmarkEnd w:id="1825"/>
      <w:bookmarkEnd w:id="1826"/>
      <w:bookmarkEnd w:id="1827"/>
      <w:bookmarkEnd w:id="1828"/>
      <w:bookmarkEnd w:id="1829"/>
      <w:bookmarkEnd w:id="1830"/>
      <w:bookmarkEnd w:id="1831"/>
      <w:bookmarkEnd w:id="1832"/>
      <w:bookmarkEnd w:id="1833"/>
      <w:bookmarkEnd w:id="1834"/>
      <w:bookmarkEnd w:id="1835"/>
    </w:p>
    <w:p>
      <w:pPr>
        <w:jc w:val="both"/>
        <w:rPr>
          <w:rFonts w:eastAsia="Times New Roman"/>
          <w:noProof/>
          <w:lang w:val="en-US"/>
        </w:rPr>
      </w:pPr>
      <w:r>
        <w:rPr>
          <w:rFonts w:eastAsia="Times New Roman"/>
          <w:noProof/>
          <w:lang w:val="en-US"/>
        </w:rPr>
        <w:t xml:space="preserve">Following extended bilateral consultations </w:t>
      </w:r>
      <w:r>
        <w:rPr>
          <w:rFonts w:eastAsia="Times New Roman"/>
          <w:b/>
          <w:noProof/>
          <w:lang w:val="en-US"/>
        </w:rPr>
        <w:t>Egypt</w:t>
      </w:r>
      <w:r>
        <w:rPr>
          <w:rFonts w:eastAsia="Times New Roman"/>
          <w:noProof/>
          <w:lang w:val="en-US"/>
        </w:rPr>
        <w:t xml:space="preserve"> confirmed at the Association Committee in November 2018 that it </w:t>
      </w:r>
      <w:r>
        <w:rPr>
          <w:rFonts w:eastAsia="Times New Roman"/>
          <w:b/>
          <w:noProof/>
          <w:lang w:val="en-US"/>
        </w:rPr>
        <w:t xml:space="preserve">would apply the staged reduction in tariffs on certain motor vehicles </w:t>
      </w:r>
      <w:r>
        <w:rPr>
          <w:rFonts w:eastAsia="Times New Roman"/>
          <w:noProof/>
          <w:lang w:val="en-US"/>
        </w:rPr>
        <w:t xml:space="preserve">under the terms of its obligations under the FTA. In line with this commitment Egypt fully liberalised its tariffs on imports of certain EU motor vehicles as of January 2019. </w:t>
      </w:r>
    </w:p>
    <w:p>
      <w:pPr>
        <w:jc w:val="both"/>
        <w:rPr>
          <w:rFonts w:eastAsia="Times New Roman"/>
          <w:noProof/>
          <w:lang w:val="en-US"/>
        </w:rPr>
      </w:pPr>
    </w:p>
    <w:p>
      <w:pPr>
        <w:jc w:val="both"/>
        <w:rPr>
          <w:rFonts w:eastAsia="Times New Roman"/>
          <w:noProof/>
          <w:lang w:val="en-US"/>
        </w:rPr>
      </w:pPr>
      <w:r>
        <w:rPr>
          <w:rFonts w:eastAsia="Times New Roman"/>
          <w:noProof/>
          <w:lang w:val="en-US"/>
        </w:rPr>
        <w:t>EU-Egypt trade is currently being affected by</w:t>
      </w:r>
      <w:r>
        <w:rPr>
          <w:rFonts w:eastAsia="Times New Roman"/>
          <w:b/>
          <w:noProof/>
          <w:lang w:val="en-US"/>
        </w:rPr>
        <w:t xml:space="preserve"> two significant technical barriers to trade (TBTs)</w:t>
      </w:r>
      <w:r>
        <w:rPr>
          <w:rFonts w:eastAsia="Times New Roman"/>
          <w:noProof/>
          <w:lang w:val="en-US"/>
        </w:rPr>
        <w:t xml:space="preserve">: a </w:t>
      </w:r>
      <w:r>
        <w:rPr>
          <w:rFonts w:eastAsia="Times New Roman"/>
          <w:b/>
          <w:noProof/>
          <w:lang w:val="en-US"/>
        </w:rPr>
        <w:t>registration</w:t>
      </w:r>
      <w:r>
        <w:rPr>
          <w:rFonts w:eastAsia="Times New Roman"/>
          <w:noProof/>
          <w:lang w:val="en-US"/>
        </w:rPr>
        <w:t xml:space="preserve"> </w:t>
      </w:r>
      <w:r>
        <w:rPr>
          <w:rFonts w:eastAsia="Times New Roman"/>
          <w:b/>
          <w:noProof/>
          <w:lang w:val="en-US"/>
        </w:rPr>
        <w:t>scheme</w:t>
      </w:r>
      <w:r>
        <w:rPr>
          <w:rFonts w:eastAsia="Times New Roman"/>
          <w:noProof/>
          <w:lang w:val="en-US"/>
        </w:rPr>
        <w:t xml:space="preserve"> and </w:t>
      </w:r>
      <w:r>
        <w:rPr>
          <w:rFonts w:eastAsia="Times New Roman"/>
          <w:b/>
          <w:noProof/>
          <w:lang w:val="en-US"/>
        </w:rPr>
        <w:t>pre-shipment inspections</w:t>
      </w:r>
      <w:r>
        <w:rPr>
          <w:rFonts w:eastAsia="Times New Roman"/>
          <w:noProof/>
          <w:lang w:val="en-US"/>
        </w:rPr>
        <w:t xml:space="preserve"> imposed on entities exporting certain goods to Egypt. These measures apply to 25 categories of manufactured goods since the beginning of 2016 and have been extended to four further product categories in January 2019. The measures have been discussed in the WTO Technical Barriers to Trade (TBT) Committee and in the WTO Council for Trade in Goods (CTG) several times, and were raised in the trade Commissioner’s letters to the Egyptian Minister of Trade in 2018 and early 2019. The Commission also addressed this issue during bilateral meetings in 2018 and in early 2019, insisting on more transparency, rapidity, and streamlining of the administrative processes, in order to facilitate the registration from a practical point of view.</w:t>
      </w:r>
    </w:p>
    <w:p>
      <w:pPr>
        <w:jc w:val="both"/>
        <w:rPr>
          <w:rFonts w:eastAsia="Times New Roman"/>
          <w:noProof/>
          <w:lang w:val="en-US"/>
        </w:rPr>
      </w:pPr>
    </w:p>
    <w:p>
      <w:pPr>
        <w:jc w:val="both"/>
        <w:rPr>
          <w:rFonts w:eastAsia="Times New Roman"/>
          <w:noProof/>
          <w:lang w:val="en-US"/>
        </w:rPr>
      </w:pPr>
      <w:r>
        <w:rPr>
          <w:rFonts w:eastAsia="Times New Roman"/>
          <w:noProof/>
          <w:lang w:val="en-US"/>
        </w:rPr>
        <w:t xml:space="preserve">Other trade irritants include the following: arbitrary customs valuations by the Egyptian authorities, problems with acceptance of origin declarations by importers, restrictive labelling requirements, mainly affecting the ceramic tiles sectors, a prohibition on the import of certain motorcycles, and SPS issues, mainly affecting cereals and beef/live cattle importers. The issue of a ‘reference list’ of countries authorised to export milk formula that includes some, but not all, EU Member States was addressed by Egypt in early 2019. The implementation of the new approach will be now monitored. The EU is also closely following the drafting of a future tax incentives scheme targeting the automobile sector. The draft text of the legislation has yet to be disclosed by the Egyptian government, but several aspects of the future scheme may be at odds with Egypt’s commitments under the WTO and the Association Agreement, notably in terms of discrimination against imports and trade-related investment measures. </w:t>
      </w:r>
    </w:p>
    <w:p>
      <w:pPr>
        <w:jc w:val="both"/>
        <w:rPr>
          <w:rFonts w:eastAsia="Times New Roman"/>
          <w:noProof/>
          <w:lang w:val="en-US"/>
        </w:rPr>
      </w:pPr>
    </w:p>
    <w:p>
      <w:pPr>
        <w:jc w:val="both"/>
        <w:rPr>
          <w:noProof/>
        </w:rPr>
      </w:pPr>
      <w:r>
        <w:rPr>
          <w:noProof/>
        </w:rPr>
        <w:t>The SPS workshop organised in September 2018 in Cairo was successful and appreciated. Reinforced control measures imposed by Commission Regulation 669/2009 on strawberries and grapes were finally lifted in 2018 and the same is expected to happen for gelatine in 2019.</w:t>
      </w:r>
    </w:p>
    <w:p>
      <w:pPr>
        <w:jc w:val="both"/>
        <w:rPr>
          <w:noProof/>
        </w:rPr>
      </w:pPr>
    </w:p>
    <w:p>
      <w:pPr>
        <w:jc w:val="both"/>
        <w:rPr>
          <w:noProof/>
        </w:rPr>
      </w:pPr>
      <w:r>
        <w:rPr>
          <w:rFonts w:eastAsia="Times New Roman"/>
          <w:noProof/>
          <w:szCs w:val="20"/>
          <w:lang w:eastAsia="en-GB"/>
        </w:rPr>
        <w:t>Compliance with obligations in the field of competition and public aid, including transparency on the latter, has to be enhanced.</w:t>
      </w:r>
    </w:p>
    <w:p>
      <w:pPr>
        <w:jc w:val="both"/>
        <w:rPr>
          <w:noProof/>
        </w:rPr>
      </w:pPr>
    </w:p>
    <w:p>
      <w:pPr>
        <w:jc w:val="both"/>
        <w:rPr>
          <w:rFonts w:eastAsia="Times New Roman"/>
          <w:noProof/>
          <w:lang w:val="en-US"/>
        </w:rPr>
      </w:pPr>
      <w:r>
        <w:rPr>
          <w:rFonts w:eastAsia="Times New Roman"/>
          <w:noProof/>
          <w:lang w:val="en-US"/>
        </w:rPr>
        <w:t xml:space="preserve">Egypt still has to ratify the protocol establishing a Dispute Settlement Mechanism signed in November 2010. </w:t>
      </w:r>
    </w:p>
    <w:p>
      <w:pPr>
        <w:pStyle w:val="Heading1"/>
        <w:rPr>
          <w:b w:val="0"/>
          <w:smallCaps w:val="0"/>
          <w:noProof/>
          <w:lang w:val="en-US" w:eastAsia="en-GB"/>
        </w:rPr>
      </w:pPr>
      <w:bookmarkStart w:id="1836" w:name="_Toc524628328"/>
      <w:bookmarkStart w:id="1837" w:name="_Toc8833600"/>
      <w:bookmarkStart w:id="1838" w:name="_Toc8835427"/>
      <w:bookmarkStart w:id="1839" w:name="_Toc8834057"/>
      <w:bookmarkStart w:id="1840" w:name="_Toc8909520"/>
      <w:bookmarkStart w:id="1841" w:name="_Toc8910732"/>
      <w:bookmarkStart w:id="1842" w:name="_Toc8911769"/>
      <w:bookmarkStart w:id="1843" w:name="_Toc8974590"/>
      <w:bookmarkStart w:id="1844" w:name="_Toc9008243"/>
      <w:bookmarkStart w:id="1845" w:name="_Toc9008646"/>
      <w:bookmarkStart w:id="1846" w:name="_Toc9348642"/>
      <w:bookmarkStart w:id="1847" w:name="_Toc9608093"/>
      <w:bookmarkStart w:id="1848" w:name="_Toc16000665"/>
      <w:r>
        <w:rPr>
          <w:noProof/>
          <w:lang w:val="en-US" w:eastAsia="en-GB"/>
        </w:rPr>
        <w:t>6.</w:t>
      </w:r>
      <w:r>
        <w:rPr>
          <w:noProof/>
          <w:lang w:val="en-US" w:eastAsia="en-GB"/>
        </w:rPr>
        <w:tab/>
        <w:t>Conclusions and outlook</w:t>
      </w:r>
      <w:bookmarkEnd w:id="1836"/>
      <w:bookmarkEnd w:id="1837"/>
      <w:bookmarkEnd w:id="1838"/>
      <w:bookmarkEnd w:id="1839"/>
      <w:bookmarkEnd w:id="1840"/>
      <w:bookmarkEnd w:id="1841"/>
      <w:bookmarkEnd w:id="1842"/>
      <w:bookmarkEnd w:id="1843"/>
      <w:bookmarkEnd w:id="1844"/>
      <w:bookmarkEnd w:id="1845"/>
      <w:bookmarkEnd w:id="1846"/>
      <w:bookmarkEnd w:id="1847"/>
      <w:bookmarkEnd w:id="1848"/>
    </w:p>
    <w:p>
      <w:pPr>
        <w:jc w:val="both"/>
        <w:rPr>
          <w:rFonts w:eastAsia="Times New Roman"/>
          <w:noProof/>
          <w:lang w:val="en-US" w:eastAsia="en-GB"/>
        </w:rPr>
      </w:pPr>
      <w:r>
        <w:rPr>
          <w:rFonts w:eastAsia="Times New Roman"/>
          <w:noProof/>
          <w:lang w:val="en-US" w:eastAsia="en-GB"/>
        </w:rPr>
        <w:t xml:space="preserve">Two-way trade has grown significantly since the entry into force of the FTA, although a mixture of political and economic factors have impeded Egyptian exporters from fully benefitting from the opportunities it created. The EU is therefore engaged in several trade-related assistance projects with Egypt in order to create the conditions in which the FTA can deliver. In effect, in 2017 and 2018, Egypt’s exports to the EU increased resulting in a decrease of Egypt’s trade deficit. </w:t>
      </w:r>
    </w:p>
    <w:p>
      <w:pPr>
        <w:jc w:val="both"/>
        <w:rPr>
          <w:rFonts w:eastAsia="Times New Roman"/>
          <w:noProof/>
          <w:lang w:val="en-US" w:eastAsia="en-GB"/>
        </w:rPr>
      </w:pPr>
    </w:p>
    <w:p>
      <w:pPr>
        <w:jc w:val="both"/>
        <w:rPr>
          <w:rFonts w:eastAsia="Times New Roman"/>
          <w:noProof/>
          <w:lang w:val="en-US" w:eastAsia="en-GB"/>
        </w:rPr>
      </w:pPr>
      <w:r>
        <w:rPr>
          <w:rFonts w:eastAsia="Times New Roman"/>
          <w:noProof/>
          <w:lang w:val="en-US" w:eastAsia="en-GB"/>
        </w:rPr>
        <w:t xml:space="preserve">Discussion on implementation focuses on the above-mentioned trade irritants. The EU and Egypt are engaged in an </w:t>
      </w:r>
      <w:r>
        <w:rPr>
          <w:rFonts w:eastAsia="Times New Roman"/>
          <w:b/>
          <w:noProof/>
          <w:lang w:val="en-US" w:eastAsia="en-GB"/>
        </w:rPr>
        <w:t>active dialogue</w:t>
      </w:r>
      <w:r>
        <w:rPr>
          <w:rFonts w:eastAsia="Times New Roman"/>
          <w:noProof/>
          <w:lang w:val="en-US" w:eastAsia="en-GB"/>
        </w:rPr>
        <w:t xml:space="preserve"> to address these, both at political and technical level. </w:t>
      </w:r>
    </w:p>
    <w:p>
      <w:pPr>
        <w:jc w:val="both"/>
        <w:rPr>
          <w:rFonts w:eastAsia="Times New Roman"/>
          <w:noProof/>
          <w:lang w:val="en-US" w:eastAsia="en-GB"/>
        </w:rPr>
      </w:pPr>
    </w:p>
    <w:p>
      <w:pPr>
        <w:jc w:val="both"/>
        <w:rPr>
          <w:rFonts w:eastAsia="Times New Roman"/>
          <w:noProof/>
          <w:lang w:val="en-US" w:eastAsia="en-GB"/>
        </w:rPr>
      </w:pPr>
      <w:r>
        <w:rPr>
          <w:rFonts w:eastAsia="Times New Roman"/>
          <w:noProof/>
          <w:lang w:val="en-US" w:eastAsia="en-GB"/>
        </w:rPr>
        <w:t xml:space="preserve">Facilitating trade has been made one of the priorities under the </w:t>
      </w:r>
      <w:r>
        <w:rPr>
          <w:rFonts w:eastAsia="Times New Roman"/>
          <w:b/>
          <w:noProof/>
          <w:lang w:val="en-US" w:eastAsia="en-GB"/>
        </w:rPr>
        <w:t>Partnership Priorities</w:t>
      </w:r>
      <w:r>
        <w:rPr>
          <w:rFonts w:eastAsia="Times New Roman"/>
          <w:noProof/>
          <w:lang w:val="en-US" w:eastAsia="en-GB"/>
        </w:rPr>
        <w:t xml:space="preserve"> </w:t>
      </w:r>
      <w:r>
        <w:rPr>
          <w:rFonts w:eastAsia="Times New Roman"/>
          <w:b/>
          <w:noProof/>
          <w:lang w:val="en-US" w:eastAsia="en-GB"/>
        </w:rPr>
        <w:t>adopted by the EU and Egypt in 2017</w:t>
      </w:r>
      <w:r>
        <w:rPr>
          <w:rFonts w:eastAsia="Times New Roman"/>
          <w:noProof/>
          <w:vertAlign w:val="superscript"/>
          <w:lang w:val="en-US" w:eastAsia="en-GB"/>
        </w:rPr>
        <w:footnoteReference w:id="55"/>
      </w:r>
      <w:r>
        <w:rPr>
          <w:rFonts w:eastAsia="Times New Roman"/>
          <w:noProof/>
          <w:lang w:val="en-US" w:eastAsia="en-GB"/>
        </w:rPr>
        <w:t>, which should cover issues such as reduction of trade barriers as well as technical assistance on SPS issues and ACAA-related fields. Upgrading bilateral trade and investment relations remains a medium-term objective to be followed once Egypt is ready for it.</w:t>
      </w:r>
    </w:p>
    <w:p>
      <w:pPr>
        <w:pStyle w:val="Heading1"/>
        <w:rPr>
          <w:noProof/>
          <w:lang w:val="en-US" w:eastAsia="en-GB"/>
        </w:rPr>
      </w:pPr>
      <w:bookmarkStart w:id="1849" w:name="_Toc16000666"/>
      <w:r>
        <w:rPr>
          <w:noProof/>
          <w:lang w:val="en-US" w:eastAsia="en-GB"/>
        </w:rPr>
        <w:t>7.</w:t>
      </w:r>
      <w:r>
        <w:rPr>
          <w:noProof/>
          <w:lang w:val="en-US" w:eastAsia="en-GB"/>
        </w:rPr>
        <w:tab/>
        <w:t>Statistics</w:t>
      </w:r>
      <w:bookmarkEnd w:id="1849"/>
    </w:p>
    <w:p>
      <w:pPr>
        <w:rPr>
          <w:noProof/>
        </w:rPr>
      </w:pPr>
    </w:p>
    <w:tbl>
      <w:tblPr>
        <w:tblW w:w="6141" w:type="dxa"/>
        <w:tblInd w:w="108" w:type="dxa"/>
        <w:tblLook w:val="04A0" w:firstRow="1" w:lastRow="0" w:firstColumn="1" w:lastColumn="0" w:noHBand="0" w:noVBand="1"/>
      </w:tblPr>
      <w:tblGrid>
        <w:gridCol w:w="3478"/>
        <w:gridCol w:w="656"/>
        <w:gridCol w:w="656"/>
        <w:gridCol w:w="656"/>
        <w:gridCol w:w="656"/>
        <w:gridCol w:w="703"/>
      </w:tblGrid>
      <w:tr>
        <w:trPr>
          <w:trHeight w:val="210"/>
        </w:trPr>
        <w:tc>
          <w:tcPr>
            <w:tcW w:w="6141"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Merchandise trade EU28 2014-2018</w:t>
            </w:r>
          </w:p>
        </w:tc>
      </w:tr>
      <w:tr>
        <w:trPr>
          <w:trHeight w:val="210"/>
        </w:trPr>
        <w:tc>
          <w:tcPr>
            <w:tcW w:w="3478" w:type="dxa"/>
            <w:tcBorders>
              <w:top w:val="single" w:sz="4" w:space="0" w:color="auto"/>
              <w:left w:val="nil"/>
              <w:bottom w:val="single" w:sz="4" w:space="0" w:color="auto"/>
              <w:right w:val="nil"/>
            </w:tcBorders>
            <w:shd w:val="clear" w:color="000000" w:fill="FFFFFF"/>
            <w:noWrap/>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 </w:t>
            </w:r>
          </w:p>
        </w:tc>
        <w:tc>
          <w:tcPr>
            <w:tcW w:w="490"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490"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490"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490"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703"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r>
      <w:tr>
        <w:trPr>
          <w:trHeight w:val="210"/>
        </w:trPr>
        <w:tc>
          <w:tcPr>
            <w:tcW w:w="3478" w:type="dxa"/>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EU28 trade with Egypt (mio €)</w:t>
            </w:r>
          </w:p>
        </w:tc>
        <w:tc>
          <w:tcPr>
            <w:tcW w:w="490"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n-IE" w:eastAsia="en-IE"/>
              </w:rPr>
            </w:pPr>
          </w:p>
        </w:tc>
        <w:tc>
          <w:tcPr>
            <w:tcW w:w="490"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490"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490"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703"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r>
      <w:tr>
        <w:trPr>
          <w:trHeight w:val="210"/>
        </w:trPr>
        <w:tc>
          <w:tcPr>
            <w:tcW w:w="347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8.579</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7.263</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6.703</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8.124</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8.503</w:t>
            </w:r>
          </w:p>
        </w:tc>
      </w:tr>
      <w:tr>
        <w:trPr>
          <w:trHeight w:val="210"/>
        </w:trPr>
        <w:tc>
          <w:tcPr>
            <w:tcW w:w="347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16.894</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20.426</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20.618</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19.807</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19.218</w:t>
            </w:r>
          </w:p>
        </w:tc>
      </w:tr>
      <w:tr>
        <w:trPr>
          <w:trHeight w:val="210"/>
        </w:trPr>
        <w:tc>
          <w:tcPr>
            <w:tcW w:w="347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8.315</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13.163</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13.915</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11.683</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10.715</w:t>
            </w:r>
          </w:p>
        </w:tc>
      </w:tr>
      <w:tr>
        <w:trPr>
          <w:trHeight w:val="210"/>
        </w:trPr>
        <w:tc>
          <w:tcPr>
            <w:tcW w:w="3478" w:type="dxa"/>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Share Egypt in EU28 trade with Extra-EU28</w:t>
            </w:r>
          </w:p>
        </w:tc>
        <w:tc>
          <w:tcPr>
            <w:tcW w:w="490"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n-IE" w:eastAsia="en-IE"/>
              </w:rPr>
            </w:pPr>
          </w:p>
        </w:tc>
        <w:tc>
          <w:tcPr>
            <w:tcW w:w="490"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490"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490"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703"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r>
      <w:tr>
        <w:trPr>
          <w:trHeight w:val="210"/>
        </w:trPr>
        <w:tc>
          <w:tcPr>
            <w:tcW w:w="347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0,5%</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0,4%</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0,4%</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0,4%</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0,4%</w:t>
            </w:r>
          </w:p>
        </w:tc>
      </w:tr>
      <w:tr>
        <w:trPr>
          <w:trHeight w:val="210"/>
        </w:trPr>
        <w:tc>
          <w:tcPr>
            <w:tcW w:w="347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w:t>
            </w:r>
          </w:p>
        </w:tc>
      </w:tr>
      <w:tr>
        <w:trPr>
          <w:trHeight w:val="210"/>
        </w:trPr>
        <w:tc>
          <w:tcPr>
            <w:tcW w:w="347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0,8%</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0,8%</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0,8%</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0,7%</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0,7%</w:t>
            </w:r>
          </w:p>
        </w:tc>
      </w:tr>
      <w:tr>
        <w:trPr>
          <w:trHeight w:val="210"/>
        </w:trPr>
        <w:tc>
          <w:tcPr>
            <w:tcW w:w="6141"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Share EU28 in trade Egypt with world</w:t>
            </w:r>
          </w:p>
        </w:tc>
      </w:tr>
      <w:tr>
        <w:trPr>
          <w:trHeight w:val="210"/>
        </w:trPr>
        <w:tc>
          <w:tcPr>
            <w:tcW w:w="347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32,2%</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32,4%</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29,7%</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26,9%</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26,5%</w:t>
            </w:r>
          </w:p>
        </w:tc>
      </w:tr>
      <w:tr>
        <w:trPr>
          <w:trHeight w:val="210"/>
        </w:trPr>
        <w:tc>
          <w:tcPr>
            <w:tcW w:w="347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29,5%</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27,7%</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30,4%</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34,1%</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10,6%</w:t>
            </w:r>
          </w:p>
        </w:tc>
      </w:tr>
      <w:tr>
        <w:trPr>
          <w:trHeight w:val="210"/>
        </w:trPr>
        <w:tc>
          <w:tcPr>
            <w:tcW w:w="347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31,4%</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31,3%</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29,9%</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28,9%</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22,3%</w:t>
            </w:r>
          </w:p>
        </w:tc>
      </w:tr>
      <w:tr>
        <w:trPr>
          <w:trHeight w:val="225"/>
        </w:trPr>
        <w:tc>
          <w:tcPr>
            <w:tcW w:w="4458" w:type="dxa"/>
            <w:gridSpan w:val="3"/>
            <w:tcBorders>
              <w:top w:val="single" w:sz="4" w:space="0" w:color="auto"/>
              <w:left w:val="nil"/>
              <w:bottom w:val="nil"/>
              <w:right w:val="nil"/>
            </w:tcBorders>
            <w:shd w:val="clear" w:color="000000" w:fill="FFFFFF"/>
            <w:noWrap/>
            <w:vAlign w:val="bottom"/>
            <w:hideMark/>
          </w:tcPr>
          <w:p>
            <w:pPr>
              <w:rPr>
                <w:rFonts w:eastAsia="Times New Roman"/>
                <w:noProof/>
                <w:sz w:val="12"/>
                <w:szCs w:val="12"/>
                <w:lang w:val="en-IE" w:eastAsia="en-IE"/>
              </w:rPr>
            </w:pPr>
            <w:r>
              <w:rPr>
                <w:rFonts w:eastAsia="Times New Roman"/>
                <w:noProof/>
                <w:sz w:val="12"/>
                <w:szCs w:val="12"/>
                <w:lang w:val="en-IE" w:eastAsia="en-IE"/>
              </w:rPr>
              <w:t xml:space="preserve">Source Trade G2 Statistics/ISDB </w:t>
            </w:r>
          </w:p>
        </w:tc>
        <w:tc>
          <w:tcPr>
            <w:tcW w:w="490"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490"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703" w:type="dxa"/>
            <w:tcBorders>
              <w:top w:val="single" w:sz="4" w:space="0" w:color="auto"/>
              <w:left w:val="nil"/>
              <w:bottom w:val="nil"/>
              <w:right w:val="nil"/>
            </w:tcBorders>
            <w:shd w:val="clear" w:color="000000" w:fill="FFFFFF"/>
            <w:noWrap/>
            <w:hideMark/>
          </w:tcPr>
          <w:p>
            <w:pPr>
              <w:jc w:val="right"/>
              <w:rPr>
                <w:rFonts w:eastAsia="Times New Roman"/>
                <w:noProof/>
                <w:sz w:val="12"/>
                <w:szCs w:val="12"/>
                <w:lang w:val="en-IE" w:eastAsia="en-IE"/>
              </w:rPr>
            </w:pPr>
            <w:r>
              <w:rPr>
                <w:rFonts w:eastAsia="Times New Roman"/>
                <w:noProof/>
                <w:sz w:val="12"/>
                <w:szCs w:val="12"/>
                <w:lang w:val="en-IE" w:eastAsia="en-IE"/>
              </w:rPr>
              <w:t>25-mars-19</w:t>
            </w:r>
          </w:p>
        </w:tc>
      </w:tr>
      <w:tr>
        <w:trPr>
          <w:trHeight w:val="210"/>
        </w:trPr>
        <w:tc>
          <w:tcPr>
            <w:tcW w:w="4948" w:type="dxa"/>
            <w:gridSpan w:val="4"/>
            <w:tcBorders>
              <w:top w:val="nil"/>
              <w:left w:val="nil"/>
              <w:bottom w:val="nil"/>
              <w:right w:val="nil"/>
            </w:tcBorders>
            <w:shd w:val="clear" w:color="000000" w:fill="FFFFFF"/>
            <w:noWrap/>
            <w:hideMark/>
          </w:tcPr>
          <w:p>
            <w:pPr>
              <w:rPr>
                <w:rFonts w:eastAsia="Times New Roman"/>
                <w:noProof/>
                <w:color w:val="000000"/>
                <w:sz w:val="12"/>
                <w:szCs w:val="12"/>
                <w:lang w:val="en-IE" w:eastAsia="en-IE"/>
              </w:rPr>
            </w:pPr>
            <w:r>
              <w:rPr>
                <w:rFonts w:eastAsia="Times New Roman"/>
                <w:noProof/>
                <w:color w:val="000000"/>
                <w:sz w:val="12"/>
                <w:szCs w:val="12"/>
                <w:lang w:val="en-IE" w:eastAsia="en-IE"/>
              </w:rPr>
              <w:t>Trade EU28: Eurostat COMEXT;  Trade Egypt: IMF Dots</w:t>
            </w:r>
          </w:p>
        </w:tc>
        <w:tc>
          <w:tcPr>
            <w:tcW w:w="490"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10"/>
        </w:trPr>
        <w:tc>
          <w:tcPr>
            <w:tcW w:w="3478"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490"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490"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490"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490"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25"/>
        </w:trPr>
        <w:tc>
          <w:tcPr>
            <w:tcW w:w="6141"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Total merchandise trade EU28 with Egypt (mio €)</w:t>
            </w:r>
          </w:p>
        </w:tc>
      </w:tr>
      <w:tr>
        <w:trPr>
          <w:trHeight w:val="225"/>
        </w:trPr>
        <w:tc>
          <w:tcPr>
            <w:tcW w:w="3968"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Egypt</w:t>
            </w:r>
          </w:p>
        </w:tc>
        <w:tc>
          <w:tcPr>
            <w:tcW w:w="49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49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193"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3968"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90"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90"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90"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47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8.124</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8.503</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379</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4,7%</w:t>
            </w:r>
          </w:p>
        </w:tc>
      </w:tr>
      <w:tr>
        <w:trPr>
          <w:trHeight w:val="225"/>
        </w:trPr>
        <w:tc>
          <w:tcPr>
            <w:tcW w:w="347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19.807</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19.218</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-590</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-3,0%</w:t>
            </w:r>
          </w:p>
        </w:tc>
      </w:tr>
      <w:tr>
        <w:trPr>
          <w:trHeight w:val="225"/>
        </w:trPr>
        <w:tc>
          <w:tcPr>
            <w:tcW w:w="347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11.683</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10.715</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-969</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478"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90"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27.931</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27.721</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-211</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-0,8%</w:t>
            </w:r>
          </w:p>
        </w:tc>
      </w:tr>
      <w:tr>
        <w:trPr>
          <w:trHeight w:val="240"/>
        </w:trPr>
        <w:tc>
          <w:tcPr>
            <w:tcW w:w="4948"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490"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6141"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Agrifood trade EU28 with Egypt (mio €)</w:t>
            </w:r>
          </w:p>
        </w:tc>
      </w:tr>
      <w:tr>
        <w:trPr>
          <w:trHeight w:val="255"/>
        </w:trPr>
        <w:tc>
          <w:tcPr>
            <w:tcW w:w="3968"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Egypt</w:t>
            </w:r>
          </w:p>
        </w:tc>
        <w:tc>
          <w:tcPr>
            <w:tcW w:w="49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49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193"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3968"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90"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90"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90"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47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1.017</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1.027</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w:t>
            </w:r>
          </w:p>
        </w:tc>
      </w:tr>
      <w:tr>
        <w:trPr>
          <w:trHeight w:val="225"/>
        </w:trPr>
        <w:tc>
          <w:tcPr>
            <w:tcW w:w="347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1.351</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1.528</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177</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13,1%</w:t>
            </w:r>
          </w:p>
        </w:tc>
      </w:tr>
      <w:tr>
        <w:trPr>
          <w:trHeight w:val="225"/>
        </w:trPr>
        <w:tc>
          <w:tcPr>
            <w:tcW w:w="347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334</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502</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168</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478"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2.368</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2.555</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187</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7,9%</w:t>
            </w:r>
          </w:p>
        </w:tc>
      </w:tr>
      <w:tr>
        <w:trPr>
          <w:trHeight w:val="240"/>
        </w:trPr>
        <w:tc>
          <w:tcPr>
            <w:tcW w:w="4948"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490"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6141"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NAMA trade EU28 with Egypt (mio €)</w:t>
            </w:r>
          </w:p>
        </w:tc>
      </w:tr>
      <w:tr>
        <w:trPr>
          <w:trHeight w:val="225"/>
        </w:trPr>
        <w:tc>
          <w:tcPr>
            <w:tcW w:w="3968"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Egypt</w:t>
            </w:r>
          </w:p>
        </w:tc>
        <w:tc>
          <w:tcPr>
            <w:tcW w:w="49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49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193"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3968"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90"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90"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90"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968"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imports</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7.107</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7.476</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369</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5,2%</w:t>
            </w:r>
          </w:p>
        </w:tc>
      </w:tr>
      <w:tr>
        <w:trPr>
          <w:trHeight w:val="225"/>
        </w:trPr>
        <w:tc>
          <w:tcPr>
            <w:tcW w:w="3968"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exports</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18.456</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17.689</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-767</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-4,2%</w:t>
            </w:r>
          </w:p>
        </w:tc>
      </w:tr>
      <w:tr>
        <w:trPr>
          <w:trHeight w:val="225"/>
        </w:trPr>
        <w:tc>
          <w:tcPr>
            <w:tcW w:w="347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11.349</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10.213</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-1.136</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47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25.563</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25.166</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-398</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w:t>
            </w:r>
          </w:p>
        </w:tc>
      </w:tr>
      <w:tr>
        <w:trPr>
          <w:trHeight w:val="240"/>
        </w:trPr>
        <w:tc>
          <w:tcPr>
            <w:tcW w:w="4948"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490" w:type="dxa"/>
            <w:tcBorders>
              <w:top w:val="single" w:sz="4" w:space="0" w:color="auto"/>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4948" w:type="dxa"/>
            <w:gridSpan w:val="4"/>
            <w:tcBorders>
              <w:top w:val="nil"/>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Services trade EU28 with Egypt (mio €)</w:t>
            </w:r>
          </w:p>
        </w:tc>
        <w:tc>
          <w:tcPr>
            <w:tcW w:w="490" w:type="dxa"/>
            <w:tcBorders>
              <w:top w:val="nil"/>
              <w:left w:val="nil"/>
              <w:bottom w:val="nil"/>
              <w:right w:val="nil"/>
            </w:tcBorders>
            <w:shd w:val="clear" w:color="000000" w:fill="FFFFFF"/>
            <w:noWrap/>
            <w:vAlign w:val="center"/>
            <w:hideMark/>
          </w:tcPr>
          <w:p>
            <w:pPr>
              <w:rPr>
                <w:rFonts w:eastAsia="Times New Roman"/>
                <w:b/>
                <w:bCs/>
                <w:noProof/>
                <w:sz w:val="16"/>
                <w:szCs w:val="16"/>
                <w:lang w:val="en-IE" w:eastAsia="en-IE"/>
              </w:rPr>
            </w:pPr>
            <w:r>
              <w:rPr>
                <w:rFonts w:eastAsia="Times New Roman"/>
                <w:b/>
                <w:bCs/>
                <w:noProof/>
                <w:sz w:val="16"/>
                <w:szCs w:val="16"/>
                <w:lang w:val="en-IE" w:eastAsia="en-IE"/>
              </w:rPr>
              <w:t> </w:t>
            </w:r>
          </w:p>
        </w:tc>
        <w:tc>
          <w:tcPr>
            <w:tcW w:w="703" w:type="dxa"/>
            <w:tcBorders>
              <w:top w:val="nil"/>
              <w:left w:val="nil"/>
              <w:bottom w:val="nil"/>
              <w:right w:val="nil"/>
            </w:tcBorders>
            <w:shd w:val="clear" w:color="000000" w:fill="FFFFFF"/>
            <w:noWrap/>
            <w:vAlign w:val="center"/>
            <w:hideMark/>
          </w:tcPr>
          <w:p>
            <w:pPr>
              <w:rPr>
                <w:rFonts w:eastAsia="Times New Roman"/>
                <w:b/>
                <w:bCs/>
                <w:noProof/>
                <w:sz w:val="16"/>
                <w:szCs w:val="16"/>
                <w:lang w:val="en-IE" w:eastAsia="en-IE"/>
              </w:rPr>
            </w:pPr>
            <w:r>
              <w:rPr>
                <w:rFonts w:eastAsia="Times New Roman"/>
                <w:b/>
                <w:bCs/>
                <w:noProof/>
                <w:sz w:val="16"/>
                <w:szCs w:val="16"/>
                <w:lang w:val="en-IE" w:eastAsia="en-IE"/>
              </w:rPr>
              <w:t> </w:t>
            </w:r>
          </w:p>
        </w:tc>
      </w:tr>
      <w:tr>
        <w:trPr>
          <w:trHeight w:val="225"/>
        </w:trPr>
        <w:tc>
          <w:tcPr>
            <w:tcW w:w="3968"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Egypt</w:t>
            </w:r>
          </w:p>
        </w:tc>
        <w:tc>
          <w:tcPr>
            <w:tcW w:w="490"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490"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1193"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3968"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90"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490"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490"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47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4.587</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5.092</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504</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11,0%</w:t>
            </w:r>
          </w:p>
        </w:tc>
      </w:tr>
      <w:tr>
        <w:trPr>
          <w:trHeight w:val="225"/>
        </w:trPr>
        <w:tc>
          <w:tcPr>
            <w:tcW w:w="347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4.594</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4.462</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-132</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-2,9%</w:t>
            </w:r>
          </w:p>
        </w:tc>
      </w:tr>
      <w:tr>
        <w:trPr>
          <w:trHeight w:val="225"/>
        </w:trPr>
        <w:tc>
          <w:tcPr>
            <w:tcW w:w="347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-630</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-636</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478"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90"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9.181</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9.553</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373</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4,1%</w:t>
            </w:r>
          </w:p>
        </w:tc>
      </w:tr>
      <w:tr>
        <w:trPr>
          <w:trHeight w:val="240"/>
        </w:trPr>
        <w:tc>
          <w:tcPr>
            <w:tcW w:w="5438" w:type="dxa"/>
            <w:gridSpan w:val="5"/>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703"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40"/>
        </w:trPr>
        <w:tc>
          <w:tcPr>
            <w:tcW w:w="6141"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Services trade EU28 with Egypt (mio €)</w:t>
            </w:r>
          </w:p>
        </w:tc>
      </w:tr>
      <w:tr>
        <w:trPr>
          <w:trHeight w:val="225"/>
        </w:trPr>
        <w:tc>
          <w:tcPr>
            <w:tcW w:w="3478"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49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49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49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703"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347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4.982</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4.658</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5.281</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4.587</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5.092</w:t>
            </w:r>
          </w:p>
        </w:tc>
      </w:tr>
      <w:tr>
        <w:trPr>
          <w:trHeight w:val="225"/>
        </w:trPr>
        <w:tc>
          <w:tcPr>
            <w:tcW w:w="347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3.343</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3.439</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5.125</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4.594</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4.462</w:t>
            </w:r>
          </w:p>
        </w:tc>
      </w:tr>
      <w:tr>
        <w:trPr>
          <w:trHeight w:val="225"/>
        </w:trPr>
        <w:tc>
          <w:tcPr>
            <w:tcW w:w="347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-1.640</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-1.220</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-156</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-630</w:t>
            </w:r>
          </w:p>
        </w:tc>
      </w:tr>
      <w:tr>
        <w:trPr>
          <w:trHeight w:val="225"/>
        </w:trPr>
        <w:tc>
          <w:tcPr>
            <w:tcW w:w="3478"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8.325</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8.097</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10.406</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9.181</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9.553</w:t>
            </w:r>
          </w:p>
        </w:tc>
      </w:tr>
      <w:tr>
        <w:trPr>
          <w:trHeight w:val="225"/>
        </w:trPr>
        <w:tc>
          <w:tcPr>
            <w:tcW w:w="3478"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490"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 </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6141" w:type="dxa"/>
            <w:gridSpan w:val="6"/>
            <w:tcBorders>
              <w:top w:val="nil"/>
              <w:left w:val="nil"/>
              <w:bottom w:val="nil"/>
              <w:right w:val="nil"/>
            </w:tcBorders>
            <w:shd w:val="clear" w:color="000000" w:fill="FFFFFF"/>
            <w:noWrap/>
            <w:vAlign w:val="center"/>
            <w:hideMark/>
          </w:tcPr>
          <w:p>
            <w:pPr>
              <w:jc w:val="center"/>
              <w:rPr>
                <w:rFonts w:eastAsia="Times New Roman"/>
                <w:b/>
                <w:noProof/>
                <w:sz w:val="16"/>
                <w:szCs w:val="16"/>
                <w:lang w:val="da-DK" w:eastAsia="en-IE"/>
              </w:rPr>
            </w:pPr>
            <w:r>
              <w:rPr>
                <w:rFonts w:eastAsia="Times New Roman"/>
                <w:b/>
                <w:noProof/>
                <w:sz w:val="16"/>
                <w:szCs w:val="16"/>
                <w:lang w:val="da-DK" w:eastAsia="en-IE"/>
              </w:rPr>
              <w:t>FDI EU28 with Egypt (mio €)</w:t>
            </w:r>
          </w:p>
        </w:tc>
      </w:tr>
      <w:tr>
        <w:trPr>
          <w:trHeight w:val="225"/>
        </w:trPr>
        <w:tc>
          <w:tcPr>
            <w:tcW w:w="3478"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val="da-DK" w:eastAsia="en-IE"/>
              </w:rPr>
            </w:pPr>
            <w:r>
              <w:rPr>
                <w:rFonts w:eastAsia="Times New Roman"/>
                <w:noProof/>
                <w:sz w:val="16"/>
                <w:szCs w:val="16"/>
                <w:lang w:val="da-DK" w:eastAsia="en-IE"/>
              </w:rPr>
              <w:t> </w:t>
            </w:r>
          </w:p>
        </w:tc>
        <w:tc>
          <w:tcPr>
            <w:tcW w:w="490"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49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49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49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703"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6141"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Stocks</w:t>
            </w:r>
          </w:p>
        </w:tc>
      </w:tr>
      <w:tr>
        <w:trPr>
          <w:trHeight w:val="225"/>
        </w:trPr>
        <w:tc>
          <w:tcPr>
            <w:tcW w:w="347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6.550</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836</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185</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683</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875</w:t>
            </w:r>
          </w:p>
        </w:tc>
      </w:tr>
      <w:tr>
        <w:trPr>
          <w:trHeight w:val="225"/>
        </w:trPr>
        <w:tc>
          <w:tcPr>
            <w:tcW w:w="347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43.327</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49.492</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39.462</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37.939</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39.285</w:t>
            </w:r>
          </w:p>
        </w:tc>
      </w:tr>
      <w:tr>
        <w:trPr>
          <w:trHeight w:val="225"/>
        </w:trPr>
        <w:tc>
          <w:tcPr>
            <w:tcW w:w="6141"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Flows</w:t>
            </w:r>
          </w:p>
        </w:tc>
      </w:tr>
      <w:tr>
        <w:trPr>
          <w:trHeight w:val="225"/>
        </w:trPr>
        <w:tc>
          <w:tcPr>
            <w:tcW w:w="347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137</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76</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357</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99</w:t>
            </w:r>
          </w:p>
        </w:tc>
      </w:tr>
      <w:tr>
        <w:trPr>
          <w:trHeight w:val="225"/>
        </w:trPr>
        <w:tc>
          <w:tcPr>
            <w:tcW w:w="347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3.542</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1.519</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-2.360</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2.865</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2.179</w:t>
            </w:r>
          </w:p>
        </w:tc>
      </w:tr>
      <w:tr>
        <w:trPr>
          <w:trHeight w:val="225"/>
        </w:trPr>
        <w:tc>
          <w:tcPr>
            <w:tcW w:w="3478" w:type="dxa"/>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490"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 </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bl>
    <w:p>
      <w:pPr>
        <w:rPr>
          <w:noProof/>
          <w:lang w:val="en-IE"/>
        </w:rPr>
      </w:pPr>
    </w:p>
    <w:p>
      <w:pPr>
        <w:spacing w:after="200" w:line="276" w:lineRule="auto"/>
        <w:rPr>
          <w:noProof/>
        </w:rPr>
      </w:pPr>
    </w:p>
    <w:p>
      <w:pPr>
        <w:spacing w:after="200" w:line="276" w:lineRule="auto"/>
        <w:rPr>
          <w:noProof/>
        </w:rPr>
      </w:pPr>
    </w:p>
    <w:p>
      <w:pPr>
        <w:spacing w:after="200" w:line="276" w:lineRule="auto"/>
        <w:rPr>
          <w:noProof/>
        </w:rPr>
      </w:pPr>
      <w:r>
        <w:rPr>
          <w:noProof/>
        </w:rPr>
        <w:br w:type="page"/>
      </w:r>
    </w:p>
    <w:p>
      <w:pPr>
        <w:pStyle w:val="ChapterHead"/>
        <w:jc w:val="both"/>
        <w:rPr>
          <w:b/>
          <w:noProof/>
        </w:rPr>
      </w:pPr>
      <w:bookmarkStart w:id="1850" w:name="_Toc8833601"/>
      <w:bookmarkStart w:id="1851" w:name="_Toc8835428"/>
      <w:bookmarkStart w:id="1852" w:name="_Toc8834058"/>
      <w:bookmarkStart w:id="1853" w:name="_Toc8909521"/>
      <w:bookmarkStart w:id="1854" w:name="_Toc8910733"/>
      <w:bookmarkStart w:id="1855" w:name="_Toc8911770"/>
      <w:bookmarkStart w:id="1856" w:name="_Toc8974591"/>
      <w:bookmarkStart w:id="1857" w:name="_Toc9008244"/>
      <w:bookmarkStart w:id="1858" w:name="_Toc9008647"/>
      <w:bookmarkStart w:id="1859" w:name="_Toc9348643"/>
      <w:bookmarkStart w:id="1860" w:name="_Toc9608094"/>
      <w:bookmarkStart w:id="1861" w:name="_Toc16000667"/>
      <w:r>
        <w:rPr>
          <w:b/>
          <w:noProof/>
        </w:rPr>
        <w:t>ANNUAL INFO SHEET ON THE IMPLEMENTATION OF THE EU-ISRAEL ASSOCIATION AGREEMENT</w:t>
      </w:r>
      <w:bookmarkEnd w:id="1850"/>
      <w:bookmarkEnd w:id="1851"/>
      <w:bookmarkEnd w:id="1852"/>
      <w:bookmarkEnd w:id="1853"/>
      <w:bookmarkEnd w:id="1854"/>
      <w:bookmarkEnd w:id="1855"/>
      <w:bookmarkEnd w:id="1856"/>
      <w:bookmarkEnd w:id="1857"/>
      <w:bookmarkEnd w:id="1858"/>
      <w:bookmarkEnd w:id="1859"/>
      <w:bookmarkEnd w:id="1860"/>
      <w:bookmarkEnd w:id="1861"/>
    </w:p>
    <w:p>
      <w:pPr>
        <w:pStyle w:val="ManualHeading1"/>
      </w:pPr>
      <w:bookmarkStart w:id="1862" w:name="_Toc8833602"/>
      <w:bookmarkStart w:id="1863" w:name="_Toc8835429"/>
      <w:bookmarkStart w:id="1864" w:name="_Toc8834059"/>
      <w:bookmarkStart w:id="1865" w:name="_Toc8909522"/>
      <w:bookmarkStart w:id="1866" w:name="_Toc8910734"/>
      <w:bookmarkStart w:id="1867" w:name="_Toc8911771"/>
      <w:bookmarkStart w:id="1868" w:name="_Toc8974592"/>
      <w:bookmarkStart w:id="1869" w:name="_Toc9008245"/>
      <w:bookmarkStart w:id="1870" w:name="_Toc9008648"/>
      <w:bookmarkStart w:id="1871" w:name="_Toc9348644"/>
      <w:bookmarkStart w:id="1872" w:name="_Toc9608095"/>
      <w:bookmarkStart w:id="1873" w:name="_Toc16000668"/>
      <w:r>
        <w:t>1.</w:t>
      </w:r>
      <w:r>
        <w:tab/>
        <w:t>Introduction</w:t>
      </w:r>
      <w:bookmarkEnd w:id="1862"/>
      <w:bookmarkEnd w:id="1863"/>
      <w:bookmarkEnd w:id="1864"/>
      <w:bookmarkEnd w:id="1865"/>
      <w:bookmarkEnd w:id="1866"/>
      <w:bookmarkEnd w:id="1867"/>
      <w:bookmarkEnd w:id="1868"/>
      <w:bookmarkEnd w:id="1869"/>
      <w:bookmarkEnd w:id="1870"/>
      <w:bookmarkEnd w:id="1871"/>
      <w:bookmarkEnd w:id="1872"/>
      <w:bookmarkEnd w:id="1873"/>
    </w:p>
    <w:p>
      <w:pPr>
        <w:jc w:val="both"/>
        <w:rPr>
          <w:rFonts w:eastAsia="Times New Roman"/>
          <w:noProof/>
        </w:rPr>
      </w:pPr>
      <w:r>
        <w:rPr>
          <w:rFonts w:eastAsia="Times New Roman"/>
          <w:noProof/>
        </w:rPr>
        <w:t>The EU and Israel have an Association Agreement (AA), which further liberalised two-way trade in industrial goods, creating a free trade area, hereinafter called ‘the Agreement’. This Agreement provisionally has been applied since 1996 and fully entered into force on 1 June 2000. The EU and Israel had already signed a Free Trade Agreement (FTA) in 1975: such agreement provided reciprocal free trade for industrial products (applied for the EU since 1977 for Israeli originated goods and since 1989 in Israel for community goods) and duty free entry into the EU of 70% of Israeli agricultural products. The Association Agreement improved the provisions on rules of origin and included a series of reciprocal agricultural concessions, but does not include obligatory provisions on services and investments. The Association Agreement included selected arrangements on agri-food trade. The EU and Israel however subsequently upgraded the free trade area with further liberalisation of agricultural, processed agricultural and fish products, in force since 2010. An adaptation to this agreement on agri-food products due to the accession of Croatia to the EU started to be implemented in 2018. Israel is a member of the Regional Convention on Pan-Euro-Mediterranean preferential rules of origin (PEM Convention) which it signed in 2013 and notified the EU of its ratification and entry into force in 2014. The main objective of the Convention is to provide a more unified framework for origin protocols.</w:t>
      </w:r>
    </w:p>
    <w:p>
      <w:pPr>
        <w:jc w:val="both"/>
        <w:rPr>
          <w:rFonts w:eastAsia="Times New Roman"/>
          <w:noProof/>
        </w:rPr>
      </w:pPr>
    </w:p>
    <w:p>
      <w:pPr>
        <w:jc w:val="both"/>
        <w:rPr>
          <w:noProof/>
        </w:rPr>
      </w:pPr>
      <w:r>
        <w:rPr>
          <w:rFonts w:eastAsia="Times New Roman"/>
          <w:noProof/>
        </w:rPr>
        <w:t>The EU and Israel signed in 1999 a "Good Laboratory Practice" (GLP) agreement, ensuring the high quality, validity and reliability of health and environmental data generated during the testing of cosmetics, industrial chemicals, pharmaceuticals, food additives, animal feed additives, pesticides by means of mutual recognition of OECD principles of good laboratory practice (GLP) and compliance monitoring programmes. The EU and Israel also have Conformity Assessment and Agreement (ACAA) on pharmaceuticals, in force since January 2013, which facilitates trade on both sides, as it recognises each partner’s certification of conformity of pharmaceutical products without the need for re-testing at import. Finally, the Open Skies agreement provisionally entered into force in 2013 and substantially increased cooperation in civil aviation services.</w:t>
      </w:r>
    </w:p>
    <w:p>
      <w:pPr>
        <w:pStyle w:val="ManualHeading1"/>
      </w:pPr>
      <w:bookmarkStart w:id="1874" w:name="_Toc8833603"/>
      <w:bookmarkStart w:id="1875" w:name="_Toc8835430"/>
      <w:bookmarkStart w:id="1876" w:name="_Toc8834060"/>
      <w:bookmarkStart w:id="1877" w:name="_Toc8909523"/>
      <w:bookmarkStart w:id="1878" w:name="_Toc8910735"/>
      <w:bookmarkStart w:id="1879" w:name="_Toc8911772"/>
      <w:bookmarkStart w:id="1880" w:name="_Toc8974593"/>
      <w:bookmarkStart w:id="1881" w:name="_Toc9008246"/>
      <w:bookmarkStart w:id="1882" w:name="_Toc9008649"/>
      <w:bookmarkStart w:id="1883" w:name="_Toc9348645"/>
      <w:bookmarkStart w:id="1884" w:name="_Toc9608096"/>
      <w:bookmarkStart w:id="1885" w:name="_Toc16000669"/>
      <w:r>
        <w:t>2.</w:t>
      </w:r>
      <w:r>
        <w:tab/>
        <w:t>Evolution of trade</w:t>
      </w:r>
      <w:bookmarkEnd w:id="1874"/>
      <w:bookmarkEnd w:id="1875"/>
      <w:bookmarkEnd w:id="1876"/>
      <w:bookmarkEnd w:id="1877"/>
      <w:bookmarkEnd w:id="1878"/>
      <w:bookmarkEnd w:id="1879"/>
      <w:bookmarkEnd w:id="1880"/>
      <w:bookmarkEnd w:id="1881"/>
      <w:bookmarkEnd w:id="1882"/>
      <w:bookmarkEnd w:id="1883"/>
      <w:bookmarkEnd w:id="1884"/>
      <w:bookmarkEnd w:id="1885"/>
    </w:p>
    <w:p>
      <w:pPr>
        <w:pStyle w:val="Heading2"/>
        <w:tabs>
          <w:tab w:val="clear" w:pos="4570"/>
          <w:tab w:val="num" w:pos="567"/>
        </w:tabs>
        <w:ind w:left="567"/>
      </w:pPr>
      <w:bookmarkStart w:id="1886" w:name="_Toc8833604"/>
      <w:bookmarkStart w:id="1887" w:name="_Toc8835431"/>
      <w:bookmarkStart w:id="1888" w:name="_Toc8834061"/>
      <w:bookmarkStart w:id="1889" w:name="_Toc8909524"/>
      <w:bookmarkStart w:id="1890" w:name="_Toc8910736"/>
      <w:bookmarkStart w:id="1891" w:name="_Toc8911773"/>
      <w:bookmarkStart w:id="1892" w:name="_Toc8974594"/>
      <w:bookmarkStart w:id="1893" w:name="_Toc9008247"/>
      <w:bookmarkStart w:id="1894" w:name="_Toc9008650"/>
      <w:bookmarkStart w:id="1895" w:name="_Toc9348646"/>
      <w:bookmarkStart w:id="1896" w:name="_Toc9608097"/>
      <w:bookmarkStart w:id="1897" w:name="_Toc16000670"/>
      <w:r>
        <w:t>2.1</w:t>
      </w:r>
      <w:r>
        <w:tab/>
        <w:t>Trade in Goods</w:t>
      </w:r>
      <w:bookmarkEnd w:id="1886"/>
      <w:bookmarkEnd w:id="1887"/>
      <w:bookmarkEnd w:id="1888"/>
      <w:bookmarkEnd w:id="1889"/>
      <w:bookmarkEnd w:id="1890"/>
      <w:bookmarkEnd w:id="1891"/>
      <w:bookmarkEnd w:id="1892"/>
      <w:bookmarkEnd w:id="1893"/>
      <w:bookmarkEnd w:id="1894"/>
      <w:bookmarkEnd w:id="1895"/>
      <w:bookmarkEnd w:id="1896"/>
      <w:bookmarkEnd w:id="1897"/>
    </w:p>
    <w:p>
      <w:pPr>
        <w:jc w:val="both"/>
        <w:rPr>
          <w:rFonts w:eastAsia="Times New Roman"/>
          <w:noProof/>
        </w:rPr>
      </w:pPr>
      <w:r>
        <w:rPr>
          <w:rFonts w:eastAsia="Times New Roman"/>
          <w:noProof/>
        </w:rPr>
        <w:t>In 2018 the EU was Israel’s first trading partner, representing 36% of Israeli trade, followed by the US (19%) and China (8%). Israel is the EU’s 28</w:t>
      </w:r>
      <w:r>
        <w:rPr>
          <w:rFonts w:eastAsia="Times New Roman"/>
          <w:noProof/>
          <w:vertAlign w:val="superscript"/>
        </w:rPr>
        <w:t>th</w:t>
      </w:r>
      <w:r>
        <w:rPr>
          <w:rFonts w:eastAsia="Times New Roman"/>
          <w:noProof/>
        </w:rPr>
        <w:t xml:space="preserve"> largest trading partner and the 3</w:t>
      </w:r>
      <w:r>
        <w:rPr>
          <w:rFonts w:eastAsia="Times New Roman"/>
          <w:noProof/>
          <w:vertAlign w:val="superscript"/>
        </w:rPr>
        <w:t>rd</w:t>
      </w:r>
      <w:r>
        <w:rPr>
          <w:rFonts w:eastAsia="Times New Roman"/>
          <w:noProof/>
        </w:rPr>
        <w:t xml:space="preserve"> largest in the Euro-Mediterranean region, behind Algeria and Morocco. The EU was the largest exporter to Israel, holding a 41% market share, ahead of the US (13%) and Switzerland (10%). The EU was also Israel’s largest export market in 2018, receiving 29% of Israeli exports, closely followed by the USA with 28%.</w:t>
      </w:r>
    </w:p>
    <w:p>
      <w:pPr>
        <w:jc w:val="both"/>
        <w:rPr>
          <w:rFonts w:eastAsia="Times New Roman"/>
          <w:noProof/>
        </w:rPr>
      </w:pPr>
    </w:p>
    <w:p>
      <w:pPr>
        <w:jc w:val="both"/>
        <w:rPr>
          <w:rFonts w:eastAsia="Times New Roman"/>
          <w:noProof/>
        </w:rPr>
      </w:pPr>
      <w:r>
        <w:rPr>
          <w:rFonts w:eastAsia="Times New Roman"/>
          <w:noProof/>
        </w:rPr>
        <w:t>Since the Agreement is in place the value of EU exports to Israel has been increasing and the EU’s trade surplus increased from €4.8 billion in 2002 to €7.1 billion in 2018.</w:t>
      </w:r>
    </w:p>
    <w:p>
      <w:pPr>
        <w:rPr>
          <w:noProof/>
          <w:lang w:eastAsia="en-GB"/>
        </w:rPr>
      </w:pPr>
      <w:r>
        <w:rPr>
          <w:noProof/>
          <w:lang w:eastAsia="en-GB"/>
        </w:rPr>
        <w:drawing>
          <wp:inline distT="0" distB="0" distL="0" distR="0">
            <wp:extent cx="5760720" cy="2422525"/>
            <wp:effectExtent l="0" t="0" r="11430" b="1587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jc w:val="both"/>
        <w:rPr>
          <w:rFonts w:eastAsia="Times New Roman"/>
          <w:noProof/>
        </w:rPr>
      </w:pPr>
    </w:p>
    <w:p>
      <w:pPr>
        <w:jc w:val="both"/>
        <w:rPr>
          <w:rFonts w:eastAsia="Times New Roman"/>
          <w:noProof/>
        </w:rPr>
      </w:pPr>
      <w:r>
        <w:rPr>
          <w:rFonts w:eastAsia="Times New Roman"/>
          <w:noProof/>
        </w:rPr>
        <w:t xml:space="preserve">Since the Association Agreement came into force, the value of imports and exports between the EU and Israel has been increasing in both directions. In 2002, the first year in which data is available, the value of trade in goods was €23.1 billion and in 2018 it was €34.3 billion, thus representing an increase by 48%. </w:t>
      </w:r>
    </w:p>
    <w:p>
      <w:pPr>
        <w:jc w:val="both"/>
        <w:rPr>
          <w:rFonts w:eastAsia="Times New Roman"/>
          <w:noProof/>
        </w:rPr>
      </w:pPr>
    </w:p>
    <w:p>
      <w:pPr>
        <w:jc w:val="both"/>
        <w:rPr>
          <w:rFonts w:eastAsia="Times New Roman"/>
          <w:noProof/>
        </w:rPr>
      </w:pPr>
      <w:r>
        <w:rPr>
          <w:rFonts w:eastAsia="Times New Roman"/>
          <w:noProof/>
        </w:rPr>
        <w:t xml:space="preserve">The value of </w:t>
      </w:r>
      <w:r>
        <w:rPr>
          <w:rFonts w:eastAsia="Times New Roman"/>
          <w:noProof/>
          <w:u w:val="single"/>
        </w:rPr>
        <w:t>EU exports</w:t>
      </w:r>
      <w:r>
        <w:rPr>
          <w:rFonts w:eastAsia="Times New Roman"/>
          <w:noProof/>
        </w:rPr>
        <w:t xml:space="preserve"> to Israel has risen by 49% from €13.9 billion in 2002 to €20.7 billion in 2018. Though, EU exports between 2017 and 2018 contracted by 3%, going from €21.4 billion in 2017 to €20.7 billlion in 2018. Nevertheless, with the exception of 2009 (financial crash), EU exports to Israel have shown a fairly consistent growth. In 2018, the </w:t>
      </w:r>
      <w:r>
        <w:rPr>
          <w:rFonts w:eastAsia="Times New Roman"/>
          <w:noProof/>
          <w:u w:val="single"/>
        </w:rPr>
        <w:t>most important export items</w:t>
      </w:r>
      <w:r>
        <w:rPr>
          <w:rFonts w:eastAsia="Times New Roman"/>
          <w:noProof/>
        </w:rPr>
        <w:t xml:space="preserve"> by value were machinery and appliances (41%), transport equipment (23%), and chemical products (23%). </w:t>
      </w:r>
    </w:p>
    <w:p>
      <w:pPr>
        <w:jc w:val="both"/>
        <w:rPr>
          <w:rFonts w:eastAsia="Times New Roman"/>
          <w:noProof/>
        </w:rPr>
      </w:pPr>
    </w:p>
    <w:p>
      <w:pPr>
        <w:jc w:val="both"/>
        <w:rPr>
          <w:rFonts w:eastAsia="Times New Roman"/>
          <w:noProof/>
        </w:rPr>
      </w:pPr>
      <w:r>
        <w:rPr>
          <w:rFonts w:eastAsia="Times New Roman"/>
          <w:noProof/>
        </w:rPr>
        <w:t xml:space="preserve">The value of </w:t>
      </w:r>
      <w:r>
        <w:rPr>
          <w:rFonts w:eastAsia="Times New Roman"/>
          <w:noProof/>
          <w:u w:val="single"/>
        </w:rPr>
        <w:t>EU imports</w:t>
      </w:r>
      <w:r>
        <w:rPr>
          <w:rFonts w:eastAsia="Times New Roman"/>
          <w:noProof/>
        </w:rPr>
        <w:t xml:space="preserve"> from Israel has risen from €9.1 billion in 2002 to €13.6 billion in 2018, representing a 49% rise. Nevertheless, EU imports between 2017 and 2018 decreased by 8%, from €14.8 billion to €13.6 billion. At the same time, imports from Israel have been steadily increasing (with the exception of 2009 due to the financial crash). In 2018 the </w:t>
      </w:r>
      <w:r>
        <w:rPr>
          <w:rFonts w:eastAsia="Times New Roman"/>
          <w:noProof/>
          <w:u w:val="single"/>
        </w:rPr>
        <w:t>most important groups</w:t>
      </w:r>
      <w:r>
        <w:rPr>
          <w:rFonts w:eastAsia="Times New Roman"/>
          <w:noProof/>
        </w:rPr>
        <w:t xml:space="preserve"> for import by value were chemicals (33%), machinery and appliances (18%) and mineral products (9%). </w:t>
      </w:r>
    </w:p>
    <w:p>
      <w:pPr>
        <w:pStyle w:val="Heading2"/>
        <w:tabs>
          <w:tab w:val="clear" w:pos="4570"/>
        </w:tabs>
        <w:ind w:left="567"/>
      </w:pPr>
      <w:bookmarkStart w:id="1898" w:name="_Toc8833605"/>
      <w:bookmarkStart w:id="1899" w:name="_Toc8835432"/>
      <w:bookmarkStart w:id="1900" w:name="_Toc8834062"/>
      <w:bookmarkStart w:id="1901" w:name="_Toc8909525"/>
      <w:bookmarkStart w:id="1902" w:name="_Toc8910737"/>
      <w:bookmarkStart w:id="1903" w:name="_Toc8911774"/>
      <w:bookmarkStart w:id="1904" w:name="_Toc8974595"/>
      <w:bookmarkStart w:id="1905" w:name="_Toc9008248"/>
      <w:bookmarkStart w:id="1906" w:name="_Toc9008651"/>
      <w:bookmarkStart w:id="1907" w:name="_Toc9348647"/>
      <w:bookmarkStart w:id="1908" w:name="_Toc9608098"/>
      <w:bookmarkStart w:id="1909" w:name="_Toc16000671"/>
      <w:r>
        <w:t>2.2</w:t>
      </w:r>
      <w:r>
        <w:tab/>
        <w:t>Trade in agricultural goods</w:t>
      </w:r>
      <w:bookmarkEnd w:id="1898"/>
      <w:bookmarkEnd w:id="1899"/>
      <w:bookmarkEnd w:id="1900"/>
      <w:bookmarkEnd w:id="1901"/>
      <w:bookmarkEnd w:id="1902"/>
      <w:bookmarkEnd w:id="1903"/>
      <w:bookmarkEnd w:id="1904"/>
      <w:bookmarkEnd w:id="1905"/>
      <w:bookmarkEnd w:id="1906"/>
      <w:bookmarkEnd w:id="1907"/>
      <w:bookmarkEnd w:id="1908"/>
      <w:bookmarkEnd w:id="1909"/>
    </w:p>
    <w:p>
      <w:pPr>
        <w:jc w:val="both"/>
        <w:rPr>
          <w:rFonts w:eastAsia="Times New Roman"/>
          <w:noProof/>
        </w:rPr>
      </w:pPr>
      <w:r>
        <w:rPr>
          <w:rFonts w:eastAsia="Times New Roman"/>
          <w:noProof/>
        </w:rPr>
        <w:t xml:space="preserve">Total </w:t>
      </w:r>
      <w:r>
        <w:rPr>
          <w:rFonts w:eastAsia="Times New Roman"/>
          <w:noProof/>
          <w:u w:val="single"/>
        </w:rPr>
        <w:t>trade in agri-food products</w:t>
      </w:r>
      <w:r>
        <w:rPr>
          <w:rFonts w:eastAsia="Times New Roman"/>
          <w:noProof/>
        </w:rPr>
        <w:t xml:space="preserve"> between the EU and Israel increased by 100% between 2003 and 2018, from €1.4 billion in 2003 to €2.8 billion in 2018. EU agri-food exports increased by 11% over the past year, going from €1.8 billion in 2017 to €2 billion in 2018. By contrast, over the same time period, EU imports decreased by 10%, from €1 billion to €0.9 billion. In 2018, Israel was the EU's second most important destination for exports of agri-food products in the region and the EU's third largest supplier of agri-food products. Among the EU's agricultural imports from Israel 49% were fruit and vegetables, including citrus fruit while  the EU mainly exported live animals (9%), chocolate, confectionary &amp; ice cream (8%), followed by sugar (8%). </w:t>
      </w:r>
    </w:p>
    <w:p>
      <w:pPr>
        <w:jc w:val="both"/>
        <w:rPr>
          <w:rFonts w:eastAsia="Times New Roman"/>
          <w:noProof/>
        </w:rPr>
      </w:pPr>
    </w:p>
    <w:p>
      <w:pPr>
        <w:jc w:val="both"/>
        <w:rPr>
          <w:rFonts w:eastAsia="Times New Roman"/>
          <w:noProof/>
        </w:rPr>
      </w:pPr>
      <w:r>
        <w:rPr>
          <w:rFonts w:eastAsia="Times New Roman"/>
          <w:noProof/>
        </w:rPr>
        <w:t>Regarding agricultural Tariff Rate Quotas (TRQ), Israel’s 2018 fill rate was 100% for some products (new potatoes, sweet peppers and wine). For the year-round clementime quota, the fill rate was 100%. For the spring and summer clementine quota, the fill rate was 35%. Other products with a relatively higher share of used quota were processed starch (48%), cut flowers (around a quarter - an exact number is not given, because the quota year does not coincide with the calendar year for one of the two quotas for these products), dried tomatoes (24%) and chicken preparations (25%), orange juice (21%), cucumbers (18%), whey (18%), turkey preparations (17%), fresh tomatoes other than cherry tomatoes (11%) and canned tomatoes (6%). Fill rates were below 5% for other products, including fresh oranges, fresh melons, orange and citrus juices, cherry tomatoes, sweetcorn, strawberries, live turkeys, gingerbread and fried peach slices.</w:t>
      </w:r>
    </w:p>
    <w:p>
      <w:pPr>
        <w:pStyle w:val="Heading2"/>
        <w:tabs>
          <w:tab w:val="clear" w:pos="4570"/>
        </w:tabs>
        <w:ind w:left="567"/>
      </w:pPr>
      <w:bookmarkStart w:id="1910" w:name="_Toc8833607"/>
      <w:bookmarkStart w:id="1911" w:name="_Toc8835434"/>
      <w:bookmarkStart w:id="1912" w:name="_Toc8834064"/>
      <w:bookmarkStart w:id="1913" w:name="_Toc8909527"/>
      <w:bookmarkStart w:id="1914" w:name="_Toc8910739"/>
      <w:bookmarkStart w:id="1915" w:name="_Toc8911776"/>
      <w:bookmarkStart w:id="1916" w:name="_Toc8974597"/>
      <w:bookmarkStart w:id="1917" w:name="_Toc9008250"/>
      <w:bookmarkStart w:id="1918" w:name="_Toc9008653"/>
      <w:bookmarkStart w:id="1919" w:name="_Toc9348649"/>
      <w:bookmarkStart w:id="1920" w:name="_Toc9608100"/>
      <w:bookmarkStart w:id="1921" w:name="_Toc16000672"/>
      <w:r>
        <w:t>2.3</w:t>
      </w:r>
      <w:r>
        <w:tab/>
        <w:t>Trade in Services and Foreign Direct Investment (FDI)</w:t>
      </w:r>
      <w:bookmarkEnd w:id="1910"/>
      <w:bookmarkEnd w:id="1911"/>
      <w:bookmarkEnd w:id="1912"/>
      <w:bookmarkEnd w:id="1913"/>
      <w:bookmarkEnd w:id="1914"/>
      <w:bookmarkEnd w:id="1915"/>
      <w:bookmarkEnd w:id="1916"/>
      <w:bookmarkEnd w:id="1917"/>
      <w:bookmarkEnd w:id="1918"/>
      <w:bookmarkEnd w:id="1919"/>
      <w:bookmarkEnd w:id="1920"/>
      <w:bookmarkEnd w:id="1921"/>
    </w:p>
    <w:p>
      <w:pPr>
        <w:jc w:val="both"/>
        <w:rPr>
          <w:rFonts w:eastAsia="Times New Roman"/>
          <w:noProof/>
        </w:rPr>
      </w:pPr>
      <w:r>
        <w:rPr>
          <w:rFonts w:eastAsia="Times New Roman"/>
          <w:noProof/>
        </w:rPr>
        <w:t xml:space="preserve">In 2017 </w:t>
      </w:r>
      <w:r>
        <w:rPr>
          <w:rFonts w:eastAsia="Times New Roman"/>
          <w:b/>
          <w:noProof/>
        </w:rPr>
        <w:t>trade in services</w:t>
      </w:r>
      <w:r>
        <w:rPr>
          <w:rFonts w:eastAsia="Times New Roman"/>
          <w:noProof/>
        </w:rPr>
        <w:t xml:space="preserve"> between the EU and Israel was worth €12.3 billion. Between 2010 and 2017, there has been an overall increase in the value of services imported from Israel from €3.2 billion to €5.2 billion. Over the same period there has been an increase in EU exports of services to Israel from €3.8 billion to €7.1 billion.</w:t>
      </w:r>
    </w:p>
    <w:p>
      <w:pPr>
        <w:jc w:val="both"/>
        <w:rPr>
          <w:rFonts w:eastAsia="Times New Roman"/>
          <w:noProof/>
        </w:rPr>
      </w:pPr>
    </w:p>
    <w:p>
      <w:pPr>
        <w:jc w:val="both"/>
        <w:rPr>
          <w:rFonts w:eastAsia="Times New Roman"/>
          <w:noProof/>
        </w:rPr>
      </w:pPr>
      <w:r>
        <w:rPr>
          <w:rFonts w:eastAsia="Times New Roman"/>
          <w:noProof/>
        </w:rPr>
        <w:t xml:space="preserve">On </w:t>
      </w:r>
      <w:r>
        <w:rPr>
          <w:rFonts w:eastAsia="Times New Roman"/>
          <w:b/>
          <w:bCs/>
          <w:noProof/>
        </w:rPr>
        <w:t>FDI flows</w:t>
      </w:r>
      <w:r>
        <w:rPr>
          <w:rFonts w:eastAsia="Times New Roman"/>
          <w:noProof/>
        </w:rPr>
        <w:t xml:space="preserve"> there is no consistent image on volume or partner country. Figures show fluctuations every year and no trend can be identified. EU FDI in both stocks and flows both in and out of Israel have grown continuously since 2001. The EU accounts for a substantial 40% of all outgoing Israeli investments, followed by the US with 20%. For incoming investments into Israel, the share of the EU is 20% which is similar to that of the US.</w:t>
      </w:r>
      <w:r>
        <w:rPr>
          <w:rFonts w:eastAsia="Times New Roman"/>
          <w:noProof/>
          <w:vertAlign w:val="superscript"/>
        </w:rPr>
        <w:footnoteReference w:id="56"/>
      </w:r>
      <w:r>
        <w:rPr>
          <w:rFonts w:eastAsia="Times New Roman"/>
          <w:noProof/>
        </w:rPr>
        <w:t xml:space="preserve"> </w:t>
      </w:r>
    </w:p>
    <w:p>
      <w:pPr>
        <w:jc w:val="both"/>
        <w:rPr>
          <w:rFonts w:eastAsia="Times New Roman"/>
          <w:noProof/>
        </w:rPr>
      </w:pPr>
    </w:p>
    <w:p>
      <w:pPr>
        <w:jc w:val="both"/>
        <w:rPr>
          <w:rFonts w:eastAsia="Times New Roman"/>
          <w:i/>
          <w:noProof/>
        </w:rPr>
      </w:pPr>
      <w:r>
        <w:rPr>
          <w:rFonts w:eastAsia="Times New Roman"/>
          <w:noProof/>
          <w:lang w:val="en-US"/>
        </w:rPr>
        <w:t>According to The World Bank Doing Business Index 2019 which ranks 190 countries, Israel, an OECD member, was ranked 49</w:t>
      </w:r>
      <w:r>
        <w:rPr>
          <w:rFonts w:eastAsia="Times New Roman"/>
          <w:noProof/>
          <w:vertAlign w:val="superscript"/>
          <w:lang w:val="en-US"/>
        </w:rPr>
        <w:t>th</w:t>
      </w:r>
      <w:r>
        <w:rPr>
          <w:rFonts w:eastAsia="Times New Roman"/>
          <w:noProof/>
          <w:lang w:val="en-US"/>
        </w:rPr>
        <w:t xml:space="preserve"> in the world (up from the 54</w:t>
      </w:r>
      <w:r>
        <w:rPr>
          <w:rFonts w:eastAsia="Times New Roman"/>
          <w:noProof/>
          <w:vertAlign w:val="superscript"/>
          <w:lang w:val="en-US"/>
        </w:rPr>
        <w:t>th</w:t>
      </w:r>
      <w:r>
        <w:rPr>
          <w:rFonts w:eastAsia="Times New Roman"/>
          <w:noProof/>
          <w:lang w:val="en-US"/>
        </w:rPr>
        <w:t xml:space="preserve"> position of 2018) with a distance to frontrier (DTF)</w:t>
      </w:r>
      <w:r>
        <w:rPr>
          <w:rFonts w:eastAsia="Times New Roman"/>
          <w:noProof/>
          <w:vertAlign w:val="superscript"/>
          <w:lang w:val="en-US"/>
        </w:rPr>
        <w:footnoteReference w:id="57"/>
      </w:r>
      <w:r>
        <w:rPr>
          <w:rFonts w:eastAsia="Times New Roman"/>
          <w:noProof/>
          <w:lang w:val="en-US"/>
        </w:rPr>
        <w:t xml:space="preserve"> score of 73.23 out of 100 – an improvement from the value of 2018 (72.59).</w:t>
      </w:r>
    </w:p>
    <w:p>
      <w:pPr>
        <w:pStyle w:val="ManualHeading1"/>
      </w:pPr>
      <w:bookmarkStart w:id="1922" w:name="_Toc8833608"/>
      <w:bookmarkStart w:id="1923" w:name="_Toc8835435"/>
      <w:bookmarkStart w:id="1924" w:name="_Toc8834065"/>
      <w:bookmarkStart w:id="1925" w:name="_Toc8909528"/>
      <w:bookmarkStart w:id="1926" w:name="_Toc8910740"/>
      <w:bookmarkStart w:id="1927" w:name="_Toc8911777"/>
      <w:bookmarkStart w:id="1928" w:name="_Toc8974598"/>
      <w:bookmarkStart w:id="1929" w:name="_Toc9008251"/>
      <w:bookmarkStart w:id="1930" w:name="_Toc9008654"/>
      <w:bookmarkStart w:id="1931" w:name="_Toc9348650"/>
      <w:bookmarkStart w:id="1932" w:name="_Toc9608101"/>
      <w:bookmarkStart w:id="1933" w:name="_Toc16000673"/>
      <w:r>
        <w:t>3.</w:t>
      </w:r>
      <w:r>
        <w:tab/>
        <w:t>Issues addressed in the Annual (Joint Committee/Trade Committee) meeting</w:t>
      </w:r>
      <w:bookmarkEnd w:id="1922"/>
      <w:bookmarkEnd w:id="1923"/>
      <w:bookmarkEnd w:id="1924"/>
      <w:bookmarkEnd w:id="1925"/>
      <w:bookmarkEnd w:id="1926"/>
      <w:bookmarkEnd w:id="1927"/>
      <w:bookmarkEnd w:id="1928"/>
      <w:bookmarkEnd w:id="1929"/>
      <w:bookmarkEnd w:id="1930"/>
      <w:bookmarkEnd w:id="1931"/>
      <w:bookmarkEnd w:id="1932"/>
      <w:bookmarkEnd w:id="1933"/>
    </w:p>
    <w:p>
      <w:pPr>
        <w:jc w:val="both"/>
        <w:rPr>
          <w:rFonts w:eastAsia="Times New Roman"/>
          <w:noProof/>
        </w:rPr>
      </w:pPr>
      <w:r>
        <w:rPr>
          <w:rFonts w:eastAsia="Times New Roman"/>
          <w:noProof/>
        </w:rPr>
        <w:t xml:space="preserve">The </w:t>
      </w:r>
      <w:r>
        <w:rPr>
          <w:rFonts w:eastAsia="Times New Roman"/>
          <w:b/>
          <w:noProof/>
        </w:rPr>
        <w:t>EU-Israeli Sub-committees on Industry, Trade and Services</w:t>
      </w:r>
      <w:r>
        <w:rPr>
          <w:rFonts w:eastAsia="Times New Roman"/>
          <w:noProof/>
        </w:rPr>
        <w:t xml:space="preserve"> met in May 2018. A range of bilateral issues were discussed including the state of EU-Israeli trade under the Association Agreement and the experience of the ACAA on Pharmaceuticals. Regarding trade barriers, the EU stressed the need to resolve the distinction between ‘new’ and ‘old’ Member States (pre and post-2004) for imports of medical devices, as well as the situation of the EU's request for granting IPR protection to biological pharmaceuticals and the EU's comments regarding the legislation on cosmetics in </w:t>
      </w:r>
      <w:r>
        <w:rPr>
          <w:rFonts w:eastAsia="Times New Roman"/>
          <w:iCs/>
          <w:noProof/>
        </w:rPr>
        <w:t xml:space="preserve">Israel. Parties also exchanged information regarding the implementation of the so-called “Technical Arrangement" on zip codes. </w:t>
      </w:r>
      <w:r>
        <w:rPr>
          <w:rFonts w:eastAsia="Times New Roman"/>
          <w:noProof/>
        </w:rPr>
        <w:t>Both parties provided an update on their ongoing bilateral and multilateral trade negotiations.</w:t>
      </w:r>
    </w:p>
    <w:p>
      <w:pPr>
        <w:jc w:val="both"/>
        <w:rPr>
          <w:rFonts w:eastAsia="Times New Roman"/>
          <w:noProof/>
        </w:rPr>
      </w:pPr>
    </w:p>
    <w:p>
      <w:pPr>
        <w:jc w:val="both"/>
        <w:rPr>
          <w:rFonts w:eastAsia="Times New Roman"/>
          <w:noProof/>
        </w:rPr>
      </w:pPr>
      <w:r>
        <w:rPr>
          <w:rFonts w:eastAsia="Times New Roman"/>
          <w:noProof/>
        </w:rPr>
        <w:t xml:space="preserve">The </w:t>
      </w:r>
      <w:r>
        <w:rPr>
          <w:rFonts w:eastAsia="Times New Roman"/>
          <w:b/>
          <w:noProof/>
        </w:rPr>
        <w:t>EU-Israeli Sub-Committee on Agriculture and Fisheries</w:t>
      </w:r>
      <w:r>
        <w:rPr>
          <w:rFonts w:eastAsia="Times New Roman"/>
          <w:noProof/>
        </w:rPr>
        <w:t xml:space="preserve"> also met in May 2018. A range of issues were discussed, including the current trade in agri-food products and related issues, such as SPS regulations in both directions, Israel's policy on imports of live animals and Kosher slaugthering. Israel provided an update on changes to its agricultural policy reform as well as the state of play of Geographincal Indications in Israel. Parties also discussed Israel's request to open negotiations of a bilateral agreement on organics, in order to adjust Israel's exports to the EU, following the new EU's organic regulation which will be applicable as of January 2021. On fisheries, Israel’s position in the framework of the General Fisheries Commission for the Mediterranean was discussed. </w:t>
      </w:r>
    </w:p>
    <w:p>
      <w:pPr>
        <w:jc w:val="both"/>
        <w:rPr>
          <w:rFonts w:eastAsia="Times New Roman"/>
          <w:noProof/>
        </w:rPr>
      </w:pPr>
    </w:p>
    <w:p>
      <w:pPr>
        <w:jc w:val="both"/>
        <w:rPr>
          <w:rFonts w:eastAsia="Times New Roman"/>
          <w:noProof/>
        </w:rPr>
      </w:pPr>
      <w:r>
        <w:rPr>
          <w:rFonts w:eastAsia="Times New Roman"/>
          <w:noProof/>
        </w:rPr>
        <w:t xml:space="preserve">The </w:t>
      </w:r>
      <w:r>
        <w:rPr>
          <w:rFonts w:eastAsia="Times New Roman"/>
          <w:b/>
          <w:noProof/>
        </w:rPr>
        <w:t>EU-Israel Customs Cooperation and Taxation Subcommittee</w:t>
      </w:r>
      <w:r>
        <w:rPr>
          <w:rFonts w:eastAsia="Times New Roman"/>
          <w:noProof/>
        </w:rPr>
        <w:t xml:space="preserve"> did not meet in 2018. </w:t>
      </w:r>
    </w:p>
    <w:p>
      <w:pPr>
        <w:pStyle w:val="ManualHeading1"/>
      </w:pPr>
      <w:bookmarkStart w:id="1934" w:name="_Toc8833609"/>
      <w:bookmarkStart w:id="1935" w:name="_Toc8835436"/>
      <w:bookmarkStart w:id="1936" w:name="_Toc8834066"/>
      <w:bookmarkStart w:id="1937" w:name="_Toc8909529"/>
      <w:bookmarkStart w:id="1938" w:name="_Toc8910741"/>
      <w:bookmarkStart w:id="1939" w:name="_Toc8911778"/>
      <w:bookmarkStart w:id="1940" w:name="_Toc8974599"/>
      <w:bookmarkStart w:id="1941" w:name="_Toc9008252"/>
      <w:bookmarkStart w:id="1942" w:name="_Toc9008655"/>
      <w:bookmarkStart w:id="1943" w:name="_Toc9348651"/>
      <w:bookmarkStart w:id="1944" w:name="_Toc9608102"/>
      <w:bookmarkStart w:id="1945" w:name="_Toc16000674"/>
      <w:r>
        <w:t>4.</w:t>
      </w:r>
      <w:r>
        <w:tab/>
        <w:t>Specific areas of importance</w:t>
      </w:r>
      <w:bookmarkEnd w:id="1934"/>
      <w:bookmarkEnd w:id="1935"/>
      <w:bookmarkEnd w:id="1936"/>
      <w:bookmarkEnd w:id="1937"/>
      <w:bookmarkEnd w:id="1938"/>
      <w:bookmarkEnd w:id="1939"/>
      <w:bookmarkEnd w:id="1940"/>
      <w:bookmarkEnd w:id="1941"/>
      <w:bookmarkEnd w:id="1942"/>
      <w:bookmarkEnd w:id="1943"/>
      <w:bookmarkEnd w:id="1944"/>
      <w:bookmarkEnd w:id="1945"/>
    </w:p>
    <w:p>
      <w:pPr>
        <w:jc w:val="both"/>
        <w:rPr>
          <w:rFonts w:eastAsia="Times New Roman"/>
          <w:noProof/>
        </w:rPr>
      </w:pPr>
      <w:r>
        <w:rPr>
          <w:rFonts w:eastAsia="Times New Roman"/>
          <w:noProof/>
        </w:rPr>
        <w:t>The Israeli economy stayed on its path of steady growth, relatively low fiscal deficit, low unemployment and solid external position. The Shekel has been on an appreciation trend against all major currencies since 2015, with an impact on the price competitiveness of Israel's exports. The discovery of natural gas fields in Israel's exclusive economic zone and the future export plans might bring related risks but also opportunitites to the economy. On the other side, recent growing budget deficit/GDP and debt/GDP ratios deserve an increased attention by the government. It should be also noted that there is a growing duality in the economy, with the traditional industrial agriculture and services lagging behind. Also, the increased shortage of skilled labour could become an impediment for growth in the high-tech sector.</w:t>
      </w:r>
    </w:p>
    <w:p>
      <w:pPr>
        <w:jc w:val="both"/>
        <w:rPr>
          <w:rFonts w:eastAsia="Times New Roman"/>
          <w:noProof/>
        </w:rPr>
      </w:pPr>
    </w:p>
    <w:p>
      <w:pPr>
        <w:jc w:val="both"/>
        <w:rPr>
          <w:rFonts w:eastAsia="Times New Roman"/>
          <w:noProof/>
        </w:rPr>
      </w:pPr>
      <w:r>
        <w:rPr>
          <w:rFonts w:eastAsia="Times New Roman"/>
          <w:noProof/>
          <w:lang w:val="en-US"/>
        </w:rPr>
        <w:t xml:space="preserve">With a clear understanding of the importance and the economic potential of EU regulations and best-practice in many fields, </w:t>
      </w:r>
      <w:r>
        <w:rPr>
          <w:rFonts w:eastAsia="Times New Roman"/>
          <w:noProof/>
        </w:rPr>
        <w:t>the Israeli authorities have made an increasing number of requests for technical assistance from the EU in the form of TAIEX workshops and Twining programmes – the only type of capacity building assistance the EU provides to Israel being a developed country. In a wide range of areas (including transport, environment, energy, statistics,  agriculture and telecomm) EU regulatory practice (norms, standards and procedures) has been shared with the Israeli authorities, thus helping specific policy formulation and implementation. For trade, it is particularly important to continue providing support for ongoing market reforms, in particular those that relate to the opening of the Israeli domestic market – such as in the areas of agricultural policy, accreditation, import authorization procedures, conformity assessments and standard setting etc. – as this could also improve market access conditions for EU operators and increase competition in Israel. It should also be noted that some important European regulations such as the General Data Protection Regulation (GDPR), waste management and others, became relevant and economically important in the Israeli context. Also, there is an increasing number of European companies establishing research centers, tech hubs and scouting companies in Israel, particularily in the automative sector.</w:t>
      </w:r>
    </w:p>
    <w:p>
      <w:pPr>
        <w:jc w:val="both"/>
        <w:rPr>
          <w:rFonts w:eastAsia="Times New Roman"/>
          <w:noProof/>
        </w:rPr>
      </w:pPr>
    </w:p>
    <w:p>
      <w:pPr>
        <w:jc w:val="both"/>
        <w:rPr>
          <w:rFonts w:eastAsia="Times New Roman"/>
          <w:noProof/>
        </w:rPr>
      </w:pPr>
      <w:r>
        <w:rPr>
          <w:rFonts w:eastAsia="Times New Roman"/>
          <w:noProof/>
        </w:rPr>
        <w:t xml:space="preserve">Exports of gas to the EU are also on the agenda, with the final aim, pending feasibility, to export natural gas from Israel to Cyprus, Greece and Italy as of 2025. </w:t>
      </w:r>
    </w:p>
    <w:p>
      <w:pPr>
        <w:pStyle w:val="ManualHeading1"/>
      </w:pPr>
      <w:bookmarkStart w:id="1946" w:name="_Toc8833610"/>
      <w:bookmarkStart w:id="1947" w:name="_Toc8835437"/>
      <w:bookmarkStart w:id="1948" w:name="_Toc8834067"/>
      <w:bookmarkStart w:id="1949" w:name="_Toc8909530"/>
      <w:bookmarkStart w:id="1950" w:name="_Toc8910742"/>
      <w:bookmarkStart w:id="1951" w:name="_Toc8911779"/>
      <w:bookmarkStart w:id="1952" w:name="_Toc8974600"/>
      <w:bookmarkStart w:id="1953" w:name="_Toc9008253"/>
      <w:bookmarkStart w:id="1954" w:name="_Toc9008656"/>
      <w:bookmarkStart w:id="1955" w:name="_Toc9348652"/>
      <w:bookmarkStart w:id="1956" w:name="_Toc9608103"/>
      <w:bookmarkStart w:id="1957" w:name="_Toc16000675"/>
      <w:r>
        <w:t>5.</w:t>
      </w:r>
      <w:r>
        <w:tab/>
        <w:t>Progress made, main open issues and follow-up actions</w:t>
      </w:r>
      <w:bookmarkEnd w:id="1946"/>
      <w:bookmarkEnd w:id="1947"/>
      <w:bookmarkEnd w:id="1948"/>
      <w:bookmarkEnd w:id="1949"/>
      <w:bookmarkEnd w:id="1950"/>
      <w:bookmarkEnd w:id="1951"/>
      <w:bookmarkEnd w:id="1952"/>
      <w:bookmarkEnd w:id="1953"/>
      <w:bookmarkEnd w:id="1954"/>
      <w:bookmarkEnd w:id="1955"/>
      <w:bookmarkEnd w:id="1956"/>
      <w:bookmarkEnd w:id="1957"/>
    </w:p>
    <w:p>
      <w:pPr>
        <w:jc w:val="both"/>
        <w:rPr>
          <w:rFonts w:eastAsia="Times New Roman"/>
          <w:noProof/>
        </w:rPr>
      </w:pPr>
      <w:r>
        <w:rPr>
          <w:rFonts w:eastAsia="Times New Roman"/>
          <w:noProof/>
        </w:rPr>
        <w:t xml:space="preserve">No significant roll back of commitments in the Agreement has been recorded; however there are a </w:t>
      </w:r>
      <w:r>
        <w:rPr>
          <w:rFonts w:eastAsia="Times New Roman"/>
          <w:b/>
          <w:noProof/>
        </w:rPr>
        <w:t>number of persistent trade irritants</w:t>
      </w:r>
      <w:r>
        <w:rPr>
          <w:rFonts w:eastAsia="Times New Roman"/>
          <w:noProof/>
        </w:rPr>
        <w:t xml:space="preserve">. These include the discriminatory treatment of EU Member States, who have joined since 2004 and of Luxembourg, with particular reference to restrictions on import authorization of medical devices, the lack of data protection on biological medicines, the rigid regime of kosher certification of slaughtered meat, the difficulties in registration of imported food products as well as restrictions to the import of live animals. A number of official and technical meetings have taken place to look into these issues. On </w:t>
      </w:r>
      <w:r>
        <w:rPr>
          <w:rFonts w:eastAsia="Times New Roman"/>
          <w:b/>
          <w:noProof/>
        </w:rPr>
        <w:t>trade defence policy</w:t>
      </w:r>
      <w:r>
        <w:rPr>
          <w:rFonts w:eastAsia="Times New Roman"/>
          <w:noProof/>
        </w:rPr>
        <w:t>, an anti-dumping investigation on imports of cement from Greece took longer than the WTO ceiling of 18 months. The EU has drawn Israel's attention to this issue and asked that no duty would be imposed. Israel ignored the EU's request and imposed a minimal 0.25% duty.</w:t>
      </w:r>
    </w:p>
    <w:p>
      <w:pPr>
        <w:jc w:val="both"/>
        <w:rPr>
          <w:rFonts w:eastAsia="Times New Roman"/>
          <w:noProof/>
        </w:rPr>
      </w:pPr>
    </w:p>
    <w:p>
      <w:pPr>
        <w:jc w:val="both"/>
        <w:rPr>
          <w:rFonts w:eastAsia="Times New Roman"/>
          <w:noProof/>
        </w:rPr>
      </w:pPr>
      <w:r>
        <w:rPr>
          <w:rFonts w:eastAsia="Times New Roman"/>
          <w:noProof/>
        </w:rPr>
        <w:t xml:space="preserve">In the context of the wish expressed by the Israeli government to fight the high cost of living and enhance competitiveness on the market, the </w:t>
      </w:r>
      <w:r>
        <w:rPr>
          <w:rFonts w:eastAsia="Times New Roman"/>
          <w:b/>
          <w:noProof/>
        </w:rPr>
        <w:t>EU is supporting Israel’s ongoing market reforms</w:t>
      </w:r>
      <w:r>
        <w:rPr>
          <w:rFonts w:eastAsia="Times New Roman"/>
          <w:noProof/>
        </w:rPr>
        <w:t xml:space="preserve"> by sharing its best practices on issues such as standards, import procedures, conformity assessments, agricultural support policy, competition, etc. </w:t>
      </w:r>
    </w:p>
    <w:p>
      <w:pPr>
        <w:pStyle w:val="ManualHeading1"/>
      </w:pPr>
      <w:bookmarkStart w:id="1958" w:name="_Toc8833611"/>
      <w:bookmarkStart w:id="1959" w:name="_Toc8835438"/>
      <w:bookmarkStart w:id="1960" w:name="_Toc8834068"/>
      <w:bookmarkStart w:id="1961" w:name="_Toc8909531"/>
      <w:bookmarkStart w:id="1962" w:name="_Toc8910743"/>
      <w:bookmarkStart w:id="1963" w:name="_Toc8911780"/>
      <w:bookmarkStart w:id="1964" w:name="_Toc8974601"/>
      <w:bookmarkStart w:id="1965" w:name="_Toc9008254"/>
      <w:bookmarkStart w:id="1966" w:name="_Toc9008657"/>
      <w:bookmarkStart w:id="1967" w:name="_Toc9348653"/>
      <w:bookmarkStart w:id="1968" w:name="_Toc9608104"/>
      <w:bookmarkStart w:id="1969" w:name="_Toc16000676"/>
      <w:r>
        <w:t>6.</w:t>
      </w:r>
      <w:r>
        <w:tab/>
        <w:t>Conclusions and outlook</w:t>
      </w:r>
      <w:bookmarkEnd w:id="1958"/>
      <w:bookmarkEnd w:id="1959"/>
      <w:bookmarkEnd w:id="1960"/>
      <w:bookmarkEnd w:id="1961"/>
      <w:bookmarkEnd w:id="1962"/>
      <w:bookmarkEnd w:id="1963"/>
      <w:bookmarkEnd w:id="1964"/>
      <w:bookmarkEnd w:id="1965"/>
      <w:bookmarkEnd w:id="1966"/>
      <w:bookmarkEnd w:id="1967"/>
      <w:bookmarkEnd w:id="1968"/>
      <w:bookmarkEnd w:id="1969"/>
    </w:p>
    <w:p>
      <w:pPr>
        <w:jc w:val="both"/>
        <w:rPr>
          <w:rFonts w:eastAsia="Times New Roman"/>
          <w:noProof/>
        </w:rPr>
      </w:pPr>
      <w:r>
        <w:rPr>
          <w:rFonts w:eastAsia="Times New Roman"/>
          <w:noProof/>
        </w:rPr>
        <w:t xml:space="preserve">Overall the value of trade between the EU and Israel has increased during the period of implementation of the Agreement and this is true in both directions. Goods continue to account for the majority of trade, although services and foreign investment are also noteworthy. </w:t>
      </w:r>
    </w:p>
    <w:p>
      <w:pPr>
        <w:jc w:val="both"/>
        <w:rPr>
          <w:rFonts w:eastAsia="Times New Roman"/>
          <w:noProof/>
        </w:rPr>
      </w:pPr>
    </w:p>
    <w:p>
      <w:pPr>
        <w:jc w:val="both"/>
        <w:rPr>
          <w:rFonts w:eastAsia="Times New Roman"/>
          <w:noProof/>
        </w:rPr>
      </w:pPr>
      <w:r>
        <w:rPr>
          <w:rFonts w:eastAsia="Times New Roman"/>
          <w:noProof/>
        </w:rPr>
        <w:t>There have been some recent successes in resolving trade irritants (e.g. for pharmaceuticals), which is a path that the EU aims to continue on to further strengthen trade relations; the deepening of such relations is also facilitated by a continuous dialogue in many areas, such as in the regulatory field, where Israel considers the EU as an international reference. The EU and Israel continue to cooperate in bilateral and multilateral trade talks.</w:t>
      </w:r>
    </w:p>
    <w:p>
      <w:pPr>
        <w:jc w:val="both"/>
        <w:rPr>
          <w:rFonts w:eastAsia="Times New Roman"/>
          <w:noProof/>
        </w:rPr>
      </w:pPr>
    </w:p>
    <w:p>
      <w:pPr>
        <w:jc w:val="both"/>
        <w:rPr>
          <w:rFonts w:eastAsia="Times New Roman"/>
          <w:noProof/>
        </w:rPr>
      </w:pPr>
      <w:r>
        <w:rPr>
          <w:rFonts w:eastAsia="Times New Roman"/>
          <w:noProof/>
        </w:rPr>
        <w:t xml:space="preserve">Discussions between the EU and Israel on a Dispute Settlement Agreement under the Association Agreement are still to be finalised. Israel has expressed some limited interest in using the Agreement’s review clause on services. </w:t>
      </w:r>
    </w:p>
    <w:p>
      <w:pPr>
        <w:jc w:val="both"/>
        <w:rPr>
          <w:rFonts w:eastAsia="Times New Roman"/>
          <w:noProof/>
        </w:rPr>
      </w:pPr>
    </w:p>
    <w:p>
      <w:pPr>
        <w:jc w:val="both"/>
        <w:rPr>
          <w:noProof/>
        </w:rPr>
      </w:pPr>
      <w:r>
        <w:rPr>
          <w:rFonts w:eastAsia="Times New Roman"/>
          <w:noProof/>
        </w:rPr>
        <w:t>The EU will continue to support Israel’s ongoing market reforms and will continue in 2019 working with Israel on cosmetics, food and other areas, advocating for rules that are aligned with international and, possibly, EU standards.</w:t>
      </w:r>
    </w:p>
    <w:p>
      <w:pPr>
        <w:pStyle w:val="ManualHeading1"/>
      </w:pPr>
      <w:bookmarkStart w:id="1970" w:name="_Toc8833612"/>
      <w:bookmarkStart w:id="1971" w:name="_Toc8835439"/>
      <w:bookmarkStart w:id="1972" w:name="_Toc8834069"/>
      <w:bookmarkStart w:id="1973" w:name="_Toc8909532"/>
      <w:bookmarkStart w:id="1974" w:name="_Toc8910744"/>
      <w:bookmarkStart w:id="1975" w:name="_Toc8911781"/>
      <w:bookmarkStart w:id="1976" w:name="_Toc8974602"/>
      <w:bookmarkStart w:id="1977" w:name="_Toc9008255"/>
      <w:bookmarkStart w:id="1978" w:name="_Toc9008658"/>
      <w:bookmarkStart w:id="1979" w:name="_Toc9348654"/>
      <w:bookmarkStart w:id="1980" w:name="_Toc9608105"/>
      <w:bookmarkStart w:id="1981" w:name="_Toc16000677"/>
      <w:r>
        <w:t>7.</w:t>
      </w:r>
      <w:r>
        <w:tab/>
        <w:t>Statistics</w:t>
      </w:r>
      <w:bookmarkEnd w:id="1970"/>
      <w:bookmarkEnd w:id="1971"/>
      <w:bookmarkEnd w:id="1972"/>
      <w:bookmarkEnd w:id="1973"/>
      <w:bookmarkEnd w:id="1974"/>
      <w:bookmarkEnd w:id="1975"/>
      <w:bookmarkEnd w:id="1976"/>
      <w:bookmarkEnd w:id="1977"/>
      <w:bookmarkEnd w:id="1978"/>
      <w:bookmarkEnd w:id="1979"/>
      <w:bookmarkEnd w:id="1980"/>
      <w:bookmarkEnd w:id="1981"/>
    </w:p>
    <w:p>
      <w:pPr>
        <w:spacing w:after="200" w:line="276" w:lineRule="auto"/>
        <w:rPr>
          <w:noProof/>
        </w:rPr>
      </w:pPr>
    </w:p>
    <w:tbl>
      <w:tblPr>
        <w:tblW w:w="7848" w:type="dxa"/>
        <w:tblInd w:w="108" w:type="dxa"/>
        <w:tblLook w:val="04A0" w:firstRow="1" w:lastRow="0" w:firstColumn="1" w:lastColumn="0" w:noHBand="0" w:noVBand="1"/>
      </w:tblPr>
      <w:tblGrid>
        <w:gridCol w:w="3488"/>
        <w:gridCol w:w="856"/>
        <w:gridCol w:w="856"/>
        <w:gridCol w:w="936"/>
        <w:gridCol w:w="856"/>
        <w:gridCol w:w="856"/>
      </w:tblGrid>
      <w:tr>
        <w:trPr>
          <w:trHeight w:val="210"/>
        </w:trPr>
        <w:tc>
          <w:tcPr>
            <w:tcW w:w="3488"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93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10"/>
        </w:trPr>
        <w:tc>
          <w:tcPr>
            <w:tcW w:w="7848"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Merchandise trade EU28 2014-2018</w:t>
            </w:r>
          </w:p>
        </w:tc>
      </w:tr>
      <w:tr>
        <w:trPr>
          <w:trHeight w:val="210"/>
        </w:trPr>
        <w:tc>
          <w:tcPr>
            <w:tcW w:w="3488" w:type="dxa"/>
            <w:tcBorders>
              <w:top w:val="single" w:sz="4" w:space="0" w:color="auto"/>
              <w:left w:val="nil"/>
              <w:bottom w:val="single" w:sz="4" w:space="0" w:color="auto"/>
              <w:right w:val="nil"/>
            </w:tcBorders>
            <w:shd w:val="clear" w:color="000000" w:fill="FFFFFF"/>
            <w:noWrap/>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 </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93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r>
      <w:tr>
        <w:trPr>
          <w:trHeight w:val="210"/>
        </w:trPr>
        <w:tc>
          <w:tcPr>
            <w:tcW w:w="3488" w:type="dxa"/>
            <w:tcBorders>
              <w:top w:val="nil"/>
              <w:left w:val="nil"/>
              <w:bottom w:val="nil"/>
              <w:right w:val="nil"/>
            </w:tcBorders>
            <w:shd w:val="clear" w:color="000000" w:fill="FFFFFF"/>
            <w:noWrap/>
            <w:vAlign w:val="center"/>
            <w:hideMark/>
          </w:tcPr>
          <w:p>
            <w:pPr>
              <w:jc w:val="center"/>
              <w:rPr>
                <w:rFonts w:eastAsia="Times New Roman"/>
                <w:b/>
                <w:i/>
                <w:noProof/>
                <w:sz w:val="16"/>
                <w:szCs w:val="16"/>
                <w:lang w:val="de-DE" w:eastAsia="en-IE"/>
              </w:rPr>
            </w:pPr>
            <w:r>
              <w:rPr>
                <w:rFonts w:eastAsia="Times New Roman"/>
                <w:b/>
                <w:i/>
                <w:noProof/>
                <w:sz w:val="16"/>
                <w:szCs w:val="16"/>
                <w:lang w:val="de-DE" w:eastAsia="en-IE"/>
              </w:rPr>
              <w:t>EU28 trade with Israel (mio €)</w:t>
            </w:r>
          </w:p>
        </w:tc>
        <w:tc>
          <w:tcPr>
            <w:tcW w:w="856" w:type="dxa"/>
            <w:tcBorders>
              <w:top w:val="nil"/>
              <w:left w:val="nil"/>
              <w:bottom w:val="nil"/>
              <w:right w:val="nil"/>
            </w:tcBorders>
            <w:shd w:val="clear" w:color="auto" w:fill="auto"/>
            <w:noWrap/>
            <w:vAlign w:val="center"/>
            <w:hideMark/>
          </w:tcPr>
          <w:p>
            <w:pPr>
              <w:jc w:val="center"/>
              <w:rPr>
                <w:rFonts w:eastAsia="Times New Roman"/>
                <w:b/>
                <w:i/>
                <w:noProof/>
                <w:sz w:val="16"/>
                <w:szCs w:val="16"/>
                <w:lang w:val="de-DE" w:eastAsia="en-IE"/>
              </w:rPr>
            </w:pPr>
          </w:p>
        </w:tc>
        <w:tc>
          <w:tcPr>
            <w:tcW w:w="856" w:type="dxa"/>
            <w:tcBorders>
              <w:top w:val="nil"/>
              <w:left w:val="nil"/>
              <w:bottom w:val="nil"/>
              <w:right w:val="nil"/>
            </w:tcBorders>
            <w:shd w:val="clear" w:color="000000" w:fill="FFFFFF"/>
            <w:noWrap/>
            <w:vAlign w:val="center"/>
            <w:hideMark/>
          </w:tcPr>
          <w:p>
            <w:pPr>
              <w:rPr>
                <w:rFonts w:eastAsia="Times New Roman"/>
                <w:b/>
                <w:i/>
                <w:noProof/>
                <w:sz w:val="16"/>
                <w:szCs w:val="16"/>
                <w:lang w:val="de-DE" w:eastAsia="en-IE"/>
              </w:rPr>
            </w:pPr>
            <w:r>
              <w:rPr>
                <w:rFonts w:eastAsia="Times New Roman"/>
                <w:b/>
                <w:i/>
                <w:noProof/>
                <w:sz w:val="16"/>
                <w:szCs w:val="16"/>
                <w:lang w:val="de-DE" w:eastAsia="en-IE"/>
              </w:rPr>
              <w:t> </w:t>
            </w:r>
          </w:p>
        </w:tc>
        <w:tc>
          <w:tcPr>
            <w:tcW w:w="936" w:type="dxa"/>
            <w:tcBorders>
              <w:top w:val="nil"/>
              <w:left w:val="nil"/>
              <w:bottom w:val="nil"/>
              <w:right w:val="nil"/>
            </w:tcBorders>
            <w:shd w:val="clear" w:color="000000" w:fill="FFFFFF"/>
            <w:noWrap/>
            <w:vAlign w:val="center"/>
            <w:hideMark/>
          </w:tcPr>
          <w:p>
            <w:pPr>
              <w:rPr>
                <w:rFonts w:eastAsia="Times New Roman"/>
                <w:b/>
                <w:i/>
                <w:noProof/>
                <w:sz w:val="16"/>
                <w:szCs w:val="16"/>
                <w:lang w:val="de-DE" w:eastAsia="en-IE"/>
              </w:rPr>
            </w:pPr>
            <w:r>
              <w:rPr>
                <w:rFonts w:eastAsia="Times New Roman"/>
                <w:b/>
                <w:i/>
                <w:noProof/>
                <w:sz w:val="16"/>
                <w:szCs w:val="16"/>
                <w:lang w:val="de-D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i/>
                <w:noProof/>
                <w:sz w:val="16"/>
                <w:szCs w:val="16"/>
                <w:lang w:val="de-DE" w:eastAsia="en-IE"/>
              </w:rPr>
            </w:pPr>
            <w:r>
              <w:rPr>
                <w:rFonts w:eastAsia="Times New Roman"/>
                <w:b/>
                <w:i/>
                <w:noProof/>
                <w:sz w:val="16"/>
                <w:szCs w:val="16"/>
                <w:lang w:val="de-D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i/>
                <w:noProof/>
                <w:sz w:val="16"/>
                <w:szCs w:val="16"/>
                <w:lang w:val="de-DE" w:eastAsia="en-IE"/>
              </w:rPr>
            </w:pPr>
            <w:r>
              <w:rPr>
                <w:rFonts w:eastAsia="Times New Roman"/>
                <w:b/>
                <w:i/>
                <w:noProof/>
                <w:sz w:val="16"/>
                <w:szCs w:val="16"/>
                <w:lang w:val="de-DE" w:eastAsia="en-IE"/>
              </w:rPr>
              <w:t> </w:t>
            </w:r>
          </w:p>
        </w:tc>
      </w:tr>
      <w:tr>
        <w:trPr>
          <w:trHeight w:val="210"/>
        </w:trPr>
        <w:tc>
          <w:tcPr>
            <w:tcW w:w="348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13.255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13.385</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13.178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14.809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13.602</w:t>
            </w:r>
          </w:p>
        </w:tc>
      </w:tr>
      <w:tr>
        <w:trPr>
          <w:trHeight w:val="210"/>
        </w:trPr>
        <w:tc>
          <w:tcPr>
            <w:tcW w:w="348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16.992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18.930</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21.108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21.426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20.736</w:t>
            </w:r>
          </w:p>
        </w:tc>
      </w:tr>
      <w:tr>
        <w:trPr>
          <w:trHeight w:val="210"/>
        </w:trPr>
        <w:tc>
          <w:tcPr>
            <w:tcW w:w="348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3.737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5.545</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7.931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6.617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7.134</w:t>
            </w:r>
          </w:p>
        </w:tc>
      </w:tr>
      <w:tr>
        <w:trPr>
          <w:trHeight w:val="210"/>
        </w:trPr>
        <w:tc>
          <w:tcPr>
            <w:tcW w:w="3488" w:type="dxa"/>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Share Israel in EU28 trade with Extra-EU28</w:t>
            </w:r>
          </w:p>
        </w:tc>
        <w:tc>
          <w:tcPr>
            <w:tcW w:w="856"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n-IE" w:eastAsia="en-IE"/>
              </w:rPr>
            </w:pP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93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r>
      <w:tr>
        <w:trPr>
          <w:trHeight w:val="210"/>
        </w:trPr>
        <w:tc>
          <w:tcPr>
            <w:tcW w:w="348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0,8%</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0,7%</w:t>
            </w:r>
          </w:p>
        </w:tc>
      </w:tr>
      <w:tr>
        <w:trPr>
          <w:trHeight w:val="210"/>
        </w:trPr>
        <w:tc>
          <w:tcPr>
            <w:tcW w:w="348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w:t>
            </w:r>
          </w:p>
        </w:tc>
      </w:tr>
      <w:tr>
        <w:trPr>
          <w:trHeight w:val="210"/>
        </w:trPr>
        <w:tc>
          <w:tcPr>
            <w:tcW w:w="348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0,9%</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0,9%</w:t>
            </w:r>
          </w:p>
        </w:tc>
      </w:tr>
      <w:tr>
        <w:trPr>
          <w:trHeight w:val="210"/>
        </w:trPr>
        <w:tc>
          <w:tcPr>
            <w:tcW w:w="7848"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Share EU28 in trade Israel with world</w:t>
            </w:r>
          </w:p>
        </w:tc>
      </w:tr>
      <w:tr>
        <w:trPr>
          <w:trHeight w:val="210"/>
        </w:trPr>
        <w:tc>
          <w:tcPr>
            <w:tcW w:w="348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33,4%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36,4%</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40,6%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41,2%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41,2%</w:t>
            </w:r>
          </w:p>
        </w:tc>
      </w:tr>
      <w:tr>
        <w:trPr>
          <w:trHeight w:val="210"/>
        </w:trPr>
        <w:tc>
          <w:tcPr>
            <w:tcW w:w="348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24,3%</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29,7%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28,4%</w:t>
            </w:r>
          </w:p>
        </w:tc>
      </w:tr>
      <w:tr>
        <w:trPr>
          <w:trHeight w:val="210"/>
        </w:trPr>
        <w:tc>
          <w:tcPr>
            <w:tcW w:w="348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30,4%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30,2%</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33,7%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35,8%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35,7%</w:t>
            </w:r>
          </w:p>
        </w:tc>
      </w:tr>
      <w:tr>
        <w:trPr>
          <w:trHeight w:val="225"/>
        </w:trPr>
        <w:tc>
          <w:tcPr>
            <w:tcW w:w="5200" w:type="dxa"/>
            <w:gridSpan w:val="3"/>
            <w:tcBorders>
              <w:top w:val="single" w:sz="4" w:space="0" w:color="auto"/>
              <w:left w:val="nil"/>
              <w:bottom w:val="nil"/>
              <w:right w:val="nil"/>
            </w:tcBorders>
            <w:shd w:val="clear" w:color="000000" w:fill="FFFFFF"/>
            <w:noWrap/>
            <w:vAlign w:val="bottom"/>
            <w:hideMark/>
          </w:tcPr>
          <w:p>
            <w:pPr>
              <w:rPr>
                <w:rFonts w:eastAsia="Times New Roman"/>
                <w:noProof/>
                <w:sz w:val="12"/>
                <w:szCs w:val="12"/>
                <w:lang w:val="en-IE" w:eastAsia="en-IE"/>
              </w:rPr>
            </w:pPr>
            <w:r>
              <w:rPr>
                <w:rFonts w:eastAsia="Times New Roman"/>
                <w:noProof/>
                <w:sz w:val="12"/>
                <w:szCs w:val="12"/>
                <w:lang w:val="en-IE" w:eastAsia="en-IE"/>
              </w:rPr>
              <w:t xml:space="preserve">Source Trade G2 Statistics/ISDB </w:t>
            </w:r>
          </w:p>
        </w:tc>
        <w:tc>
          <w:tcPr>
            <w:tcW w:w="936"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single" w:sz="4" w:space="0" w:color="auto"/>
              <w:left w:val="nil"/>
              <w:bottom w:val="nil"/>
              <w:right w:val="nil"/>
            </w:tcBorders>
            <w:shd w:val="clear" w:color="000000" w:fill="FFFFFF"/>
            <w:noWrap/>
            <w:hideMark/>
          </w:tcPr>
          <w:p>
            <w:pPr>
              <w:jc w:val="right"/>
              <w:rPr>
                <w:rFonts w:eastAsia="Times New Roman"/>
                <w:noProof/>
                <w:sz w:val="12"/>
                <w:szCs w:val="12"/>
                <w:lang w:val="en-IE" w:eastAsia="en-IE"/>
              </w:rPr>
            </w:pPr>
            <w:r>
              <w:rPr>
                <w:rFonts w:eastAsia="Times New Roman"/>
                <w:noProof/>
                <w:sz w:val="12"/>
                <w:szCs w:val="12"/>
                <w:lang w:val="en-IE" w:eastAsia="en-IE"/>
              </w:rPr>
              <w:t>25-mars-19</w:t>
            </w:r>
          </w:p>
        </w:tc>
      </w:tr>
      <w:tr>
        <w:trPr>
          <w:trHeight w:val="210"/>
        </w:trPr>
        <w:tc>
          <w:tcPr>
            <w:tcW w:w="6136" w:type="dxa"/>
            <w:gridSpan w:val="4"/>
            <w:tcBorders>
              <w:top w:val="nil"/>
              <w:left w:val="nil"/>
              <w:bottom w:val="nil"/>
              <w:right w:val="nil"/>
            </w:tcBorders>
            <w:shd w:val="clear" w:color="000000" w:fill="FFFFFF"/>
            <w:noWrap/>
            <w:hideMark/>
          </w:tcPr>
          <w:p>
            <w:pPr>
              <w:rPr>
                <w:rFonts w:eastAsia="Times New Roman"/>
                <w:noProof/>
                <w:color w:val="000000"/>
                <w:sz w:val="12"/>
                <w:szCs w:val="12"/>
                <w:lang w:val="pt-PT" w:eastAsia="en-IE"/>
              </w:rPr>
            </w:pPr>
            <w:r>
              <w:rPr>
                <w:rFonts w:eastAsia="Times New Roman"/>
                <w:noProof/>
                <w:color w:val="000000"/>
                <w:sz w:val="12"/>
                <w:szCs w:val="12"/>
                <w:lang w:val="pt-PT" w:eastAsia="en-IE"/>
              </w:rPr>
              <w:t>Trade EU28: Eurostat COMEXT;  Trade Israel: IMF Dots</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pt-PT" w:eastAsia="en-IE"/>
              </w:rPr>
            </w:pPr>
            <w:r>
              <w:rPr>
                <w:rFonts w:eastAsia="Times New Roman"/>
                <w:noProof/>
                <w:color w:val="000000"/>
                <w:sz w:val="16"/>
                <w:szCs w:val="16"/>
                <w:lang w:val="pt-PT"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pt-PT" w:eastAsia="en-IE"/>
              </w:rPr>
            </w:pPr>
            <w:r>
              <w:rPr>
                <w:rFonts w:eastAsia="Times New Roman"/>
                <w:noProof/>
                <w:color w:val="000000"/>
                <w:sz w:val="16"/>
                <w:szCs w:val="16"/>
                <w:lang w:val="pt-PT" w:eastAsia="en-IE"/>
              </w:rPr>
              <w:t> </w:t>
            </w:r>
          </w:p>
        </w:tc>
      </w:tr>
      <w:tr>
        <w:trPr>
          <w:trHeight w:val="210"/>
        </w:trPr>
        <w:tc>
          <w:tcPr>
            <w:tcW w:w="3488"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pt-PT" w:eastAsia="en-IE"/>
              </w:rPr>
            </w:pPr>
            <w:r>
              <w:rPr>
                <w:rFonts w:eastAsia="Times New Roman"/>
                <w:noProof/>
                <w:color w:val="000000"/>
                <w:sz w:val="16"/>
                <w:szCs w:val="16"/>
                <w:lang w:val="pt-PT"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pt-PT" w:eastAsia="en-IE"/>
              </w:rPr>
            </w:pPr>
            <w:r>
              <w:rPr>
                <w:rFonts w:eastAsia="Times New Roman"/>
                <w:noProof/>
                <w:color w:val="000000"/>
                <w:sz w:val="16"/>
                <w:szCs w:val="16"/>
                <w:lang w:val="pt-PT"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pt-PT" w:eastAsia="en-IE"/>
              </w:rPr>
            </w:pPr>
            <w:r>
              <w:rPr>
                <w:rFonts w:eastAsia="Times New Roman"/>
                <w:noProof/>
                <w:color w:val="000000"/>
                <w:sz w:val="16"/>
                <w:szCs w:val="16"/>
                <w:lang w:val="pt-PT" w:eastAsia="en-IE"/>
              </w:rPr>
              <w:t> </w:t>
            </w:r>
          </w:p>
        </w:tc>
        <w:tc>
          <w:tcPr>
            <w:tcW w:w="93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pt-PT" w:eastAsia="en-IE"/>
              </w:rPr>
            </w:pPr>
            <w:r>
              <w:rPr>
                <w:rFonts w:eastAsia="Times New Roman"/>
                <w:noProof/>
                <w:color w:val="000000"/>
                <w:sz w:val="16"/>
                <w:szCs w:val="16"/>
                <w:lang w:val="pt-PT"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pt-PT" w:eastAsia="en-IE"/>
              </w:rPr>
            </w:pPr>
            <w:r>
              <w:rPr>
                <w:rFonts w:eastAsia="Times New Roman"/>
                <w:noProof/>
                <w:color w:val="000000"/>
                <w:sz w:val="16"/>
                <w:szCs w:val="16"/>
                <w:lang w:val="pt-PT"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pt-PT" w:eastAsia="en-IE"/>
              </w:rPr>
            </w:pPr>
            <w:r>
              <w:rPr>
                <w:rFonts w:eastAsia="Times New Roman"/>
                <w:noProof/>
                <w:color w:val="000000"/>
                <w:sz w:val="16"/>
                <w:szCs w:val="16"/>
                <w:lang w:val="pt-PT" w:eastAsia="en-IE"/>
              </w:rPr>
              <w:t> </w:t>
            </w:r>
          </w:p>
        </w:tc>
      </w:tr>
      <w:tr>
        <w:trPr>
          <w:trHeight w:val="225"/>
        </w:trPr>
        <w:tc>
          <w:tcPr>
            <w:tcW w:w="7848"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Total merchandise trade EU28 with Israel (mio €)</w:t>
            </w:r>
          </w:p>
        </w:tc>
      </w:tr>
      <w:tr>
        <w:trPr>
          <w:trHeight w:val="225"/>
        </w:trPr>
        <w:tc>
          <w:tcPr>
            <w:tcW w:w="4344"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Israel</w:t>
            </w:r>
          </w:p>
        </w:tc>
        <w:tc>
          <w:tcPr>
            <w:tcW w:w="85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93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71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344"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93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48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14.809</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13.602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-1.207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-8,2%</w:t>
            </w:r>
          </w:p>
        </w:tc>
      </w:tr>
      <w:tr>
        <w:trPr>
          <w:trHeight w:val="225"/>
        </w:trPr>
        <w:tc>
          <w:tcPr>
            <w:tcW w:w="348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21.426</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20.736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-690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-3,2%</w:t>
            </w:r>
          </w:p>
        </w:tc>
      </w:tr>
      <w:tr>
        <w:trPr>
          <w:trHeight w:val="225"/>
        </w:trPr>
        <w:tc>
          <w:tcPr>
            <w:tcW w:w="348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6.617</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7.134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517</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488"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36.235</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34.337</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-1.898</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-5,2%</w:t>
            </w:r>
          </w:p>
        </w:tc>
      </w:tr>
      <w:tr>
        <w:trPr>
          <w:trHeight w:val="240"/>
        </w:trPr>
        <w:tc>
          <w:tcPr>
            <w:tcW w:w="6136"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7848"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Agrifood trade EU28 with Israel (mio €)</w:t>
            </w:r>
          </w:p>
        </w:tc>
      </w:tr>
      <w:tr>
        <w:trPr>
          <w:trHeight w:val="255"/>
        </w:trPr>
        <w:tc>
          <w:tcPr>
            <w:tcW w:w="4344"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Israel</w:t>
            </w:r>
          </w:p>
        </w:tc>
        <w:tc>
          <w:tcPr>
            <w:tcW w:w="85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93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71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344"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93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48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990</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874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-11,7%</w:t>
            </w:r>
          </w:p>
        </w:tc>
      </w:tr>
      <w:tr>
        <w:trPr>
          <w:trHeight w:val="225"/>
        </w:trPr>
        <w:tc>
          <w:tcPr>
            <w:tcW w:w="348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1.798</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1.955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8,8%</w:t>
            </w:r>
          </w:p>
        </w:tc>
      </w:tr>
      <w:tr>
        <w:trPr>
          <w:trHeight w:val="225"/>
        </w:trPr>
        <w:tc>
          <w:tcPr>
            <w:tcW w:w="348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808</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1.081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274</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488"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2.788</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2.829</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41</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w:t>
            </w:r>
          </w:p>
        </w:tc>
      </w:tr>
      <w:tr>
        <w:trPr>
          <w:trHeight w:val="240"/>
        </w:trPr>
        <w:tc>
          <w:tcPr>
            <w:tcW w:w="6136"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7848" w:type="dxa"/>
            <w:gridSpan w:val="6"/>
            <w:tcBorders>
              <w:top w:val="nil"/>
              <w:left w:val="nil"/>
              <w:bottom w:val="nil"/>
              <w:right w:val="nil"/>
            </w:tcBorders>
            <w:shd w:val="clear" w:color="000000" w:fill="FFFFFF"/>
            <w:noWrap/>
            <w:vAlign w:val="center"/>
            <w:hideMark/>
          </w:tcPr>
          <w:p>
            <w:pPr>
              <w:jc w:val="center"/>
              <w:rPr>
                <w:rFonts w:eastAsia="Times New Roman"/>
                <w:b/>
                <w:noProof/>
                <w:sz w:val="16"/>
                <w:szCs w:val="16"/>
                <w:lang w:val="es-ES" w:eastAsia="en-IE"/>
              </w:rPr>
            </w:pPr>
            <w:r>
              <w:rPr>
                <w:rFonts w:eastAsia="Times New Roman"/>
                <w:b/>
                <w:noProof/>
                <w:sz w:val="16"/>
                <w:szCs w:val="16"/>
                <w:lang w:val="es-ES" w:eastAsia="en-IE"/>
              </w:rPr>
              <w:t>NAMA trade EU28 with Israel (mio €)</w:t>
            </w:r>
          </w:p>
        </w:tc>
      </w:tr>
      <w:tr>
        <w:trPr>
          <w:trHeight w:val="225"/>
        </w:trPr>
        <w:tc>
          <w:tcPr>
            <w:tcW w:w="4344"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Israel</w:t>
            </w:r>
          </w:p>
        </w:tc>
        <w:tc>
          <w:tcPr>
            <w:tcW w:w="85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93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71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344"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93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4344"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13.819</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12.728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-1.091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-7,9%</w:t>
            </w:r>
          </w:p>
        </w:tc>
      </w:tr>
      <w:tr>
        <w:trPr>
          <w:trHeight w:val="225"/>
        </w:trPr>
        <w:tc>
          <w:tcPr>
            <w:tcW w:w="4344"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19.628</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18.781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-848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-4,3%</w:t>
            </w:r>
          </w:p>
        </w:tc>
      </w:tr>
      <w:tr>
        <w:trPr>
          <w:trHeight w:val="225"/>
        </w:trPr>
        <w:tc>
          <w:tcPr>
            <w:tcW w:w="348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5.809</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6.053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243</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48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33.447</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31.508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-1.939</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-5,8%</w:t>
            </w:r>
          </w:p>
        </w:tc>
      </w:tr>
      <w:tr>
        <w:trPr>
          <w:trHeight w:val="240"/>
        </w:trPr>
        <w:tc>
          <w:tcPr>
            <w:tcW w:w="6136"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856" w:type="dxa"/>
            <w:tcBorders>
              <w:top w:val="single" w:sz="4" w:space="0" w:color="auto"/>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6136" w:type="dxa"/>
            <w:gridSpan w:val="4"/>
            <w:tcBorders>
              <w:top w:val="nil"/>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Services trade EU28 with Israel (mio €)</w:t>
            </w:r>
          </w:p>
        </w:tc>
        <w:tc>
          <w:tcPr>
            <w:tcW w:w="856" w:type="dxa"/>
            <w:tcBorders>
              <w:top w:val="nil"/>
              <w:left w:val="nil"/>
              <w:bottom w:val="nil"/>
              <w:right w:val="nil"/>
            </w:tcBorders>
            <w:shd w:val="clear" w:color="000000" w:fill="FFFFFF"/>
            <w:noWrap/>
            <w:vAlign w:val="center"/>
            <w:hideMark/>
          </w:tcPr>
          <w:p>
            <w:pPr>
              <w:rPr>
                <w:rFonts w:eastAsia="Times New Roman"/>
                <w:b/>
                <w:bCs/>
                <w:noProof/>
                <w:sz w:val="16"/>
                <w:szCs w:val="16"/>
                <w:lang w:val="en-IE" w:eastAsia="en-IE"/>
              </w:rPr>
            </w:pPr>
            <w:r>
              <w:rPr>
                <w:rFonts w:eastAsia="Times New Roman"/>
                <w:b/>
                <w:bCs/>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bCs/>
                <w:noProof/>
                <w:sz w:val="16"/>
                <w:szCs w:val="16"/>
                <w:lang w:val="en-IE" w:eastAsia="en-IE"/>
              </w:rPr>
            </w:pPr>
            <w:r>
              <w:rPr>
                <w:rFonts w:eastAsia="Times New Roman"/>
                <w:b/>
                <w:bCs/>
                <w:noProof/>
                <w:sz w:val="16"/>
                <w:szCs w:val="16"/>
                <w:lang w:val="en-IE" w:eastAsia="en-IE"/>
              </w:rPr>
              <w:t> </w:t>
            </w:r>
          </w:p>
        </w:tc>
      </w:tr>
      <w:tr>
        <w:trPr>
          <w:trHeight w:val="225"/>
        </w:trPr>
        <w:tc>
          <w:tcPr>
            <w:tcW w:w="4344"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Israel</w:t>
            </w:r>
          </w:p>
        </w:tc>
        <w:tc>
          <w:tcPr>
            <w:tcW w:w="856"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936"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171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344"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936"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48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4.756</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5.186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430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9,0%</w:t>
            </w:r>
          </w:p>
        </w:tc>
      </w:tr>
      <w:tr>
        <w:trPr>
          <w:trHeight w:val="225"/>
        </w:trPr>
        <w:tc>
          <w:tcPr>
            <w:tcW w:w="348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6.830</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7.154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324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4,7%</w:t>
            </w:r>
          </w:p>
        </w:tc>
      </w:tr>
      <w:tr>
        <w:trPr>
          <w:trHeight w:val="225"/>
        </w:trPr>
        <w:tc>
          <w:tcPr>
            <w:tcW w:w="348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2.074</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1.967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-106</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488"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11.586</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12.340</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754</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6,5%</w:t>
            </w:r>
          </w:p>
        </w:tc>
      </w:tr>
      <w:tr>
        <w:trPr>
          <w:trHeight w:val="240"/>
        </w:trPr>
        <w:tc>
          <w:tcPr>
            <w:tcW w:w="6992" w:type="dxa"/>
            <w:gridSpan w:val="5"/>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40"/>
        </w:trPr>
        <w:tc>
          <w:tcPr>
            <w:tcW w:w="7848"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Services trade EU28 with Israel (mio €)</w:t>
            </w:r>
          </w:p>
        </w:tc>
      </w:tr>
      <w:tr>
        <w:trPr>
          <w:trHeight w:val="225"/>
        </w:trPr>
        <w:tc>
          <w:tcPr>
            <w:tcW w:w="3488"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93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348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4.272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3.913</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4.633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4.756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5.186</w:t>
            </w:r>
          </w:p>
        </w:tc>
      </w:tr>
      <w:tr>
        <w:trPr>
          <w:trHeight w:val="225"/>
        </w:trPr>
        <w:tc>
          <w:tcPr>
            <w:tcW w:w="348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4.579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4.969</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6.983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6.830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7.154</w:t>
            </w:r>
          </w:p>
        </w:tc>
      </w:tr>
      <w:tr>
        <w:trPr>
          <w:trHeight w:val="225"/>
        </w:trPr>
        <w:tc>
          <w:tcPr>
            <w:tcW w:w="348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307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1.057</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2.350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2.074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1.967</w:t>
            </w:r>
          </w:p>
        </w:tc>
      </w:tr>
      <w:tr>
        <w:trPr>
          <w:trHeight w:val="225"/>
        </w:trPr>
        <w:tc>
          <w:tcPr>
            <w:tcW w:w="3488"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8.851</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8.882</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11.616</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11.586</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12.340</w:t>
            </w:r>
          </w:p>
        </w:tc>
      </w:tr>
      <w:tr>
        <w:trPr>
          <w:trHeight w:val="225"/>
        </w:trPr>
        <w:tc>
          <w:tcPr>
            <w:tcW w:w="3488"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856"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93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7848"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it-IT" w:eastAsia="en-IE"/>
              </w:rPr>
            </w:pPr>
            <w:r>
              <w:rPr>
                <w:rFonts w:eastAsia="Times New Roman"/>
                <w:b/>
                <w:bCs/>
                <w:noProof/>
                <w:sz w:val="16"/>
                <w:szCs w:val="16"/>
                <w:lang w:val="it-IT" w:eastAsia="en-IE"/>
              </w:rPr>
              <w:t>FDI EU28 with Israel (mio €)</w:t>
            </w:r>
          </w:p>
        </w:tc>
      </w:tr>
      <w:tr>
        <w:trPr>
          <w:trHeight w:val="225"/>
        </w:trPr>
        <w:tc>
          <w:tcPr>
            <w:tcW w:w="3488"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val="it-IT" w:eastAsia="en-IE"/>
              </w:rPr>
            </w:pPr>
            <w:r>
              <w:rPr>
                <w:rFonts w:eastAsia="Times New Roman"/>
                <w:noProof/>
                <w:sz w:val="16"/>
                <w:szCs w:val="16"/>
                <w:lang w:val="it-IT" w:eastAsia="en-IE"/>
              </w:rPr>
              <w:t> </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93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7848"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Stocks</w:t>
            </w:r>
          </w:p>
        </w:tc>
      </w:tr>
      <w:tr>
        <w:trPr>
          <w:trHeight w:val="225"/>
        </w:trPr>
        <w:tc>
          <w:tcPr>
            <w:tcW w:w="348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32.237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40.872</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33.445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45.155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58.254</w:t>
            </w:r>
          </w:p>
        </w:tc>
      </w:tr>
      <w:tr>
        <w:trPr>
          <w:trHeight w:val="225"/>
        </w:trPr>
        <w:tc>
          <w:tcPr>
            <w:tcW w:w="348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11.544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16.066</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17.491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28.464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30.079</w:t>
            </w:r>
          </w:p>
        </w:tc>
      </w:tr>
      <w:tr>
        <w:trPr>
          <w:trHeight w:val="225"/>
        </w:trPr>
        <w:tc>
          <w:tcPr>
            <w:tcW w:w="7848"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Flows</w:t>
            </w:r>
          </w:p>
        </w:tc>
      </w:tr>
      <w:tr>
        <w:trPr>
          <w:trHeight w:val="225"/>
        </w:trPr>
        <w:tc>
          <w:tcPr>
            <w:tcW w:w="348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2.023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7.094</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2.348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13.948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205</w:t>
            </w:r>
          </w:p>
        </w:tc>
      </w:tr>
      <w:tr>
        <w:trPr>
          <w:trHeight w:val="225"/>
        </w:trPr>
        <w:tc>
          <w:tcPr>
            <w:tcW w:w="348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4.194</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1.855</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1.231</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904</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2.613</w:t>
            </w:r>
          </w:p>
        </w:tc>
      </w:tr>
      <w:tr>
        <w:trPr>
          <w:trHeight w:val="225"/>
        </w:trPr>
        <w:tc>
          <w:tcPr>
            <w:tcW w:w="3488" w:type="dxa"/>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856"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93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bl>
    <w:p>
      <w:pPr>
        <w:spacing w:after="200" w:line="276" w:lineRule="auto"/>
        <w:rPr>
          <w:noProof/>
        </w:rPr>
      </w:pPr>
    </w:p>
    <w:p>
      <w:pPr>
        <w:spacing w:after="200" w:line="276" w:lineRule="auto"/>
        <w:rPr>
          <w:noProof/>
        </w:rPr>
      </w:pPr>
      <w:r>
        <w:rPr>
          <w:noProof/>
        </w:rPr>
        <w:br w:type="page"/>
      </w:r>
    </w:p>
    <w:p>
      <w:pPr>
        <w:pStyle w:val="ChapterHead"/>
        <w:jc w:val="both"/>
        <w:rPr>
          <w:b/>
          <w:noProof/>
        </w:rPr>
      </w:pPr>
      <w:bookmarkStart w:id="1982" w:name="_Toc8833613"/>
      <w:bookmarkStart w:id="1983" w:name="_Toc8835440"/>
      <w:bookmarkStart w:id="1984" w:name="_Toc8834070"/>
      <w:bookmarkStart w:id="1985" w:name="_Toc8909533"/>
      <w:bookmarkStart w:id="1986" w:name="_Toc8910745"/>
      <w:bookmarkStart w:id="1987" w:name="_Toc8911782"/>
      <w:bookmarkStart w:id="1988" w:name="_Toc8974603"/>
      <w:bookmarkStart w:id="1989" w:name="_Toc9008256"/>
      <w:bookmarkStart w:id="1990" w:name="_Toc9008659"/>
      <w:bookmarkStart w:id="1991" w:name="_Toc9348655"/>
      <w:bookmarkStart w:id="1992" w:name="_Toc9608106"/>
      <w:bookmarkStart w:id="1993" w:name="_Toc16000678"/>
      <w:r>
        <w:rPr>
          <w:b/>
          <w:noProof/>
        </w:rPr>
        <w:t>ANNUAL INFO SHEET ON THE IMPLEMENTATION OF THE EU-JORDAN ASSOCIATION AGREEMENT</w:t>
      </w:r>
      <w:bookmarkEnd w:id="1982"/>
      <w:bookmarkEnd w:id="1983"/>
      <w:bookmarkEnd w:id="1984"/>
      <w:bookmarkEnd w:id="1985"/>
      <w:bookmarkEnd w:id="1986"/>
      <w:bookmarkEnd w:id="1987"/>
      <w:bookmarkEnd w:id="1988"/>
      <w:bookmarkEnd w:id="1989"/>
      <w:bookmarkEnd w:id="1990"/>
      <w:bookmarkEnd w:id="1991"/>
      <w:bookmarkEnd w:id="1992"/>
      <w:bookmarkEnd w:id="1993"/>
    </w:p>
    <w:p>
      <w:pPr>
        <w:pStyle w:val="ManualHeading1"/>
      </w:pPr>
      <w:bookmarkStart w:id="1994" w:name="_Toc8833614"/>
      <w:bookmarkStart w:id="1995" w:name="_Toc8835441"/>
      <w:bookmarkStart w:id="1996" w:name="_Toc8834071"/>
      <w:bookmarkStart w:id="1997" w:name="_Toc8909534"/>
      <w:bookmarkStart w:id="1998" w:name="_Toc8910746"/>
      <w:bookmarkStart w:id="1999" w:name="_Toc8911783"/>
      <w:bookmarkStart w:id="2000" w:name="_Toc8974604"/>
      <w:bookmarkStart w:id="2001" w:name="_Toc9008257"/>
      <w:bookmarkStart w:id="2002" w:name="_Toc9008660"/>
      <w:bookmarkStart w:id="2003" w:name="_Toc9348656"/>
      <w:bookmarkStart w:id="2004" w:name="_Toc9608107"/>
      <w:bookmarkStart w:id="2005" w:name="_Toc16000679"/>
      <w:r>
        <w:t>1.</w:t>
      </w:r>
      <w:r>
        <w:tab/>
        <w:t>Introduction</w:t>
      </w:r>
      <w:bookmarkEnd w:id="1994"/>
      <w:bookmarkEnd w:id="1995"/>
      <w:bookmarkEnd w:id="1996"/>
      <w:bookmarkEnd w:id="1997"/>
      <w:bookmarkEnd w:id="1998"/>
      <w:bookmarkEnd w:id="1999"/>
      <w:bookmarkEnd w:id="2000"/>
      <w:bookmarkEnd w:id="2001"/>
      <w:bookmarkEnd w:id="2002"/>
      <w:bookmarkEnd w:id="2003"/>
      <w:bookmarkEnd w:id="2004"/>
      <w:bookmarkEnd w:id="2005"/>
    </w:p>
    <w:p>
      <w:pPr>
        <w:jc w:val="both"/>
        <w:rPr>
          <w:noProof/>
        </w:rPr>
      </w:pPr>
      <w:r>
        <w:rPr>
          <w:noProof/>
        </w:rPr>
        <w:t>The Association Agreement (AA) creating a free trade area between the EU and Jordan (hereinafter referred to as ‘the Agreement’) was signed on 24 November 1997 and entered into force on 1 May 2002. It liberalised two-way trade in goods, with asymmetrical transition periods in favour of Jordan. This allowed Jordan to phase in tariff reductions over a 12 year period. Tariff dismantling has now been completed. The EU and Jordan upgraded the Agreement in 2006 concluding an additional agreement on trade in agricultural and processed agricultural products. Today all Jordanian agricultural products can enter the EU duty free with the exception of virgin olive oil and cut flowers, which are under tariff rate quotas (TRQs), while agricultural liberalisation on the Jordanian side is substantial, but not complete. A protocol establishing a bilateral Dispute Settlement Mechanism was added to the Agreement in 2011. In December 2018, the EU and Jordan agreed to review their initiative from July 2016 to simplify the rules of origin that Jordanian exporters use in their trade with the EU</w:t>
      </w:r>
      <w:r>
        <w:rPr>
          <w:rStyle w:val="FootnoteReference"/>
          <w:noProof/>
        </w:rPr>
        <w:footnoteReference w:id="58"/>
      </w:r>
      <w:r>
        <w:rPr>
          <w:noProof/>
        </w:rPr>
        <w:t>.</w:t>
      </w:r>
    </w:p>
    <w:p>
      <w:pPr>
        <w:jc w:val="both"/>
        <w:rPr>
          <w:noProof/>
        </w:rPr>
      </w:pPr>
    </w:p>
    <w:p>
      <w:pPr>
        <w:jc w:val="both"/>
        <w:rPr>
          <w:noProof/>
        </w:rPr>
      </w:pPr>
      <w:r>
        <w:rPr>
          <w:noProof/>
        </w:rPr>
        <w:t>Jordan is a member of the Regional Convention on pan-Euro-Mediterranean preferential rules of origin (PEM Convention) which it signed in 2011 and notified the EU of its ratification in 2013. The Convention’s main objective is to provide a more unified framework for origin protocols.</w:t>
      </w:r>
    </w:p>
    <w:p>
      <w:pPr>
        <w:jc w:val="both"/>
        <w:rPr>
          <w:noProof/>
        </w:rPr>
      </w:pPr>
    </w:p>
    <w:p>
      <w:pPr>
        <w:jc w:val="both"/>
        <w:rPr>
          <w:noProof/>
        </w:rPr>
      </w:pPr>
      <w:r>
        <w:rPr>
          <w:noProof/>
        </w:rPr>
        <w:t>In 2011 the Council of the European Union adopted negotiating directives to further enhance the trade relationship through a Deep and Comprehensive Free Trade Area (DCFTA) with Jordan, but negotiations have not yet started.</w:t>
      </w:r>
    </w:p>
    <w:p>
      <w:pPr>
        <w:pStyle w:val="ManualHeading1"/>
      </w:pPr>
      <w:bookmarkStart w:id="2006" w:name="_Toc8833615"/>
      <w:bookmarkStart w:id="2007" w:name="_Toc8835442"/>
      <w:bookmarkStart w:id="2008" w:name="_Toc8834072"/>
      <w:bookmarkStart w:id="2009" w:name="_Toc8909535"/>
      <w:bookmarkStart w:id="2010" w:name="_Toc8910747"/>
      <w:bookmarkStart w:id="2011" w:name="_Toc8911784"/>
      <w:bookmarkStart w:id="2012" w:name="_Toc8974605"/>
      <w:bookmarkStart w:id="2013" w:name="_Toc9008258"/>
      <w:bookmarkStart w:id="2014" w:name="_Toc9008661"/>
      <w:bookmarkStart w:id="2015" w:name="_Toc9348657"/>
      <w:bookmarkStart w:id="2016" w:name="_Toc9608108"/>
      <w:bookmarkStart w:id="2017" w:name="_Toc16000680"/>
      <w:r>
        <w:t>2.</w:t>
      </w:r>
      <w:r>
        <w:tab/>
        <w:t>Evolution of trade</w:t>
      </w:r>
      <w:bookmarkEnd w:id="2006"/>
      <w:bookmarkEnd w:id="2007"/>
      <w:bookmarkEnd w:id="2008"/>
      <w:bookmarkEnd w:id="2009"/>
      <w:bookmarkEnd w:id="2010"/>
      <w:bookmarkEnd w:id="2011"/>
      <w:bookmarkEnd w:id="2012"/>
      <w:bookmarkEnd w:id="2013"/>
      <w:bookmarkEnd w:id="2014"/>
      <w:bookmarkEnd w:id="2015"/>
      <w:bookmarkEnd w:id="2016"/>
      <w:bookmarkEnd w:id="2017"/>
    </w:p>
    <w:p>
      <w:pPr>
        <w:pStyle w:val="ManualHeading2"/>
      </w:pPr>
      <w:bookmarkStart w:id="2018" w:name="_Toc524628343"/>
      <w:bookmarkStart w:id="2019" w:name="_Toc8833616"/>
      <w:bookmarkStart w:id="2020" w:name="_Toc8835443"/>
      <w:bookmarkStart w:id="2021" w:name="_Toc8834073"/>
      <w:bookmarkStart w:id="2022" w:name="_Toc8909536"/>
      <w:bookmarkStart w:id="2023" w:name="_Toc8910748"/>
      <w:bookmarkStart w:id="2024" w:name="_Toc8911785"/>
      <w:bookmarkStart w:id="2025" w:name="_Toc8974606"/>
      <w:bookmarkStart w:id="2026" w:name="_Toc9008259"/>
      <w:bookmarkStart w:id="2027" w:name="_Toc9008662"/>
      <w:bookmarkStart w:id="2028" w:name="_Toc9348658"/>
      <w:bookmarkStart w:id="2029" w:name="_Toc9608109"/>
      <w:bookmarkStart w:id="2030" w:name="_Toc16000681"/>
      <w:r>
        <w:t>2.1.</w:t>
      </w:r>
      <w:r>
        <w:tab/>
        <w:t>Trade in Goods</w:t>
      </w:r>
      <w:bookmarkEnd w:id="2018"/>
      <w:bookmarkEnd w:id="2019"/>
      <w:bookmarkEnd w:id="2020"/>
      <w:bookmarkEnd w:id="2021"/>
      <w:bookmarkEnd w:id="2022"/>
      <w:bookmarkEnd w:id="2023"/>
      <w:bookmarkEnd w:id="2024"/>
      <w:bookmarkEnd w:id="2025"/>
      <w:bookmarkEnd w:id="2026"/>
      <w:bookmarkEnd w:id="2027"/>
      <w:bookmarkEnd w:id="2028"/>
      <w:bookmarkEnd w:id="2029"/>
      <w:bookmarkEnd w:id="2030"/>
    </w:p>
    <w:p>
      <w:pPr>
        <w:jc w:val="both"/>
        <w:rPr>
          <w:rFonts w:eastAsia="Times New Roman"/>
          <w:b/>
          <w:noProof/>
        </w:rPr>
      </w:pPr>
      <w:r>
        <w:rPr>
          <w:noProof/>
          <w:lang w:eastAsia="en-GB"/>
        </w:rPr>
        <w:drawing>
          <wp:inline distT="0" distB="0" distL="0" distR="0">
            <wp:extent cx="5760720" cy="2569210"/>
            <wp:effectExtent l="0" t="0" r="11430" b="254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jc w:val="both"/>
        <w:rPr>
          <w:rFonts w:eastAsia="Times New Roman"/>
          <w:noProof/>
        </w:rPr>
      </w:pPr>
    </w:p>
    <w:p>
      <w:pPr>
        <w:jc w:val="both"/>
        <w:rPr>
          <w:rFonts w:eastAsia="Times New Roman"/>
          <w:noProof/>
        </w:rPr>
      </w:pPr>
      <w:r>
        <w:rPr>
          <w:rFonts w:eastAsia="Times New Roman"/>
          <w:noProof/>
        </w:rPr>
        <w:t>In 2018 the EU was Jordan’s largest trade partner, representing 21.5% of its total trade. The EU was the largest importer into Jordan with a 16.8% market share. It was, however, only Jordan’s 7</w:t>
      </w:r>
      <w:r>
        <w:rPr>
          <w:rFonts w:eastAsia="Times New Roman"/>
          <w:noProof/>
          <w:vertAlign w:val="superscript"/>
        </w:rPr>
        <w:t>th</w:t>
      </w:r>
      <w:r>
        <w:rPr>
          <w:rFonts w:eastAsia="Times New Roman"/>
          <w:noProof/>
        </w:rPr>
        <w:t xml:space="preserve"> largest export market behind the US, India and regional players, including Saudi Arabia, Iraq and the UAE. The value of trade in goods between the EU and Jordan has increased in both directions since the Agreement entered into force, from €2.4 billion in 2002 to  €3.87 billion in 2018. </w:t>
      </w:r>
    </w:p>
    <w:p>
      <w:pPr>
        <w:jc w:val="both"/>
        <w:rPr>
          <w:rFonts w:eastAsia="Times New Roman"/>
          <w:noProof/>
        </w:rPr>
      </w:pPr>
    </w:p>
    <w:p>
      <w:pPr>
        <w:jc w:val="both"/>
        <w:rPr>
          <w:rFonts w:eastAsia="Calibri"/>
          <w:noProof/>
        </w:rPr>
      </w:pPr>
      <w:r>
        <w:rPr>
          <w:rFonts w:eastAsia="Calibri"/>
          <w:noProof/>
        </w:rPr>
        <w:t>In 2018, the outlook for EU-Jordan trade reflects the concerns of the state of the Jordanian economy, with consumption levels contracting. Jordan was 64</w:t>
      </w:r>
      <w:r>
        <w:rPr>
          <w:rFonts w:eastAsia="Calibri"/>
          <w:noProof/>
          <w:vertAlign w:val="superscript"/>
        </w:rPr>
        <w:t>th</w:t>
      </w:r>
      <w:r>
        <w:rPr>
          <w:rFonts w:eastAsia="Calibri"/>
          <w:noProof/>
        </w:rPr>
        <w:t xml:space="preserve"> on the list of the EU’s main trading partners, accounting for 0.1 % of the EU’s total trade with the rest of the world. Total trade in goods between the EU and Jordan in 2018 declined by 14% from €4.5 in 2017 to €3.9 billion in 2018. </w:t>
      </w:r>
    </w:p>
    <w:p>
      <w:pPr>
        <w:jc w:val="both"/>
        <w:rPr>
          <w:rFonts w:eastAsia="Calibri"/>
          <w:noProof/>
        </w:rPr>
      </w:pPr>
    </w:p>
    <w:p>
      <w:pPr>
        <w:jc w:val="both"/>
        <w:rPr>
          <w:rFonts w:eastAsia="Times New Roman"/>
          <w:noProof/>
        </w:rPr>
      </w:pPr>
      <w:r>
        <w:rPr>
          <w:rFonts w:eastAsia="Times New Roman"/>
          <w:noProof/>
        </w:rPr>
        <w:t xml:space="preserve">The value of EU exports in goods to Jordan has increased more than EU’s imports. Jordan’s trade deficit with the EU has grown over the period 2002-2018. This is broadly consistent with Jordan’s overall trade pattern. As the largest supplier to Jordan, the EU is also the trading partner with which it has its largest trade deficit – i.e. €3.27 billion (35.8%) of its €9.13 billion total deficit. In 2018 the overall trade in goods deficit of Jordan with the EU decreased by 4.6% when compared to 2017. </w:t>
      </w:r>
    </w:p>
    <w:p>
      <w:pPr>
        <w:jc w:val="both"/>
        <w:rPr>
          <w:rFonts w:eastAsia="Times New Roman"/>
          <w:noProof/>
        </w:rPr>
      </w:pPr>
    </w:p>
    <w:p>
      <w:pPr>
        <w:jc w:val="both"/>
        <w:rPr>
          <w:rFonts w:eastAsia="Times New Roman"/>
          <w:noProof/>
        </w:rPr>
      </w:pPr>
      <w:r>
        <w:rPr>
          <w:rFonts w:eastAsia="Times New Roman"/>
          <w:noProof/>
        </w:rPr>
        <w:t xml:space="preserve">The value of </w:t>
      </w:r>
      <w:r>
        <w:rPr>
          <w:rFonts w:eastAsia="Times New Roman"/>
          <w:noProof/>
          <w:u w:val="single"/>
        </w:rPr>
        <w:t>EU exports</w:t>
      </w:r>
      <w:r>
        <w:rPr>
          <w:rFonts w:eastAsia="Times New Roman"/>
          <w:noProof/>
        </w:rPr>
        <w:t xml:space="preserve"> to Jordan has risen by 80% between 2002 and 2018 (from €2 billion to €3.6 billion in 2018), but show a 13% decline in 2018 compared to 2017. Exports to Jordan have risen year-on-year with the exception of 2009 (financial crisis), 2014 and 2018; which may be related to regional political and economic instability. The most important export </w:t>
      </w:r>
      <w:r>
        <w:rPr>
          <w:rFonts w:eastAsia="Times New Roman"/>
          <w:noProof/>
          <w:u w:val="single"/>
        </w:rPr>
        <w:t>sectors</w:t>
      </w:r>
      <w:r>
        <w:rPr>
          <w:rFonts w:eastAsia="Times New Roman"/>
          <w:noProof/>
        </w:rPr>
        <w:t xml:space="preserve"> were machinery and transport equipment (32.4%), agricultural products (23.3%) and chemicals (16.5%). </w:t>
      </w:r>
    </w:p>
    <w:p>
      <w:pPr>
        <w:jc w:val="both"/>
        <w:rPr>
          <w:rFonts w:eastAsia="Times New Roman"/>
          <w:noProof/>
        </w:rPr>
      </w:pPr>
    </w:p>
    <w:p>
      <w:pPr>
        <w:jc w:val="both"/>
        <w:rPr>
          <w:rFonts w:eastAsia="Calibri"/>
          <w:noProof/>
        </w:rPr>
      </w:pPr>
      <w:r>
        <w:rPr>
          <w:rFonts w:eastAsia="Calibri"/>
          <w:noProof/>
        </w:rPr>
        <w:t>In 2018, the EU imported for €300 million in goods from Jordan, mostly chemicals (36.4%) and textiles and clothing (17.7%).</w:t>
      </w:r>
    </w:p>
    <w:p>
      <w:pPr>
        <w:jc w:val="both"/>
        <w:rPr>
          <w:rFonts w:eastAsia="Times New Roman"/>
          <w:noProof/>
        </w:rPr>
      </w:pPr>
    </w:p>
    <w:p>
      <w:pPr>
        <w:jc w:val="both"/>
        <w:rPr>
          <w:rFonts w:eastAsia="Times New Roman"/>
          <w:noProof/>
        </w:rPr>
      </w:pPr>
      <w:r>
        <w:rPr>
          <w:rFonts w:eastAsia="Times New Roman"/>
          <w:noProof/>
        </w:rPr>
        <w:t xml:space="preserve">The value of </w:t>
      </w:r>
      <w:r>
        <w:rPr>
          <w:rFonts w:eastAsia="Times New Roman"/>
          <w:noProof/>
          <w:u w:val="single"/>
        </w:rPr>
        <w:t>EU imports</w:t>
      </w:r>
      <w:r>
        <w:rPr>
          <w:rFonts w:eastAsia="Times New Roman"/>
          <w:noProof/>
        </w:rPr>
        <w:t xml:space="preserve"> from Jordan has risen from €314 million in 2002 to €358 million in 2017, but declined in 2018 to reach €300 million. Within the lifespan of the agreement the value of imports has fluctuated. In 2015, imports reached an all-time high of €386 million, but have since declined. In8, the most important import </w:t>
      </w:r>
      <w:r>
        <w:rPr>
          <w:rFonts w:eastAsia="Times New Roman"/>
          <w:noProof/>
          <w:u w:val="single"/>
        </w:rPr>
        <w:t>sectors</w:t>
      </w:r>
      <w:r>
        <w:rPr>
          <w:rFonts w:eastAsia="Times New Roman"/>
          <w:noProof/>
        </w:rPr>
        <w:t xml:space="preserve"> were chemicals (</w:t>
      </w:r>
      <w:r>
        <w:rPr>
          <w:rFonts w:eastAsia="Calibri"/>
          <w:noProof/>
        </w:rPr>
        <w:t xml:space="preserve">38.3 %) and textiles and </w:t>
      </w:r>
      <w:r>
        <w:rPr>
          <w:rFonts w:eastAsia="Times New Roman"/>
          <w:noProof/>
        </w:rPr>
        <w:t>clothing (</w:t>
      </w:r>
      <w:r>
        <w:rPr>
          <w:rFonts w:eastAsia="Calibri"/>
          <w:noProof/>
        </w:rPr>
        <w:t>17.8 %).</w:t>
      </w:r>
      <w:r>
        <w:rPr>
          <w:rFonts w:eastAsia="Times New Roman"/>
          <w:noProof/>
        </w:rPr>
        <w:t xml:space="preserve"> </w:t>
      </w:r>
    </w:p>
    <w:p>
      <w:pPr>
        <w:jc w:val="both"/>
        <w:rPr>
          <w:rFonts w:eastAsia="Times New Roman"/>
          <w:noProof/>
        </w:rPr>
      </w:pPr>
    </w:p>
    <w:p>
      <w:pPr>
        <w:pStyle w:val="ManualHeading2"/>
      </w:pPr>
      <w:bookmarkStart w:id="2031" w:name="_Toc524628344"/>
      <w:bookmarkStart w:id="2032" w:name="_Toc8833617"/>
      <w:bookmarkStart w:id="2033" w:name="_Toc8835444"/>
      <w:bookmarkStart w:id="2034" w:name="_Toc8834074"/>
      <w:bookmarkStart w:id="2035" w:name="_Toc8909537"/>
      <w:bookmarkStart w:id="2036" w:name="_Toc8910749"/>
      <w:bookmarkStart w:id="2037" w:name="_Toc8911786"/>
      <w:bookmarkStart w:id="2038" w:name="_Toc8974607"/>
      <w:bookmarkStart w:id="2039" w:name="_Toc9008260"/>
      <w:bookmarkStart w:id="2040" w:name="_Toc9008663"/>
      <w:bookmarkStart w:id="2041" w:name="_Toc9348659"/>
      <w:bookmarkStart w:id="2042" w:name="_Toc9608110"/>
      <w:bookmarkStart w:id="2043" w:name="_Toc16000682"/>
      <w:r>
        <w:t>2.2.</w:t>
      </w:r>
      <w:r>
        <w:tab/>
        <w:t>Trade in agricultural goods</w:t>
      </w:r>
      <w:bookmarkEnd w:id="2031"/>
      <w:bookmarkEnd w:id="2032"/>
      <w:bookmarkEnd w:id="2033"/>
      <w:bookmarkEnd w:id="2034"/>
      <w:bookmarkEnd w:id="2035"/>
      <w:bookmarkEnd w:id="2036"/>
      <w:bookmarkEnd w:id="2037"/>
      <w:bookmarkEnd w:id="2038"/>
      <w:bookmarkEnd w:id="2039"/>
      <w:bookmarkEnd w:id="2040"/>
      <w:bookmarkEnd w:id="2041"/>
      <w:bookmarkEnd w:id="2042"/>
      <w:bookmarkEnd w:id="2043"/>
    </w:p>
    <w:p>
      <w:pPr>
        <w:jc w:val="both"/>
        <w:rPr>
          <w:noProof/>
        </w:rPr>
      </w:pPr>
      <w:r>
        <w:rPr>
          <w:rFonts w:eastAsia="Times New Roman"/>
          <w:noProof/>
        </w:rPr>
        <w:t>Total trade in agricultural products between the EU and Jordan increased more than eight times between 2003 and 2018, from €0.1 billion in 2003 to €0.87 billion in 2018. Between 2017 and 2018, EU agricultural exports remained stable. EU imports decreased (5%) from €45 million in 2017 to €43 million in 2018. In 2018 the EU mainly exported wheat, live animals, chocolate and infant food a</w:t>
      </w:r>
      <w:r>
        <w:rPr>
          <w:noProof/>
        </w:rPr>
        <w:t xml:space="preserve">nd other cereals, flour, starch or milk preparations to Jordan. The EU's key agricultural imports from Jordan were cigars and cigarettes, vegetables and preparations of vegetables, fruits and nuts. </w:t>
      </w:r>
    </w:p>
    <w:p>
      <w:pPr>
        <w:jc w:val="both"/>
        <w:rPr>
          <w:rFonts w:eastAsia="Times New Roman"/>
          <w:noProof/>
        </w:rPr>
      </w:pPr>
    </w:p>
    <w:p>
      <w:pPr>
        <w:jc w:val="both"/>
        <w:rPr>
          <w:rFonts w:eastAsia="Times New Roman"/>
          <w:noProof/>
        </w:rPr>
      </w:pPr>
      <w:r>
        <w:rPr>
          <w:rFonts w:eastAsia="Times New Roman"/>
          <w:noProof/>
        </w:rPr>
        <w:t xml:space="preserve">Regarding agricultural tariff rate quotas (TRQs), Jordan’s 2018 fill rate of the two TRQs on virgin olive oil and fresh cut flowers and buds was close to 0% (very low imports of virgin olive oil – 229 kg in 2018 and 48 kg in 2019 until 10/04; no imports of fresh cut flowers). </w:t>
      </w:r>
    </w:p>
    <w:p>
      <w:pPr>
        <w:rPr>
          <w:noProof/>
          <w:lang w:eastAsia="en-GB"/>
        </w:rPr>
      </w:pPr>
    </w:p>
    <w:p>
      <w:pPr>
        <w:pStyle w:val="ManualHeading2"/>
      </w:pPr>
      <w:bookmarkStart w:id="2044" w:name="_Toc524628346"/>
      <w:bookmarkStart w:id="2045" w:name="_Toc8833619"/>
      <w:bookmarkStart w:id="2046" w:name="_Toc8835446"/>
      <w:bookmarkStart w:id="2047" w:name="_Toc8834076"/>
      <w:bookmarkStart w:id="2048" w:name="_Toc8909539"/>
      <w:bookmarkStart w:id="2049" w:name="_Toc8910751"/>
      <w:bookmarkStart w:id="2050" w:name="_Toc8911788"/>
      <w:bookmarkStart w:id="2051" w:name="_Toc8974609"/>
      <w:bookmarkStart w:id="2052" w:name="_Toc9008262"/>
      <w:bookmarkStart w:id="2053" w:name="_Toc9008665"/>
      <w:bookmarkStart w:id="2054" w:name="_Toc9348661"/>
      <w:bookmarkStart w:id="2055" w:name="_Toc9608112"/>
      <w:bookmarkStart w:id="2056" w:name="_Toc16000683"/>
      <w:r>
        <w:t>2.3.</w:t>
      </w:r>
      <w:r>
        <w:tab/>
        <w:t>Trade in Services and Investment</w:t>
      </w:r>
      <w:bookmarkEnd w:id="2044"/>
      <w:bookmarkEnd w:id="2045"/>
      <w:bookmarkEnd w:id="2046"/>
      <w:bookmarkEnd w:id="2047"/>
      <w:bookmarkEnd w:id="2048"/>
      <w:bookmarkEnd w:id="2049"/>
      <w:bookmarkEnd w:id="2050"/>
      <w:bookmarkEnd w:id="2051"/>
      <w:bookmarkEnd w:id="2052"/>
      <w:bookmarkEnd w:id="2053"/>
      <w:bookmarkEnd w:id="2054"/>
      <w:bookmarkEnd w:id="2055"/>
      <w:bookmarkEnd w:id="2056"/>
    </w:p>
    <w:p>
      <w:pPr>
        <w:jc w:val="both"/>
        <w:rPr>
          <w:rFonts w:eastAsia="Times New Roman"/>
          <w:noProof/>
        </w:rPr>
      </w:pPr>
      <w:r>
        <w:rPr>
          <w:rFonts w:eastAsia="Times New Roman"/>
          <w:noProof/>
        </w:rPr>
        <w:t xml:space="preserve">In 2017 </w:t>
      </w:r>
      <w:r>
        <w:rPr>
          <w:rFonts w:eastAsia="Times New Roman"/>
          <w:b/>
          <w:noProof/>
        </w:rPr>
        <w:t>trade in services</w:t>
      </w:r>
      <w:r>
        <w:rPr>
          <w:rFonts w:eastAsia="Times New Roman"/>
          <w:noProof/>
        </w:rPr>
        <w:t xml:space="preserve"> between the EU and Jordan was worth €1.5 billion. There has been an overall decline in the value of services imported from Jordan from €0.6 billion in 2010 to €0.5 billion in 2017, due to instability in the region. Over the same time period, EU services exports to Jordan increased from €0.6 billion to €1.0 billion. Jordan’s services exports are dominated by services in the travel sector, while Jordan’s imports of services are dominated by the transport sector.</w:t>
      </w:r>
    </w:p>
    <w:p>
      <w:pPr>
        <w:jc w:val="both"/>
        <w:rPr>
          <w:rFonts w:eastAsia="Times New Roman"/>
          <w:noProof/>
        </w:rPr>
      </w:pPr>
    </w:p>
    <w:p>
      <w:pPr>
        <w:jc w:val="both"/>
        <w:rPr>
          <w:rFonts w:eastAsia="Times New Roman"/>
          <w:noProof/>
        </w:rPr>
      </w:pPr>
      <w:r>
        <w:rPr>
          <w:rFonts w:eastAsia="Times New Roman"/>
          <w:noProof/>
        </w:rPr>
        <w:t xml:space="preserve">In 2017, </w:t>
      </w:r>
      <w:r>
        <w:rPr>
          <w:rFonts w:eastAsia="Times New Roman"/>
          <w:b/>
          <w:noProof/>
        </w:rPr>
        <w:t>FDI</w:t>
      </w:r>
      <w:r>
        <w:rPr>
          <w:rFonts w:eastAsia="Times New Roman"/>
          <w:noProof/>
        </w:rPr>
        <w:t xml:space="preserve"> stocks were worth €4.3 billion (i.e. €3.3 billion of EU FDI in Jordan and €1 billion of Jordanian FDI in the EU). According to the World Bank 2019 "Ease of Doing Business" index which ranks 190 countries, Jordan ranked 104</w:t>
      </w:r>
      <w:r>
        <w:rPr>
          <w:rFonts w:eastAsia="Times New Roman"/>
          <w:noProof/>
          <w:vertAlign w:val="superscript"/>
        </w:rPr>
        <w:t>th</w:t>
      </w:r>
      <w:r>
        <w:rPr>
          <w:rFonts w:eastAsia="Times New Roman"/>
          <w:noProof/>
        </w:rPr>
        <w:t xml:space="preserve"> in the world for overall ease of doing business, with a distance to frontier (DTF)</w:t>
      </w:r>
      <w:r>
        <w:rPr>
          <w:rFonts w:eastAsia="Times New Roman"/>
          <w:noProof/>
          <w:vertAlign w:val="superscript"/>
        </w:rPr>
        <w:footnoteReference w:id="59"/>
      </w:r>
      <w:r>
        <w:rPr>
          <w:rFonts w:eastAsia="Times New Roman"/>
          <w:noProof/>
        </w:rPr>
        <w:t xml:space="preserve"> score of 60.98 out of 100 – an increase of 1.42 in DTF score compared to 2018.</w:t>
      </w:r>
    </w:p>
    <w:p>
      <w:pPr>
        <w:pStyle w:val="ManualHeading1"/>
      </w:pPr>
      <w:bookmarkStart w:id="2057" w:name="_Toc8833620"/>
      <w:bookmarkStart w:id="2058" w:name="_Toc8835447"/>
      <w:bookmarkStart w:id="2059" w:name="_Toc8834077"/>
      <w:bookmarkStart w:id="2060" w:name="_Toc8909540"/>
      <w:bookmarkStart w:id="2061" w:name="_Toc8910752"/>
      <w:bookmarkStart w:id="2062" w:name="_Toc8911789"/>
      <w:bookmarkStart w:id="2063" w:name="_Toc8974610"/>
      <w:bookmarkStart w:id="2064" w:name="_Toc9008263"/>
      <w:bookmarkStart w:id="2065" w:name="_Toc9008666"/>
      <w:bookmarkStart w:id="2066" w:name="_Toc9348662"/>
      <w:bookmarkStart w:id="2067" w:name="_Toc9608113"/>
      <w:bookmarkStart w:id="2068" w:name="_Toc16000684"/>
      <w:r>
        <w:t>3.</w:t>
      </w:r>
      <w:r>
        <w:tab/>
        <w:t>Issues addressed in the Annual (Joint Committee/Trade Committee) meeting</w:t>
      </w:r>
      <w:bookmarkEnd w:id="2057"/>
      <w:bookmarkEnd w:id="2058"/>
      <w:bookmarkEnd w:id="2059"/>
      <w:bookmarkEnd w:id="2060"/>
      <w:bookmarkEnd w:id="2061"/>
      <w:bookmarkEnd w:id="2062"/>
      <w:bookmarkEnd w:id="2063"/>
      <w:bookmarkEnd w:id="2064"/>
      <w:bookmarkEnd w:id="2065"/>
      <w:bookmarkEnd w:id="2066"/>
      <w:bookmarkEnd w:id="2067"/>
      <w:bookmarkEnd w:id="2068"/>
    </w:p>
    <w:p>
      <w:pPr>
        <w:jc w:val="both"/>
        <w:rPr>
          <w:noProof/>
        </w:rPr>
      </w:pPr>
      <w:r>
        <w:rPr>
          <w:noProof/>
        </w:rPr>
        <w:t>There were no sub-committee meetings in 2018. The latest committee meeting took place in 2017 and were reported in the 2018 Staff Working Document (SWD (2018)454 Final) attached to the 2018 Report on the implementation of Free Trade Agreements.</w:t>
      </w:r>
    </w:p>
    <w:p>
      <w:pPr>
        <w:pStyle w:val="ManualHeading1"/>
      </w:pPr>
      <w:bookmarkStart w:id="2069" w:name="_Toc8909541"/>
      <w:bookmarkStart w:id="2070" w:name="_Toc8910753"/>
      <w:bookmarkStart w:id="2071" w:name="_Toc8911790"/>
      <w:bookmarkStart w:id="2072" w:name="_Toc8974611"/>
      <w:bookmarkStart w:id="2073" w:name="_Toc8833621"/>
      <w:bookmarkStart w:id="2074" w:name="_Toc8835448"/>
      <w:bookmarkStart w:id="2075" w:name="_Toc8834078"/>
      <w:bookmarkStart w:id="2076" w:name="_Toc9008264"/>
      <w:bookmarkStart w:id="2077" w:name="_Toc9008667"/>
      <w:bookmarkStart w:id="2078" w:name="_Toc9348663"/>
      <w:bookmarkStart w:id="2079" w:name="_Toc9608114"/>
      <w:bookmarkStart w:id="2080" w:name="_Toc16000685"/>
      <w:r>
        <w:t>4.</w:t>
      </w:r>
      <w:r>
        <w:tab/>
        <w:t>Specific areas of importance</w:t>
      </w:r>
      <w:bookmarkEnd w:id="2069"/>
      <w:bookmarkEnd w:id="2070"/>
      <w:bookmarkEnd w:id="2071"/>
      <w:bookmarkEnd w:id="2072"/>
      <w:bookmarkEnd w:id="2073"/>
      <w:bookmarkEnd w:id="2074"/>
      <w:bookmarkEnd w:id="2075"/>
      <w:bookmarkEnd w:id="2076"/>
      <w:bookmarkEnd w:id="2077"/>
      <w:bookmarkEnd w:id="2078"/>
      <w:bookmarkEnd w:id="2079"/>
      <w:bookmarkEnd w:id="2080"/>
    </w:p>
    <w:p>
      <w:pPr>
        <w:jc w:val="both"/>
        <w:rPr>
          <w:rFonts w:eastAsia="Times New Roman"/>
          <w:noProof/>
          <w:szCs w:val="20"/>
        </w:rPr>
      </w:pPr>
      <w:r>
        <w:rPr>
          <w:rFonts w:eastAsia="Times New Roman"/>
          <w:noProof/>
          <w:szCs w:val="20"/>
        </w:rPr>
        <w:t xml:space="preserve">The </w:t>
      </w:r>
      <w:r>
        <w:rPr>
          <w:rFonts w:eastAsia="Times New Roman"/>
          <w:b/>
          <w:noProof/>
          <w:szCs w:val="20"/>
        </w:rPr>
        <w:t>protracted Syrian crisis</w:t>
      </w:r>
      <w:r>
        <w:rPr>
          <w:rFonts w:eastAsia="Times New Roman"/>
          <w:noProof/>
          <w:szCs w:val="20"/>
        </w:rPr>
        <w:t xml:space="preserve"> has had serious consequences for the Jordanian economy and its trade. The closure of traditional trade routes resulted in significant losses and downscaling of production for the export market. The presence of over 650,000 Syrian refugees in Jordan</w:t>
      </w:r>
      <w:r>
        <w:rPr>
          <w:rStyle w:val="FootnoteReference"/>
          <w:rFonts w:eastAsia="Times New Roman"/>
          <w:noProof/>
          <w:szCs w:val="20"/>
        </w:rPr>
        <w:footnoteReference w:id="60"/>
      </w:r>
      <w:r>
        <w:rPr>
          <w:rFonts w:eastAsia="Times New Roman"/>
          <w:noProof/>
          <w:szCs w:val="20"/>
        </w:rPr>
        <w:t xml:space="preserve"> has compounded existing economic grievances. In the absence of sufficient reform to the regulatory environment, attracting foreign investments to offset the negative trend has proven difficult. In 2016, Jordan agreed with the IMF on a three-year programme foreseeing long-delayed structural reforms. Additionally, Jordan (together with Tunisia) continued to benefit from Macro-Financial Assistance (MFA) from the EU and the country is currently implementing a second MFA operation aimed at strengthening the its foreign exchange reserve position and meeting its balance of payments and budgetary financing needs. In order to address the problems caused by the Syrian crisis, the EU provided Jordan with a package of support, including the </w:t>
      </w:r>
      <w:r>
        <w:rPr>
          <w:rFonts w:eastAsia="Times New Roman"/>
          <w:b/>
          <w:noProof/>
          <w:szCs w:val="20"/>
        </w:rPr>
        <w:t>simplification of the rules of origin applicable to Jordanian exports to the EU and trade support programs</w:t>
      </w:r>
      <w:r>
        <w:rPr>
          <w:rFonts w:eastAsia="Times New Roman"/>
          <w:noProof/>
          <w:szCs w:val="20"/>
        </w:rPr>
        <w:t xml:space="preserve">. The initiative to simplify rules of origin was agreed in July 2016 and, based on Jordan’s request for additional flexibility, further reviewed in December 2018. Under the initiative, </w:t>
      </w:r>
      <w:r>
        <w:rPr>
          <w:rFonts w:eastAsia="Times New Roman"/>
          <w:b/>
          <w:noProof/>
          <w:szCs w:val="20"/>
        </w:rPr>
        <w:t>Jordanian exporters to the EU can now benefit from the same rules of origin for manufactured products as those applied by the EU for the Least Developed Countries</w:t>
      </w:r>
      <w:r>
        <w:rPr>
          <w:rFonts w:eastAsia="Times New Roman"/>
          <w:noProof/>
          <w:szCs w:val="20"/>
        </w:rPr>
        <w:t xml:space="preserve">, provided that certain conditions are met. These rules are simpler than those that would otherwise apply under the Agreement. The simplification applies to 52 product groups. To qualify to use the simpler rules, production must take place in the territory of Jordan and Syrian refugees must also account for no less than 15% of a manufacturer’s workforce. The parties have also foreseen a possibility </w:t>
      </w:r>
      <w:r>
        <w:rPr>
          <w:rStyle w:val="A4"/>
          <w:rFonts w:ascii="Times New Roman" w:hAnsi="Times New Roman" w:cs="Times New Roman"/>
          <w:bCs/>
          <w:noProof/>
        </w:rPr>
        <w:t xml:space="preserve">to extend the scheme to all companies operating in Jordan (without the 15% requirement as above) once Jordan reaches a target of 60,000 legal and active jobs for Syrian refugees. </w:t>
      </w:r>
      <w:r>
        <w:rPr>
          <w:rFonts w:eastAsia="Times New Roman"/>
          <w:noProof/>
          <w:szCs w:val="20"/>
        </w:rPr>
        <w:t xml:space="preserve">The scheme will apply until 2030. </w:t>
      </w:r>
      <w:r>
        <w:rPr>
          <w:rFonts w:eastAsia="Calibri"/>
          <w:noProof/>
        </w:rPr>
        <w:t>The government of Jordan has also agreed to put in place specific monitoring procedures to ensure companies who benefit comply with all the requirements of the scheme. Monitoring and capacity building for the Ministry of Labour will be carried out by the International Labour Organisation (ILO).</w:t>
      </w:r>
    </w:p>
    <w:p>
      <w:pPr>
        <w:jc w:val="both"/>
        <w:rPr>
          <w:bCs/>
          <w:noProof/>
        </w:rPr>
      </w:pPr>
    </w:p>
    <w:p>
      <w:pPr>
        <w:jc w:val="both"/>
        <w:rPr>
          <w:bCs/>
          <w:noProof/>
        </w:rPr>
      </w:pPr>
      <w:r>
        <w:rPr>
          <w:bCs/>
          <w:noProof/>
        </w:rPr>
        <w:t>Regarding the</w:t>
      </w:r>
      <w:r>
        <w:rPr>
          <w:b/>
          <w:bCs/>
          <w:noProof/>
        </w:rPr>
        <w:t xml:space="preserve"> Rules of Origin initiative </w:t>
      </w:r>
      <w:r>
        <w:rPr>
          <w:bCs/>
          <w:noProof/>
        </w:rPr>
        <w:t xml:space="preserve">there is interest on both sides to further incentivise economic operators to use the scheme. Thirteen companies have already registered and six of them exported their products into the EU for a total value of €19.26 million. </w:t>
      </w:r>
    </w:p>
    <w:p>
      <w:pPr>
        <w:jc w:val="both"/>
        <w:rPr>
          <w:rFonts w:eastAsia="Times New Roman"/>
          <w:noProof/>
        </w:rPr>
      </w:pPr>
    </w:p>
    <w:p>
      <w:pPr>
        <w:jc w:val="both"/>
        <w:rPr>
          <w:rFonts w:eastAsia="Times New Roman"/>
          <w:noProof/>
        </w:rPr>
      </w:pPr>
      <w:r>
        <w:rPr>
          <w:rFonts w:eastAsia="Times New Roman"/>
          <w:noProof/>
        </w:rPr>
        <w:t xml:space="preserve">A renewed </w:t>
      </w:r>
      <w:r>
        <w:rPr>
          <w:rFonts w:eastAsia="Times New Roman"/>
          <w:b/>
          <w:noProof/>
        </w:rPr>
        <w:t>effort towards enhancing regulatory coherence</w:t>
      </w:r>
      <w:r>
        <w:rPr>
          <w:rFonts w:eastAsia="Times New Roman"/>
          <w:noProof/>
        </w:rPr>
        <w:t xml:space="preserve"> features among the </w:t>
      </w:r>
      <w:r>
        <w:rPr>
          <w:rFonts w:eastAsia="Times New Roman"/>
          <w:b/>
          <w:noProof/>
        </w:rPr>
        <w:t>Partnership Priorities</w:t>
      </w:r>
      <w:r>
        <w:rPr>
          <w:rFonts w:eastAsia="Times New Roman"/>
          <w:noProof/>
        </w:rPr>
        <w:t xml:space="preserve"> adopted in December 2016</w:t>
      </w:r>
      <w:r>
        <w:rPr>
          <w:rFonts w:eastAsia="Times New Roman"/>
          <w:noProof/>
          <w:vertAlign w:val="superscript"/>
        </w:rPr>
        <w:footnoteReference w:id="61"/>
      </w:r>
      <w:r>
        <w:rPr>
          <w:rFonts w:eastAsia="Times New Roman"/>
          <w:noProof/>
        </w:rPr>
        <w:t xml:space="preserve"> . The Priorities, which also cover actions to enhance Jordan’s social and economic resilience, were extended until the end of 2020. The EU seeks to work with Jordan to promote a stronger, more competitive economy whereby an enhanced trade and investment climate will encourage and enable Jordanian enterprises to take better advantage of preferential access to the EU market and thus will act as a powerful incentive for job creation. Cooperation also covers the area of skills development and related educational reform to promote the productive contribution of young people to the economy. </w:t>
      </w:r>
    </w:p>
    <w:p>
      <w:pPr>
        <w:jc w:val="both"/>
        <w:rPr>
          <w:rFonts w:eastAsia="Times New Roman"/>
          <w:noProof/>
        </w:rPr>
      </w:pPr>
    </w:p>
    <w:p>
      <w:pPr>
        <w:jc w:val="both"/>
        <w:rPr>
          <w:rFonts w:eastAsia="Calibri"/>
          <w:noProof/>
        </w:rPr>
      </w:pPr>
      <w:r>
        <w:rPr>
          <w:rFonts w:eastAsia="Calibri"/>
          <w:noProof/>
        </w:rPr>
        <w:t>Trade policy featured prominently in both the government's Renaissance/Nahda Plan and in the five-year growth plan presented during the London Conference of February 2019. The government identified trade as one of the engines for growth, with the aim to grow exports by 5% annually and reduce imports by 15% by the end of 2020. In the coming 3 years the government plans to work towards the following objectives: i) providing technical assistance and financial incentives for companies that export utilising Jordanian workers; ii) establishing a company that is concerned with export promotion; iii) rehabilitating border crossings with Syria, Iraq and Palestine; establishing a Jordanian–Iraqi joint free zone close to both borders; and iv) expanding the scope of insurance coverage for Jordanian exporters within the export credit guarantee program to reach 100 million Dinars annually by the end of 2020. The government is also requesting support in its efforts to reform the national quality infrastructure and attract FDI.</w:t>
      </w:r>
    </w:p>
    <w:p>
      <w:pPr>
        <w:jc w:val="both"/>
        <w:rPr>
          <w:rFonts w:eastAsia="Calibri"/>
          <w:noProof/>
        </w:rPr>
      </w:pPr>
    </w:p>
    <w:p>
      <w:pPr>
        <w:jc w:val="both"/>
        <w:rPr>
          <w:noProof/>
        </w:rPr>
      </w:pPr>
      <w:r>
        <w:rPr>
          <w:noProof/>
        </w:rPr>
        <w:t>Jordan is also working on approximating its standards to EU standards. The Jordan Food and Drug Administration was active in early 2017 on undertaking steps for alignment to EU technical regulations and SPS standards. Two expert missions were conducted to determine the needs and potential technical assistance.</w:t>
      </w:r>
    </w:p>
    <w:p>
      <w:pPr>
        <w:jc w:val="both"/>
        <w:rPr>
          <w:noProof/>
        </w:rPr>
      </w:pPr>
    </w:p>
    <w:p>
      <w:pPr>
        <w:jc w:val="both"/>
        <w:rPr>
          <w:rFonts w:eastAsia="Calibri"/>
          <w:noProof/>
        </w:rPr>
      </w:pPr>
      <w:r>
        <w:rPr>
          <w:rFonts w:eastAsia="Calibri"/>
          <w:noProof/>
        </w:rPr>
        <w:t>On trade-related assistance, the EU continued to provide direct and indirect assistance. The EU is also providing one million euros to the Jordan Standards and Metrology Organisation for capacity-building for accreditation and market surveillance. Progress is being made on regulatory approximation in preparation of the possible launch of an Agreement on Conformity Assessment and Acceptance (ACAA). In addition, to support the government's objectives, the EU is also preparing to sign a programme with the International Finance Cooperation/World Bank Group for technical assistance for the review of Jordan's national quality infrastructure.</w:t>
      </w:r>
    </w:p>
    <w:p>
      <w:pPr>
        <w:jc w:val="both"/>
        <w:rPr>
          <w:rFonts w:eastAsia="Calibri"/>
          <w:noProof/>
        </w:rPr>
      </w:pPr>
    </w:p>
    <w:p>
      <w:pPr>
        <w:jc w:val="both"/>
        <w:rPr>
          <w:rFonts w:eastAsia="Times New Roman"/>
          <w:noProof/>
          <w:szCs w:val="20"/>
          <w:u w:val="single"/>
        </w:rPr>
      </w:pPr>
      <w:r>
        <w:rPr>
          <w:rFonts w:eastAsia="Times New Roman"/>
          <w:noProof/>
          <w:szCs w:val="20"/>
        </w:rPr>
        <w:t>Trade-related assistance projects to improve the trade and investment climate also include a €55 million Private Sector Development programme comprising a budget support component, technical assistance to the Government and company-level assistance for the private sector. There is a further project to support entrepreneurship in the north of Jordan, the region most strongly affected by the influx of refugees. It aims at stimulating innovation, increasing the competitiveness of Jordanian exports and supporting the Rules of Origin initiative.</w:t>
      </w:r>
    </w:p>
    <w:p>
      <w:pPr>
        <w:pStyle w:val="ManualHeading1"/>
      </w:pPr>
      <w:bookmarkStart w:id="2081" w:name="_Toc8833622"/>
      <w:bookmarkStart w:id="2082" w:name="_Toc8835449"/>
      <w:bookmarkStart w:id="2083" w:name="_Toc8834079"/>
      <w:bookmarkStart w:id="2084" w:name="_Toc8909542"/>
      <w:bookmarkStart w:id="2085" w:name="_Toc8910754"/>
      <w:bookmarkStart w:id="2086" w:name="_Toc8911791"/>
      <w:bookmarkStart w:id="2087" w:name="_Toc8974612"/>
      <w:bookmarkStart w:id="2088" w:name="_Toc9008265"/>
      <w:bookmarkStart w:id="2089" w:name="_Toc9008668"/>
      <w:bookmarkStart w:id="2090" w:name="_Toc9348664"/>
      <w:bookmarkStart w:id="2091" w:name="_Toc9608115"/>
      <w:bookmarkStart w:id="2092" w:name="_Toc16000686"/>
      <w:r>
        <w:t>5.</w:t>
      </w:r>
      <w:r>
        <w:tab/>
        <w:t>Progress made, main open issues and follow-up actions</w:t>
      </w:r>
      <w:bookmarkEnd w:id="2081"/>
      <w:bookmarkEnd w:id="2082"/>
      <w:bookmarkEnd w:id="2083"/>
      <w:bookmarkEnd w:id="2084"/>
      <w:bookmarkEnd w:id="2085"/>
      <w:bookmarkEnd w:id="2086"/>
      <w:bookmarkEnd w:id="2087"/>
      <w:bookmarkEnd w:id="2088"/>
      <w:bookmarkEnd w:id="2089"/>
      <w:bookmarkEnd w:id="2090"/>
      <w:bookmarkEnd w:id="2091"/>
      <w:bookmarkEnd w:id="2092"/>
    </w:p>
    <w:p>
      <w:pPr>
        <w:jc w:val="both"/>
        <w:rPr>
          <w:rFonts w:eastAsia="Times New Roman"/>
          <w:noProof/>
          <w:szCs w:val="20"/>
        </w:rPr>
      </w:pPr>
      <w:r>
        <w:rPr>
          <w:rFonts w:eastAsia="Times New Roman"/>
          <w:noProof/>
          <w:szCs w:val="20"/>
        </w:rPr>
        <w:t xml:space="preserve">Jordan has recently started to be more active in enacting/adopting trade restrictive measures: e.g. Jordan has banned (or significantly reduced) imports of several categories of dairy products. Discussions between the EU side and the relevant authorities are ongoing. </w:t>
      </w:r>
    </w:p>
    <w:p>
      <w:pPr>
        <w:jc w:val="both"/>
        <w:rPr>
          <w:rFonts w:eastAsia="Times New Roman"/>
          <w:noProof/>
          <w:szCs w:val="20"/>
        </w:rPr>
      </w:pPr>
    </w:p>
    <w:p>
      <w:pPr>
        <w:jc w:val="both"/>
        <w:rPr>
          <w:rFonts w:eastAsia="Times New Roman"/>
          <w:noProof/>
          <w:szCs w:val="20"/>
        </w:rPr>
      </w:pPr>
      <w:r>
        <w:rPr>
          <w:rFonts w:eastAsia="Times New Roman"/>
          <w:noProof/>
          <w:szCs w:val="20"/>
        </w:rPr>
        <w:t xml:space="preserve">There is also a continuing difference of views concerning </w:t>
      </w:r>
      <w:r>
        <w:rPr>
          <w:rFonts w:eastAsia="Times New Roman"/>
          <w:b/>
          <w:noProof/>
          <w:szCs w:val="20"/>
        </w:rPr>
        <w:t>Jordan’s commitments on the import conditions for alcoholic drinks</w:t>
      </w:r>
      <w:r>
        <w:rPr>
          <w:rFonts w:eastAsia="Times New Roman"/>
          <w:noProof/>
          <w:szCs w:val="20"/>
        </w:rPr>
        <w:t xml:space="preserve">, arising from the interaction between the initial and the subsequently updated Agreement that brought additional liberalisation of trade in agricultural, processed agricultural and fisheries products. </w:t>
      </w:r>
    </w:p>
    <w:p>
      <w:pPr>
        <w:jc w:val="both"/>
        <w:rPr>
          <w:rFonts w:eastAsia="Times New Roman"/>
          <w:noProof/>
          <w:szCs w:val="20"/>
        </w:rPr>
      </w:pPr>
    </w:p>
    <w:p>
      <w:pPr>
        <w:jc w:val="both"/>
        <w:rPr>
          <w:rFonts w:eastAsia="Times New Roman"/>
          <w:noProof/>
          <w:szCs w:val="20"/>
        </w:rPr>
      </w:pPr>
      <w:r>
        <w:rPr>
          <w:rFonts w:eastAsia="Times New Roman"/>
          <w:noProof/>
          <w:szCs w:val="20"/>
        </w:rPr>
        <w:t xml:space="preserve">Furthermore, there are a number of </w:t>
      </w:r>
      <w:r>
        <w:rPr>
          <w:rFonts w:eastAsia="Times New Roman"/>
          <w:b/>
          <w:noProof/>
          <w:szCs w:val="20"/>
        </w:rPr>
        <w:t>structural issues</w:t>
      </w:r>
      <w:r>
        <w:rPr>
          <w:rFonts w:eastAsia="Times New Roman"/>
          <w:noProof/>
          <w:szCs w:val="20"/>
        </w:rPr>
        <w:t xml:space="preserve"> on the side of Jordan, which prevent the country from taking full advantage of the Agreement, such as a lack of clear trade and development policies and administrative weaknesses. There is a lack of interest from the Jordanian private sector, which still prefers to focus on neighbouring markets as the EU is seen as a highly competitive and demanding market with high regulatory requirements. In addition, production costs in Jordan are high due to water shortages, high electricity prices and transportation costs, which tend to reduce the international competitiveness of goods made in Jordan.</w:t>
      </w:r>
    </w:p>
    <w:p>
      <w:pPr>
        <w:pStyle w:val="ManualHeading1"/>
      </w:pPr>
      <w:bookmarkStart w:id="2093" w:name="_Toc8833623"/>
      <w:bookmarkStart w:id="2094" w:name="_Toc8835450"/>
      <w:bookmarkStart w:id="2095" w:name="_Toc8834080"/>
      <w:bookmarkStart w:id="2096" w:name="_Toc8909543"/>
      <w:bookmarkStart w:id="2097" w:name="_Toc8910755"/>
      <w:bookmarkStart w:id="2098" w:name="_Toc8911792"/>
      <w:bookmarkStart w:id="2099" w:name="_Toc8974613"/>
      <w:bookmarkStart w:id="2100" w:name="_Toc9008266"/>
      <w:bookmarkStart w:id="2101" w:name="_Toc9008669"/>
      <w:bookmarkStart w:id="2102" w:name="_Toc9348665"/>
      <w:bookmarkStart w:id="2103" w:name="_Toc9608116"/>
      <w:bookmarkStart w:id="2104" w:name="_Toc16000687"/>
      <w:r>
        <w:t>6.</w:t>
      </w:r>
      <w:r>
        <w:tab/>
        <w:t>Conclusions and outlook</w:t>
      </w:r>
      <w:bookmarkEnd w:id="2093"/>
      <w:bookmarkEnd w:id="2094"/>
      <w:bookmarkEnd w:id="2095"/>
      <w:bookmarkEnd w:id="2096"/>
      <w:bookmarkEnd w:id="2097"/>
      <w:bookmarkEnd w:id="2098"/>
      <w:bookmarkEnd w:id="2099"/>
      <w:bookmarkEnd w:id="2100"/>
      <w:bookmarkEnd w:id="2101"/>
      <w:bookmarkEnd w:id="2102"/>
      <w:bookmarkEnd w:id="2103"/>
      <w:bookmarkEnd w:id="2104"/>
    </w:p>
    <w:p>
      <w:pPr>
        <w:jc w:val="both"/>
        <w:rPr>
          <w:rFonts w:eastAsia="Times New Roman"/>
          <w:noProof/>
          <w:szCs w:val="20"/>
        </w:rPr>
      </w:pPr>
      <w:r>
        <w:rPr>
          <w:rFonts w:eastAsia="Times New Roman"/>
          <w:noProof/>
          <w:szCs w:val="20"/>
        </w:rPr>
        <w:t xml:space="preserve">Overall the </w:t>
      </w:r>
      <w:r>
        <w:rPr>
          <w:rFonts w:eastAsia="Times New Roman"/>
          <w:b/>
          <w:noProof/>
          <w:szCs w:val="20"/>
        </w:rPr>
        <w:t>value of trade between the EU and Jordan has increased</w:t>
      </w:r>
      <w:r>
        <w:rPr>
          <w:rFonts w:eastAsia="Times New Roman"/>
          <w:noProof/>
          <w:szCs w:val="20"/>
        </w:rPr>
        <w:t xml:space="preserve"> since the Association Agreement has come into force. Goods continue to account for the majority of trade, although services and foreign investment are also present. However, in 2018,</w:t>
      </w:r>
      <w:r>
        <w:rPr>
          <w:rFonts w:eastAsia="Times New Roman"/>
          <w:noProof/>
        </w:rPr>
        <w:t xml:space="preserve"> both </w:t>
      </w:r>
      <w:r>
        <w:rPr>
          <w:rFonts w:eastAsia="Times New Roman"/>
          <w:noProof/>
          <w:szCs w:val="20"/>
        </w:rPr>
        <w:t xml:space="preserve">EU exports to EU </w:t>
      </w:r>
      <w:r>
        <w:rPr>
          <w:rFonts w:eastAsia="Times New Roman"/>
          <w:noProof/>
        </w:rPr>
        <w:t>imports from Jordan</w:t>
      </w:r>
      <w:r>
        <w:rPr>
          <w:rFonts w:eastAsia="Times New Roman"/>
          <w:noProof/>
          <w:szCs w:val="20"/>
        </w:rPr>
        <w:t xml:space="preserve"> have decreased in comparison to 2017. Over the same time period, Jordan’s exports to the EU decreased below the 2002 level. EU exports to Jordan have grown faster than Jordanian exports to the EU, so the Jordanian trade deficit with the EU has increased in the same period, no doubt exacerbated by regional developments. </w:t>
      </w:r>
    </w:p>
    <w:p>
      <w:pPr>
        <w:jc w:val="both"/>
        <w:rPr>
          <w:rFonts w:eastAsia="Times New Roman"/>
          <w:noProof/>
          <w:szCs w:val="20"/>
        </w:rPr>
      </w:pPr>
    </w:p>
    <w:p>
      <w:pPr>
        <w:jc w:val="both"/>
        <w:rPr>
          <w:rFonts w:eastAsia="Times New Roman"/>
          <w:noProof/>
          <w:szCs w:val="20"/>
        </w:rPr>
      </w:pPr>
      <w:r>
        <w:rPr>
          <w:rFonts w:eastAsia="Times New Roman"/>
          <w:noProof/>
          <w:szCs w:val="20"/>
        </w:rPr>
        <w:t xml:space="preserve">The Syria crisis has closed many traditional trade routes used by Jordan. The Decision on relaxation of Rules of Origin, adopted in July 2016 and revised in 2018, was designed to boost Jordanian exports to the EU and to support formal integration of Syrian refugees into the Jordanian economy. Further actions are planned to raise awareness of this initiative and to promote the business opportunities it provides. </w:t>
      </w:r>
    </w:p>
    <w:p>
      <w:pPr>
        <w:jc w:val="both"/>
        <w:rPr>
          <w:rFonts w:eastAsia="Times New Roman"/>
          <w:noProof/>
          <w:szCs w:val="20"/>
        </w:rPr>
      </w:pPr>
    </w:p>
    <w:p>
      <w:pPr>
        <w:jc w:val="both"/>
        <w:rPr>
          <w:rFonts w:eastAsia="Times New Roman"/>
          <w:noProof/>
          <w:szCs w:val="20"/>
        </w:rPr>
      </w:pPr>
      <w:r>
        <w:rPr>
          <w:rFonts w:eastAsia="Times New Roman"/>
          <w:noProof/>
          <w:szCs w:val="20"/>
        </w:rPr>
        <w:t xml:space="preserve">DCFTA negotiations have not yet started, however, the </w:t>
      </w:r>
      <w:r>
        <w:rPr>
          <w:rFonts w:eastAsia="Times New Roman"/>
          <w:b/>
          <w:noProof/>
          <w:szCs w:val="20"/>
        </w:rPr>
        <w:t>importance of the DCFTA to improve the resilience of the Jordanian economy was formally recognised</w:t>
      </w:r>
      <w:r>
        <w:rPr>
          <w:rFonts w:eastAsia="Times New Roman"/>
          <w:noProof/>
          <w:szCs w:val="20"/>
        </w:rPr>
        <w:t xml:space="preserve"> in the Partnership Priorities</w:t>
      </w:r>
      <w:r>
        <w:rPr>
          <w:rFonts w:eastAsia="Times New Roman"/>
          <w:noProof/>
          <w:szCs w:val="20"/>
          <w:vertAlign w:val="superscript"/>
        </w:rPr>
        <w:footnoteReference w:id="62"/>
      </w:r>
      <w:r>
        <w:rPr>
          <w:rFonts w:eastAsia="Times New Roman"/>
          <w:noProof/>
          <w:szCs w:val="20"/>
        </w:rPr>
        <w:t xml:space="preserve">. In the last Sub-Committee on Industry, Trade and Services, Jordan indicated that they preferred to deal with further liberalisation of agriculture, processed agriculture, fisheries and processed fisheries products under the DCFTA when the time is right. </w:t>
      </w:r>
    </w:p>
    <w:p>
      <w:pPr>
        <w:pStyle w:val="ManualHeading1"/>
      </w:pPr>
      <w:bookmarkStart w:id="2105" w:name="_Toc8833624"/>
      <w:bookmarkStart w:id="2106" w:name="_Toc8835451"/>
      <w:bookmarkStart w:id="2107" w:name="_Toc8834081"/>
      <w:bookmarkStart w:id="2108" w:name="_Toc8909544"/>
      <w:bookmarkStart w:id="2109" w:name="_Toc8910756"/>
      <w:bookmarkStart w:id="2110" w:name="_Toc8911793"/>
      <w:bookmarkStart w:id="2111" w:name="_Toc8974614"/>
      <w:bookmarkStart w:id="2112" w:name="_Toc9008267"/>
      <w:bookmarkStart w:id="2113" w:name="_Toc9008670"/>
      <w:bookmarkStart w:id="2114" w:name="_Toc9348666"/>
      <w:bookmarkStart w:id="2115" w:name="_Toc9608117"/>
      <w:bookmarkStart w:id="2116" w:name="_Toc16000688"/>
      <w:r>
        <w:t>7.</w:t>
      </w:r>
      <w:r>
        <w:tab/>
        <w:t>Statistics</w:t>
      </w:r>
      <w:bookmarkEnd w:id="2105"/>
      <w:bookmarkEnd w:id="2106"/>
      <w:bookmarkEnd w:id="2107"/>
      <w:bookmarkEnd w:id="2108"/>
      <w:bookmarkEnd w:id="2109"/>
      <w:bookmarkEnd w:id="2110"/>
      <w:bookmarkEnd w:id="2111"/>
      <w:bookmarkEnd w:id="2112"/>
      <w:bookmarkEnd w:id="2113"/>
      <w:bookmarkEnd w:id="2114"/>
      <w:bookmarkEnd w:id="2115"/>
      <w:bookmarkEnd w:id="2116"/>
    </w:p>
    <w:p>
      <w:pPr>
        <w:rPr>
          <w:noProof/>
        </w:rPr>
      </w:pPr>
    </w:p>
    <w:tbl>
      <w:tblPr>
        <w:tblW w:w="6318" w:type="dxa"/>
        <w:tblInd w:w="108" w:type="dxa"/>
        <w:tblLook w:val="04A0" w:firstRow="1" w:lastRow="0" w:firstColumn="1" w:lastColumn="0" w:noHBand="0" w:noVBand="1"/>
      </w:tblPr>
      <w:tblGrid>
        <w:gridCol w:w="3597"/>
        <w:gridCol w:w="630"/>
        <w:gridCol w:w="630"/>
        <w:gridCol w:w="630"/>
        <w:gridCol w:w="630"/>
        <w:gridCol w:w="733"/>
      </w:tblGrid>
      <w:tr>
        <w:trPr>
          <w:trHeight w:val="210"/>
        </w:trPr>
        <w:tc>
          <w:tcPr>
            <w:tcW w:w="6318"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Merchandise trade EU28 2014-2018</w:t>
            </w:r>
          </w:p>
        </w:tc>
      </w:tr>
      <w:tr>
        <w:trPr>
          <w:trHeight w:val="210"/>
        </w:trPr>
        <w:tc>
          <w:tcPr>
            <w:tcW w:w="3597" w:type="dxa"/>
            <w:tcBorders>
              <w:top w:val="single" w:sz="4" w:space="0" w:color="auto"/>
              <w:left w:val="nil"/>
              <w:bottom w:val="single" w:sz="4" w:space="0" w:color="auto"/>
              <w:right w:val="nil"/>
            </w:tcBorders>
            <w:shd w:val="clear" w:color="000000" w:fill="FFFFFF"/>
            <w:noWrap/>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 </w:t>
            </w:r>
          </w:p>
        </w:tc>
        <w:tc>
          <w:tcPr>
            <w:tcW w:w="497"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497"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497"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497"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733"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r>
      <w:tr>
        <w:trPr>
          <w:trHeight w:val="210"/>
        </w:trPr>
        <w:tc>
          <w:tcPr>
            <w:tcW w:w="3597" w:type="dxa"/>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EU28 trade with Jordan (mio €)</w:t>
            </w:r>
          </w:p>
        </w:tc>
        <w:tc>
          <w:tcPr>
            <w:tcW w:w="497"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n-IE" w:eastAsia="en-IE"/>
              </w:rPr>
            </w:pPr>
          </w:p>
        </w:tc>
        <w:tc>
          <w:tcPr>
            <w:tcW w:w="497"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497"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497"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733"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r>
      <w:tr>
        <w:trPr>
          <w:trHeight w:val="210"/>
        </w:trPr>
        <w:tc>
          <w:tcPr>
            <w:tcW w:w="35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338</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384</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337</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359</w:t>
            </w:r>
          </w:p>
        </w:tc>
        <w:tc>
          <w:tcPr>
            <w:tcW w:w="73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300</w:t>
            </w:r>
          </w:p>
        </w:tc>
      </w:tr>
      <w:tr>
        <w:trPr>
          <w:trHeight w:val="210"/>
        </w:trPr>
        <w:tc>
          <w:tcPr>
            <w:tcW w:w="35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3.672</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3.985</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4.056</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4.105</w:t>
            </w:r>
          </w:p>
        </w:tc>
        <w:tc>
          <w:tcPr>
            <w:tcW w:w="73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3.569</w:t>
            </w:r>
          </w:p>
        </w:tc>
      </w:tr>
      <w:tr>
        <w:trPr>
          <w:trHeight w:val="210"/>
        </w:trPr>
        <w:tc>
          <w:tcPr>
            <w:tcW w:w="35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3.335</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3.601</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3.719</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3.746</w:t>
            </w:r>
          </w:p>
        </w:tc>
        <w:tc>
          <w:tcPr>
            <w:tcW w:w="73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3.269</w:t>
            </w:r>
          </w:p>
        </w:tc>
      </w:tr>
      <w:tr>
        <w:trPr>
          <w:trHeight w:val="210"/>
        </w:trPr>
        <w:tc>
          <w:tcPr>
            <w:tcW w:w="3597" w:type="dxa"/>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Share Jordan in EU28 trade with Extra-EU28</w:t>
            </w:r>
          </w:p>
        </w:tc>
        <w:tc>
          <w:tcPr>
            <w:tcW w:w="497"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n-IE" w:eastAsia="en-IE"/>
              </w:rPr>
            </w:pPr>
          </w:p>
        </w:tc>
        <w:tc>
          <w:tcPr>
            <w:tcW w:w="497"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497"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497"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733"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r>
      <w:tr>
        <w:trPr>
          <w:trHeight w:val="210"/>
        </w:trPr>
        <w:tc>
          <w:tcPr>
            <w:tcW w:w="35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73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r>
      <w:tr>
        <w:trPr>
          <w:trHeight w:val="210"/>
        </w:trPr>
        <w:tc>
          <w:tcPr>
            <w:tcW w:w="35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c>
          <w:tcPr>
            <w:tcW w:w="73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r>
      <w:tr>
        <w:trPr>
          <w:trHeight w:val="210"/>
        </w:trPr>
        <w:tc>
          <w:tcPr>
            <w:tcW w:w="35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73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r>
      <w:tr>
        <w:trPr>
          <w:trHeight w:val="210"/>
        </w:trPr>
        <w:tc>
          <w:tcPr>
            <w:tcW w:w="6318"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Share EU28 in trade Jordan with world</w:t>
            </w:r>
          </w:p>
        </w:tc>
      </w:tr>
      <w:tr>
        <w:trPr>
          <w:trHeight w:val="210"/>
        </w:trPr>
        <w:tc>
          <w:tcPr>
            <w:tcW w:w="35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19,7%</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21,6%</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24,4%</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22,0%</w:t>
            </w:r>
          </w:p>
        </w:tc>
        <w:tc>
          <w:tcPr>
            <w:tcW w:w="73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21,5%</w:t>
            </w:r>
          </w:p>
        </w:tc>
      </w:tr>
      <w:tr>
        <w:trPr>
          <w:trHeight w:val="210"/>
        </w:trPr>
        <w:tc>
          <w:tcPr>
            <w:tcW w:w="35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4,2%</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2,8%</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2,8%</w:t>
            </w:r>
          </w:p>
        </w:tc>
        <w:tc>
          <w:tcPr>
            <w:tcW w:w="73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3,2%</w:t>
            </w:r>
          </w:p>
        </w:tc>
      </w:tr>
      <w:tr>
        <w:trPr>
          <w:trHeight w:val="210"/>
        </w:trPr>
        <w:tc>
          <w:tcPr>
            <w:tcW w:w="35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16,0%</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16,9%</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19,1%</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17,4%</w:t>
            </w:r>
          </w:p>
        </w:tc>
        <w:tc>
          <w:tcPr>
            <w:tcW w:w="73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17,1%</w:t>
            </w:r>
          </w:p>
        </w:tc>
      </w:tr>
      <w:tr>
        <w:trPr>
          <w:trHeight w:val="225"/>
        </w:trPr>
        <w:tc>
          <w:tcPr>
            <w:tcW w:w="4591" w:type="dxa"/>
            <w:gridSpan w:val="3"/>
            <w:tcBorders>
              <w:top w:val="single" w:sz="4" w:space="0" w:color="auto"/>
              <w:left w:val="nil"/>
              <w:bottom w:val="nil"/>
              <w:right w:val="nil"/>
            </w:tcBorders>
            <w:shd w:val="clear" w:color="000000" w:fill="FFFFFF"/>
            <w:noWrap/>
            <w:vAlign w:val="bottom"/>
            <w:hideMark/>
          </w:tcPr>
          <w:p>
            <w:pPr>
              <w:rPr>
                <w:rFonts w:eastAsia="Times New Roman"/>
                <w:noProof/>
                <w:sz w:val="12"/>
                <w:szCs w:val="12"/>
                <w:lang w:val="en-IE" w:eastAsia="en-IE"/>
              </w:rPr>
            </w:pPr>
            <w:r>
              <w:rPr>
                <w:rFonts w:eastAsia="Times New Roman"/>
                <w:noProof/>
                <w:sz w:val="12"/>
                <w:szCs w:val="12"/>
                <w:lang w:val="en-IE" w:eastAsia="en-IE"/>
              </w:rPr>
              <w:t xml:space="preserve">Source Trade G2 Statistics/ISDB </w:t>
            </w:r>
          </w:p>
        </w:tc>
        <w:tc>
          <w:tcPr>
            <w:tcW w:w="497"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497"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733" w:type="dxa"/>
            <w:tcBorders>
              <w:top w:val="single" w:sz="4" w:space="0" w:color="auto"/>
              <w:left w:val="nil"/>
              <w:bottom w:val="nil"/>
              <w:right w:val="nil"/>
            </w:tcBorders>
            <w:shd w:val="clear" w:color="000000" w:fill="FFFFFF"/>
            <w:noWrap/>
            <w:hideMark/>
          </w:tcPr>
          <w:p>
            <w:pPr>
              <w:jc w:val="right"/>
              <w:rPr>
                <w:rFonts w:eastAsia="Times New Roman"/>
                <w:noProof/>
                <w:sz w:val="12"/>
                <w:szCs w:val="12"/>
                <w:lang w:val="en-IE" w:eastAsia="en-IE"/>
              </w:rPr>
            </w:pPr>
            <w:r>
              <w:rPr>
                <w:rFonts w:eastAsia="Times New Roman"/>
                <w:noProof/>
                <w:sz w:val="12"/>
                <w:szCs w:val="12"/>
                <w:lang w:val="en-IE" w:eastAsia="en-IE"/>
              </w:rPr>
              <w:t>25-mars-19</w:t>
            </w:r>
          </w:p>
        </w:tc>
      </w:tr>
      <w:tr>
        <w:trPr>
          <w:trHeight w:val="210"/>
        </w:trPr>
        <w:tc>
          <w:tcPr>
            <w:tcW w:w="5088" w:type="dxa"/>
            <w:gridSpan w:val="4"/>
            <w:tcBorders>
              <w:top w:val="nil"/>
              <w:left w:val="nil"/>
              <w:bottom w:val="nil"/>
              <w:right w:val="nil"/>
            </w:tcBorders>
            <w:shd w:val="clear" w:color="000000" w:fill="FFFFFF"/>
            <w:noWrap/>
            <w:hideMark/>
          </w:tcPr>
          <w:p>
            <w:pPr>
              <w:rPr>
                <w:rFonts w:eastAsia="Times New Roman"/>
                <w:noProof/>
                <w:color w:val="000000"/>
                <w:sz w:val="12"/>
                <w:szCs w:val="12"/>
                <w:lang w:val="fr-BE" w:eastAsia="en-IE"/>
              </w:rPr>
            </w:pPr>
            <w:r>
              <w:rPr>
                <w:rFonts w:eastAsia="Times New Roman"/>
                <w:noProof/>
                <w:color w:val="000000"/>
                <w:sz w:val="12"/>
                <w:szCs w:val="12"/>
                <w:lang w:val="fr-BE" w:eastAsia="en-IE"/>
              </w:rPr>
              <w:t>Trade EU28: Eurostat COMEXT;  Trade Jordan: IMF Dots</w:t>
            </w:r>
          </w:p>
        </w:tc>
        <w:tc>
          <w:tcPr>
            <w:tcW w:w="497"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fr-BE" w:eastAsia="en-IE"/>
              </w:rPr>
            </w:pPr>
            <w:r>
              <w:rPr>
                <w:rFonts w:eastAsia="Times New Roman"/>
                <w:noProof/>
                <w:color w:val="000000"/>
                <w:sz w:val="16"/>
                <w:szCs w:val="16"/>
                <w:lang w:val="fr-BE" w:eastAsia="en-IE"/>
              </w:rPr>
              <w:t> </w:t>
            </w:r>
          </w:p>
        </w:tc>
        <w:tc>
          <w:tcPr>
            <w:tcW w:w="733"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fr-BE" w:eastAsia="en-IE"/>
              </w:rPr>
            </w:pPr>
            <w:r>
              <w:rPr>
                <w:rFonts w:eastAsia="Times New Roman"/>
                <w:noProof/>
                <w:color w:val="000000"/>
                <w:sz w:val="16"/>
                <w:szCs w:val="16"/>
                <w:lang w:val="fr-BE" w:eastAsia="en-IE"/>
              </w:rPr>
              <w:t> </w:t>
            </w:r>
          </w:p>
        </w:tc>
      </w:tr>
      <w:tr>
        <w:trPr>
          <w:trHeight w:val="210"/>
        </w:trPr>
        <w:tc>
          <w:tcPr>
            <w:tcW w:w="3597"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fr-BE" w:eastAsia="en-IE"/>
              </w:rPr>
            </w:pPr>
            <w:r>
              <w:rPr>
                <w:rFonts w:eastAsia="Times New Roman"/>
                <w:noProof/>
                <w:color w:val="000000"/>
                <w:sz w:val="16"/>
                <w:szCs w:val="16"/>
                <w:lang w:val="fr-BE" w:eastAsia="en-IE"/>
              </w:rPr>
              <w:t> </w:t>
            </w:r>
          </w:p>
        </w:tc>
        <w:tc>
          <w:tcPr>
            <w:tcW w:w="497"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fr-BE" w:eastAsia="en-IE"/>
              </w:rPr>
            </w:pPr>
            <w:r>
              <w:rPr>
                <w:rFonts w:eastAsia="Times New Roman"/>
                <w:noProof/>
                <w:color w:val="000000"/>
                <w:sz w:val="16"/>
                <w:szCs w:val="16"/>
                <w:lang w:val="fr-BE" w:eastAsia="en-IE"/>
              </w:rPr>
              <w:t> </w:t>
            </w:r>
          </w:p>
        </w:tc>
        <w:tc>
          <w:tcPr>
            <w:tcW w:w="497"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fr-BE" w:eastAsia="en-IE"/>
              </w:rPr>
            </w:pPr>
            <w:r>
              <w:rPr>
                <w:rFonts w:eastAsia="Times New Roman"/>
                <w:noProof/>
                <w:color w:val="000000"/>
                <w:sz w:val="16"/>
                <w:szCs w:val="16"/>
                <w:lang w:val="fr-BE" w:eastAsia="en-IE"/>
              </w:rPr>
              <w:t> </w:t>
            </w:r>
          </w:p>
        </w:tc>
        <w:tc>
          <w:tcPr>
            <w:tcW w:w="497"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fr-BE" w:eastAsia="en-IE"/>
              </w:rPr>
            </w:pPr>
            <w:r>
              <w:rPr>
                <w:rFonts w:eastAsia="Times New Roman"/>
                <w:noProof/>
                <w:color w:val="000000"/>
                <w:sz w:val="16"/>
                <w:szCs w:val="16"/>
                <w:lang w:val="fr-BE" w:eastAsia="en-IE"/>
              </w:rPr>
              <w:t> </w:t>
            </w:r>
          </w:p>
        </w:tc>
        <w:tc>
          <w:tcPr>
            <w:tcW w:w="497"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fr-BE" w:eastAsia="en-IE"/>
              </w:rPr>
            </w:pPr>
            <w:r>
              <w:rPr>
                <w:rFonts w:eastAsia="Times New Roman"/>
                <w:noProof/>
                <w:color w:val="000000"/>
                <w:sz w:val="16"/>
                <w:szCs w:val="16"/>
                <w:lang w:val="fr-BE" w:eastAsia="en-IE"/>
              </w:rPr>
              <w:t> </w:t>
            </w:r>
          </w:p>
        </w:tc>
        <w:tc>
          <w:tcPr>
            <w:tcW w:w="733"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fr-BE" w:eastAsia="en-IE"/>
              </w:rPr>
            </w:pPr>
            <w:r>
              <w:rPr>
                <w:rFonts w:eastAsia="Times New Roman"/>
                <w:noProof/>
                <w:color w:val="000000"/>
                <w:sz w:val="16"/>
                <w:szCs w:val="16"/>
                <w:lang w:val="fr-BE" w:eastAsia="en-IE"/>
              </w:rPr>
              <w:t> </w:t>
            </w:r>
          </w:p>
        </w:tc>
      </w:tr>
      <w:tr>
        <w:trPr>
          <w:trHeight w:val="225"/>
        </w:trPr>
        <w:tc>
          <w:tcPr>
            <w:tcW w:w="6318"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Total merchandise trade EU28 with Jordan (mio €)</w:t>
            </w:r>
          </w:p>
        </w:tc>
      </w:tr>
      <w:tr>
        <w:trPr>
          <w:trHeight w:val="225"/>
        </w:trPr>
        <w:tc>
          <w:tcPr>
            <w:tcW w:w="4094"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Jordan</w:t>
            </w:r>
          </w:p>
        </w:tc>
        <w:tc>
          <w:tcPr>
            <w:tcW w:w="497"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497"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230"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094"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97"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97"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97"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3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5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359</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300</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-58</w:t>
            </w:r>
          </w:p>
        </w:tc>
        <w:tc>
          <w:tcPr>
            <w:tcW w:w="73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-16,3%</w:t>
            </w:r>
          </w:p>
        </w:tc>
      </w:tr>
      <w:tr>
        <w:trPr>
          <w:trHeight w:val="225"/>
        </w:trPr>
        <w:tc>
          <w:tcPr>
            <w:tcW w:w="35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4.105</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3.569</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-536</w:t>
            </w:r>
          </w:p>
        </w:tc>
        <w:tc>
          <w:tcPr>
            <w:tcW w:w="73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-13,1%</w:t>
            </w:r>
          </w:p>
        </w:tc>
      </w:tr>
      <w:tr>
        <w:trPr>
          <w:trHeight w:val="225"/>
        </w:trPr>
        <w:tc>
          <w:tcPr>
            <w:tcW w:w="35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3.746</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3.269</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-477</w:t>
            </w:r>
          </w:p>
        </w:tc>
        <w:tc>
          <w:tcPr>
            <w:tcW w:w="73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597"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97"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4.463</w:t>
            </w:r>
          </w:p>
        </w:tc>
        <w:tc>
          <w:tcPr>
            <w:tcW w:w="49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3.869</w:t>
            </w:r>
          </w:p>
        </w:tc>
        <w:tc>
          <w:tcPr>
            <w:tcW w:w="49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-594</w:t>
            </w:r>
          </w:p>
        </w:tc>
        <w:tc>
          <w:tcPr>
            <w:tcW w:w="73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-13,3%</w:t>
            </w:r>
          </w:p>
        </w:tc>
      </w:tr>
      <w:tr>
        <w:trPr>
          <w:trHeight w:val="240"/>
        </w:trPr>
        <w:tc>
          <w:tcPr>
            <w:tcW w:w="5088"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497"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733"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6318"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Agrifood trade EU28 with Jordan (mio €)</w:t>
            </w:r>
          </w:p>
        </w:tc>
      </w:tr>
      <w:tr>
        <w:trPr>
          <w:trHeight w:val="255"/>
        </w:trPr>
        <w:tc>
          <w:tcPr>
            <w:tcW w:w="4094"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Jordan</w:t>
            </w:r>
          </w:p>
        </w:tc>
        <w:tc>
          <w:tcPr>
            <w:tcW w:w="497"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497"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230"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094"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97"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97"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97"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3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5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45</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43</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w:t>
            </w:r>
          </w:p>
        </w:tc>
        <w:tc>
          <w:tcPr>
            <w:tcW w:w="73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-5,4%</w:t>
            </w:r>
          </w:p>
        </w:tc>
      </w:tr>
      <w:tr>
        <w:trPr>
          <w:trHeight w:val="225"/>
        </w:trPr>
        <w:tc>
          <w:tcPr>
            <w:tcW w:w="35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767</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764</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w:t>
            </w:r>
          </w:p>
        </w:tc>
        <w:tc>
          <w:tcPr>
            <w:tcW w:w="73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-0,4%</w:t>
            </w:r>
          </w:p>
        </w:tc>
      </w:tr>
      <w:tr>
        <w:trPr>
          <w:trHeight w:val="225"/>
        </w:trPr>
        <w:tc>
          <w:tcPr>
            <w:tcW w:w="35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722</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722</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w:t>
            </w:r>
          </w:p>
        </w:tc>
        <w:tc>
          <w:tcPr>
            <w:tcW w:w="73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597"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813</w:t>
            </w:r>
          </w:p>
        </w:tc>
        <w:tc>
          <w:tcPr>
            <w:tcW w:w="49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807</w:t>
            </w:r>
          </w:p>
        </w:tc>
        <w:tc>
          <w:tcPr>
            <w:tcW w:w="49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w:t>
            </w:r>
          </w:p>
        </w:tc>
        <w:tc>
          <w:tcPr>
            <w:tcW w:w="73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-0,7%</w:t>
            </w:r>
          </w:p>
        </w:tc>
      </w:tr>
      <w:tr>
        <w:trPr>
          <w:trHeight w:val="240"/>
        </w:trPr>
        <w:tc>
          <w:tcPr>
            <w:tcW w:w="5088"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497"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733"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6318"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sv-SE" w:eastAsia="en-IE"/>
              </w:rPr>
            </w:pPr>
            <w:r>
              <w:rPr>
                <w:rFonts w:eastAsia="Times New Roman"/>
                <w:b/>
                <w:bCs/>
                <w:noProof/>
                <w:sz w:val="16"/>
                <w:szCs w:val="16"/>
                <w:lang w:val="sv-SE" w:eastAsia="en-IE"/>
              </w:rPr>
              <w:t>NAMA trade EU28 with Jordan (mio €)</w:t>
            </w:r>
          </w:p>
        </w:tc>
      </w:tr>
      <w:tr>
        <w:trPr>
          <w:trHeight w:val="225"/>
        </w:trPr>
        <w:tc>
          <w:tcPr>
            <w:tcW w:w="4094"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Jordan</w:t>
            </w:r>
          </w:p>
        </w:tc>
        <w:tc>
          <w:tcPr>
            <w:tcW w:w="497"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497"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230"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094"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97"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97"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97"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3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4094"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imports</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313</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257</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-56</w:t>
            </w:r>
          </w:p>
        </w:tc>
        <w:tc>
          <w:tcPr>
            <w:tcW w:w="73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-17,9%</w:t>
            </w:r>
          </w:p>
        </w:tc>
      </w:tr>
      <w:tr>
        <w:trPr>
          <w:trHeight w:val="225"/>
        </w:trPr>
        <w:tc>
          <w:tcPr>
            <w:tcW w:w="4094"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exports</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3.337</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2.804</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-533</w:t>
            </w:r>
          </w:p>
        </w:tc>
        <w:tc>
          <w:tcPr>
            <w:tcW w:w="73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-16,0%</w:t>
            </w:r>
          </w:p>
        </w:tc>
      </w:tr>
      <w:tr>
        <w:trPr>
          <w:trHeight w:val="225"/>
        </w:trPr>
        <w:tc>
          <w:tcPr>
            <w:tcW w:w="35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3.024</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2.547</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-477</w:t>
            </w:r>
          </w:p>
        </w:tc>
        <w:tc>
          <w:tcPr>
            <w:tcW w:w="73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5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3.650</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3.062</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-589</w:t>
            </w:r>
          </w:p>
        </w:tc>
        <w:tc>
          <w:tcPr>
            <w:tcW w:w="73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-16,1%</w:t>
            </w:r>
          </w:p>
        </w:tc>
      </w:tr>
      <w:tr>
        <w:trPr>
          <w:trHeight w:val="240"/>
        </w:trPr>
        <w:tc>
          <w:tcPr>
            <w:tcW w:w="5088"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497" w:type="dxa"/>
            <w:tcBorders>
              <w:top w:val="single" w:sz="4" w:space="0" w:color="auto"/>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733"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5088" w:type="dxa"/>
            <w:gridSpan w:val="4"/>
            <w:tcBorders>
              <w:top w:val="nil"/>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Services trade EU28 with Jordan (mio €)</w:t>
            </w:r>
          </w:p>
        </w:tc>
        <w:tc>
          <w:tcPr>
            <w:tcW w:w="497" w:type="dxa"/>
            <w:tcBorders>
              <w:top w:val="nil"/>
              <w:left w:val="nil"/>
              <w:bottom w:val="nil"/>
              <w:right w:val="nil"/>
            </w:tcBorders>
            <w:shd w:val="clear" w:color="000000" w:fill="FFFFFF"/>
            <w:noWrap/>
            <w:vAlign w:val="center"/>
            <w:hideMark/>
          </w:tcPr>
          <w:p>
            <w:pPr>
              <w:rPr>
                <w:rFonts w:eastAsia="Times New Roman"/>
                <w:b/>
                <w:bCs/>
                <w:noProof/>
                <w:sz w:val="16"/>
                <w:szCs w:val="16"/>
                <w:lang w:val="en-IE" w:eastAsia="en-IE"/>
              </w:rPr>
            </w:pPr>
            <w:r>
              <w:rPr>
                <w:rFonts w:eastAsia="Times New Roman"/>
                <w:b/>
                <w:bCs/>
                <w:noProof/>
                <w:sz w:val="16"/>
                <w:szCs w:val="16"/>
                <w:lang w:val="en-IE" w:eastAsia="en-IE"/>
              </w:rPr>
              <w:t> </w:t>
            </w:r>
          </w:p>
        </w:tc>
        <w:tc>
          <w:tcPr>
            <w:tcW w:w="733" w:type="dxa"/>
            <w:tcBorders>
              <w:top w:val="nil"/>
              <w:left w:val="nil"/>
              <w:bottom w:val="nil"/>
              <w:right w:val="nil"/>
            </w:tcBorders>
            <w:shd w:val="clear" w:color="000000" w:fill="FFFFFF"/>
            <w:noWrap/>
            <w:vAlign w:val="center"/>
            <w:hideMark/>
          </w:tcPr>
          <w:p>
            <w:pPr>
              <w:rPr>
                <w:rFonts w:eastAsia="Times New Roman"/>
                <w:b/>
                <w:bCs/>
                <w:noProof/>
                <w:sz w:val="16"/>
                <w:szCs w:val="16"/>
                <w:lang w:val="en-IE" w:eastAsia="en-IE"/>
              </w:rPr>
            </w:pPr>
            <w:r>
              <w:rPr>
                <w:rFonts w:eastAsia="Times New Roman"/>
                <w:b/>
                <w:bCs/>
                <w:noProof/>
                <w:sz w:val="16"/>
                <w:szCs w:val="16"/>
                <w:lang w:val="en-IE" w:eastAsia="en-IE"/>
              </w:rPr>
              <w:t> </w:t>
            </w:r>
          </w:p>
        </w:tc>
      </w:tr>
      <w:tr>
        <w:trPr>
          <w:trHeight w:val="225"/>
        </w:trPr>
        <w:tc>
          <w:tcPr>
            <w:tcW w:w="4094"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Jordan</w:t>
            </w:r>
          </w:p>
        </w:tc>
        <w:tc>
          <w:tcPr>
            <w:tcW w:w="497"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497"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1230"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094"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97"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497"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497"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3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5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538</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507</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-30</w:t>
            </w:r>
          </w:p>
        </w:tc>
        <w:tc>
          <w:tcPr>
            <w:tcW w:w="73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-5,6%</w:t>
            </w:r>
          </w:p>
        </w:tc>
      </w:tr>
      <w:tr>
        <w:trPr>
          <w:trHeight w:val="225"/>
        </w:trPr>
        <w:tc>
          <w:tcPr>
            <w:tcW w:w="35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897</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974</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78</w:t>
            </w:r>
          </w:p>
        </w:tc>
        <w:tc>
          <w:tcPr>
            <w:tcW w:w="73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8,7%</w:t>
            </w:r>
          </w:p>
        </w:tc>
      </w:tr>
      <w:tr>
        <w:trPr>
          <w:trHeight w:val="225"/>
        </w:trPr>
        <w:tc>
          <w:tcPr>
            <w:tcW w:w="35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359</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467</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108</w:t>
            </w:r>
          </w:p>
        </w:tc>
        <w:tc>
          <w:tcPr>
            <w:tcW w:w="73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597"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97"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1.434</w:t>
            </w:r>
          </w:p>
        </w:tc>
        <w:tc>
          <w:tcPr>
            <w:tcW w:w="49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1.481</w:t>
            </w:r>
          </w:p>
        </w:tc>
        <w:tc>
          <w:tcPr>
            <w:tcW w:w="49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47</w:t>
            </w:r>
          </w:p>
        </w:tc>
        <w:tc>
          <w:tcPr>
            <w:tcW w:w="73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3,3%</w:t>
            </w:r>
          </w:p>
        </w:tc>
      </w:tr>
      <w:tr>
        <w:trPr>
          <w:trHeight w:val="240"/>
        </w:trPr>
        <w:tc>
          <w:tcPr>
            <w:tcW w:w="5585" w:type="dxa"/>
            <w:gridSpan w:val="5"/>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733"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40"/>
        </w:trPr>
        <w:tc>
          <w:tcPr>
            <w:tcW w:w="6318"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Services trade EU28 with Jordan (mio €)</w:t>
            </w:r>
          </w:p>
        </w:tc>
      </w:tr>
      <w:tr>
        <w:trPr>
          <w:trHeight w:val="225"/>
        </w:trPr>
        <w:tc>
          <w:tcPr>
            <w:tcW w:w="3597"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7"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497"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497"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497"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733"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35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460</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668</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471</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538</w:t>
            </w:r>
          </w:p>
        </w:tc>
        <w:tc>
          <w:tcPr>
            <w:tcW w:w="73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507</w:t>
            </w:r>
          </w:p>
        </w:tc>
      </w:tr>
      <w:tr>
        <w:trPr>
          <w:trHeight w:val="225"/>
        </w:trPr>
        <w:tc>
          <w:tcPr>
            <w:tcW w:w="35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856</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1.485</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932</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897</w:t>
            </w:r>
          </w:p>
        </w:tc>
        <w:tc>
          <w:tcPr>
            <w:tcW w:w="73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974</w:t>
            </w:r>
          </w:p>
        </w:tc>
      </w:tr>
      <w:tr>
        <w:trPr>
          <w:trHeight w:val="225"/>
        </w:trPr>
        <w:tc>
          <w:tcPr>
            <w:tcW w:w="35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396</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817</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461</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359</w:t>
            </w:r>
          </w:p>
        </w:tc>
        <w:tc>
          <w:tcPr>
            <w:tcW w:w="73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467</w:t>
            </w:r>
          </w:p>
        </w:tc>
      </w:tr>
      <w:tr>
        <w:trPr>
          <w:trHeight w:val="225"/>
        </w:trPr>
        <w:tc>
          <w:tcPr>
            <w:tcW w:w="3597"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9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1.316</w:t>
            </w:r>
          </w:p>
        </w:tc>
        <w:tc>
          <w:tcPr>
            <w:tcW w:w="49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2.154</w:t>
            </w:r>
          </w:p>
        </w:tc>
        <w:tc>
          <w:tcPr>
            <w:tcW w:w="49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1.403</w:t>
            </w:r>
          </w:p>
        </w:tc>
        <w:tc>
          <w:tcPr>
            <w:tcW w:w="49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1.434</w:t>
            </w:r>
          </w:p>
        </w:tc>
        <w:tc>
          <w:tcPr>
            <w:tcW w:w="73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1.481</w:t>
            </w:r>
          </w:p>
        </w:tc>
      </w:tr>
      <w:tr>
        <w:trPr>
          <w:trHeight w:val="225"/>
        </w:trPr>
        <w:tc>
          <w:tcPr>
            <w:tcW w:w="3597"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497"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 </w:t>
            </w:r>
          </w:p>
        </w:tc>
        <w:tc>
          <w:tcPr>
            <w:tcW w:w="4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3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6318"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de-DE" w:eastAsia="en-IE"/>
              </w:rPr>
            </w:pPr>
            <w:r>
              <w:rPr>
                <w:rFonts w:eastAsia="Times New Roman"/>
                <w:b/>
                <w:bCs/>
                <w:noProof/>
                <w:sz w:val="16"/>
                <w:szCs w:val="16"/>
                <w:lang w:val="de-DE" w:eastAsia="en-IE"/>
              </w:rPr>
              <w:t>FDI EU28 with Jordan (mio €)</w:t>
            </w:r>
          </w:p>
        </w:tc>
      </w:tr>
      <w:tr>
        <w:trPr>
          <w:trHeight w:val="225"/>
        </w:trPr>
        <w:tc>
          <w:tcPr>
            <w:tcW w:w="3597"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val="de-DE" w:eastAsia="en-IE"/>
              </w:rPr>
            </w:pPr>
            <w:r>
              <w:rPr>
                <w:rFonts w:eastAsia="Times New Roman"/>
                <w:noProof/>
                <w:sz w:val="16"/>
                <w:szCs w:val="16"/>
                <w:lang w:val="de-DE" w:eastAsia="en-IE"/>
              </w:rPr>
              <w:t> </w:t>
            </w:r>
          </w:p>
        </w:tc>
        <w:tc>
          <w:tcPr>
            <w:tcW w:w="497"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497"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497"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497"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733"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6318"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Stocks</w:t>
            </w:r>
          </w:p>
        </w:tc>
      </w:tr>
      <w:tr>
        <w:trPr>
          <w:trHeight w:val="225"/>
        </w:trPr>
        <w:tc>
          <w:tcPr>
            <w:tcW w:w="35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500</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496</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453</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510</w:t>
            </w:r>
          </w:p>
        </w:tc>
        <w:tc>
          <w:tcPr>
            <w:tcW w:w="73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991</w:t>
            </w:r>
          </w:p>
        </w:tc>
      </w:tr>
      <w:tr>
        <w:trPr>
          <w:trHeight w:val="225"/>
        </w:trPr>
        <w:tc>
          <w:tcPr>
            <w:tcW w:w="35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2.424</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2.977</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2.914</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3.193</w:t>
            </w:r>
          </w:p>
        </w:tc>
        <w:tc>
          <w:tcPr>
            <w:tcW w:w="73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3.261</w:t>
            </w:r>
          </w:p>
        </w:tc>
      </w:tr>
      <w:tr>
        <w:trPr>
          <w:trHeight w:val="225"/>
        </w:trPr>
        <w:tc>
          <w:tcPr>
            <w:tcW w:w="6318"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Flows</w:t>
            </w:r>
          </w:p>
        </w:tc>
      </w:tr>
      <w:tr>
        <w:trPr>
          <w:trHeight w:val="225"/>
        </w:trPr>
        <w:tc>
          <w:tcPr>
            <w:tcW w:w="35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72</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w:t>
            </w:r>
          </w:p>
        </w:tc>
        <w:tc>
          <w:tcPr>
            <w:tcW w:w="49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-381</w:t>
            </w:r>
          </w:p>
        </w:tc>
        <w:tc>
          <w:tcPr>
            <w:tcW w:w="73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w:t>
            </w:r>
          </w:p>
        </w:tc>
      </w:tr>
      <w:tr>
        <w:trPr>
          <w:trHeight w:val="225"/>
        </w:trPr>
        <w:tc>
          <w:tcPr>
            <w:tcW w:w="35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49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-153</w:t>
            </w:r>
          </w:p>
        </w:tc>
        <w:tc>
          <w:tcPr>
            <w:tcW w:w="49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335</w:t>
            </w:r>
          </w:p>
        </w:tc>
        <w:tc>
          <w:tcPr>
            <w:tcW w:w="49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235</w:t>
            </w:r>
          </w:p>
        </w:tc>
        <w:tc>
          <w:tcPr>
            <w:tcW w:w="49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227</w:t>
            </w:r>
          </w:p>
        </w:tc>
        <w:tc>
          <w:tcPr>
            <w:tcW w:w="73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216</w:t>
            </w:r>
          </w:p>
        </w:tc>
      </w:tr>
      <w:tr>
        <w:trPr>
          <w:trHeight w:val="225"/>
        </w:trPr>
        <w:tc>
          <w:tcPr>
            <w:tcW w:w="3597" w:type="dxa"/>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497"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 </w:t>
            </w:r>
          </w:p>
        </w:tc>
        <w:tc>
          <w:tcPr>
            <w:tcW w:w="4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3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bl>
    <w:p>
      <w:pPr>
        <w:rPr>
          <w:noProof/>
          <w:lang w:val="en-IE"/>
        </w:rPr>
      </w:pPr>
    </w:p>
    <w:p>
      <w:pPr>
        <w:spacing w:after="200" w:line="276" w:lineRule="auto"/>
        <w:rPr>
          <w:noProof/>
        </w:rPr>
      </w:pPr>
      <w:r>
        <w:rPr>
          <w:noProof/>
        </w:rPr>
        <w:br w:type="page"/>
      </w:r>
    </w:p>
    <w:p>
      <w:pPr>
        <w:pStyle w:val="ChapterHead"/>
        <w:jc w:val="both"/>
        <w:rPr>
          <w:b/>
          <w:noProof/>
        </w:rPr>
      </w:pPr>
      <w:bookmarkStart w:id="2117" w:name="_Toc8833625"/>
      <w:bookmarkStart w:id="2118" w:name="_Toc8835452"/>
      <w:bookmarkStart w:id="2119" w:name="_Toc8834082"/>
      <w:bookmarkStart w:id="2120" w:name="_Toc8909545"/>
      <w:bookmarkStart w:id="2121" w:name="_Toc8910757"/>
      <w:bookmarkStart w:id="2122" w:name="_Toc8911794"/>
      <w:bookmarkStart w:id="2123" w:name="_Toc8974615"/>
      <w:bookmarkStart w:id="2124" w:name="_Toc9008268"/>
      <w:bookmarkStart w:id="2125" w:name="_Toc9008671"/>
      <w:bookmarkStart w:id="2126" w:name="_Toc9348667"/>
      <w:bookmarkStart w:id="2127" w:name="_Toc9608118"/>
      <w:bookmarkStart w:id="2128" w:name="_Toc16000689"/>
      <w:r>
        <w:rPr>
          <w:b/>
          <w:noProof/>
        </w:rPr>
        <w:t>ANNUAL INFO SHEET ON THE IMPLEMENTATION OF THE EU-LEBANON ASSOCIATION AGREEMENT</w:t>
      </w:r>
      <w:bookmarkEnd w:id="2117"/>
      <w:bookmarkEnd w:id="2118"/>
      <w:bookmarkEnd w:id="2119"/>
      <w:bookmarkEnd w:id="2120"/>
      <w:bookmarkEnd w:id="2121"/>
      <w:bookmarkEnd w:id="2122"/>
      <w:bookmarkEnd w:id="2123"/>
      <w:bookmarkEnd w:id="2124"/>
      <w:bookmarkEnd w:id="2125"/>
      <w:bookmarkEnd w:id="2126"/>
      <w:bookmarkEnd w:id="2127"/>
      <w:bookmarkEnd w:id="2128"/>
    </w:p>
    <w:p>
      <w:pPr>
        <w:pStyle w:val="ManualHeading1"/>
      </w:pPr>
      <w:bookmarkStart w:id="2129" w:name="_Toc8833626"/>
      <w:bookmarkStart w:id="2130" w:name="_Toc8835453"/>
      <w:bookmarkStart w:id="2131" w:name="_Toc8834083"/>
      <w:bookmarkStart w:id="2132" w:name="_Toc8909546"/>
      <w:bookmarkStart w:id="2133" w:name="_Toc8910758"/>
      <w:bookmarkStart w:id="2134" w:name="_Toc8911795"/>
      <w:bookmarkStart w:id="2135" w:name="_Toc8974616"/>
      <w:bookmarkStart w:id="2136" w:name="_Toc9008269"/>
      <w:bookmarkStart w:id="2137" w:name="_Toc9008672"/>
      <w:bookmarkStart w:id="2138" w:name="_Toc9348668"/>
      <w:bookmarkStart w:id="2139" w:name="_Toc9608119"/>
      <w:bookmarkStart w:id="2140" w:name="_Toc16000690"/>
      <w:r>
        <w:t>1.</w:t>
      </w:r>
      <w:r>
        <w:tab/>
        <w:t>Introduction</w:t>
      </w:r>
      <w:bookmarkEnd w:id="2129"/>
      <w:bookmarkEnd w:id="2130"/>
      <w:bookmarkEnd w:id="2131"/>
      <w:bookmarkEnd w:id="2132"/>
      <w:bookmarkEnd w:id="2133"/>
      <w:bookmarkEnd w:id="2134"/>
      <w:bookmarkEnd w:id="2135"/>
      <w:bookmarkEnd w:id="2136"/>
      <w:bookmarkEnd w:id="2137"/>
      <w:bookmarkEnd w:id="2138"/>
      <w:bookmarkEnd w:id="2139"/>
      <w:bookmarkEnd w:id="2140"/>
    </w:p>
    <w:p>
      <w:pPr>
        <w:jc w:val="both"/>
        <w:rPr>
          <w:noProof/>
        </w:rPr>
      </w:pPr>
      <w:r>
        <w:rPr>
          <w:noProof/>
        </w:rPr>
        <w:t>The EU and Lebanon have an Association Agreement, creating a tree trade area, which was provisionally applied on 1 March 2003 and fully entered into force on 1 April 2006 (hereinafter referred to as ‘the Agreement’). The Agreement liberalised two-way trade in industrial goods with an asymmetrical transition period of 12 years in favour of Lebanon. The phased-in liberalisation of industrial products by Lebanon started in 2008 and was completed in 2015. In regard to agri-food trade, the Agreement as of its provisional application, granted tariff-free access of most Lebanese agricultural and processed agricultural products to the EU market (i.e. 89% of products enter tariff and quota free) with only 27 agricultural products facing a specific tariff treatment, mostly Tariff Rate Quotas (TRQs). On the other hand, agricultural liberalisation by Lebanon has been more limited. In 2010, the EU and Lebanon signed an additional protocol on a Dispute Settlement Mechanism. Lebanon notified the ratification of the protocol at the end of 2018.</w:t>
      </w:r>
    </w:p>
    <w:p>
      <w:pPr>
        <w:jc w:val="both"/>
        <w:rPr>
          <w:noProof/>
        </w:rPr>
      </w:pPr>
    </w:p>
    <w:p>
      <w:pPr>
        <w:jc w:val="both"/>
        <w:rPr>
          <w:noProof/>
        </w:rPr>
      </w:pPr>
      <w:r>
        <w:rPr>
          <w:noProof/>
        </w:rPr>
        <w:t>In 2014, Lebanon signed the Regional Convention on Pan-Euro-Mediterranean preferential rules of origin (PEM Convention). The country notified its ratification in October 2017 and formally joined on 1 December 2017</w:t>
      </w:r>
      <w:r>
        <w:rPr>
          <w:rFonts w:eastAsia="Times New Roman"/>
          <w:noProof/>
          <w:vertAlign w:val="superscript"/>
        </w:rPr>
        <w:footnoteReference w:id="63"/>
      </w:r>
      <w:r>
        <w:rPr>
          <w:noProof/>
        </w:rPr>
        <w:t>. The Convention’s main objective is to provide a more unified framework for origin protocols.</w:t>
      </w:r>
    </w:p>
    <w:p>
      <w:pPr>
        <w:pStyle w:val="ManualHeading1"/>
      </w:pPr>
      <w:bookmarkStart w:id="2141" w:name="_Toc8833627"/>
      <w:bookmarkStart w:id="2142" w:name="_Toc8835454"/>
      <w:bookmarkStart w:id="2143" w:name="_Toc8834084"/>
      <w:bookmarkStart w:id="2144" w:name="_Toc8909547"/>
      <w:bookmarkStart w:id="2145" w:name="_Toc8910759"/>
      <w:bookmarkStart w:id="2146" w:name="_Toc8911796"/>
      <w:bookmarkStart w:id="2147" w:name="_Toc8974617"/>
      <w:bookmarkStart w:id="2148" w:name="_Toc9008270"/>
      <w:bookmarkStart w:id="2149" w:name="_Toc9008673"/>
      <w:bookmarkStart w:id="2150" w:name="_Toc9348669"/>
      <w:bookmarkStart w:id="2151" w:name="_Toc9608120"/>
      <w:bookmarkStart w:id="2152" w:name="_Toc16000691"/>
      <w:r>
        <w:t>2.</w:t>
      </w:r>
      <w:r>
        <w:tab/>
        <w:t>Evolution of trade</w:t>
      </w:r>
      <w:bookmarkEnd w:id="2141"/>
      <w:bookmarkEnd w:id="2142"/>
      <w:bookmarkEnd w:id="2143"/>
      <w:bookmarkEnd w:id="2144"/>
      <w:bookmarkEnd w:id="2145"/>
      <w:bookmarkEnd w:id="2146"/>
      <w:bookmarkEnd w:id="2147"/>
      <w:bookmarkEnd w:id="2148"/>
      <w:bookmarkEnd w:id="2149"/>
      <w:bookmarkEnd w:id="2150"/>
      <w:bookmarkEnd w:id="2151"/>
      <w:bookmarkEnd w:id="2152"/>
    </w:p>
    <w:p>
      <w:pPr>
        <w:pStyle w:val="Heading2"/>
        <w:tabs>
          <w:tab w:val="clear" w:pos="4570"/>
        </w:tabs>
        <w:ind w:left="567"/>
      </w:pPr>
      <w:bookmarkStart w:id="2153" w:name="_Toc8833628"/>
      <w:bookmarkStart w:id="2154" w:name="_Toc8835455"/>
      <w:bookmarkStart w:id="2155" w:name="_Toc8834085"/>
      <w:bookmarkStart w:id="2156" w:name="_Toc8909548"/>
      <w:bookmarkStart w:id="2157" w:name="_Toc8910760"/>
      <w:bookmarkStart w:id="2158" w:name="_Toc8911797"/>
      <w:bookmarkStart w:id="2159" w:name="_Toc8974618"/>
      <w:bookmarkStart w:id="2160" w:name="_Toc9008271"/>
      <w:bookmarkStart w:id="2161" w:name="_Toc9008674"/>
      <w:bookmarkStart w:id="2162" w:name="_Toc9348670"/>
      <w:bookmarkStart w:id="2163" w:name="_Toc9608121"/>
      <w:bookmarkStart w:id="2164" w:name="_Toc16000692"/>
      <w:r>
        <w:t>2.1 Trade in Goods</w:t>
      </w:r>
      <w:bookmarkEnd w:id="2153"/>
      <w:bookmarkEnd w:id="2154"/>
      <w:bookmarkEnd w:id="2155"/>
      <w:bookmarkEnd w:id="2156"/>
      <w:bookmarkEnd w:id="2157"/>
      <w:bookmarkEnd w:id="2158"/>
      <w:bookmarkEnd w:id="2159"/>
      <w:bookmarkEnd w:id="2160"/>
      <w:bookmarkEnd w:id="2161"/>
      <w:bookmarkEnd w:id="2162"/>
      <w:bookmarkEnd w:id="2163"/>
      <w:bookmarkEnd w:id="2164"/>
    </w:p>
    <w:p>
      <w:pPr>
        <w:jc w:val="both"/>
        <w:rPr>
          <w:rFonts w:eastAsia="Times New Roman"/>
          <w:b/>
          <w:noProof/>
        </w:rPr>
      </w:pPr>
      <w:r>
        <w:rPr>
          <w:rFonts w:eastAsia="Times New Roman"/>
          <w:noProof/>
          <w:szCs w:val="20"/>
        </w:rPr>
        <w:t>Since</w:t>
      </w:r>
      <w:r>
        <w:rPr>
          <w:rFonts w:eastAsia="Times New Roman"/>
          <w:noProof/>
        </w:rPr>
        <w:t xml:space="preserve"> 2012, the EU has been consistently ranking as Lebanon’s number one trading partner. In 2018, the EU represented 37% of Lebanese trade. Over the last sixteen years, the value of EU exports to Lebanon has increased more than in the other direction, leading to a progressive widening of Lebanon’s trade deficit with the EU, from €3.0 billion in 2002 to €6.7 billion in 2018. </w:t>
      </w:r>
    </w:p>
    <w:p>
      <w:pPr>
        <w:rPr>
          <w:noProof/>
          <w:lang w:eastAsia="en-GB"/>
        </w:rPr>
      </w:pPr>
      <w:r>
        <w:rPr>
          <w:noProof/>
          <w:lang w:eastAsia="en-GB"/>
        </w:rPr>
        <w:drawing>
          <wp:inline distT="0" distB="0" distL="0" distR="0">
            <wp:extent cx="5760720" cy="2496820"/>
            <wp:effectExtent l="0" t="0" r="11430" b="1778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jc w:val="both"/>
        <w:rPr>
          <w:rFonts w:eastAsia="Times New Roman"/>
          <w:noProof/>
        </w:rPr>
      </w:pPr>
      <w:r>
        <w:rPr>
          <w:rFonts w:eastAsia="Times New Roman"/>
          <w:noProof/>
        </w:rPr>
        <w:t xml:space="preserve">Since the Agreement was provisionally applied, the value of imports and exports between the EU and Lebanon has increased in both directions. In 2002, the year before the Association Agreement was provisionally applied, the value of trade in goods was €3.4 billion and by 2018 it reached €7.7 billion (an increase of 130%). </w:t>
      </w:r>
    </w:p>
    <w:p>
      <w:pPr>
        <w:jc w:val="both"/>
        <w:rPr>
          <w:rFonts w:eastAsia="Times New Roman"/>
          <w:b/>
          <w:noProof/>
        </w:rPr>
      </w:pPr>
    </w:p>
    <w:p>
      <w:pPr>
        <w:jc w:val="both"/>
        <w:rPr>
          <w:rFonts w:eastAsia="Times New Roman"/>
          <w:noProof/>
        </w:rPr>
      </w:pPr>
      <w:r>
        <w:rPr>
          <w:rFonts w:eastAsia="Times New Roman"/>
          <w:noProof/>
        </w:rPr>
        <w:t xml:space="preserve">The value of </w:t>
      </w:r>
      <w:r>
        <w:rPr>
          <w:rFonts w:eastAsia="Times New Roman"/>
          <w:noProof/>
          <w:u w:val="single"/>
        </w:rPr>
        <w:t>EU exports</w:t>
      </w:r>
      <w:r>
        <w:rPr>
          <w:rFonts w:eastAsia="Times New Roman"/>
          <w:noProof/>
        </w:rPr>
        <w:t xml:space="preserve"> to Lebanon has risen by 128% from €3.2 billion in 2002 to €7.2 billion in 2018. In 2018 the EU exports were substantially stable, decreasing by less than 1%. The most export sectors by value were fuel and mining products (33%), machinery and transport equipment (16%) and chemicals (14%). </w:t>
      </w:r>
    </w:p>
    <w:p>
      <w:pPr>
        <w:jc w:val="both"/>
        <w:rPr>
          <w:rFonts w:eastAsia="Times New Roman"/>
          <w:noProof/>
        </w:rPr>
      </w:pPr>
    </w:p>
    <w:p>
      <w:pPr>
        <w:jc w:val="both"/>
        <w:rPr>
          <w:rFonts w:eastAsia="Times New Roman"/>
          <w:noProof/>
        </w:rPr>
      </w:pPr>
      <w:r>
        <w:rPr>
          <w:rFonts w:eastAsia="Times New Roman"/>
          <w:noProof/>
        </w:rPr>
        <w:t xml:space="preserve">The value of </w:t>
      </w:r>
      <w:r>
        <w:rPr>
          <w:rFonts w:eastAsia="Times New Roman"/>
          <w:noProof/>
          <w:u w:val="single"/>
        </w:rPr>
        <w:t>EU imports</w:t>
      </w:r>
      <w:r>
        <w:rPr>
          <w:rFonts w:eastAsia="Times New Roman"/>
          <w:noProof/>
        </w:rPr>
        <w:t xml:space="preserve"> from Lebanon has risen from less than €0.2 billion in 2002 to more than €0.5 billion in 2018. The value of imports rose year-on-year up to 2009 (financial crisis), then recovered to exceed pre-crash levels before falling again from 2012 to 2014, in part explained by the simultaneous decrease in the price of gold. Between 2017 and 2018, EU imports increased by 13%, going from €455 million to €513 million. The most important groups for import by value were base metals (32%), agricultural and food products (16%) and chemical products (11%). </w:t>
      </w:r>
    </w:p>
    <w:p>
      <w:pPr>
        <w:pStyle w:val="Heading2"/>
        <w:tabs>
          <w:tab w:val="clear" w:pos="4570"/>
        </w:tabs>
        <w:ind w:left="567"/>
      </w:pPr>
      <w:bookmarkStart w:id="2165" w:name="_Toc8833629"/>
      <w:bookmarkStart w:id="2166" w:name="_Toc8835456"/>
      <w:bookmarkStart w:id="2167" w:name="_Toc8834086"/>
      <w:bookmarkStart w:id="2168" w:name="_Toc8909549"/>
      <w:bookmarkStart w:id="2169" w:name="_Toc8910761"/>
      <w:bookmarkStart w:id="2170" w:name="_Toc8911798"/>
      <w:bookmarkStart w:id="2171" w:name="_Toc8974619"/>
      <w:bookmarkStart w:id="2172" w:name="_Toc9008272"/>
      <w:bookmarkStart w:id="2173" w:name="_Toc9008675"/>
      <w:bookmarkStart w:id="2174" w:name="_Toc9348671"/>
      <w:bookmarkStart w:id="2175" w:name="_Toc9608122"/>
      <w:bookmarkStart w:id="2176" w:name="_Toc16000693"/>
      <w:r>
        <w:t>2.2 Trade in agricultural goods</w:t>
      </w:r>
      <w:bookmarkEnd w:id="2165"/>
      <w:bookmarkEnd w:id="2166"/>
      <w:bookmarkEnd w:id="2167"/>
      <w:bookmarkEnd w:id="2168"/>
      <w:bookmarkEnd w:id="2169"/>
      <w:bookmarkEnd w:id="2170"/>
      <w:bookmarkEnd w:id="2171"/>
      <w:bookmarkEnd w:id="2172"/>
      <w:bookmarkEnd w:id="2173"/>
      <w:bookmarkEnd w:id="2174"/>
      <w:bookmarkEnd w:id="2175"/>
      <w:bookmarkEnd w:id="2176"/>
    </w:p>
    <w:p>
      <w:pPr>
        <w:jc w:val="both"/>
        <w:rPr>
          <w:noProof/>
        </w:rPr>
      </w:pPr>
      <w:r>
        <w:rPr>
          <w:rFonts w:eastAsia="Times New Roman"/>
          <w:noProof/>
        </w:rPr>
        <w:t xml:space="preserve">Total trade in agri-food products between the EU and Lebanon increased by 140% between 2003 and 2018, from €0.5 billion to €1.2 billion. Between 2017 and 2018, EU agri-food exports increased slightly (4%) from €1.03 billion to €1.07 billion. Over the same period, EU agri-food imports increased very slightly (0.1%) from €103 million to €104 million. In 2018, the EU mainly exported live animals (17%), cheese (9%), spirits and liqueurs (6%), cereals other than wheat &amp; rice (6%) and milk powder &amp; whey </w:t>
      </w:r>
      <w:r>
        <w:rPr>
          <w:noProof/>
        </w:rPr>
        <w:t>(6%). The EU's key agri-food imports were preparations of vegetables, fruits and nuts (23%), offal, animals fats &amp; other meats (16%) and raw tobacco (11%).</w:t>
      </w:r>
    </w:p>
    <w:p>
      <w:pPr>
        <w:jc w:val="both"/>
        <w:rPr>
          <w:rFonts w:eastAsia="Times New Roman"/>
          <w:noProof/>
        </w:rPr>
      </w:pPr>
    </w:p>
    <w:p>
      <w:pPr>
        <w:jc w:val="both"/>
        <w:rPr>
          <w:rFonts w:eastAsia="Times New Roman"/>
          <w:noProof/>
        </w:rPr>
      </w:pPr>
      <w:r>
        <w:rPr>
          <w:rFonts w:eastAsia="Times New Roman"/>
          <w:noProof/>
        </w:rPr>
        <w:t>Regarding agricultural tariff rate quotas (TRQs), the fill rate by Lebanon was very low in 2018. The country only used 8% of its olive oil quota. For table grapes, where the quota year does not coincide with the calendar year, it used 8% for 2017-18. It used less than 1% of its quotas for tomatoes, apples, apricots, peaches, or plums. All other quotas remained unused.</w:t>
      </w:r>
    </w:p>
    <w:p>
      <w:pPr>
        <w:pStyle w:val="Heading2"/>
        <w:tabs>
          <w:tab w:val="clear" w:pos="4570"/>
        </w:tabs>
        <w:ind w:left="567"/>
      </w:pPr>
      <w:bookmarkStart w:id="2177" w:name="_Toc8833631"/>
      <w:bookmarkStart w:id="2178" w:name="_Toc8835458"/>
      <w:bookmarkStart w:id="2179" w:name="_Toc8834088"/>
      <w:bookmarkStart w:id="2180" w:name="_Toc8909551"/>
      <w:bookmarkStart w:id="2181" w:name="_Toc8910763"/>
      <w:bookmarkStart w:id="2182" w:name="_Toc8911800"/>
      <w:bookmarkStart w:id="2183" w:name="_Toc8974621"/>
      <w:bookmarkStart w:id="2184" w:name="_Toc9008274"/>
      <w:bookmarkStart w:id="2185" w:name="_Toc9008677"/>
      <w:bookmarkStart w:id="2186" w:name="_Toc9348673"/>
      <w:bookmarkStart w:id="2187" w:name="_Toc9608124"/>
      <w:bookmarkStart w:id="2188" w:name="_Toc16000694"/>
      <w:r>
        <w:t>2.3 Trade in Services and Foreign Direct Investment (FDI)</w:t>
      </w:r>
      <w:bookmarkEnd w:id="2177"/>
      <w:bookmarkEnd w:id="2178"/>
      <w:bookmarkEnd w:id="2179"/>
      <w:bookmarkEnd w:id="2180"/>
      <w:bookmarkEnd w:id="2181"/>
      <w:bookmarkEnd w:id="2182"/>
      <w:bookmarkEnd w:id="2183"/>
      <w:bookmarkEnd w:id="2184"/>
      <w:bookmarkEnd w:id="2185"/>
      <w:bookmarkEnd w:id="2186"/>
      <w:bookmarkEnd w:id="2187"/>
      <w:bookmarkEnd w:id="2188"/>
    </w:p>
    <w:p>
      <w:pPr>
        <w:jc w:val="both"/>
        <w:rPr>
          <w:rFonts w:eastAsia="Times New Roman"/>
          <w:noProof/>
        </w:rPr>
      </w:pPr>
      <w:r>
        <w:rPr>
          <w:rFonts w:eastAsia="Times New Roman"/>
          <w:noProof/>
        </w:rPr>
        <w:t xml:space="preserve">In 2017, </w:t>
      </w:r>
      <w:r>
        <w:rPr>
          <w:rFonts w:eastAsia="Times New Roman"/>
          <w:b/>
          <w:noProof/>
        </w:rPr>
        <w:t>trade in services</w:t>
      </w:r>
      <w:r>
        <w:rPr>
          <w:rFonts w:eastAsia="Times New Roman"/>
          <w:noProof/>
        </w:rPr>
        <w:t xml:space="preserve"> between the EU and Lebanon was worth €2.5 billion. Over the last 5 years, trade in services increased in both directions, albeit with a fluctuating trend. EU services imports from Lebanon have risen from €0.9 billion in 2010 to €1.1 billion in 2014 and then have again shrunk to €1.0 billion in 2017, while EU services exports have risen from €1.2 billion in 2010 to €1.9 billion in 2014, before shrinking again to reach €1.5 billion in 2017. The EU’s trade surplus has increased from €0.3 billion in 2010 to €0.4 billion in 2017. </w:t>
      </w:r>
    </w:p>
    <w:p>
      <w:pPr>
        <w:jc w:val="both"/>
        <w:rPr>
          <w:rFonts w:eastAsia="Times New Roman"/>
          <w:noProof/>
          <w:szCs w:val="20"/>
        </w:rPr>
      </w:pPr>
    </w:p>
    <w:p>
      <w:pPr>
        <w:jc w:val="both"/>
        <w:rPr>
          <w:rFonts w:eastAsia="Times New Roman"/>
          <w:noProof/>
          <w:szCs w:val="20"/>
        </w:rPr>
      </w:pPr>
      <w:r>
        <w:rPr>
          <w:rFonts w:eastAsia="Times New Roman"/>
          <w:noProof/>
          <w:szCs w:val="20"/>
        </w:rPr>
        <w:t xml:space="preserve">In 2017, EU </w:t>
      </w:r>
      <w:r>
        <w:rPr>
          <w:rFonts w:eastAsia="Times New Roman"/>
          <w:b/>
          <w:noProof/>
          <w:szCs w:val="20"/>
        </w:rPr>
        <w:t>FDI</w:t>
      </w:r>
      <w:r>
        <w:rPr>
          <w:rFonts w:eastAsia="Times New Roman"/>
          <w:noProof/>
          <w:szCs w:val="20"/>
        </w:rPr>
        <w:t xml:space="preserve"> stocks in Lebanon amounted to €2.0 billion, with inward FDI stocks from Lebanon to the EU accounting for €4.6 billion. In 2017, EU FDI flows accounted for €256 million, while flow of Lebanese FDI reached €184 million. </w:t>
      </w:r>
    </w:p>
    <w:p>
      <w:pPr>
        <w:jc w:val="both"/>
        <w:rPr>
          <w:rFonts w:eastAsia="Times New Roman"/>
          <w:noProof/>
          <w:szCs w:val="20"/>
        </w:rPr>
      </w:pPr>
    </w:p>
    <w:p>
      <w:pPr>
        <w:jc w:val="both"/>
        <w:rPr>
          <w:rFonts w:eastAsia="Times New Roman"/>
          <w:noProof/>
          <w:lang w:val="en-US"/>
        </w:rPr>
      </w:pPr>
      <w:r>
        <w:rPr>
          <w:rFonts w:eastAsia="Times New Roman"/>
          <w:noProof/>
          <w:lang w:val="en-US"/>
        </w:rPr>
        <w:t>According to The World Bank Doing Business Index 2019 ranking 190 countries, Lebanon ranked 142</w:t>
      </w:r>
      <w:r>
        <w:rPr>
          <w:rFonts w:eastAsia="Times New Roman"/>
          <w:noProof/>
          <w:vertAlign w:val="superscript"/>
          <w:lang w:val="en-US"/>
        </w:rPr>
        <w:t>nd</w:t>
      </w:r>
      <w:r>
        <w:rPr>
          <w:rFonts w:eastAsia="Times New Roman"/>
          <w:noProof/>
          <w:lang w:val="en-US"/>
        </w:rPr>
        <w:t xml:space="preserve"> in the world on the ease of doing business (it ranked 133</w:t>
      </w:r>
      <w:r>
        <w:rPr>
          <w:rFonts w:eastAsia="Times New Roman"/>
          <w:noProof/>
          <w:vertAlign w:val="superscript"/>
          <w:lang w:val="en-US"/>
        </w:rPr>
        <w:t>rd</w:t>
      </w:r>
      <w:r>
        <w:rPr>
          <w:rFonts w:eastAsia="Times New Roman"/>
          <w:noProof/>
          <w:lang w:val="en-US"/>
        </w:rPr>
        <w:t xml:space="preserve"> in 2018), with a distance to frontier (DTF)</w:t>
      </w:r>
      <w:r>
        <w:rPr>
          <w:rFonts w:eastAsia="Times New Roman"/>
          <w:noProof/>
          <w:vertAlign w:val="superscript"/>
          <w:lang w:val="en-US"/>
        </w:rPr>
        <w:footnoteReference w:id="64"/>
      </w:r>
      <w:r>
        <w:rPr>
          <w:rFonts w:eastAsia="Times New Roman"/>
          <w:noProof/>
          <w:lang w:val="en-US"/>
        </w:rPr>
        <w:t xml:space="preserve"> score of 54.04 out of 100 – stable if compared to 2018, when the value was 53.97. </w:t>
      </w:r>
    </w:p>
    <w:p>
      <w:pPr>
        <w:pStyle w:val="ManualHeading1"/>
      </w:pPr>
      <w:bookmarkStart w:id="2189" w:name="_Toc8833632"/>
      <w:bookmarkStart w:id="2190" w:name="_Toc8835459"/>
      <w:bookmarkStart w:id="2191" w:name="_Toc8834089"/>
      <w:bookmarkStart w:id="2192" w:name="_Toc8909552"/>
      <w:bookmarkStart w:id="2193" w:name="_Toc8910764"/>
      <w:bookmarkStart w:id="2194" w:name="_Toc8911801"/>
      <w:bookmarkStart w:id="2195" w:name="_Toc8974622"/>
      <w:bookmarkStart w:id="2196" w:name="_Toc9008275"/>
      <w:bookmarkStart w:id="2197" w:name="_Toc9008678"/>
      <w:bookmarkStart w:id="2198" w:name="_Toc9348674"/>
      <w:bookmarkStart w:id="2199" w:name="_Toc9608125"/>
      <w:bookmarkStart w:id="2200" w:name="_Toc16000695"/>
      <w:r>
        <w:t>3.</w:t>
      </w:r>
      <w:r>
        <w:tab/>
        <w:t>Issues addressed in the Annual Joint Committee meetings</w:t>
      </w:r>
      <w:bookmarkEnd w:id="2189"/>
      <w:bookmarkEnd w:id="2190"/>
      <w:bookmarkEnd w:id="2191"/>
      <w:bookmarkEnd w:id="2192"/>
      <w:bookmarkEnd w:id="2193"/>
      <w:bookmarkEnd w:id="2194"/>
      <w:bookmarkEnd w:id="2195"/>
      <w:bookmarkEnd w:id="2196"/>
      <w:bookmarkEnd w:id="2197"/>
      <w:bookmarkEnd w:id="2198"/>
      <w:bookmarkEnd w:id="2199"/>
      <w:bookmarkEnd w:id="2200"/>
    </w:p>
    <w:p>
      <w:pPr>
        <w:jc w:val="both"/>
        <w:rPr>
          <w:rFonts w:eastAsia="Times New Roman"/>
          <w:noProof/>
        </w:rPr>
      </w:pPr>
      <w:r>
        <w:rPr>
          <w:rFonts w:eastAsia="Times New Roman"/>
          <w:noProof/>
        </w:rPr>
        <w:t xml:space="preserve">The </w:t>
      </w:r>
      <w:r>
        <w:rPr>
          <w:rFonts w:eastAsia="Times New Roman"/>
          <w:b/>
          <w:bCs/>
          <w:noProof/>
        </w:rPr>
        <w:t>EU-Lebanon Sub-Committee on Industry, Trade and Services, Customs</w:t>
      </w:r>
      <w:r>
        <w:rPr>
          <w:rFonts w:eastAsia="Times New Roman"/>
          <w:noProof/>
        </w:rPr>
        <w:t xml:space="preserve"> met on 7 March 2018. The key issues discussed were the need to further increase Lebanese trade integration with the EU and international community including through the possible implementation of a the revised PEM rules, Lebanese accession to the Agadir Agreement</w:t>
      </w:r>
      <w:r>
        <w:rPr>
          <w:rFonts w:eastAsia="Times New Roman"/>
          <w:noProof/>
          <w:vertAlign w:val="superscript"/>
        </w:rPr>
        <w:footnoteReference w:id="65"/>
      </w:r>
      <w:r>
        <w:rPr>
          <w:rFonts w:eastAsia="Times New Roman"/>
          <w:noProof/>
        </w:rPr>
        <w:t xml:space="preserve"> and the WTO membership bid – which the EU supports. The parties also discussed the EU support to the strengthening of Lebanese capacity in key sectors that were identified in the Joint Working Group on Trade and Investment</w:t>
      </w:r>
      <w:r>
        <w:rPr>
          <w:rFonts w:eastAsia="Times New Roman"/>
          <w:noProof/>
          <w:vertAlign w:val="superscript"/>
        </w:rPr>
        <w:footnoteReference w:id="66"/>
      </w:r>
      <w:r>
        <w:rPr>
          <w:rFonts w:eastAsia="Times New Roman"/>
          <w:noProof/>
        </w:rPr>
        <w:t xml:space="preserve"> of July 2017 and included in an </w:t>
      </w:r>
      <w:r>
        <w:rPr>
          <w:rFonts w:eastAsia="Times New Roman"/>
          <w:b/>
          <w:bCs/>
          <w:noProof/>
        </w:rPr>
        <w:t>Action Plan</w:t>
      </w:r>
      <w:r>
        <w:rPr>
          <w:rFonts w:eastAsia="Times New Roman"/>
          <w:noProof/>
        </w:rPr>
        <w:t xml:space="preserve">: pharmaceuticals products, agri-food and statistics. The EU also noted the obligation not to impose trade related measures without consultation and required information on a series of measures that could affect EU exports, notably additional duties on imports of wine and spirits and the exemption of oil from </w:t>
      </w:r>
      <w:r>
        <w:rPr>
          <w:noProof/>
          <w:lang w:eastAsia="ru-RU"/>
        </w:rPr>
        <w:t>customs duties that have been suspended</w:t>
      </w:r>
      <w:r>
        <w:rPr>
          <w:rFonts w:eastAsia="Times New Roman"/>
          <w:noProof/>
        </w:rPr>
        <w:t xml:space="preserve">. Agricultural topics were also discussed. In this context, the Parties exchanged views on the latest developments in Lebanese and EU agricultural and rural development policies, the state of play regarding the review of the Lebanese draft law on geographical indications (GIs), organic farming and the technical assistance for increasing competitiveness of the agricultural and agro-food sectors. </w:t>
      </w:r>
    </w:p>
    <w:p>
      <w:pPr>
        <w:jc w:val="both"/>
        <w:rPr>
          <w:rFonts w:eastAsia="Times New Roman"/>
          <w:noProof/>
        </w:rPr>
      </w:pPr>
    </w:p>
    <w:p>
      <w:pPr>
        <w:jc w:val="both"/>
        <w:rPr>
          <w:rFonts w:eastAsia="Times New Roman"/>
          <w:noProof/>
        </w:rPr>
      </w:pPr>
      <w:r>
        <w:rPr>
          <w:rFonts w:eastAsia="Times New Roman"/>
          <w:noProof/>
        </w:rPr>
        <w:t xml:space="preserve">The Sub-Committee took place in the framework of an ‘Economic Cluster’ which included, back-to-back: the </w:t>
      </w:r>
      <w:r>
        <w:rPr>
          <w:rFonts w:eastAsia="Times New Roman"/>
          <w:b/>
          <w:bCs/>
          <w:noProof/>
        </w:rPr>
        <w:t>Macro-Economic dialogue and the Subcommittee on other economic-related areas.</w:t>
      </w:r>
      <w:r>
        <w:rPr>
          <w:rFonts w:eastAsia="Times New Roman"/>
          <w:noProof/>
        </w:rPr>
        <w:t xml:space="preserve"> The latter discussed areas of mutual economic interest, such as the EU External Investment Plan (EIP), Lebanon’s economic fragility brought about by slow growth, rising public debt and vulnerability to the reforms planned within the framework of the presentation of Lebanon’s Capital Investment Programme (and its monitoring mechanism), EU-Lebanon cooperation to fulfil climate change commitments and its impact on economic growth and job creation, waste management, energy and other issues. The CEDRE</w:t>
      </w:r>
      <w:r>
        <w:rPr>
          <w:rFonts w:eastAsia="Times New Roman"/>
          <w:noProof/>
          <w:vertAlign w:val="superscript"/>
        </w:rPr>
        <w:footnoteReference w:id="67"/>
      </w:r>
      <w:r>
        <w:rPr>
          <w:rFonts w:eastAsia="Times New Roman"/>
          <w:noProof/>
        </w:rPr>
        <w:t xml:space="preserve"> conference was held on 6 April 2018 in Paris where international donors met to support Lebanese developments and reforms and the conference on Supporting the future of Syria and the region took place in Brussels on 24 and 25 April 2018.</w:t>
      </w:r>
    </w:p>
    <w:p>
      <w:pPr>
        <w:jc w:val="both"/>
        <w:rPr>
          <w:rFonts w:eastAsia="Times New Roman"/>
          <w:noProof/>
        </w:rPr>
      </w:pPr>
    </w:p>
    <w:p>
      <w:pPr>
        <w:jc w:val="both"/>
        <w:rPr>
          <w:rFonts w:eastAsia="Times New Roman"/>
          <w:noProof/>
        </w:rPr>
      </w:pPr>
      <w:r>
        <w:rPr>
          <w:rFonts w:eastAsia="Times New Roman"/>
          <w:noProof/>
        </w:rPr>
        <w:t xml:space="preserve">Furthermore, the EU and Lebanon had technical discussions in July 2018 and January 2019 in the framework of the </w:t>
      </w:r>
      <w:r>
        <w:rPr>
          <w:rFonts w:eastAsia="Times New Roman"/>
          <w:b/>
          <w:noProof/>
        </w:rPr>
        <w:t>EU-Lebanon</w:t>
      </w:r>
      <w:r>
        <w:rPr>
          <w:rFonts w:eastAsia="Times New Roman"/>
          <w:noProof/>
        </w:rPr>
        <w:t xml:space="preserve"> </w:t>
      </w:r>
      <w:r>
        <w:rPr>
          <w:rFonts w:eastAsia="Times New Roman"/>
          <w:b/>
          <w:noProof/>
        </w:rPr>
        <w:t xml:space="preserve">Joint Working Group on Trade and Investment (JWG). </w:t>
      </w:r>
      <w:r>
        <w:rPr>
          <w:rFonts w:eastAsia="Times New Roman"/>
          <w:noProof/>
        </w:rPr>
        <w:t xml:space="preserve">The JWG is a forum for technical level discussions aimed at improving economic cooperation and trade, in particular with a view to support Lebanon’s capacity to beneft from the trade preferences that are granted in the Agreement. Work in the JWG informs the Sub-Committees. The JWG has an important role in shaping future assistance and advocates for strategic trade reforms </w:t>
      </w:r>
      <w:r>
        <w:rPr>
          <w:rFonts w:eastAsia="Times New Roman"/>
          <w:noProof/>
          <w:lang w:val="en-US"/>
        </w:rPr>
        <w:t xml:space="preserve">(horizontal reforms and sector reforms, business climate, quality standards etc.). Specific issues addressed addressed by thr JWG include the following, inter alia: </w:t>
      </w:r>
      <w:r>
        <w:rPr>
          <w:rFonts w:eastAsia="Times New Roman"/>
          <w:noProof/>
        </w:rPr>
        <w:t>facilitating exports of agri-food and industrial goods to the EU, improving competitiveness and productivity of the agri-food sector as well as services, statistics, SPS, SMEs, business and investment climate. The last JWG of January 2019 focussed on rules of origin, EU support to Lebanese export capacity in the agri-food and pharmaceutical sector, Lebanese participation in the Enterprise Europe Network, update on Geographical Indications as well as Lebanon’s accession to the Agadir Agreement.</w:t>
      </w:r>
    </w:p>
    <w:p>
      <w:pPr>
        <w:pStyle w:val="ManualHeading1"/>
      </w:pPr>
      <w:bookmarkStart w:id="2201" w:name="_Toc8833633"/>
      <w:bookmarkStart w:id="2202" w:name="_Toc8835460"/>
      <w:bookmarkStart w:id="2203" w:name="_Toc8834090"/>
      <w:bookmarkStart w:id="2204" w:name="_Toc8909553"/>
      <w:bookmarkStart w:id="2205" w:name="_Toc8910765"/>
      <w:bookmarkStart w:id="2206" w:name="_Toc8911802"/>
      <w:bookmarkStart w:id="2207" w:name="_Toc8974623"/>
      <w:bookmarkStart w:id="2208" w:name="_Toc9008276"/>
      <w:bookmarkStart w:id="2209" w:name="_Toc9008679"/>
      <w:bookmarkStart w:id="2210" w:name="_Toc9348675"/>
      <w:bookmarkStart w:id="2211" w:name="_Toc9608126"/>
      <w:bookmarkStart w:id="2212" w:name="_Toc16000696"/>
      <w:r>
        <w:t>4.</w:t>
      </w:r>
      <w:r>
        <w:tab/>
        <w:t>Specific areas of importance</w:t>
      </w:r>
      <w:bookmarkEnd w:id="2201"/>
      <w:bookmarkEnd w:id="2202"/>
      <w:bookmarkEnd w:id="2203"/>
      <w:bookmarkEnd w:id="2204"/>
      <w:bookmarkEnd w:id="2205"/>
      <w:bookmarkEnd w:id="2206"/>
      <w:bookmarkEnd w:id="2207"/>
      <w:bookmarkEnd w:id="2208"/>
      <w:bookmarkEnd w:id="2209"/>
      <w:bookmarkEnd w:id="2210"/>
      <w:bookmarkEnd w:id="2211"/>
      <w:bookmarkEnd w:id="2212"/>
    </w:p>
    <w:p>
      <w:pPr>
        <w:jc w:val="both"/>
        <w:rPr>
          <w:rFonts w:eastAsia="Times New Roman"/>
          <w:noProof/>
        </w:rPr>
      </w:pPr>
      <w:r>
        <w:rPr>
          <w:rFonts w:eastAsia="Times New Roman"/>
          <w:noProof/>
          <w:szCs w:val="20"/>
        </w:rPr>
        <w:t xml:space="preserve">The protracted </w:t>
      </w:r>
      <w:r>
        <w:rPr>
          <w:rFonts w:eastAsia="Times New Roman"/>
          <w:b/>
          <w:noProof/>
          <w:szCs w:val="20"/>
        </w:rPr>
        <w:t>Syrian crisis</w:t>
      </w:r>
      <w:r>
        <w:rPr>
          <w:rFonts w:eastAsia="Times New Roman"/>
          <w:noProof/>
          <w:szCs w:val="20"/>
        </w:rPr>
        <w:t xml:space="preserve"> has had serious consequences for Lebanon. The conflict has exacerbated the security, political and economic issues facing the country. The number of Syrian refugees is extremely high (between 1 million and 1.5 million in a country of 6 million people, which alread hosts half a million of Palestinian refugees). These shocks have resulted in a decline in economic activity, such as tourism and investments. Economic growth has been falling sharply from the 7%-9% growth rates experienced between 2008 and 2010 to sluggish rates: in 2017, the annual GDP only grew by 0.6% and by only 0.3% in 2018. </w:t>
      </w:r>
      <w:r>
        <w:rPr>
          <w:rFonts w:eastAsia="Times New Roman"/>
          <w:noProof/>
        </w:rPr>
        <w:t xml:space="preserve">The </w:t>
      </w:r>
      <w:r>
        <w:rPr>
          <w:rFonts w:eastAsia="Times New Roman"/>
          <w:b/>
          <w:noProof/>
        </w:rPr>
        <w:t>unstable political environment</w:t>
      </w:r>
      <w:r>
        <w:rPr>
          <w:rFonts w:eastAsia="Times New Roman"/>
          <w:noProof/>
        </w:rPr>
        <w:t xml:space="preserve"> and budgetary constraints (exacerbated by the high debt levels, currently at 152% of GDP) have made it difficult for Jordan to address issues such as poverty, unemployment, poor infrastructures and the ‘brain drain’. On a positive note, a government was formed on 31 January 2019, following nine months of deadlock after the national elections of May 2018. The new government vowed to revive the reform agenda that is linked to the CEDRE Conference (see section 3), where international donors – the EU among them – pledged $11 billion in grants and loans, conditional upon the implementation of a fiscal and structural adjustment plan.</w:t>
      </w:r>
    </w:p>
    <w:p>
      <w:pPr>
        <w:jc w:val="both"/>
        <w:rPr>
          <w:rFonts w:eastAsia="Times New Roman"/>
          <w:noProof/>
          <w:szCs w:val="20"/>
        </w:rPr>
      </w:pPr>
    </w:p>
    <w:p>
      <w:pPr>
        <w:jc w:val="both"/>
        <w:rPr>
          <w:rFonts w:eastAsia="Times New Roman"/>
          <w:noProof/>
          <w:szCs w:val="20"/>
        </w:rPr>
      </w:pPr>
      <w:r>
        <w:rPr>
          <w:rFonts w:eastAsia="Times New Roman"/>
          <w:noProof/>
        </w:rPr>
        <w:t xml:space="preserve">At bilateral level, following the commitments undertaken by the EU and Lebanon (reflected in the Partnership Priorities and Compact) to address the factors hindering trade towards the EU, the Joint Working Group on Trade and Investment (JWG) was set. Its aim is to address issues hindering Jordan-EU trade and to </w:t>
      </w:r>
      <w:r>
        <w:rPr>
          <w:rFonts w:eastAsia="Times New Roman"/>
          <w:b/>
          <w:bCs/>
          <w:noProof/>
        </w:rPr>
        <w:t>help Lebanon to upgrade its local production standards</w:t>
      </w:r>
      <w:r>
        <w:rPr>
          <w:rFonts w:eastAsia="Times New Roman"/>
          <w:noProof/>
        </w:rPr>
        <w:t xml:space="preserve"> (see in more detail section 3 above). Lebanon also receives assistance under the TAIEX program</w:t>
      </w:r>
      <w:r>
        <w:rPr>
          <w:rFonts w:eastAsia="Times New Roman"/>
          <w:noProof/>
          <w:vertAlign w:val="superscript"/>
        </w:rPr>
        <w:footnoteReference w:id="68"/>
      </w:r>
      <w:r>
        <w:rPr>
          <w:rFonts w:eastAsia="Times New Roman"/>
          <w:noProof/>
        </w:rPr>
        <w:t xml:space="preserve">. In addition, there are a number of trade related assistance projects to improve the trade and investment climate. For example, the EU is currently financing a € 15 million programme on improving value chains in agriculture and wood processing, with the aim to improve quality of Lebanese products and boost the competitiveness of the targeted sectors. </w:t>
      </w:r>
    </w:p>
    <w:p>
      <w:pPr>
        <w:pStyle w:val="ManualHeading1"/>
      </w:pPr>
      <w:bookmarkStart w:id="2213" w:name="_Toc8833634"/>
      <w:bookmarkStart w:id="2214" w:name="_Toc8835461"/>
      <w:bookmarkStart w:id="2215" w:name="_Toc8834091"/>
      <w:bookmarkStart w:id="2216" w:name="_Toc8909554"/>
      <w:bookmarkStart w:id="2217" w:name="_Toc8910766"/>
      <w:bookmarkStart w:id="2218" w:name="_Toc8911803"/>
      <w:bookmarkStart w:id="2219" w:name="_Toc8974624"/>
      <w:bookmarkStart w:id="2220" w:name="_Toc9008277"/>
      <w:bookmarkStart w:id="2221" w:name="_Toc9008680"/>
      <w:bookmarkStart w:id="2222" w:name="_Toc9348676"/>
      <w:bookmarkStart w:id="2223" w:name="_Toc9608127"/>
      <w:bookmarkStart w:id="2224" w:name="_Toc16000697"/>
      <w:r>
        <w:t>5.</w:t>
      </w:r>
      <w:r>
        <w:tab/>
        <w:t>Progress made, main open issues and follow-up actions</w:t>
      </w:r>
      <w:bookmarkEnd w:id="2213"/>
      <w:bookmarkEnd w:id="2214"/>
      <w:bookmarkEnd w:id="2215"/>
      <w:bookmarkEnd w:id="2216"/>
      <w:bookmarkEnd w:id="2217"/>
      <w:bookmarkEnd w:id="2218"/>
      <w:bookmarkEnd w:id="2219"/>
      <w:bookmarkEnd w:id="2220"/>
      <w:bookmarkEnd w:id="2221"/>
      <w:bookmarkEnd w:id="2222"/>
      <w:bookmarkEnd w:id="2223"/>
      <w:bookmarkEnd w:id="2224"/>
    </w:p>
    <w:p>
      <w:pPr>
        <w:jc w:val="both"/>
        <w:rPr>
          <w:rFonts w:eastAsia="Times New Roman"/>
          <w:noProof/>
        </w:rPr>
      </w:pPr>
      <w:r>
        <w:rPr>
          <w:rFonts w:eastAsia="Times New Roman"/>
          <w:noProof/>
        </w:rPr>
        <w:t xml:space="preserve">The EU and Lebanon are committed to strengthen their dialogue on trade, with a view to identifying pragmatic solutions to help Lebanon take advantage of trade opportunities provided for by the Agreement. The EU-Lebanon </w:t>
      </w:r>
      <w:r>
        <w:rPr>
          <w:rFonts w:eastAsia="Times New Roman"/>
          <w:b/>
          <w:noProof/>
        </w:rPr>
        <w:t>Joint Working Group</w:t>
      </w:r>
      <w:r>
        <w:rPr>
          <w:rFonts w:eastAsia="Times New Roman"/>
          <w:noProof/>
        </w:rPr>
        <w:t xml:space="preserve"> on Trade and Investment created in 2017 will continue its works in a sustained way in the following months and years.</w:t>
      </w:r>
    </w:p>
    <w:p>
      <w:pPr>
        <w:jc w:val="both"/>
        <w:rPr>
          <w:rFonts w:eastAsia="Times New Roman"/>
          <w:noProof/>
        </w:rPr>
      </w:pPr>
    </w:p>
    <w:p>
      <w:pPr>
        <w:jc w:val="both"/>
        <w:rPr>
          <w:rFonts w:eastAsia="Times New Roman"/>
          <w:noProof/>
          <w:lang w:val="en-US"/>
        </w:rPr>
      </w:pPr>
      <w:r>
        <w:rPr>
          <w:rFonts w:eastAsia="Times New Roman"/>
          <w:noProof/>
          <w:lang w:val="en-US"/>
        </w:rPr>
        <w:t xml:space="preserve">In 2018, an intense dialogue took place on </w:t>
      </w:r>
      <w:r>
        <w:rPr>
          <w:rFonts w:eastAsia="Times New Roman"/>
          <w:b/>
          <w:noProof/>
          <w:lang w:val="en-US"/>
        </w:rPr>
        <w:t>rules of origin</w:t>
      </w:r>
      <w:r>
        <w:rPr>
          <w:rFonts w:eastAsia="Times New Roman"/>
          <w:noProof/>
          <w:lang w:val="en-US"/>
        </w:rPr>
        <w:t>: EU and Lebanon are cooperating in the revision of the PEM rules; this modernisation will allow, most probably between the end of 2019 and 2020, the implementation of much more modern rules of origins in the trade between EU and Lebanon and the rest of the Euro-mediterranean region.</w:t>
      </w:r>
    </w:p>
    <w:p>
      <w:pPr>
        <w:jc w:val="both"/>
        <w:rPr>
          <w:rFonts w:eastAsia="Times New Roman"/>
          <w:noProof/>
          <w:lang w:val="en-US"/>
        </w:rPr>
      </w:pPr>
      <w:r>
        <w:rPr>
          <w:rFonts w:eastAsia="Times New Roman"/>
          <w:noProof/>
        </w:rPr>
        <w:t xml:space="preserve">Lebanon is still in the process of applying to join the </w:t>
      </w:r>
      <w:r>
        <w:rPr>
          <w:rFonts w:eastAsia="Times New Roman"/>
          <w:b/>
          <w:noProof/>
        </w:rPr>
        <w:t>WTO</w:t>
      </w:r>
      <w:r>
        <w:rPr>
          <w:rFonts w:eastAsia="Times New Roman"/>
          <w:noProof/>
        </w:rPr>
        <w:t xml:space="preserve"> and announced its intention to rediscuss its offers in terms of schedule of concession of goods. </w:t>
      </w:r>
      <w:r>
        <w:rPr>
          <w:rFonts w:eastAsia="Times New Roman"/>
          <w:noProof/>
          <w:lang w:val="en-US"/>
        </w:rPr>
        <w:t xml:space="preserve">The accession process to join the </w:t>
      </w:r>
      <w:r>
        <w:rPr>
          <w:rFonts w:eastAsia="Times New Roman"/>
          <w:b/>
          <w:noProof/>
          <w:lang w:val="en-US"/>
        </w:rPr>
        <w:t xml:space="preserve">Agadir Agreement </w:t>
      </w:r>
      <w:r>
        <w:rPr>
          <w:rFonts w:eastAsia="Times New Roman"/>
          <w:noProof/>
          <w:lang w:val="en-US"/>
        </w:rPr>
        <w:t>is also ongoing and Lebanon now has to comply with the institutional and administrative requirements that follow the approval of its candidature by the four current members. The EU will continue to support and encourage Lebanon to pursue these accessions.</w:t>
      </w:r>
    </w:p>
    <w:p>
      <w:pPr>
        <w:pStyle w:val="ManualHeading1"/>
      </w:pPr>
      <w:bookmarkStart w:id="2225" w:name="_Toc8833635"/>
      <w:bookmarkStart w:id="2226" w:name="_Toc8835462"/>
      <w:bookmarkStart w:id="2227" w:name="_Toc8834092"/>
      <w:bookmarkStart w:id="2228" w:name="_Toc8909555"/>
      <w:bookmarkStart w:id="2229" w:name="_Toc8910767"/>
      <w:bookmarkStart w:id="2230" w:name="_Toc8911804"/>
      <w:bookmarkStart w:id="2231" w:name="_Toc8974625"/>
      <w:bookmarkStart w:id="2232" w:name="_Toc9008278"/>
      <w:bookmarkStart w:id="2233" w:name="_Toc9008681"/>
      <w:bookmarkStart w:id="2234" w:name="_Toc9348677"/>
      <w:bookmarkStart w:id="2235" w:name="_Toc9608128"/>
      <w:bookmarkStart w:id="2236" w:name="_Toc16000698"/>
      <w:r>
        <w:t>6.</w:t>
      </w:r>
      <w:r>
        <w:tab/>
        <w:t>Conclusions and outlook</w:t>
      </w:r>
      <w:bookmarkEnd w:id="2225"/>
      <w:bookmarkEnd w:id="2226"/>
      <w:bookmarkEnd w:id="2227"/>
      <w:bookmarkEnd w:id="2228"/>
      <w:bookmarkEnd w:id="2229"/>
      <w:bookmarkEnd w:id="2230"/>
      <w:bookmarkEnd w:id="2231"/>
      <w:bookmarkEnd w:id="2232"/>
      <w:bookmarkEnd w:id="2233"/>
      <w:bookmarkEnd w:id="2234"/>
      <w:bookmarkEnd w:id="2235"/>
      <w:bookmarkEnd w:id="2236"/>
    </w:p>
    <w:p>
      <w:pPr>
        <w:jc w:val="both"/>
        <w:rPr>
          <w:rFonts w:eastAsia="Times New Roman"/>
          <w:noProof/>
        </w:rPr>
      </w:pPr>
      <w:r>
        <w:rPr>
          <w:rFonts w:eastAsia="Times New Roman"/>
          <w:noProof/>
        </w:rPr>
        <w:t xml:space="preserve">Overall the </w:t>
      </w:r>
      <w:r>
        <w:rPr>
          <w:rFonts w:eastAsia="Times New Roman"/>
          <w:b/>
          <w:noProof/>
        </w:rPr>
        <w:t>value of trade between the EU and Lebanon has increased in both directions</w:t>
      </w:r>
      <w:r>
        <w:rPr>
          <w:rFonts w:eastAsia="Times New Roman"/>
          <w:noProof/>
        </w:rPr>
        <w:t xml:space="preserve"> since the Agreement entered into force. EU exports have grown more strongly than Lebanese exports and consequently the EU trade surplus has widened. Goods continue to account for the majority of trade, although services and foreign investment are also noteworthy.</w:t>
      </w:r>
    </w:p>
    <w:p>
      <w:pPr>
        <w:jc w:val="both"/>
        <w:rPr>
          <w:rFonts w:eastAsia="Times New Roman"/>
          <w:noProof/>
        </w:rPr>
      </w:pPr>
    </w:p>
    <w:p>
      <w:pPr>
        <w:jc w:val="both"/>
        <w:rPr>
          <w:rFonts w:eastAsia="Times New Roman"/>
          <w:noProof/>
        </w:rPr>
      </w:pPr>
      <w:r>
        <w:rPr>
          <w:rFonts w:eastAsia="Times New Roman"/>
          <w:noProof/>
        </w:rPr>
        <w:t xml:space="preserve">Services are the main driver of Lebanon’s economy. Enhancing the competitiveness of the Lebanese service sector could thus lead to economic growth in selected sectors of strategic importance for the country. There is therefore </w:t>
      </w:r>
      <w:r>
        <w:rPr>
          <w:rFonts w:eastAsia="Times New Roman"/>
          <w:b/>
          <w:noProof/>
        </w:rPr>
        <w:t>untapped potential in services</w:t>
      </w:r>
      <w:r>
        <w:rPr>
          <w:rFonts w:eastAsia="Times New Roman"/>
          <w:noProof/>
        </w:rPr>
        <w:t xml:space="preserve"> sectors whose growth could have positive spill-over effects into other areas of the economy. </w:t>
      </w:r>
      <w:r>
        <w:rPr>
          <w:rFonts w:eastAsia="Times New Roman"/>
          <w:noProof/>
          <w:szCs w:val="20"/>
        </w:rPr>
        <w:t>At the same time, there are a number of ongoing issues restricting trade and investment in Lebanon and preventing the country from taking full advantage of the Agreement. Amongst others, compliance with</w:t>
      </w:r>
      <w:r>
        <w:rPr>
          <w:rFonts w:eastAsia="Times New Roman"/>
          <w:noProof/>
        </w:rPr>
        <w:t xml:space="preserve"> EU standards, for example for SPS and Pharmaceutical products, will be key. The private sector, in particular SMEs, forms the cornerstone of the Lebanese economy and remains the main source of job creation in Lebanon. Despite its dynamism and high resilience, the private sector continues to suffer from an inadequate business environment, weak infrastructure (an example being the unreliable provision of energy, whose system is in need of a reform) and a lack of structural reforms. In those areas as well, the EU is ready to support Lebanon.</w:t>
      </w:r>
    </w:p>
    <w:p>
      <w:pPr>
        <w:jc w:val="both"/>
        <w:rPr>
          <w:rFonts w:eastAsia="Times New Roman"/>
          <w:bCs/>
          <w:noProof/>
        </w:rPr>
      </w:pPr>
    </w:p>
    <w:p>
      <w:pPr>
        <w:jc w:val="both"/>
        <w:rPr>
          <w:rFonts w:eastAsia="Times New Roman"/>
          <w:noProof/>
        </w:rPr>
      </w:pPr>
      <w:r>
        <w:rPr>
          <w:rFonts w:eastAsia="Times New Roman"/>
          <w:noProof/>
        </w:rPr>
        <w:t xml:space="preserve">Finally, Lebanon remains constrained by the </w:t>
      </w:r>
      <w:r>
        <w:rPr>
          <w:rFonts w:eastAsia="Times New Roman"/>
          <w:b/>
          <w:noProof/>
        </w:rPr>
        <w:t>spill-over of the Syrian conflict</w:t>
      </w:r>
      <w:r>
        <w:rPr>
          <w:rFonts w:eastAsia="Times New Roman"/>
          <w:noProof/>
        </w:rPr>
        <w:t>: apart from the high number of Syrian migrants in the country, traditional trade routes for both Lebanese imports and exports remain closed. The EU and Lebanon continue to consider further collaboration to ease the strain of the refugee crisis.</w:t>
      </w:r>
    </w:p>
    <w:p>
      <w:pPr>
        <w:pStyle w:val="ManualHeading1"/>
      </w:pPr>
      <w:bookmarkStart w:id="2237" w:name="_Toc8833636"/>
      <w:bookmarkStart w:id="2238" w:name="_Toc8835463"/>
      <w:bookmarkStart w:id="2239" w:name="_Toc8834093"/>
      <w:bookmarkStart w:id="2240" w:name="_Toc8909556"/>
      <w:bookmarkStart w:id="2241" w:name="_Toc8910768"/>
      <w:bookmarkStart w:id="2242" w:name="_Toc8911805"/>
      <w:bookmarkStart w:id="2243" w:name="_Toc8974626"/>
      <w:bookmarkStart w:id="2244" w:name="_Toc9008279"/>
      <w:bookmarkStart w:id="2245" w:name="_Toc9008682"/>
      <w:bookmarkStart w:id="2246" w:name="_Toc9348678"/>
      <w:bookmarkStart w:id="2247" w:name="_Toc9608129"/>
      <w:bookmarkStart w:id="2248" w:name="_Toc16000699"/>
      <w:r>
        <w:t>7.</w:t>
      </w:r>
      <w:r>
        <w:tab/>
        <w:t>Statistics</w:t>
      </w:r>
      <w:bookmarkEnd w:id="2237"/>
      <w:bookmarkEnd w:id="2238"/>
      <w:bookmarkEnd w:id="2239"/>
      <w:bookmarkEnd w:id="2240"/>
      <w:bookmarkEnd w:id="2241"/>
      <w:bookmarkEnd w:id="2242"/>
      <w:bookmarkEnd w:id="2243"/>
      <w:bookmarkEnd w:id="2244"/>
      <w:bookmarkEnd w:id="2245"/>
      <w:bookmarkEnd w:id="2246"/>
      <w:bookmarkEnd w:id="2247"/>
      <w:bookmarkEnd w:id="2248"/>
    </w:p>
    <w:p>
      <w:pPr>
        <w:rPr>
          <w:noProof/>
        </w:rPr>
      </w:pPr>
    </w:p>
    <w:tbl>
      <w:tblPr>
        <w:tblW w:w="6278" w:type="dxa"/>
        <w:tblInd w:w="108" w:type="dxa"/>
        <w:tblLook w:val="04A0" w:firstRow="1" w:lastRow="0" w:firstColumn="1" w:lastColumn="0" w:noHBand="0" w:noVBand="1"/>
      </w:tblPr>
      <w:tblGrid>
        <w:gridCol w:w="3707"/>
        <w:gridCol w:w="630"/>
        <w:gridCol w:w="630"/>
        <w:gridCol w:w="630"/>
        <w:gridCol w:w="630"/>
        <w:gridCol w:w="703"/>
      </w:tblGrid>
      <w:tr>
        <w:trPr>
          <w:trHeight w:val="210"/>
        </w:trPr>
        <w:tc>
          <w:tcPr>
            <w:tcW w:w="6278"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Merchandise trade EU28 2014-2018</w:t>
            </w:r>
          </w:p>
        </w:tc>
      </w:tr>
      <w:tr>
        <w:trPr>
          <w:trHeight w:val="210"/>
        </w:trPr>
        <w:tc>
          <w:tcPr>
            <w:tcW w:w="3707" w:type="dxa"/>
            <w:tcBorders>
              <w:top w:val="single" w:sz="4" w:space="0" w:color="auto"/>
              <w:left w:val="nil"/>
              <w:bottom w:val="single" w:sz="4" w:space="0" w:color="auto"/>
              <w:right w:val="nil"/>
            </w:tcBorders>
            <w:shd w:val="clear" w:color="000000" w:fill="FFFFFF"/>
            <w:noWrap/>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 </w:t>
            </w:r>
          </w:p>
        </w:tc>
        <w:tc>
          <w:tcPr>
            <w:tcW w:w="467"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467"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467"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467"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703"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r>
      <w:tr>
        <w:trPr>
          <w:trHeight w:val="210"/>
        </w:trPr>
        <w:tc>
          <w:tcPr>
            <w:tcW w:w="3707" w:type="dxa"/>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EU28 trade with Lebanon (mio €)</w:t>
            </w:r>
          </w:p>
        </w:tc>
        <w:tc>
          <w:tcPr>
            <w:tcW w:w="467"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n-IE" w:eastAsia="en-IE"/>
              </w:rPr>
            </w:pPr>
          </w:p>
        </w:tc>
        <w:tc>
          <w:tcPr>
            <w:tcW w:w="467"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467"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467"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703"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r>
      <w:tr>
        <w:trPr>
          <w:trHeight w:val="210"/>
        </w:trPr>
        <w:tc>
          <w:tcPr>
            <w:tcW w:w="370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332</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408</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407</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455</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513</w:t>
            </w:r>
          </w:p>
        </w:tc>
      </w:tr>
      <w:tr>
        <w:trPr>
          <w:trHeight w:val="210"/>
        </w:trPr>
        <w:tc>
          <w:tcPr>
            <w:tcW w:w="370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6.545</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6.699</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6.668</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7.265</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7.222</w:t>
            </w:r>
          </w:p>
        </w:tc>
      </w:tr>
      <w:tr>
        <w:trPr>
          <w:trHeight w:val="210"/>
        </w:trPr>
        <w:tc>
          <w:tcPr>
            <w:tcW w:w="370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6.213</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6.291</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6.261</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6.810</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6.709</w:t>
            </w:r>
          </w:p>
        </w:tc>
      </w:tr>
      <w:tr>
        <w:trPr>
          <w:trHeight w:val="210"/>
        </w:trPr>
        <w:tc>
          <w:tcPr>
            <w:tcW w:w="3707" w:type="dxa"/>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Share Lebanon in EU28 trade with Extra-EU28</w:t>
            </w:r>
          </w:p>
        </w:tc>
        <w:tc>
          <w:tcPr>
            <w:tcW w:w="467"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n-IE" w:eastAsia="en-IE"/>
              </w:rPr>
            </w:pPr>
          </w:p>
        </w:tc>
        <w:tc>
          <w:tcPr>
            <w:tcW w:w="467"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467"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467"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703"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r>
      <w:tr>
        <w:trPr>
          <w:trHeight w:val="210"/>
        </w:trPr>
        <w:tc>
          <w:tcPr>
            <w:tcW w:w="370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r>
      <w:tr>
        <w:trPr>
          <w:trHeight w:val="210"/>
        </w:trPr>
        <w:tc>
          <w:tcPr>
            <w:tcW w:w="370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0,4%</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0,4%</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0,4%</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0,4%</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0,4%</w:t>
            </w:r>
          </w:p>
        </w:tc>
      </w:tr>
      <w:tr>
        <w:trPr>
          <w:trHeight w:val="210"/>
        </w:trPr>
        <w:tc>
          <w:tcPr>
            <w:tcW w:w="370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r>
      <w:tr>
        <w:trPr>
          <w:trHeight w:val="210"/>
        </w:trPr>
        <w:tc>
          <w:tcPr>
            <w:tcW w:w="6278"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Share EU28 in trade Lebanon with world</w:t>
            </w:r>
          </w:p>
        </w:tc>
      </w:tr>
      <w:tr>
        <w:trPr>
          <w:trHeight w:val="210"/>
        </w:trPr>
        <w:tc>
          <w:tcPr>
            <w:tcW w:w="370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41,9%</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42,4%</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40,5%</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42,4%</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41,3%</w:t>
            </w:r>
          </w:p>
        </w:tc>
      </w:tr>
      <w:tr>
        <w:trPr>
          <w:trHeight w:val="210"/>
        </w:trPr>
        <w:tc>
          <w:tcPr>
            <w:tcW w:w="370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10,3%</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12,0%</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10,7%</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8,9%</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13,1%</w:t>
            </w:r>
          </w:p>
        </w:tc>
      </w:tr>
      <w:tr>
        <w:trPr>
          <w:trHeight w:val="210"/>
        </w:trPr>
        <w:tc>
          <w:tcPr>
            <w:tcW w:w="370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36,5%</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37,1%</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35,5%</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36,8%</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36,8%</w:t>
            </w:r>
          </w:p>
        </w:tc>
      </w:tr>
      <w:tr>
        <w:trPr>
          <w:trHeight w:val="225"/>
        </w:trPr>
        <w:tc>
          <w:tcPr>
            <w:tcW w:w="4641" w:type="dxa"/>
            <w:gridSpan w:val="3"/>
            <w:tcBorders>
              <w:top w:val="single" w:sz="4" w:space="0" w:color="auto"/>
              <w:left w:val="nil"/>
              <w:bottom w:val="nil"/>
              <w:right w:val="nil"/>
            </w:tcBorders>
            <w:shd w:val="clear" w:color="000000" w:fill="FFFFFF"/>
            <w:noWrap/>
            <w:vAlign w:val="bottom"/>
            <w:hideMark/>
          </w:tcPr>
          <w:p>
            <w:pPr>
              <w:rPr>
                <w:rFonts w:eastAsia="Times New Roman"/>
                <w:noProof/>
                <w:sz w:val="12"/>
                <w:szCs w:val="12"/>
                <w:lang w:val="en-IE" w:eastAsia="en-IE"/>
              </w:rPr>
            </w:pPr>
            <w:r>
              <w:rPr>
                <w:rFonts w:eastAsia="Times New Roman"/>
                <w:noProof/>
                <w:sz w:val="12"/>
                <w:szCs w:val="12"/>
                <w:lang w:val="en-IE" w:eastAsia="en-IE"/>
              </w:rPr>
              <w:t xml:space="preserve">Source Trade G2 Statistics/ISDB </w:t>
            </w:r>
          </w:p>
        </w:tc>
        <w:tc>
          <w:tcPr>
            <w:tcW w:w="467"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467"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703" w:type="dxa"/>
            <w:tcBorders>
              <w:top w:val="single" w:sz="4" w:space="0" w:color="auto"/>
              <w:left w:val="nil"/>
              <w:bottom w:val="nil"/>
              <w:right w:val="nil"/>
            </w:tcBorders>
            <w:shd w:val="clear" w:color="000000" w:fill="FFFFFF"/>
            <w:noWrap/>
            <w:hideMark/>
          </w:tcPr>
          <w:p>
            <w:pPr>
              <w:jc w:val="right"/>
              <w:rPr>
                <w:rFonts w:eastAsia="Times New Roman"/>
                <w:noProof/>
                <w:sz w:val="12"/>
                <w:szCs w:val="12"/>
                <w:lang w:val="en-IE" w:eastAsia="en-IE"/>
              </w:rPr>
            </w:pPr>
            <w:r>
              <w:rPr>
                <w:rFonts w:eastAsia="Times New Roman"/>
                <w:noProof/>
                <w:sz w:val="12"/>
                <w:szCs w:val="12"/>
                <w:lang w:val="en-IE" w:eastAsia="en-IE"/>
              </w:rPr>
              <w:t>25-mars-19</w:t>
            </w:r>
          </w:p>
        </w:tc>
      </w:tr>
      <w:tr>
        <w:trPr>
          <w:trHeight w:val="210"/>
        </w:trPr>
        <w:tc>
          <w:tcPr>
            <w:tcW w:w="5108" w:type="dxa"/>
            <w:gridSpan w:val="4"/>
            <w:tcBorders>
              <w:top w:val="nil"/>
              <w:left w:val="nil"/>
              <w:bottom w:val="nil"/>
              <w:right w:val="nil"/>
            </w:tcBorders>
            <w:shd w:val="clear" w:color="000000" w:fill="FFFFFF"/>
            <w:noWrap/>
            <w:hideMark/>
          </w:tcPr>
          <w:p>
            <w:pPr>
              <w:rPr>
                <w:rFonts w:eastAsia="Times New Roman"/>
                <w:noProof/>
                <w:color w:val="000000"/>
                <w:sz w:val="12"/>
                <w:szCs w:val="12"/>
                <w:lang w:val="en-IE" w:eastAsia="en-IE"/>
              </w:rPr>
            </w:pPr>
            <w:r>
              <w:rPr>
                <w:rFonts w:eastAsia="Times New Roman"/>
                <w:noProof/>
                <w:color w:val="000000"/>
                <w:sz w:val="12"/>
                <w:szCs w:val="12"/>
                <w:lang w:val="en-IE" w:eastAsia="en-IE"/>
              </w:rPr>
              <w:t>Trade EU28: Eurostat COMEXT;  Trade Lebanon: IMF Dots</w:t>
            </w:r>
          </w:p>
        </w:tc>
        <w:tc>
          <w:tcPr>
            <w:tcW w:w="467"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10"/>
        </w:trPr>
        <w:tc>
          <w:tcPr>
            <w:tcW w:w="3707"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467"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467"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467"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467"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25"/>
        </w:trPr>
        <w:tc>
          <w:tcPr>
            <w:tcW w:w="6278"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Total merchandise trade EU28 with Lebanon (mio €)</w:t>
            </w:r>
          </w:p>
        </w:tc>
      </w:tr>
      <w:tr>
        <w:trPr>
          <w:trHeight w:val="225"/>
        </w:trPr>
        <w:tc>
          <w:tcPr>
            <w:tcW w:w="4174"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Lebanon</w:t>
            </w:r>
          </w:p>
        </w:tc>
        <w:tc>
          <w:tcPr>
            <w:tcW w:w="467"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467"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170"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174"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67"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67"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67"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70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455</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513</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59</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12,9%</w:t>
            </w:r>
          </w:p>
        </w:tc>
      </w:tr>
      <w:tr>
        <w:trPr>
          <w:trHeight w:val="225"/>
        </w:trPr>
        <w:tc>
          <w:tcPr>
            <w:tcW w:w="370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7.265</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7.222</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-43</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-0,6%</w:t>
            </w:r>
          </w:p>
        </w:tc>
      </w:tr>
      <w:tr>
        <w:trPr>
          <w:trHeight w:val="225"/>
        </w:trPr>
        <w:tc>
          <w:tcPr>
            <w:tcW w:w="370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6.810</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6.709</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-101</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707"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67"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7.719</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7.736</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r>
      <w:tr>
        <w:trPr>
          <w:trHeight w:val="240"/>
        </w:trPr>
        <w:tc>
          <w:tcPr>
            <w:tcW w:w="5108"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467"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6278"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Agrifood trade EU28 with Lebanon (mio €)</w:t>
            </w:r>
          </w:p>
        </w:tc>
      </w:tr>
      <w:tr>
        <w:trPr>
          <w:trHeight w:val="255"/>
        </w:trPr>
        <w:tc>
          <w:tcPr>
            <w:tcW w:w="4174"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Lebanon</w:t>
            </w:r>
          </w:p>
        </w:tc>
        <w:tc>
          <w:tcPr>
            <w:tcW w:w="467"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467"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170"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174"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67"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67"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67"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70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103</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104</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w:t>
            </w:r>
          </w:p>
        </w:tc>
      </w:tr>
      <w:tr>
        <w:trPr>
          <w:trHeight w:val="225"/>
        </w:trPr>
        <w:tc>
          <w:tcPr>
            <w:tcW w:w="370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1.039</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1.065</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w:t>
            </w:r>
          </w:p>
        </w:tc>
      </w:tr>
      <w:tr>
        <w:trPr>
          <w:trHeight w:val="225"/>
        </w:trPr>
        <w:tc>
          <w:tcPr>
            <w:tcW w:w="370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936</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960</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707"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1.142</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1.169</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w:t>
            </w:r>
          </w:p>
        </w:tc>
      </w:tr>
      <w:tr>
        <w:trPr>
          <w:trHeight w:val="240"/>
        </w:trPr>
        <w:tc>
          <w:tcPr>
            <w:tcW w:w="5108"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467"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6278"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NAMA trade EU28 with Lebanon (mio €)</w:t>
            </w:r>
          </w:p>
        </w:tc>
      </w:tr>
      <w:tr>
        <w:trPr>
          <w:trHeight w:val="225"/>
        </w:trPr>
        <w:tc>
          <w:tcPr>
            <w:tcW w:w="4174"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Lebanon</w:t>
            </w:r>
          </w:p>
        </w:tc>
        <w:tc>
          <w:tcPr>
            <w:tcW w:w="467"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467"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170"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174"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67"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67"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67"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4174"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imports</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352</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409</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57</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16,3%</w:t>
            </w:r>
          </w:p>
        </w:tc>
      </w:tr>
      <w:tr>
        <w:trPr>
          <w:trHeight w:val="225"/>
        </w:trPr>
        <w:tc>
          <w:tcPr>
            <w:tcW w:w="4174"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exports</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6.226</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6.158</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-68</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w:t>
            </w:r>
          </w:p>
        </w:tc>
      </w:tr>
      <w:tr>
        <w:trPr>
          <w:trHeight w:val="225"/>
        </w:trPr>
        <w:tc>
          <w:tcPr>
            <w:tcW w:w="370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5.874</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5.749</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-126</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70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6.578</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6.567</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r>
      <w:tr>
        <w:trPr>
          <w:trHeight w:val="240"/>
        </w:trPr>
        <w:tc>
          <w:tcPr>
            <w:tcW w:w="5108"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467" w:type="dxa"/>
            <w:tcBorders>
              <w:top w:val="single" w:sz="4" w:space="0" w:color="auto"/>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5108" w:type="dxa"/>
            <w:gridSpan w:val="4"/>
            <w:tcBorders>
              <w:top w:val="nil"/>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Services trade EU28 with Lebanon (mio €)</w:t>
            </w:r>
          </w:p>
        </w:tc>
        <w:tc>
          <w:tcPr>
            <w:tcW w:w="467" w:type="dxa"/>
            <w:tcBorders>
              <w:top w:val="nil"/>
              <w:left w:val="nil"/>
              <w:bottom w:val="nil"/>
              <w:right w:val="nil"/>
            </w:tcBorders>
            <w:shd w:val="clear" w:color="000000" w:fill="FFFFFF"/>
            <w:noWrap/>
            <w:vAlign w:val="center"/>
            <w:hideMark/>
          </w:tcPr>
          <w:p>
            <w:pPr>
              <w:rPr>
                <w:rFonts w:eastAsia="Times New Roman"/>
                <w:b/>
                <w:bCs/>
                <w:noProof/>
                <w:sz w:val="16"/>
                <w:szCs w:val="16"/>
                <w:lang w:val="en-IE" w:eastAsia="en-IE"/>
              </w:rPr>
            </w:pPr>
            <w:r>
              <w:rPr>
                <w:rFonts w:eastAsia="Times New Roman"/>
                <w:b/>
                <w:bCs/>
                <w:noProof/>
                <w:sz w:val="16"/>
                <w:szCs w:val="16"/>
                <w:lang w:val="en-IE" w:eastAsia="en-IE"/>
              </w:rPr>
              <w:t> </w:t>
            </w:r>
          </w:p>
        </w:tc>
        <w:tc>
          <w:tcPr>
            <w:tcW w:w="703" w:type="dxa"/>
            <w:tcBorders>
              <w:top w:val="nil"/>
              <w:left w:val="nil"/>
              <w:bottom w:val="nil"/>
              <w:right w:val="nil"/>
            </w:tcBorders>
            <w:shd w:val="clear" w:color="000000" w:fill="FFFFFF"/>
            <w:noWrap/>
            <w:vAlign w:val="center"/>
            <w:hideMark/>
          </w:tcPr>
          <w:p>
            <w:pPr>
              <w:rPr>
                <w:rFonts w:eastAsia="Times New Roman"/>
                <w:b/>
                <w:bCs/>
                <w:noProof/>
                <w:sz w:val="16"/>
                <w:szCs w:val="16"/>
                <w:lang w:val="en-IE" w:eastAsia="en-IE"/>
              </w:rPr>
            </w:pPr>
            <w:r>
              <w:rPr>
                <w:rFonts w:eastAsia="Times New Roman"/>
                <w:b/>
                <w:bCs/>
                <w:noProof/>
                <w:sz w:val="16"/>
                <w:szCs w:val="16"/>
                <w:lang w:val="en-IE" w:eastAsia="en-IE"/>
              </w:rPr>
              <w:t> </w:t>
            </w:r>
          </w:p>
        </w:tc>
      </w:tr>
      <w:tr>
        <w:trPr>
          <w:trHeight w:val="225"/>
        </w:trPr>
        <w:tc>
          <w:tcPr>
            <w:tcW w:w="4174"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Lebanon</w:t>
            </w:r>
          </w:p>
        </w:tc>
        <w:tc>
          <w:tcPr>
            <w:tcW w:w="467"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467"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1170"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174"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67"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467"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467"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70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1.074</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1.025</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-49</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-4,5%</w:t>
            </w:r>
          </w:p>
        </w:tc>
      </w:tr>
      <w:tr>
        <w:trPr>
          <w:trHeight w:val="225"/>
        </w:trPr>
        <w:tc>
          <w:tcPr>
            <w:tcW w:w="370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1.410</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1.473</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63</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4,5%</w:t>
            </w:r>
          </w:p>
        </w:tc>
      </w:tr>
      <w:tr>
        <w:trPr>
          <w:trHeight w:val="225"/>
        </w:trPr>
        <w:tc>
          <w:tcPr>
            <w:tcW w:w="370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336</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448</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112</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707"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67"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2.484</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2.498</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0,6%</w:t>
            </w:r>
          </w:p>
        </w:tc>
      </w:tr>
      <w:tr>
        <w:trPr>
          <w:trHeight w:val="240"/>
        </w:trPr>
        <w:tc>
          <w:tcPr>
            <w:tcW w:w="5575" w:type="dxa"/>
            <w:gridSpan w:val="5"/>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703"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40"/>
        </w:trPr>
        <w:tc>
          <w:tcPr>
            <w:tcW w:w="6278"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Services trade EU28 with Lebanon (mio €)</w:t>
            </w:r>
          </w:p>
        </w:tc>
      </w:tr>
      <w:tr>
        <w:trPr>
          <w:trHeight w:val="225"/>
        </w:trPr>
        <w:tc>
          <w:tcPr>
            <w:tcW w:w="3707"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467"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467"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467"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703"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370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981</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1.121</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967</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1.074</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1.025</w:t>
            </w:r>
          </w:p>
        </w:tc>
      </w:tr>
      <w:tr>
        <w:trPr>
          <w:trHeight w:val="225"/>
        </w:trPr>
        <w:tc>
          <w:tcPr>
            <w:tcW w:w="370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1.480</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1.908</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1.572</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1.410</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1.473</w:t>
            </w:r>
          </w:p>
        </w:tc>
      </w:tr>
      <w:tr>
        <w:trPr>
          <w:trHeight w:val="225"/>
        </w:trPr>
        <w:tc>
          <w:tcPr>
            <w:tcW w:w="370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499</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788</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605</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336</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448</w:t>
            </w:r>
          </w:p>
        </w:tc>
      </w:tr>
      <w:tr>
        <w:trPr>
          <w:trHeight w:val="225"/>
        </w:trPr>
        <w:tc>
          <w:tcPr>
            <w:tcW w:w="3707"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2.460</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3.029</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2.539</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2.484</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2.498</w:t>
            </w:r>
          </w:p>
        </w:tc>
      </w:tr>
      <w:tr>
        <w:trPr>
          <w:trHeight w:val="225"/>
        </w:trPr>
        <w:tc>
          <w:tcPr>
            <w:tcW w:w="3707"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467"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 </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6278"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FDI EU28 with Lebanon (mio €)</w:t>
            </w:r>
          </w:p>
        </w:tc>
      </w:tr>
      <w:tr>
        <w:trPr>
          <w:trHeight w:val="225"/>
        </w:trPr>
        <w:tc>
          <w:tcPr>
            <w:tcW w:w="3707"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467"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467"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467"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703"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6278"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Stocks</w:t>
            </w:r>
          </w:p>
        </w:tc>
      </w:tr>
      <w:tr>
        <w:trPr>
          <w:trHeight w:val="225"/>
        </w:trPr>
        <w:tc>
          <w:tcPr>
            <w:tcW w:w="370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3.645</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3.774</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2.677</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4.434</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4.629</w:t>
            </w:r>
          </w:p>
        </w:tc>
      </w:tr>
      <w:tr>
        <w:trPr>
          <w:trHeight w:val="225"/>
        </w:trPr>
        <w:tc>
          <w:tcPr>
            <w:tcW w:w="370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1.331</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1.601</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1.866</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2.232</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2.046</w:t>
            </w:r>
          </w:p>
        </w:tc>
      </w:tr>
      <w:tr>
        <w:trPr>
          <w:trHeight w:val="225"/>
        </w:trPr>
        <w:tc>
          <w:tcPr>
            <w:tcW w:w="6278"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Flows</w:t>
            </w:r>
          </w:p>
        </w:tc>
      </w:tr>
      <w:tr>
        <w:trPr>
          <w:trHeight w:val="225"/>
        </w:trPr>
        <w:tc>
          <w:tcPr>
            <w:tcW w:w="370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320</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261</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1.231</w:t>
            </w:r>
          </w:p>
        </w:tc>
        <w:tc>
          <w:tcPr>
            <w:tcW w:w="46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133</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184</w:t>
            </w:r>
          </w:p>
        </w:tc>
      </w:tr>
      <w:tr>
        <w:trPr>
          <w:trHeight w:val="225"/>
        </w:trPr>
        <w:tc>
          <w:tcPr>
            <w:tcW w:w="370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234</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190</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-46</w:t>
            </w:r>
          </w:p>
        </w:tc>
        <w:tc>
          <w:tcPr>
            <w:tcW w:w="46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213</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256</w:t>
            </w:r>
          </w:p>
        </w:tc>
      </w:tr>
      <w:tr>
        <w:trPr>
          <w:trHeight w:val="225"/>
        </w:trPr>
        <w:tc>
          <w:tcPr>
            <w:tcW w:w="3707" w:type="dxa"/>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467"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 </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bl>
    <w:p>
      <w:pPr>
        <w:rPr>
          <w:noProof/>
          <w:lang w:val="en-IE"/>
        </w:rPr>
      </w:pPr>
    </w:p>
    <w:p>
      <w:pPr>
        <w:spacing w:after="200" w:line="276" w:lineRule="auto"/>
        <w:rPr>
          <w:noProof/>
        </w:rPr>
      </w:pPr>
      <w:r>
        <w:rPr>
          <w:noProof/>
        </w:rPr>
        <w:br w:type="page"/>
      </w:r>
    </w:p>
    <w:p>
      <w:pPr>
        <w:pStyle w:val="ChapterHead"/>
        <w:jc w:val="both"/>
        <w:rPr>
          <w:b/>
          <w:noProof/>
        </w:rPr>
      </w:pPr>
      <w:bookmarkStart w:id="2249" w:name="_Toc8833637"/>
      <w:bookmarkStart w:id="2250" w:name="_Toc8835464"/>
      <w:bookmarkStart w:id="2251" w:name="_Toc8834094"/>
      <w:bookmarkStart w:id="2252" w:name="_Toc8909557"/>
      <w:bookmarkStart w:id="2253" w:name="_Toc8910769"/>
      <w:bookmarkStart w:id="2254" w:name="_Toc8911806"/>
      <w:bookmarkStart w:id="2255" w:name="_Toc8974627"/>
      <w:bookmarkStart w:id="2256" w:name="_Toc9008280"/>
      <w:bookmarkStart w:id="2257" w:name="_Toc9008683"/>
      <w:bookmarkStart w:id="2258" w:name="_Toc9348679"/>
      <w:bookmarkStart w:id="2259" w:name="_Toc9608130"/>
      <w:bookmarkStart w:id="2260" w:name="_Toc16000700"/>
      <w:r>
        <w:rPr>
          <w:b/>
          <w:noProof/>
        </w:rPr>
        <w:t>ANNUAL INFO SHEET ON THE IMPLEMENTATION OF THE EU-MOROCCO ASSOCIATION AGREEMENT</w:t>
      </w:r>
      <w:bookmarkEnd w:id="2249"/>
      <w:bookmarkEnd w:id="2250"/>
      <w:bookmarkEnd w:id="2251"/>
      <w:bookmarkEnd w:id="2252"/>
      <w:bookmarkEnd w:id="2253"/>
      <w:bookmarkEnd w:id="2254"/>
      <w:bookmarkEnd w:id="2255"/>
      <w:bookmarkEnd w:id="2256"/>
      <w:bookmarkEnd w:id="2257"/>
      <w:bookmarkEnd w:id="2258"/>
      <w:bookmarkEnd w:id="2259"/>
      <w:bookmarkEnd w:id="2260"/>
    </w:p>
    <w:p>
      <w:pPr>
        <w:pStyle w:val="ManualHeading1"/>
      </w:pPr>
      <w:bookmarkStart w:id="2261" w:name="_Toc8833638"/>
      <w:bookmarkStart w:id="2262" w:name="_Toc8835465"/>
      <w:bookmarkStart w:id="2263" w:name="_Toc8834095"/>
      <w:bookmarkStart w:id="2264" w:name="_Toc8909558"/>
      <w:bookmarkStart w:id="2265" w:name="_Toc8910770"/>
      <w:bookmarkStart w:id="2266" w:name="_Toc8911807"/>
      <w:bookmarkStart w:id="2267" w:name="_Toc8974628"/>
      <w:bookmarkStart w:id="2268" w:name="_Toc9008281"/>
      <w:bookmarkStart w:id="2269" w:name="_Toc9008684"/>
      <w:bookmarkStart w:id="2270" w:name="_Toc9348680"/>
      <w:bookmarkStart w:id="2271" w:name="_Toc9608131"/>
      <w:bookmarkStart w:id="2272" w:name="_Toc16000701"/>
      <w:r>
        <w:t>1.</w:t>
      </w:r>
      <w:r>
        <w:tab/>
        <w:t>Introduction</w:t>
      </w:r>
      <w:bookmarkEnd w:id="2261"/>
      <w:bookmarkEnd w:id="2262"/>
      <w:bookmarkEnd w:id="2263"/>
      <w:bookmarkEnd w:id="2264"/>
      <w:bookmarkEnd w:id="2265"/>
      <w:bookmarkEnd w:id="2266"/>
      <w:bookmarkEnd w:id="2267"/>
      <w:bookmarkEnd w:id="2268"/>
      <w:bookmarkEnd w:id="2269"/>
      <w:bookmarkEnd w:id="2270"/>
      <w:bookmarkEnd w:id="2271"/>
      <w:bookmarkEnd w:id="2272"/>
    </w:p>
    <w:p>
      <w:pPr>
        <w:jc w:val="both"/>
        <w:rPr>
          <w:noProof/>
        </w:rPr>
      </w:pPr>
      <w:bookmarkStart w:id="2273" w:name="_Toc8833639"/>
      <w:bookmarkStart w:id="2274" w:name="_Toc8835466"/>
      <w:bookmarkStart w:id="2275" w:name="_Toc8834096"/>
      <w:bookmarkStart w:id="2276" w:name="_Toc8909559"/>
      <w:bookmarkStart w:id="2277" w:name="_Toc8910771"/>
      <w:bookmarkStart w:id="2278" w:name="_Toc8911808"/>
      <w:bookmarkStart w:id="2279" w:name="_Toc8974629"/>
      <w:bookmarkStart w:id="2280" w:name="_Toc9008282"/>
      <w:bookmarkStart w:id="2281" w:name="_Toc9008685"/>
      <w:bookmarkStart w:id="2282" w:name="_Toc9348681"/>
      <w:bookmarkStart w:id="2283" w:name="_Toc9608132"/>
      <w:r>
        <w:rPr>
          <w:noProof/>
        </w:rPr>
        <w:t xml:space="preserve">The EU and Morocco established a Free Trade Area as part of the EU-Morocco Association Agreement (AA; the “Agreement”), signed in 1996, which entered into force on 1 March 2000. The Agreement provides for a reciprocal liberalisation of trade in goods, with elements of asymmetry in favour of Morocco: since the day of entry into force of the Agreement, all industrial products covered could be exported by Morocco to the EU tariff-free, while Morocco benefited from a transitional period of 12 years. The transitional period for Morocco to reduce its tariffs on industrial products to zero ended in March 2012. The EU and Morocco also signed an agreement on additional liberalisation of trade in agricultural products, processed agricultural products, fish and fisheries products, which entered into force in October 2012. Trade for industrial products is now entirely liberalised, while market opening for agricultural products is also substantial with only a few limited number of Moroccan products subject to TRQs on each side when imported into the EU. The tariff dismantling for EU exports will be completed by 1 October 2020, with a considerable number of products still subject to quotas when exported to Morocco. Negotiations for a DCFTA started in 2013. The last round took place in April 2014. </w:t>
      </w:r>
    </w:p>
    <w:p>
      <w:pPr>
        <w:jc w:val="both"/>
        <w:rPr>
          <w:noProof/>
        </w:rPr>
      </w:pPr>
    </w:p>
    <w:p>
      <w:pPr>
        <w:jc w:val="both"/>
        <w:rPr>
          <w:b/>
          <w:smallCaps/>
          <w:noProof/>
        </w:rPr>
      </w:pPr>
      <w:r>
        <w:rPr>
          <w:noProof/>
        </w:rPr>
        <w:t>A protocol establishing a Dispute Settlement Mechanism was agreed upon by the EU and Morocco and entered into force in 2012. Morocco also signed the Regional Convention on pan-Euro-Mediterranean preferential rules of origin (PEM Convention) on 18 April 2012 and ratified it in May 2019. The ratification process is still pending, though it could be accelerated in view light of the upcoming conclusion of negotiations of the modernisation of the PEM Convention. The main objective of the PEM Convention is to provide a more unified framework for origin protocols. Negotiations in view of an Agreement for the Protection of geographical indications (GIs) were concluded in 2015, and ratification is pending on both the EU and Morocco's sides.</w:t>
      </w:r>
    </w:p>
    <w:p>
      <w:pPr>
        <w:pStyle w:val="ManualHeading1"/>
      </w:pPr>
      <w:bookmarkStart w:id="2284" w:name="_Toc16000702"/>
      <w:r>
        <w:t>2.</w:t>
      </w:r>
      <w:r>
        <w:tab/>
        <w:t>Evolution of trade</w:t>
      </w:r>
      <w:bookmarkEnd w:id="2273"/>
      <w:bookmarkEnd w:id="2274"/>
      <w:bookmarkEnd w:id="2275"/>
      <w:bookmarkEnd w:id="2276"/>
      <w:bookmarkEnd w:id="2277"/>
      <w:bookmarkEnd w:id="2278"/>
      <w:bookmarkEnd w:id="2279"/>
      <w:bookmarkEnd w:id="2280"/>
      <w:bookmarkEnd w:id="2281"/>
      <w:bookmarkEnd w:id="2282"/>
      <w:bookmarkEnd w:id="2283"/>
      <w:bookmarkEnd w:id="2284"/>
    </w:p>
    <w:p>
      <w:pPr>
        <w:pStyle w:val="Heading2"/>
        <w:ind w:left="0" w:firstLine="0"/>
      </w:pPr>
      <w:bookmarkStart w:id="2285" w:name="_Toc8833640"/>
      <w:bookmarkStart w:id="2286" w:name="_Toc8835467"/>
      <w:bookmarkStart w:id="2287" w:name="_Toc8834097"/>
      <w:bookmarkStart w:id="2288" w:name="_Toc8909560"/>
      <w:bookmarkStart w:id="2289" w:name="_Toc8910772"/>
      <w:bookmarkStart w:id="2290" w:name="_Toc8911809"/>
      <w:bookmarkStart w:id="2291" w:name="_Toc8974630"/>
      <w:bookmarkStart w:id="2292" w:name="_Toc9008283"/>
      <w:bookmarkStart w:id="2293" w:name="_Toc9008686"/>
      <w:bookmarkStart w:id="2294" w:name="_Toc9348682"/>
      <w:bookmarkStart w:id="2295" w:name="_Toc9608133"/>
      <w:bookmarkStart w:id="2296" w:name="_Toc16000703"/>
      <w:r>
        <w:t>2.1 Trade in Goods</w:t>
      </w:r>
      <w:bookmarkEnd w:id="2285"/>
      <w:bookmarkEnd w:id="2286"/>
      <w:bookmarkEnd w:id="2287"/>
      <w:bookmarkEnd w:id="2288"/>
      <w:bookmarkEnd w:id="2289"/>
      <w:bookmarkEnd w:id="2290"/>
      <w:bookmarkEnd w:id="2291"/>
      <w:bookmarkEnd w:id="2292"/>
      <w:bookmarkEnd w:id="2293"/>
      <w:bookmarkEnd w:id="2294"/>
      <w:bookmarkEnd w:id="2295"/>
      <w:bookmarkEnd w:id="2296"/>
    </w:p>
    <w:p>
      <w:pPr>
        <w:jc w:val="both"/>
        <w:rPr>
          <w:rFonts w:eastAsia="Times New Roman"/>
          <w:noProof/>
          <w:szCs w:val="20"/>
        </w:rPr>
      </w:pPr>
      <w:r>
        <w:rPr>
          <w:rFonts w:eastAsia="Times New Roman"/>
          <w:noProof/>
        </w:rPr>
        <w:t xml:space="preserve">In </w:t>
      </w:r>
      <w:r>
        <w:rPr>
          <w:rFonts w:eastAsia="Times New Roman"/>
          <w:noProof/>
          <w:szCs w:val="20"/>
        </w:rPr>
        <w:t>2018</w:t>
      </w:r>
      <w:r>
        <w:rPr>
          <w:rFonts w:eastAsia="Times New Roman"/>
          <w:noProof/>
        </w:rPr>
        <w:t xml:space="preserve">, the EU was Morocco’s first trading partner for goods, accounting for almost </w:t>
      </w:r>
      <w:r>
        <w:rPr>
          <w:rFonts w:eastAsia="Times New Roman"/>
          <w:noProof/>
          <w:szCs w:val="20"/>
        </w:rPr>
        <w:t>55</w:t>
      </w:r>
      <w:r>
        <w:rPr>
          <w:rFonts w:eastAsia="Times New Roman"/>
          <w:noProof/>
        </w:rPr>
        <w:t>% of Morocco’s total trade. Other trading partners fell far behind the EU, such as China (</w:t>
      </w:r>
      <w:r>
        <w:rPr>
          <w:rFonts w:eastAsia="Times New Roman"/>
          <w:noProof/>
          <w:szCs w:val="20"/>
        </w:rPr>
        <w:t>9.9</w:t>
      </w:r>
      <w:r>
        <w:rPr>
          <w:rFonts w:eastAsia="Times New Roman"/>
          <w:noProof/>
        </w:rPr>
        <w:t>%), the United States (</w:t>
      </w:r>
      <w:r>
        <w:rPr>
          <w:rFonts w:eastAsia="Times New Roman"/>
          <w:noProof/>
          <w:szCs w:val="20"/>
        </w:rPr>
        <w:t>7.8</w:t>
      </w:r>
      <w:r>
        <w:rPr>
          <w:rFonts w:eastAsia="Times New Roman"/>
          <w:noProof/>
        </w:rPr>
        <w:t>%), and Turkey (4</w:t>
      </w:r>
      <w:r>
        <w:rPr>
          <w:rFonts w:eastAsia="Times New Roman"/>
          <w:noProof/>
          <w:szCs w:val="20"/>
        </w:rPr>
        <w:t>.6</w:t>
      </w:r>
      <w:r>
        <w:rPr>
          <w:rFonts w:eastAsia="Times New Roman"/>
          <w:noProof/>
        </w:rPr>
        <w:t xml:space="preserve">%). Morocco is the EU’s </w:t>
      </w:r>
      <w:r>
        <w:rPr>
          <w:rFonts w:eastAsia="Times New Roman"/>
          <w:noProof/>
          <w:szCs w:val="20"/>
        </w:rPr>
        <w:t>29th</w:t>
      </w:r>
      <w:r>
        <w:rPr>
          <w:rFonts w:eastAsia="Times New Roman"/>
          <w:noProof/>
        </w:rPr>
        <w:t xml:space="preserve"> largest trading partner and the </w:t>
      </w:r>
      <w:r>
        <w:rPr>
          <w:rFonts w:eastAsia="Times New Roman"/>
          <w:noProof/>
          <w:szCs w:val="20"/>
        </w:rPr>
        <w:t>second</w:t>
      </w:r>
      <w:r>
        <w:rPr>
          <w:rFonts w:eastAsia="Times New Roman"/>
          <w:noProof/>
        </w:rPr>
        <w:t xml:space="preserve"> trading partner in the Euro-Mediterranean region</w:t>
      </w:r>
      <w:r>
        <w:rPr>
          <w:rFonts w:eastAsia="Times New Roman"/>
          <w:noProof/>
          <w:szCs w:val="20"/>
        </w:rPr>
        <w:t xml:space="preserve"> (after Algeria).</w:t>
      </w:r>
    </w:p>
    <w:p>
      <w:pPr>
        <w:jc w:val="both"/>
        <w:rPr>
          <w:rFonts w:eastAsia="Times New Roman"/>
          <w:noProof/>
        </w:rPr>
      </w:pPr>
    </w:p>
    <w:p>
      <w:pPr>
        <w:rPr>
          <w:noProof/>
          <w:lang w:eastAsia="en-GB"/>
        </w:rPr>
      </w:pPr>
      <w:r>
        <w:rPr>
          <w:noProof/>
          <w:lang w:eastAsia="en-GB"/>
        </w:rPr>
        <w:drawing>
          <wp:inline distT="0" distB="0" distL="0" distR="0">
            <wp:extent cx="5360335" cy="2743200"/>
            <wp:effectExtent l="0" t="0" r="12065"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jc w:val="both"/>
        <w:rPr>
          <w:rFonts w:eastAsia="Times New Roman"/>
          <w:noProof/>
        </w:rPr>
      </w:pPr>
      <w:bookmarkStart w:id="2297" w:name="_Toc524628365"/>
      <w:bookmarkEnd w:id="2297"/>
    </w:p>
    <w:p>
      <w:pPr>
        <w:jc w:val="both"/>
        <w:rPr>
          <w:rFonts w:eastAsia="Times New Roman"/>
          <w:noProof/>
        </w:rPr>
      </w:pPr>
      <w:r>
        <w:rPr>
          <w:rFonts w:eastAsia="Times New Roman"/>
          <w:noProof/>
        </w:rPr>
        <w:t xml:space="preserve">Trade in goods between the EU and Morocco </w:t>
      </w:r>
      <w:r>
        <w:rPr>
          <w:rFonts w:eastAsia="Times New Roman"/>
          <w:b/>
          <w:noProof/>
        </w:rPr>
        <w:t>has increased significantly over the period since the Free Trade Area entered into force</w:t>
      </w:r>
      <w:r>
        <w:rPr>
          <w:rFonts w:eastAsia="Times New Roman"/>
          <w:noProof/>
        </w:rPr>
        <w:t>: trade flows have consistently grown since the entry into force of the agreement and more than doubled over the past 16 years, from €14.3 billion in 2002 to €</w:t>
      </w:r>
      <w:r>
        <w:rPr>
          <w:rFonts w:eastAsia="Times New Roman"/>
          <w:noProof/>
          <w:szCs w:val="20"/>
        </w:rPr>
        <w:t>39.3</w:t>
      </w:r>
      <w:r>
        <w:rPr>
          <w:rFonts w:eastAsia="Times New Roman"/>
          <w:noProof/>
        </w:rPr>
        <w:t xml:space="preserve"> billion in </w:t>
      </w:r>
      <w:r>
        <w:rPr>
          <w:rFonts w:eastAsia="Times New Roman"/>
          <w:noProof/>
          <w:szCs w:val="20"/>
        </w:rPr>
        <w:t>2018 (170</w:t>
      </w:r>
      <w:r>
        <w:rPr>
          <w:rFonts w:eastAsia="Times New Roman"/>
          <w:noProof/>
        </w:rPr>
        <w:t xml:space="preserve">%). Between </w:t>
      </w:r>
      <w:r>
        <w:rPr>
          <w:rFonts w:eastAsia="Times New Roman"/>
          <w:noProof/>
          <w:szCs w:val="20"/>
        </w:rPr>
        <w:t xml:space="preserve">2017 </w:t>
      </w:r>
      <w:r>
        <w:rPr>
          <w:rFonts w:eastAsia="Times New Roman"/>
          <w:noProof/>
        </w:rPr>
        <w:t xml:space="preserve">and </w:t>
      </w:r>
      <w:r>
        <w:rPr>
          <w:rFonts w:eastAsia="Times New Roman"/>
          <w:noProof/>
          <w:szCs w:val="20"/>
        </w:rPr>
        <w:t>2018</w:t>
      </w:r>
      <w:r>
        <w:rPr>
          <w:rFonts w:eastAsia="Times New Roman"/>
          <w:noProof/>
        </w:rPr>
        <w:t xml:space="preserve">, total trade increased by </w:t>
      </w:r>
      <w:r>
        <w:rPr>
          <w:rFonts w:eastAsia="Times New Roman"/>
          <w:noProof/>
          <w:szCs w:val="20"/>
        </w:rPr>
        <w:t>4.9</w:t>
      </w:r>
      <w:r>
        <w:rPr>
          <w:rFonts w:eastAsia="Times New Roman"/>
          <w:noProof/>
        </w:rPr>
        <w:t>%, from €</w:t>
      </w:r>
      <w:r>
        <w:rPr>
          <w:rFonts w:eastAsia="Times New Roman"/>
          <w:noProof/>
          <w:szCs w:val="20"/>
        </w:rPr>
        <w:t>37.5</w:t>
      </w:r>
      <w:r>
        <w:rPr>
          <w:rFonts w:eastAsia="Times New Roman"/>
          <w:noProof/>
        </w:rPr>
        <w:t> billion to €</w:t>
      </w:r>
      <w:r>
        <w:rPr>
          <w:rFonts w:eastAsia="Times New Roman"/>
          <w:noProof/>
          <w:szCs w:val="20"/>
        </w:rPr>
        <w:t>39.3</w:t>
      </w:r>
      <w:r>
        <w:rPr>
          <w:rFonts w:eastAsia="Times New Roman"/>
          <w:noProof/>
        </w:rPr>
        <w:t> billion.</w:t>
      </w:r>
    </w:p>
    <w:p>
      <w:pPr>
        <w:jc w:val="both"/>
        <w:rPr>
          <w:rFonts w:eastAsia="Times New Roman"/>
          <w:noProof/>
          <w:szCs w:val="20"/>
        </w:rPr>
      </w:pPr>
    </w:p>
    <w:p>
      <w:pPr>
        <w:jc w:val="both"/>
        <w:rPr>
          <w:rFonts w:eastAsia="Times New Roman"/>
          <w:noProof/>
        </w:rPr>
      </w:pPr>
      <w:r>
        <w:rPr>
          <w:rFonts w:eastAsia="Times New Roman"/>
          <w:noProof/>
          <w:u w:val="single"/>
        </w:rPr>
        <w:t>EU exports</w:t>
      </w:r>
      <w:r>
        <w:rPr>
          <w:rFonts w:eastAsia="Times New Roman"/>
          <w:noProof/>
        </w:rPr>
        <w:t xml:space="preserve"> rose by </w:t>
      </w:r>
      <w:r>
        <w:rPr>
          <w:rFonts w:eastAsia="Times New Roman"/>
          <w:noProof/>
          <w:szCs w:val="20"/>
        </w:rPr>
        <w:t xml:space="preserve">196% </w:t>
      </w:r>
      <w:r>
        <w:rPr>
          <w:rFonts w:eastAsia="Times New Roman"/>
          <w:noProof/>
        </w:rPr>
        <w:t xml:space="preserve">between 2002 and </w:t>
      </w:r>
      <w:r>
        <w:rPr>
          <w:rFonts w:eastAsia="Times New Roman"/>
          <w:noProof/>
          <w:szCs w:val="20"/>
        </w:rPr>
        <w:t>2018</w:t>
      </w:r>
      <w:r>
        <w:rPr>
          <w:rFonts w:eastAsia="Times New Roman"/>
          <w:noProof/>
        </w:rPr>
        <w:t>, from €7.8 billion to €</w:t>
      </w:r>
      <w:r>
        <w:rPr>
          <w:rFonts w:eastAsia="Times New Roman"/>
          <w:noProof/>
          <w:szCs w:val="20"/>
        </w:rPr>
        <w:t>23.3</w:t>
      </w:r>
      <w:r>
        <w:rPr>
          <w:rFonts w:eastAsia="Times New Roman"/>
          <w:noProof/>
        </w:rPr>
        <w:t xml:space="preserve"> billion. Between </w:t>
      </w:r>
      <w:r>
        <w:rPr>
          <w:rFonts w:eastAsia="Times New Roman"/>
          <w:noProof/>
          <w:szCs w:val="20"/>
        </w:rPr>
        <w:t>2017</w:t>
      </w:r>
      <w:r>
        <w:rPr>
          <w:rFonts w:eastAsia="Times New Roman"/>
          <w:noProof/>
        </w:rPr>
        <w:t xml:space="preserve"> and </w:t>
      </w:r>
      <w:r>
        <w:rPr>
          <w:rFonts w:eastAsia="Times New Roman"/>
          <w:noProof/>
          <w:szCs w:val="20"/>
        </w:rPr>
        <w:t>2018</w:t>
      </w:r>
      <w:r>
        <w:rPr>
          <w:rFonts w:eastAsia="Times New Roman"/>
          <w:noProof/>
        </w:rPr>
        <w:t>, EU exports increased (</w:t>
      </w:r>
      <w:r>
        <w:rPr>
          <w:rFonts w:eastAsia="Times New Roman"/>
          <w:noProof/>
          <w:szCs w:val="20"/>
        </w:rPr>
        <w:t>4</w:t>
      </w:r>
      <w:r>
        <w:rPr>
          <w:rFonts w:eastAsia="Times New Roman"/>
          <w:noProof/>
        </w:rPr>
        <w:t xml:space="preserve">%) from €22.4 billion </w:t>
      </w:r>
      <w:r>
        <w:rPr>
          <w:rFonts w:eastAsia="Times New Roman"/>
          <w:noProof/>
          <w:szCs w:val="20"/>
        </w:rPr>
        <w:t>to €23.3 billion.</w:t>
      </w:r>
      <w:r>
        <w:rPr>
          <w:rFonts w:eastAsia="Times New Roman"/>
          <w:noProof/>
        </w:rPr>
        <w:t xml:space="preserve"> In </w:t>
      </w:r>
      <w:r>
        <w:rPr>
          <w:rFonts w:eastAsia="Times New Roman"/>
          <w:noProof/>
          <w:szCs w:val="20"/>
        </w:rPr>
        <w:t>2018</w:t>
      </w:r>
      <w:r>
        <w:rPr>
          <w:rFonts w:eastAsia="Times New Roman"/>
          <w:noProof/>
        </w:rPr>
        <w:t>, EU exports to Morocco were mainly made of machinery and transport equipment (</w:t>
      </w:r>
      <w:r>
        <w:rPr>
          <w:rFonts w:eastAsia="Times New Roman"/>
          <w:noProof/>
          <w:szCs w:val="20"/>
        </w:rPr>
        <w:t>38.3</w:t>
      </w:r>
      <w:r>
        <w:rPr>
          <w:rFonts w:eastAsia="Times New Roman"/>
          <w:noProof/>
        </w:rPr>
        <w:t>%), fuels and mineral products (</w:t>
      </w:r>
      <w:r>
        <w:rPr>
          <w:rFonts w:eastAsia="Times New Roman"/>
          <w:noProof/>
          <w:szCs w:val="20"/>
        </w:rPr>
        <w:t>12.9</w:t>
      </w:r>
      <w:r>
        <w:rPr>
          <w:rFonts w:eastAsia="Times New Roman"/>
          <w:noProof/>
        </w:rPr>
        <w:t>%) and textiles (</w:t>
      </w:r>
      <w:r>
        <w:rPr>
          <w:rFonts w:eastAsia="Times New Roman"/>
          <w:noProof/>
          <w:szCs w:val="20"/>
        </w:rPr>
        <w:t>6.</w:t>
      </w:r>
      <w:r>
        <w:rPr>
          <w:rFonts w:eastAsia="Times New Roman"/>
          <w:noProof/>
        </w:rPr>
        <w:t xml:space="preserve">8%). </w:t>
      </w:r>
    </w:p>
    <w:p>
      <w:pPr>
        <w:jc w:val="both"/>
        <w:rPr>
          <w:rFonts w:eastAsia="Times New Roman"/>
          <w:noProof/>
          <w:szCs w:val="20"/>
          <w:highlight w:val="yellow"/>
        </w:rPr>
      </w:pPr>
    </w:p>
    <w:p>
      <w:pPr>
        <w:jc w:val="both"/>
        <w:rPr>
          <w:rFonts w:eastAsia="Times New Roman"/>
          <w:noProof/>
        </w:rPr>
      </w:pPr>
      <w:r>
        <w:rPr>
          <w:rFonts w:eastAsia="Times New Roman"/>
          <w:noProof/>
          <w:u w:val="single"/>
        </w:rPr>
        <w:t>EU imports</w:t>
      </w:r>
      <w:r>
        <w:rPr>
          <w:rFonts w:eastAsia="Times New Roman"/>
          <w:noProof/>
        </w:rPr>
        <w:t xml:space="preserve"> increased by 148% between 2002 and </w:t>
      </w:r>
      <w:r>
        <w:rPr>
          <w:rFonts w:eastAsia="Times New Roman"/>
          <w:noProof/>
          <w:szCs w:val="20"/>
        </w:rPr>
        <w:t>2018.</w:t>
      </w:r>
      <w:r>
        <w:rPr>
          <w:rFonts w:eastAsia="Times New Roman"/>
          <w:noProof/>
        </w:rPr>
        <w:t xml:space="preserve"> Between </w:t>
      </w:r>
      <w:r>
        <w:rPr>
          <w:rFonts w:eastAsia="Times New Roman"/>
          <w:noProof/>
          <w:szCs w:val="20"/>
        </w:rPr>
        <w:t>2017</w:t>
      </w:r>
      <w:r>
        <w:rPr>
          <w:rFonts w:eastAsia="Times New Roman"/>
          <w:noProof/>
        </w:rPr>
        <w:t xml:space="preserve"> and </w:t>
      </w:r>
      <w:r>
        <w:rPr>
          <w:rFonts w:eastAsia="Times New Roman"/>
          <w:noProof/>
          <w:szCs w:val="20"/>
        </w:rPr>
        <w:t>2018</w:t>
      </w:r>
      <w:r>
        <w:rPr>
          <w:rFonts w:eastAsia="Times New Roman"/>
          <w:noProof/>
        </w:rPr>
        <w:t>, EU imports increased (</w:t>
      </w:r>
      <w:r>
        <w:rPr>
          <w:rFonts w:eastAsia="Times New Roman"/>
          <w:noProof/>
          <w:szCs w:val="20"/>
        </w:rPr>
        <w:t>6.3</w:t>
      </w:r>
      <w:r>
        <w:rPr>
          <w:rFonts w:eastAsia="Times New Roman"/>
          <w:noProof/>
        </w:rPr>
        <w:t>%) from €</w:t>
      </w:r>
      <w:r>
        <w:rPr>
          <w:rFonts w:eastAsia="Times New Roman"/>
          <w:noProof/>
          <w:szCs w:val="20"/>
        </w:rPr>
        <w:t>15.0</w:t>
      </w:r>
      <w:r>
        <w:rPr>
          <w:rFonts w:eastAsia="Times New Roman"/>
          <w:noProof/>
        </w:rPr>
        <w:t> billion to €</w:t>
      </w:r>
      <w:r>
        <w:rPr>
          <w:rFonts w:eastAsia="Times New Roman"/>
          <w:noProof/>
          <w:szCs w:val="20"/>
        </w:rPr>
        <w:t>16</w:t>
      </w:r>
      <w:r>
        <w:rPr>
          <w:rFonts w:eastAsia="Times New Roman"/>
          <w:noProof/>
        </w:rPr>
        <w:t>.0 billion</w:t>
      </w:r>
      <w:r>
        <w:rPr>
          <w:rFonts w:eastAsia="Times New Roman"/>
          <w:noProof/>
          <w:szCs w:val="20"/>
        </w:rPr>
        <w:t>.</w:t>
      </w:r>
      <w:r>
        <w:rPr>
          <w:rFonts w:eastAsia="Times New Roman"/>
          <w:noProof/>
        </w:rPr>
        <w:t xml:space="preserve"> In </w:t>
      </w:r>
      <w:r>
        <w:rPr>
          <w:rFonts w:eastAsia="Times New Roman"/>
          <w:noProof/>
          <w:szCs w:val="20"/>
        </w:rPr>
        <w:t>2018</w:t>
      </w:r>
      <w:r>
        <w:rPr>
          <w:rFonts w:eastAsia="Times New Roman"/>
          <w:noProof/>
        </w:rPr>
        <w:t>, the main EU imports were machinery and transport equipment (</w:t>
      </w:r>
      <w:r>
        <w:rPr>
          <w:rFonts w:eastAsia="Times New Roman"/>
          <w:noProof/>
          <w:szCs w:val="20"/>
        </w:rPr>
        <w:t>41.6</w:t>
      </w:r>
      <w:r>
        <w:rPr>
          <w:rFonts w:eastAsia="Times New Roman"/>
          <w:noProof/>
        </w:rPr>
        <w:t>%), agricultural products (</w:t>
      </w:r>
      <w:r>
        <w:rPr>
          <w:rFonts w:eastAsia="Times New Roman"/>
          <w:noProof/>
          <w:szCs w:val="20"/>
        </w:rPr>
        <w:t>21.3</w:t>
      </w:r>
      <w:r>
        <w:rPr>
          <w:rFonts w:eastAsia="Times New Roman"/>
          <w:noProof/>
        </w:rPr>
        <w:t xml:space="preserve">%) and textiles </w:t>
      </w:r>
      <w:r>
        <w:rPr>
          <w:rFonts w:eastAsia="Times New Roman"/>
          <w:noProof/>
          <w:szCs w:val="20"/>
        </w:rPr>
        <w:t>and clothing (18.6%).</w:t>
      </w:r>
      <w:r>
        <w:rPr>
          <w:rFonts w:eastAsia="Times New Roman"/>
          <w:noProof/>
        </w:rPr>
        <w:t xml:space="preserve"> </w:t>
      </w:r>
    </w:p>
    <w:p>
      <w:pPr>
        <w:jc w:val="both"/>
        <w:rPr>
          <w:rFonts w:eastAsia="Times New Roman"/>
          <w:noProof/>
        </w:rPr>
      </w:pPr>
    </w:p>
    <w:p>
      <w:pPr>
        <w:jc w:val="both"/>
        <w:rPr>
          <w:rFonts w:eastAsia="Times New Roman"/>
          <w:noProof/>
          <w:szCs w:val="20"/>
        </w:rPr>
      </w:pPr>
      <w:r>
        <w:rPr>
          <w:rFonts w:eastAsia="Times New Roman"/>
          <w:noProof/>
        </w:rPr>
        <w:t>The agreement has proven mutually beneficial. While the first years of implementation of the EU-Morocco Free Trade Area led to an increase of the trade surplus for the EU, the trade balance between the two partners has now stabilised to slightly below 20% of total trade in goods.</w:t>
      </w:r>
    </w:p>
    <w:p>
      <w:pPr>
        <w:pStyle w:val="Heading2"/>
        <w:ind w:left="0" w:firstLine="0"/>
      </w:pPr>
      <w:bookmarkStart w:id="2298" w:name="_Toc8833641"/>
      <w:bookmarkStart w:id="2299" w:name="_Toc8835468"/>
      <w:bookmarkStart w:id="2300" w:name="_Toc8834098"/>
      <w:bookmarkStart w:id="2301" w:name="_Toc8909561"/>
      <w:bookmarkStart w:id="2302" w:name="_Toc8910773"/>
      <w:bookmarkStart w:id="2303" w:name="_Toc8911810"/>
      <w:bookmarkStart w:id="2304" w:name="_Toc8974631"/>
      <w:bookmarkStart w:id="2305" w:name="_Toc9008284"/>
      <w:bookmarkStart w:id="2306" w:name="_Toc9008687"/>
      <w:bookmarkStart w:id="2307" w:name="_Toc9348683"/>
      <w:bookmarkStart w:id="2308" w:name="_Toc9608134"/>
      <w:bookmarkStart w:id="2309" w:name="_Toc16000704"/>
      <w:r>
        <w:t>2.2 Trade in agricultural goods</w:t>
      </w:r>
      <w:bookmarkEnd w:id="2298"/>
      <w:bookmarkEnd w:id="2299"/>
      <w:bookmarkEnd w:id="2300"/>
      <w:bookmarkEnd w:id="2301"/>
      <w:bookmarkEnd w:id="2302"/>
      <w:bookmarkEnd w:id="2303"/>
      <w:bookmarkEnd w:id="2304"/>
      <w:bookmarkEnd w:id="2305"/>
      <w:bookmarkEnd w:id="2306"/>
      <w:bookmarkEnd w:id="2307"/>
      <w:bookmarkEnd w:id="2308"/>
      <w:bookmarkEnd w:id="2309"/>
    </w:p>
    <w:p>
      <w:pPr>
        <w:jc w:val="both"/>
        <w:rPr>
          <w:rFonts w:eastAsia="Times New Roman"/>
          <w:noProof/>
          <w:szCs w:val="20"/>
        </w:rPr>
      </w:pPr>
      <w:r>
        <w:rPr>
          <w:rFonts w:eastAsia="Times New Roman"/>
          <w:noProof/>
          <w:szCs w:val="20"/>
        </w:rPr>
        <w:t xml:space="preserve">Morocco is the largest exporter of vegetables to the EU. Among the EU’s Euromed partners, Morocco is the largest supplier of agricultural products. </w:t>
      </w:r>
      <w:r>
        <w:rPr>
          <w:rFonts w:eastAsia="Times New Roman"/>
          <w:noProof/>
        </w:rPr>
        <w:t>Total trade in agricultural products between the EU and Morocco tripled since 2003, from €1.3 billion in 2003 to €3.9 billion in 2018</w:t>
      </w:r>
      <w:r>
        <w:rPr>
          <w:rFonts w:eastAsia="Times New Roman"/>
          <w:noProof/>
          <w:szCs w:val="20"/>
        </w:rPr>
        <w:t>.</w:t>
      </w:r>
    </w:p>
    <w:p>
      <w:pPr>
        <w:jc w:val="both"/>
        <w:rPr>
          <w:rFonts w:eastAsia="Times New Roman"/>
          <w:noProof/>
          <w:szCs w:val="20"/>
        </w:rPr>
      </w:pPr>
    </w:p>
    <w:p>
      <w:pPr>
        <w:jc w:val="both"/>
        <w:rPr>
          <w:rFonts w:eastAsia="Times New Roman"/>
          <w:noProof/>
        </w:rPr>
      </w:pPr>
      <w:r>
        <w:rPr>
          <w:rFonts w:eastAsia="Times New Roman"/>
          <w:noProof/>
        </w:rPr>
        <w:t>EU agricultural exports to Morocco were stable in 2018 at €1.5 billion. Agricultural imports have been increasing by 7% on average year-on-year, from €2.2 billion in 2017 to €2.4 billion in 2018, mainly driven by fruit imports.</w:t>
      </w:r>
    </w:p>
    <w:p>
      <w:pPr>
        <w:jc w:val="both"/>
        <w:rPr>
          <w:rFonts w:eastAsia="Times New Roman"/>
          <w:noProof/>
          <w:szCs w:val="20"/>
        </w:rPr>
      </w:pPr>
    </w:p>
    <w:p>
      <w:pPr>
        <w:jc w:val="both"/>
        <w:rPr>
          <w:rFonts w:eastAsia="Times New Roman"/>
          <w:noProof/>
          <w:szCs w:val="20"/>
        </w:rPr>
      </w:pPr>
      <w:r>
        <w:rPr>
          <w:rFonts w:eastAsia="Times New Roman"/>
          <w:noProof/>
          <w:szCs w:val="20"/>
        </w:rPr>
        <w:t>Under the association agreement, the EU grants tariff rate quotas for 7 categories of Moroccan agricultural products, mostly fruit and vegetables. Most quotas are opened for periods split over two calendar years; as a result, quota fill rates set at the end of 2018 might not be fully representative.  As in previous years, at the end of 2018, the tomato monthly sub-quotas were entirely utilised. Fill rates remained high for courgettes (72%) and intermediate for clementines (52%), cucumbers (40%) and strawberries (35%). The quotas for garlic and fructose remained unused by Morocco.</w:t>
      </w:r>
    </w:p>
    <w:p>
      <w:pPr>
        <w:pStyle w:val="Heading2"/>
        <w:tabs>
          <w:tab w:val="clear" w:pos="4570"/>
        </w:tabs>
        <w:ind w:left="567"/>
      </w:pPr>
      <w:bookmarkStart w:id="2310" w:name="_Toc8833643"/>
      <w:bookmarkStart w:id="2311" w:name="_Toc8835470"/>
      <w:bookmarkStart w:id="2312" w:name="_Toc8834100"/>
      <w:bookmarkStart w:id="2313" w:name="_Toc8909563"/>
      <w:bookmarkStart w:id="2314" w:name="_Toc8910775"/>
      <w:bookmarkStart w:id="2315" w:name="_Toc8911812"/>
      <w:bookmarkStart w:id="2316" w:name="_Toc8974633"/>
      <w:bookmarkStart w:id="2317" w:name="_Toc9008286"/>
      <w:bookmarkStart w:id="2318" w:name="_Toc9008689"/>
      <w:bookmarkStart w:id="2319" w:name="_Toc9348685"/>
      <w:bookmarkStart w:id="2320" w:name="_Toc9608136"/>
      <w:bookmarkStart w:id="2321" w:name="_Toc16000705"/>
      <w:r>
        <w:t>2.3 Trade in Services and Foreign Direct investment (FDIs)</w:t>
      </w:r>
      <w:bookmarkEnd w:id="2310"/>
      <w:bookmarkEnd w:id="2311"/>
      <w:bookmarkEnd w:id="2312"/>
      <w:bookmarkEnd w:id="2313"/>
      <w:bookmarkEnd w:id="2314"/>
      <w:bookmarkEnd w:id="2315"/>
      <w:bookmarkEnd w:id="2316"/>
      <w:bookmarkEnd w:id="2317"/>
      <w:bookmarkEnd w:id="2318"/>
      <w:bookmarkEnd w:id="2319"/>
      <w:bookmarkEnd w:id="2320"/>
      <w:bookmarkEnd w:id="2321"/>
    </w:p>
    <w:p>
      <w:pPr>
        <w:jc w:val="both"/>
        <w:rPr>
          <w:rFonts w:eastAsia="Times New Roman"/>
          <w:noProof/>
          <w:szCs w:val="20"/>
          <w:highlight w:val="yellow"/>
        </w:rPr>
      </w:pPr>
      <w:r>
        <w:rPr>
          <w:rFonts w:eastAsia="Times New Roman"/>
          <w:noProof/>
        </w:rPr>
        <w:t xml:space="preserve">Total </w:t>
      </w:r>
      <w:r>
        <w:rPr>
          <w:rFonts w:eastAsia="Times New Roman"/>
          <w:b/>
          <w:noProof/>
        </w:rPr>
        <w:t>trade in services</w:t>
      </w:r>
      <w:r>
        <w:rPr>
          <w:rFonts w:eastAsia="Times New Roman"/>
          <w:noProof/>
        </w:rPr>
        <w:t xml:space="preserve"> between the EU and Morocco increased between 2010 and 2017, from €7.5 billion to €</w:t>
      </w:r>
      <w:r>
        <w:rPr>
          <w:rFonts w:eastAsia="Times New Roman"/>
          <w:noProof/>
          <w:szCs w:val="20"/>
        </w:rPr>
        <w:t>10.4</w:t>
      </w:r>
      <w:r>
        <w:rPr>
          <w:rFonts w:eastAsia="Times New Roman"/>
          <w:noProof/>
        </w:rPr>
        <w:t> billion</w:t>
      </w:r>
      <w:r>
        <w:rPr>
          <w:rFonts w:eastAsia="Times New Roman"/>
          <w:noProof/>
          <w:szCs w:val="20"/>
        </w:rPr>
        <w:t>.</w:t>
      </w:r>
      <w:r>
        <w:rPr>
          <w:rFonts w:eastAsia="Times New Roman"/>
          <w:noProof/>
        </w:rPr>
        <w:t xml:space="preserve"> Moroccan exports of services to the EU rose by </w:t>
      </w:r>
      <w:r>
        <w:rPr>
          <w:rFonts w:eastAsia="Times New Roman"/>
          <w:noProof/>
          <w:szCs w:val="20"/>
        </w:rPr>
        <w:t>9</w:t>
      </w:r>
      <w:r>
        <w:rPr>
          <w:rFonts w:eastAsia="Times New Roman"/>
          <w:noProof/>
        </w:rPr>
        <w:t xml:space="preserve">% between </w:t>
      </w:r>
      <w:r>
        <w:rPr>
          <w:rFonts w:eastAsia="Times New Roman"/>
          <w:noProof/>
          <w:szCs w:val="20"/>
        </w:rPr>
        <w:t>2016</w:t>
      </w:r>
      <w:r>
        <w:rPr>
          <w:rFonts w:eastAsia="Times New Roman"/>
          <w:noProof/>
        </w:rPr>
        <w:t xml:space="preserve"> and </w:t>
      </w:r>
      <w:r>
        <w:rPr>
          <w:rFonts w:eastAsia="Times New Roman"/>
          <w:noProof/>
          <w:szCs w:val="20"/>
        </w:rPr>
        <w:t>2017</w:t>
      </w:r>
      <w:r>
        <w:rPr>
          <w:rFonts w:eastAsia="Times New Roman"/>
          <w:noProof/>
        </w:rPr>
        <w:t xml:space="preserve"> and EU exports of services to Morocco increased by </w:t>
      </w:r>
      <w:r>
        <w:rPr>
          <w:rFonts w:eastAsia="Times New Roman"/>
          <w:noProof/>
          <w:szCs w:val="20"/>
        </w:rPr>
        <w:t>10.1</w:t>
      </w:r>
      <w:r>
        <w:rPr>
          <w:rFonts w:eastAsia="Times New Roman"/>
          <w:noProof/>
        </w:rPr>
        <w:t xml:space="preserve">% over the same period. In </w:t>
      </w:r>
      <w:r>
        <w:rPr>
          <w:rFonts w:eastAsia="Times New Roman"/>
          <w:noProof/>
          <w:szCs w:val="20"/>
        </w:rPr>
        <w:t>2017</w:t>
      </w:r>
      <w:r>
        <w:rPr>
          <w:rFonts w:eastAsia="Times New Roman"/>
          <w:noProof/>
        </w:rPr>
        <w:t>, the EU exported €</w:t>
      </w:r>
      <w:r>
        <w:rPr>
          <w:rFonts w:eastAsia="Times New Roman"/>
          <w:noProof/>
          <w:szCs w:val="20"/>
        </w:rPr>
        <w:t>4.</w:t>
      </w:r>
      <w:r>
        <w:rPr>
          <w:rFonts w:eastAsia="Times New Roman"/>
          <w:noProof/>
        </w:rPr>
        <w:t>3 billion in services to Morocco and Morocco exported €</w:t>
      </w:r>
      <w:r>
        <w:rPr>
          <w:rFonts w:eastAsia="Times New Roman"/>
          <w:noProof/>
          <w:szCs w:val="20"/>
        </w:rPr>
        <w:t>6.1</w:t>
      </w:r>
      <w:r>
        <w:rPr>
          <w:rFonts w:eastAsia="Times New Roman"/>
          <w:noProof/>
        </w:rPr>
        <w:t xml:space="preserve"> billion in services to the EU. </w:t>
      </w:r>
    </w:p>
    <w:p>
      <w:pPr>
        <w:jc w:val="both"/>
        <w:rPr>
          <w:rFonts w:eastAsia="Times New Roman"/>
          <w:b/>
          <w:noProof/>
        </w:rPr>
      </w:pPr>
    </w:p>
    <w:p>
      <w:pPr>
        <w:jc w:val="both"/>
        <w:rPr>
          <w:rFonts w:eastAsia="Times New Roman"/>
          <w:noProof/>
        </w:rPr>
      </w:pPr>
      <w:r>
        <w:rPr>
          <w:rFonts w:eastAsia="Times New Roman"/>
          <w:b/>
          <w:noProof/>
        </w:rPr>
        <w:t>EU-Morocco FDI</w:t>
      </w:r>
      <w:r>
        <w:rPr>
          <w:rFonts w:eastAsia="Times New Roman"/>
          <w:noProof/>
        </w:rPr>
        <w:t xml:space="preserve"> flows remained relatively steady between 2013 and </w:t>
      </w:r>
      <w:r>
        <w:rPr>
          <w:rFonts w:eastAsia="Times New Roman"/>
          <w:noProof/>
          <w:szCs w:val="20"/>
        </w:rPr>
        <w:t>2017</w:t>
      </w:r>
      <w:r>
        <w:rPr>
          <w:rFonts w:eastAsia="Times New Roman"/>
          <w:noProof/>
        </w:rPr>
        <w:t>, despite some volatility, resulting in a total EU FDI stock of €</w:t>
      </w:r>
      <w:r>
        <w:rPr>
          <w:rFonts w:eastAsia="Times New Roman"/>
          <w:noProof/>
          <w:szCs w:val="20"/>
        </w:rPr>
        <w:t>18.5</w:t>
      </w:r>
      <w:r>
        <w:rPr>
          <w:rFonts w:eastAsia="Times New Roman"/>
          <w:noProof/>
        </w:rPr>
        <w:t xml:space="preserve"> billion in Morocco at the end of </w:t>
      </w:r>
      <w:r>
        <w:rPr>
          <w:rFonts w:eastAsia="Times New Roman"/>
          <w:noProof/>
          <w:szCs w:val="20"/>
        </w:rPr>
        <w:t>2017</w:t>
      </w:r>
      <w:r>
        <w:rPr>
          <w:rFonts w:eastAsia="Times New Roman"/>
          <w:noProof/>
        </w:rPr>
        <w:t xml:space="preserve">. </w:t>
      </w:r>
    </w:p>
    <w:p>
      <w:pPr>
        <w:jc w:val="both"/>
        <w:rPr>
          <w:rFonts w:eastAsia="Times New Roman"/>
          <w:noProof/>
        </w:rPr>
      </w:pPr>
    </w:p>
    <w:p>
      <w:pPr>
        <w:jc w:val="both"/>
        <w:rPr>
          <w:rFonts w:eastAsia="Times New Roman"/>
          <w:noProof/>
          <w:sz w:val="22"/>
          <w:lang w:val="en-US"/>
        </w:rPr>
      </w:pPr>
      <w:r>
        <w:rPr>
          <w:rFonts w:eastAsia="Times New Roman"/>
          <w:noProof/>
        </w:rPr>
        <w:t xml:space="preserve">More than 50% of FDI in Morocco comes from the EU, thanks to strong cooperation efforts between EU Member States and the Moroccan Government, quality of local facilities and infrastructure, and above all attractive conditions made available for investors, especially in the automotive, aeronautics and the electronics sectors. </w:t>
      </w:r>
      <w:r>
        <w:rPr>
          <w:rFonts w:eastAsia="Times New Roman"/>
          <w:noProof/>
          <w:lang w:val="en-US"/>
        </w:rPr>
        <w:t>With the aim of improving its attractiveness for investors, in 2017 Morocco merged three bodies which were dealing with investments (</w:t>
      </w:r>
      <w:r>
        <w:rPr>
          <w:rFonts w:eastAsia="Times New Roman"/>
          <w:i/>
          <w:noProof/>
          <w:lang w:val="en-US"/>
        </w:rPr>
        <w:t>Agence Marocaine de Dévelopement des Investissements</w:t>
      </w:r>
      <w:r>
        <w:rPr>
          <w:noProof/>
          <w:lang w:val="en-US"/>
        </w:rPr>
        <w:t xml:space="preserve"> – </w:t>
      </w:r>
      <w:r>
        <w:rPr>
          <w:rFonts w:eastAsia="Times New Roman"/>
          <w:i/>
          <w:noProof/>
          <w:lang w:val="en-US"/>
        </w:rPr>
        <w:t>AMDI</w:t>
      </w:r>
      <w:r>
        <w:rPr>
          <w:rFonts w:eastAsia="Times New Roman"/>
          <w:noProof/>
          <w:lang w:val="en-US"/>
        </w:rPr>
        <w:t>, the</w:t>
      </w:r>
      <w:r>
        <w:rPr>
          <w:rFonts w:eastAsia="Times New Roman"/>
          <w:i/>
          <w:noProof/>
          <w:lang w:val="en-US"/>
        </w:rPr>
        <w:t xml:space="preserve"> Centre Marocain de Promotion des Exportations</w:t>
      </w:r>
      <w:r>
        <w:rPr>
          <w:rFonts w:eastAsia="Times New Roman"/>
          <w:noProof/>
          <w:lang w:val="en-US"/>
        </w:rPr>
        <w:t xml:space="preserve"> – CPME and the </w:t>
      </w:r>
      <w:r>
        <w:rPr>
          <w:rFonts w:eastAsia="Times New Roman"/>
          <w:i/>
          <w:noProof/>
          <w:lang w:val="en-US"/>
        </w:rPr>
        <w:t>Office des Foires et Expositions de Casablanca</w:t>
      </w:r>
      <w:r>
        <w:rPr>
          <w:rFonts w:eastAsia="Times New Roman"/>
          <w:noProof/>
          <w:lang w:val="en-US"/>
        </w:rPr>
        <w:t xml:space="preserve"> – OFE</w:t>
      </w:r>
      <w:r>
        <w:rPr>
          <w:rFonts w:eastAsia="Times New Roman"/>
          <w:i/>
          <w:noProof/>
          <w:lang w:val="en-US"/>
        </w:rPr>
        <w:t>C)</w:t>
      </w:r>
      <w:r>
        <w:rPr>
          <w:rFonts w:eastAsia="Times New Roman"/>
          <w:noProof/>
          <w:lang w:val="en-US"/>
        </w:rPr>
        <w:t xml:space="preserve"> into a single institution: the </w:t>
      </w:r>
      <w:r>
        <w:rPr>
          <w:rFonts w:eastAsia="Times New Roman"/>
          <w:i/>
          <w:noProof/>
          <w:lang w:val="en-US"/>
        </w:rPr>
        <w:t>Agence Marocaine de  Développement des Investissements</w:t>
      </w:r>
      <w:r>
        <w:rPr>
          <w:rFonts w:eastAsia="Times New Roman"/>
          <w:noProof/>
          <w:lang w:val="en-US"/>
        </w:rPr>
        <w:t xml:space="preserve"> </w:t>
      </w:r>
      <w:r>
        <w:rPr>
          <w:rFonts w:eastAsia="Times New Roman"/>
          <w:i/>
          <w:noProof/>
          <w:lang w:val="en-US"/>
        </w:rPr>
        <w:t xml:space="preserve"> –</w:t>
      </w:r>
      <w:r>
        <w:rPr>
          <w:rFonts w:eastAsia="Times New Roman"/>
          <w:i/>
          <w:noProof/>
          <w:sz w:val="22"/>
          <w:lang w:val="en-US"/>
        </w:rPr>
        <w:t xml:space="preserve"> AMDI)</w:t>
      </w:r>
      <w:r>
        <w:rPr>
          <w:rFonts w:eastAsia="Times New Roman"/>
          <w:noProof/>
          <w:sz w:val="22"/>
          <w:lang w:val="en-US"/>
        </w:rPr>
        <w:t xml:space="preserve">. </w:t>
      </w:r>
    </w:p>
    <w:p>
      <w:pPr>
        <w:jc w:val="both"/>
        <w:rPr>
          <w:rFonts w:eastAsia="Times New Roman"/>
          <w:noProof/>
          <w:sz w:val="22"/>
          <w:lang w:val="en-US"/>
        </w:rPr>
      </w:pPr>
    </w:p>
    <w:p>
      <w:pPr>
        <w:jc w:val="both"/>
        <w:rPr>
          <w:rFonts w:eastAsia="Times New Roman"/>
          <w:noProof/>
          <w:szCs w:val="20"/>
        </w:rPr>
      </w:pPr>
      <w:r>
        <w:rPr>
          <w:rFonts w:eastAsia="Times New Roman"/>
          <w:noProof/>
        </w:rPr>
        <w:t>Morocco currently ranks 69</w:t>
      </w:r>
      <w:r>
        <w:rPr>
          <w:rFonts w:eastAsia="Times New Roman"/>
          <w:noProof/>
          <w:vertAlign w:val="superscript"/>
        </w:rPr>
        <w:t>th</w:t>
      </w:r>
      <w:r>
        <w:rPr>
          <w:rFonts w:eastAsia="Times New Roman"/>
          <w:noProof/>
        </w:rPr>
        <w:t xml:space="preserve"> out of 190 in the World Bank ranking ‘Doing Business 2018’, with a distance to frontier (DTF)</w:t>
      </w:r>
      <w:r>
        <w:rPr>
          <w:rFonts w:eastAsia="Times New Roman"/>
          <w:noProof/>
          <w:vertAlign w:val="superscript"/>
        </w:rPr>
        <w:footnoteReference w:id="69"/>
      </w:r>
      <w:r>
        <w:rPr>
          <w:rFonts w:eastAsia="Times New Roman"/>
          <w:noProof/>
        </w:rPr>
        <w:t xml:space="preserve"> score of 67.9 out of 100 – this means a decrease of 0.03 in DTF score compared to 2017. These positive developments efficiently mitigated more contrasted results in traditional sectors (textiles, clothing, and tourism).</w:t>
      </w:r>
    </w:p>
    <w:p>
      <w:pPr>
        <w:pStyle w:val="ManualHeading1"/>
      </w:pPr>
      <w:bookmarkStart w:id="2322" w:name="_Toc8833644"/>
      <w:bookmarkStart w:id="2323" w:name="_Toc8835471"/>
      <w:bookmarkStart w:id="2324" w:name="_Toc8834101"/>
      <w:bookmarkStart w:id="2325" w:name="_Toc8909564"/>
      <w:bookmarkStart w:id="2326" w:name="_Toc8910776"/>
      <w:bookmarkStart w:id="2327" w:name="_Toc8911813"/>
      <w:bookmarkStart w:id="2328" w:name="_Toc8974634"/>
      <w:bookmarkStart w:id="2329" w:name="_Toc9008287"/>
      <w:bookmarkStart w:id="2330" w:name="_Toc9008690"/>
      <w:bookmarkStart w:id="2331" w:name="_Toc9348686"/>
      <w:bookmarkStart w:id="2332" w:name="_Toc9608137"/>
      <w:bookmarkStart w:id="2333" w:name="_Toc16000706"/>
      <w:r>
        <w:t>3.</w:t>
      </w:r>
      <w:r>
        <w:tab/>
        <w:t>Issues addressed in the Joint Committee meetings</w:t>
      </w:r>
      <w:bookmarkEnd w:id="2322"/>
      <w:bookmarkEnd w:id="2323"/>
      <w:bookmarkEnd w:id="2324"/>
      <w:bookmarkEnd w:id="2325"/>
      <w:bookmarkEnd w:id="2326"/>
      <w:bookmarkEnd w:id="2327"/>
      <w:bookmarkEnd w:id="2328"/>
      <w:bookmarkEnd w:id="2329"/>
      <w:bookmarkEnd w:id="2330"/>
      <w:bookmarkEnd w:id="2331"/>
      <w:bookmarkEnd w:id="2332"/>
      <w:bookmarkEnd w:id="2333"/>
    </w:p>
    <w:p>
      <w:pPr>
        <w:jc w:val="both"/>
        <w:rPr>
          <w:rFonts w:eastAsia="Times New Roman"/>
          <w:noProof/>
          <w:szCs w:val="20"/>
        </w:rPr>
      </w:pPr>
      <w:r>
        <w:rPr>
          <w:rFonts w:eastAsia="Times New Roman"/>
          <w:noProof/>
          <w:szCs w:val="20"/>
        </w:rPr>
        <w:t xml:space="preserve">The last Sub-Committee on Industry, Trade, and Services was held in December 2013 and both the last Sub-Committee on Agricultural and Fisheries Products and the last Sub-Committee on Customs Cooperation took place in 2015. Committees did not meet since then but are expected to start reconvening in 2019. </w:t>
      </w:r>
    </w:p>
    <w:p>
      <w:pPr>
        <w:pStyle w:val="ManualHeading1"/>
      </w:pPr>
      <w:bookmarkStart w:id="2334" w:name="_Toc8833645"/>
      <w:bookmarkStart w:id="2335" w:name="_Toc8835472"/>
      <w:bookmarkStart w:id="2336" w:name="_Toc8834102"/>
      <w:bookmarkStart w:id="2337" w:name="_Toc8909565"/>
      <w:bookmarkStart w:id="2338" w:name="_Toc8910777"/>
      <w:bookmarkStart w:id="2339" w:name="_Toc8911814"/>
      <w:bookmarkStart w:id="2340" w:name="_Toc8974635"/>
      <w:bookmarkStart w:id="2341" w:name="_Toc9008288"/>
      <w:bookmarkStart w:id="2342" w:name="_Toc9008691"/>
      <w:bookmarkStart w:id="2343" w:name="_Toc9348687"/>
      <w:bookmarkStart w:id="2344" w:name="_Toc9608138"/>
      <w:bookmarkStart w:id="2345" w:name="_Toc16000707"/>
      <w:r>
        <w:t>4.</w:t>
      </w:r>
      <w:r>
        <w:tab/>
        <w:t>Specific areas of importance</w:t>
      </w:r>
      <w:bookmarkEnd w:id="2334"/>
      <w:bookmarkEnd w:id="2335"/>
      <w:bookmarkEnd w:id="2336"/>
      <w:bookmarkEnd w:id="2337"/>
      <w:bookmarkEnd w:id="2338"/>
      <w:bookmarkEnd w:id="2339"/>
      <w:bookmarkEnd w:id="2340"/>
      <w:bookmarkEnd w:id="2341"/>
      <w:bookmarkEnd w:id="2342"/>
      <w:bookmarkEnd w:id="2343"/>
      <w:bookmarkEnd w:id="2344"/>
      <w:bookmarkEnd w:id="2345"/>
    </w:p>
    <w:p>
      <w:pPr>
        <w:jc w:val="both"/>
        <w:rPr>
          <w:noProof/>
          <w:u w:val="single"/>
        </w:rPr>
      </w:pPr>
      <w:r>
        <w:rPr>
          <w:noProof/>
          <w:u w:val="single"/>
        </w:rPr>
        <w:t>Safeguard measures</w:t>
      </w:r>
    </w:p>
    <w:p>
      <w:pPr>
        <w:jc w:val="both"/>
        <w:rPr>
          <w:noProof/>
          <w:u w:val="single"/>
        </w:rPr>
      </w:pPr>
    </w:p>
    <w:p>
      <w:pPr>
        <w:jc w:val="both"/>
        <w:rPr>
          <w:noProof/>
        </w:rPr>
      </w:pPr>
      <w:r>
        <w:rPr>
          <w:noProof/>
        </w:rPr>
        <w:t>Morocco is a user of trade defence measures, some of which affect imports from the EU.</w:t>
      </w:r>
    </w:p>
    <w:p>
      <w:pPr>
        <w:jc w:val="both"/>
        <w:rPr>
          <w:noProof/>
        </w:rPr>
      </w:pPr>
    </w:p>
    <w:p>
      <w:pPr>
        <w:jc w:val="both"/>
        <w:rPr>
          <w:noProof/>
        </w:rPr>
      </w:pPr>
      <w:r>
        <w:rPr>
          <w:noProof/>
        </w:rPr>
        <w:t xml:space="preserve">On 20 December 2018 the Moroccan Ministry of Trade published the results of its investigations on the extension of two safeguard measures in the steel sector (one on wire rods and reinforcing bars, another on cold-rolled sheets, neither plated nor coated, and plated or coated sheets), which were due to expire by the end of 2018. Having found that the concerned sectors are still vulnerable from a surge of imports, the Ministry decided that the safeguard measures should be extended for a further three years i.e. until end of 2021. The EU requested consultations with Morocco, which were held on 22 March 2019, to complain about the absence of prior consultation with the EU before imposing the measures (as foreseen by the EU-Morocco Association agreement) and the insufficient rhythm of liberalisation during the extension period (which does not meet the requirements of the WTO safeguard agreement). </w:t>
      </w:r>
    </w:p>
    <w:p>
      <w:pPr>
        <w:jc w:val="both"/>
        <w:rPr>
          <w:noProof/>
        </w:rPr>
      </w:pPr>
    </w:p>
    <w:p>
      <w:pPr>
        <w:jc w:val="both"/>
        <w:rPr>
          <w:noProof/>
        </w:rPr>
      </w:pPr>
      <w:r>
        <w:rPr>
          <w:noProof/>
        </w:rPr>
        <w:t>On another front, on 28 February 2019, the Moroccan Ministry of Trade organised a public hearing on the safeguard investigation on coated wood boards. The hearing brought together a large number of representatives of governments (EU, France, Italy, Spain, Portugal and Turkey), wood board exporters and associations from the EU and Turkey, as well as domestic importers and industrial users, opposing the request for safeguard measures by the sole Moroccan manufacturer of coated wood boards CEMA Bois de l'Atlas. On 26 February 2019, the Ministry opened a mid-term review investigation on the implementation of the safeguard measure on imports of paper reels and reams, which have been applied since 1 January 2017 for a 4 year period.</w:t>
      </w:r>
    </w:p>
    <w:p>
      <w:pPr>
        <w:jc w:val="both"/>
        <w:rPr>
          <w:noProof/>
        </w:rPr>
      </w:pPr>
    </w:p>
    <w:p>
      <w:pPr>
        <w:jc w:val="both"/>
        <w:rPr>
          <w:noProof/>
        </w:rPr>
      </w:pPr>
      <w:r>
        <w:rPr>
          <w:noProof/>
        </w:rPr>
        <w:t>Law N°24-09 on consumer protection makes it compulsory to affix the Cmim marking on products subject to specific technical regulation, whether locally produced or imported. As of 1</w:t>
      </w:r>
      <w:r>
        <w:rPr>
          <w:noProof/>
          <w:vertAlign w:val="superscript"/>
        </w:rPr>
        <w:t>st</w:t>
      </w:r>
      <w:r>
        <w:rPr>
          <w:noProof/>
        </w:rPr>
        <w:t xml:space="preserve"> February 2019, the new Moroccan </w:t>
      </w:r>
      <w:r>
        <w:rPr>
          <w:noProof/>
          <w:lang w:eastAsia="en-GB"/>
        </w:rPr>
        <w:drawing>
          <wp:inline distT="0" distB="0" distL="0" distR="0">
            <wp:extent cx="165100" cy="241052"/>
            <wp:effectExtent l="0" t="0" r="6350" b="6985"/>
            <wp:docPr id="84719534" name="picture" descr="cid:image001.jpg@01D4ADAF.C3544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a:extLst>
                        <a:ext uri="{28A0092B-C50C-407E-A947-70E740481C1C}">
                          <a14:useLocalDpi xmlns:a14="http://schemas.microsoft.com/office/drawing/2010/main" val="0"/>
                        </a:ext>
                      </a:extLst>
                    </a:blip>
                    <a:stretch>
                      <a:fillRect/>
                    </a:stretch>
                  </pic:blipFill>
                  <pic:spPr>
                    <a:xfrm>
                      <a:off x="0" y="0"/>
                      <a:ext cx="165100" cy="241052"/>
                    </a:xfrm>
                    <a:prstGeom prst="rect">
                      <a:avLst/>
                    </a:prstGeom>
                  </pic:spPr>
                </pic:pic>
              </a:graphicData>
            </a:graphic>
          </wp:inline>
        </w:drawing>
      </w:r>
      <w:r>
        <w:rPr>
          <w:noProof/>
        </w:rPr>
        <w:t xml:space="preserve">(reads Cmim) marking became compulsory for the sale in Morocco of electrical products subject to technical regulations 2573-14 (low voltage) and 2574-14 (electromagnetic compatibility), as well as toys subject to technical regulation 2574-15 on toy safety. These three technical regulations are aligned to relevant EU directives, and their drafting and adoption back in July 2015 was supported by EU development cooperation. Although the Cmim marking is largely equivalent to the European CE marking, the latter will no longer suffice on products imported into Morocco. In due course, the Moroccan Ministry of industry would be interested in negotiating a mutual recognition agreement with the EU. </w:t>
      </w:r>
    </w:p>
    <w:p>
      <w:pPr>
        <w:jc w:val="both"/>
        <w:rPr>
          <w:noProof/>
        </w:rPr>
      </w:pPr>
    </w:p>
    <w:p>
      <w:pPr>
        <w:jc w:val="both"/>
        <w:rPr>
          <w:noProof/>
        </w:rPr>
      </w:pPr>
      <w:r>
        <w:rPr>
          <w:noProof/>
        </w:rPr>
        <w:t xml:space="preserve">Once the Ministry finalises the technical regulations applicable to other sectors (detergents, building materials, gas appliances, personal protection equipment and industrial machinery), the Cmim marking will be extended to further families of products. </w:t>
      </w:r>
    </w:p>
    <w:p>
      <w:pPr>
        <w:jc w:val="both"/>
        <w:rPr>
          <w:noProof/>
        </w:rPr>
      </w:pPr>
    </w:p>
    <w:p>
      <w:pPr>
        <w:pStyle w:val="ManualHeading1"/>
      </w:pPr>
      <w:bookmarkStart w:id="2346" w:name="_Toc8833646"/>
      <w:bookmarkStart w:id="2347" w:name="_Toc8835473"/>
      <w:bookmarkStart w:id="2348" w:name="_Toc8834103"/>
      <w:bookmarkStart w:id="2349" w:name="_Toc8909566"/>
      <w:bookmarkStart w:id="2350" w:name="_Toc8910778"/>
      <w:bookmarkStart w:id="2351" w:name="_Toc8911815"/>
      <w:bookmarkStart w:id="2352" w:name="_Toc8974636"/>
      <w:bookmarkStart w:id="2353" w:name="_Toc9008289"/>
      <w:bookmarkStart w:id="2354" w:name="_Toc9008692"/>
      <w:bookmarkStart w:id="2355" w:name="_Toc9348688"/>
      <w:bookmarkStart w:id="2356" w:name="_Toc9608139"/>
      <w:bookmarkStart w:id="2357" w:name="_Toc16000708"/>
      <w:r>
        <w:t>5.</w:t>
      </w:r>
      <w:r>
        <w:tab/>
        <w:t>Progress made, main open issues and follow-up actions</w:t>
      </w:r>
      <w:bookmarkEnd w:id="2346"/>
      <w:bookmarkEnd w:id="2347"/>
      <w:bookmarkEnd w:id="2348"/>
      <w:bookmarkEnd w:id="2349"/>
      <w:bookmarkEnd w:id="2350"/>
      <w:bookmarkEnd w:id="2351"/>
      <w:bookmarkEnd w:id="2352"/>
      <w:bookmarkEnd w:id="2353"/>
      <w:bookmarkEnd w:id="2354"/>
      <w:bookmarkEnd w:id="2355"/>
      <w:bookmarkEnd w:id="2356"/>
      <w:bookmarkEnd w:id="2357"/>
    </w:p>
    <w:p>
      <w:pPr>
        <w:jc w:val="both"/>
        <w:rPr>
          <w:noProof/>
          <w:u w:val="single"/>
        </w:rPr>
      </w:pPr>
      <w:r>
        <w:rPr>
          <w:noProof/>
          <w:u w:val="single"/>
        </w:rPr>
        <w:t>Negotiations on the amendments to the Protocols of the Association Agreement and the fisheries agreement</w:t>
      </w:r>
    </w:p>
    <w:p>
      <w:pPr>
        <w:jc w:val="both"/>
        <w:rPr>
          <w:rStyle w:val="Emphasis"/>
          <w:i w:val="0"/>
          <w:noProof/>
        </w:rPr>
      </w:pPr>
    </w:p>
    <w:p>
      <w:pPr>
        <w:jc w:val="both"/>
        <w:rPr>
          <w:rStyle w:val="Emphasis"/>
          <w:i w:val="0"/>
          <w:noProof/>
        </w:rPr>
      </w:pPr>
      <w:r>
        <w:rPr>
          <w:rStyle w:val="Emphasis"/>
          <w:i w:val="0"/>
          <w:noProof/>
        </w:rPr>
        <w:t xml:space="preserve">On 25 October 2018, the EU and Morocco signed the amendment of the Protocols to the Association Agreement extending trade preferences to goods originating in Western Sahara. </w:t>
      </w:r>
    </w:p>
    <w:p>
      <w:pPr>
        <w:jc w:val="both"/>
        <w:rPr>
          <w:rFonts w:eastAsia="Times New Roman"/>
          <w:noProof/>
        </w:rPr>
      </w:pPr>
    </w:p>
    <w:p>
      <w:pPr>
        <w:jc w:val="both"/>
        <w:rPr>
          <w:rFonts w:eastAsia="Times New Roman"/>
          <w:noProof/>
        </w:rPr>
      </w:pPr>
      <w:r>
        <w:rPr>
          <w:rFonts w:eastAsia="Times New Roman"/>
          <w:noProof/>
        </w:rPr>
        <w:t xml:space="preserve">On 16 January 2019 the European Parliament approved the amendment of the relevant protocols  of the EU-Morocco Association, thereby extending the tariff preferences laid down in the Association Agreement to products originating in Western Sahara. The European Parliament on 12 February 2019 also approved the new Sustainable Fisheries Partnership Agreement (SFPA) with Morocco, which also covers the waters of Western Sahara. </w:t>
      </w:r>
    </w:p>
    <w:p>
      <w:pPr>
        <w:jc w:val="both"/>
        <w:rPr>
          <w:rFonts w:eastAsia="Times New Roman"/>
          <w:noProof/>
        </w:rPr>
      </w:pPr>
    </w:p>
    <w:p>
      <w:pPr>
        <w:jc w:val="both"/>
        <w:rPr>
          <w:rStyle w:val="Emphasis"/>
          <w:i w:val="0"/>
          <w:noProof/>
        </w:rPr>
      </w:pPr>
      <w:r>
        <w:rPr>
          <w:rFonts w:eastAsia="Times New Roman"/>
          <w:noProof/>
          <w:lang w:eastAsia="en-GB"/>
        </w:rPr>
        <w:t>On</w:t>
      </w:r>
      <w:r>
        <w:rPr>
          <w:rStyle w:val="Emphasis"/>
          <w:i w:val="0"/>
          <w:noProof/>
        </w:rPr>
        <w:t xml:space="preserve"> 4</w:t>
      </w:r>
      <w:r>
        <w:rPr>
          <w:rStyle w:val="Emphasis"/>
          <w:i w:val="0"/>
          <w:noProof/>
          <w:vertAlign w:val="superscript"/>
        </w:rPr>
        <w:t>th</w:t>
      </w:r>
      <w:r>
        <w:rPr>
          <w:rStyle w:val="Emphasis"/>
          <w:i w:val="0"/>
          <w:noProof/>
        </w:rPr>
        <w:t xml:space="preserve"> March 2019, the Council of the European Union adopted the decision on conclusion of the EU-Morocco Sustainable Fisheries Partnership Agreement, extending the fishing zone to waters of Western Sahara. </w:t>
      </w:r>
    </w:p>
    <w:p>
      <w:pPr>
        <w:jc w:val="both"/>
        <w:rPr>
          <w:rStyle w:val="Emphasis"/>
          <w:i w:val="0"/>
          <w:noProof/>
        </w:rPr>
      </w:pPr>
    </w:p>
    <w:p>
      <w:pPr>
        <w:jc w:val="both"/>
        <w:rPr>
          <w:rStyle w:val="Emphasis"/>
          <w:i w:val="0"/>
          <w:noProof/>
        </w:rPr>
      </w:pPr>
      <w:r>
        <w:rPr>
          <w:rFonts w:eastAsia="Times New Roman"/>
          <w:noProof/>
        </w:rPr>
        <w:t>The ratification of both agreements still needs to be finalised in accordance with the  Moroccan procedure.</w:t>
      </w:r>
    </w:p>
    <w:p>
      <w:pPr>
        <w:pStyle w:val="NormalWeb"/>
        <w:spacing w:before="120" w:beforeAutospacing="0" w:after="0" w:afterAutospacing="0"/>
        <w:jc w:val="both"/>
        <w:rPr>
          <w:noProof/>
        </w:rPr>
      </w:pPr>
      <w:r>
        <w:rPr>
          <w:noProof/>
        </w:rPr>
        <w:t>On 27 April 2019, Polisario Front has brought a case against the Council of the EU where it requests the Court of Justice to annul the Decision of the Council of the EU amending the EU-Morocco Association Agreement. Other cases brought by Polisario are also pending before national and European courts (the Court of Justice and the General Court) including the EU-Morocco Aviation Agreement and the Sustainable Fisheries Partnership Agreement (SFPA) in which the fishing zone extends to waters adjacent to the territory of Western Sahara.</w:t>
      </w:r>
    </w:p>
    <w:p>
      <w:pPr>
        <w:pStyle w:val="ManualHeading1"/>
      </w:pPr>
      <w:bookmarkStart w:id="2358" w:name="_Toc8833647"/>
      <w:bookmarkStart w:id="2359" w:name="_Toc8835474"/>
      <w:bookmarkStart w:id="2360" w:name="_Toc8834104"/>
      <w:bookmarkStart w:id="2361" w:name="_Toc8909567"/>
      <w:bookmarkStart w:id="2362" w:name="_Toc8910779"/>
      <w:bookmarkStart w:id="2363" w:name="_Toc8911816"/>
      <w:bookmarkStart w:id="2364" w:name="_Toc8974637"/>
      <w:bookmarkStart w:id="2365" w:name="_Toc9008290"/>
      <w:bookmarkStart w:id="2366" w:name="_Toc9008693"/>
      <w:bookmarkStart w:id="2367" w:name="_Toc9348689"/>
      <w:bookmarkStart w:id="2368" w:name="_Toc9608140"/>
      <w:bookmarkStart w:id="2369" w:name="_Toc16000709"/>
      <w:r>
        <w:t>6.</w:t>
      </w:r>
      <w:r>
        <w:tab/>
        <w:t>Conclusions and outlook</w:t>
      </w:r>
      <w:bookmarkEnd w:id="2358"/>
      <w:bookmarkEnd w:id="2359"/>
      <w:bookmarkEnd w:id="2360"/>
      <w:bookmarkEnd w:id="2361"/>
      <w:bookmarkEnd w:id="2362"/>
      <w:bookmarkEnd w:id="2363"/>
      <w:bookmarkEnd w:id="2364"/>
      <w:bookmarkEnd w:id="2365"/>
      <w:bookmarkEnd w:id="2366"/>
      <w:bookmarkEnd w:id="2367"/>
      <w:bookmarkEnd w:id="2368"/>
      <w:bookmarkEnd w:id="2369"/>
    </w:p>
    <w:p>
      <w:pPr>
        <w:jc w:val="both"/>
        <w:rPr>
          <w:rFonts w:eastAsia="Times New Roman"/>
          <w:noProof/>
        </w:rPr>
      </w:pPr>
      <w:r>
        <w:rPr>
          <w:rFonts w:eastAsia="Times New Roman"/>
          <w:noProof/>
        </w:rPr>
        <w:t xml:space="preserve">EU-Morocco trade and investment relations are intense and are expected to be further strengthened in view of the willingness on both sides to relaunch and reinvigorate all the dimensions of the EU-Morocco partnership following the resumption of full political  relations throughout 2019. </w:t>
      </w:r>
    </w:p>
    <w:p>
      <w:pPr>
        <w:jc w:val="both"/>
        <w:rPr>
          <w:rFonts w:eastAsia="Times New Roman"/>
          <w:noProof/>
        </w:rPr>
      </w:pPr>
    </w:p>
    <w:p>
      <w:pPr>
        <w:jc w:val="both"/>
        <w:rPr>
          <w:rFonts w:eastAsia="Times New Roman"/>
          <w:noProof/>
          <w:lang w:eastAsia="en-GB"/>
        </w:rPr>
      </w:pPr>
      <w:r>
        <w:rPr>
          <w:rFonts w:eastAsia="Times New Roman"/>
          <w:noProof/>
          <w:lang w:eastAsia="en-GB"/>
        </w:rPr>
        <w:t xml:space="preserve">The overall impact of the Free Trade Area on EU-Morocco trade has been </w:t>
      </w:r>
      <w:r>
        <w:rPr>
          <w:rFonts w:eastAsia="Times New Roman"/>
          <w:b/>
          <w:noProof/>
          <w:lang w:eastAsia="en-GB"/>
        </w:rPr>
        <w:t>positive</w:t>
      </w:r>
      <w:r>
        <w:rPr>
          <w:rFonts w:eastAsia="Times New Roman"/>
          <w:noProof/>
          <w:lang w:eastAsia="en-GB"/>
        </w:rPr>
        <w:t>, bringing both economies closer together and rapidly intensifying exchanges in goods. As a result, the EU is the leading trade partner of Morocco today, accounting for over 50% of total Moroccan trade.</w:t>
      </w:r>
    </w:p>
    <w:p>
      <w:pPr>
        <w:jc w:val="both"/>
        <w:rPr>
          <w:rFonts w:eastAsia="Times New Roman"/>
          <w:noProof/>
          <w:lang w:eastAsia="en-GB"/>
        </w:rPr>
      </w:pPr>
    </w:p>
    <w:p>
      <w:pPr>
        <w:jc w:val="both"/>
        <w:rPr>
          <w:rFonts w:eastAsia="Times New Roman"/>
          <w:noProof/>
          <w:szCs w:val="20"/>
          <w:lang w:eastAsia="en-GB"/>
        </w:rPr>
      </w:pPr>
      <w:r>
        <w:rPr>
          <w:rFonts w:eastAsia="Times New Roman"/>
          <w:noProof/>
          <w:szCs w:val="20"/>
          <w:lang w:eastAsia="en-GB"/>
        </w:rPr>
        <w:t xml:space="preserve">It will thus be all the more </w:t>
      </w:r>
      <w:r>
        <w:rPr>
          <w:rFonts w:eastAsia="Times New Roman"/>
          <w:b/>
          <w:noProof/>
          <w:szCs w:val="20"/>
          <w:lang w:eastAsia="en-GB"/>
        </w:rPr>
        <w:t xml:space="preserve">important to resume </w:t>
      </w:r>
      <w:r>
        <w:rPr>
          <w:rFonts w:eastAsia="Times New Roman"/>
          <w:noProof/>
          <w:szCs w:val="20"/>
          <w:lang w:eastAsia="en-GB"/>
        </w:rPr>
        <w:t>the technical work under the EU-Morocco trade sub-committee. Compliance with obligations in the field of competition and public aid, including transparency on the latter, has to be enhanced. Negotiations are meant to cover areas such as access to public procurement, disciplines on non-tariff measures, but also standards and regulatory issues (bringing them closer to the EU acquis), SPS measures, intellectual property rights, consumer protection, competition, investment as well as trade in services and sustainable development.</w:t>
      </w:r>
    </w:p>
    <w:p>
      <w:pPr>
        <w:pStyle w:val="ManualHeading1"/>
      </w:pPr>
      <w:bookmarkStart w:id="2370" w:name="_Toc8833648"/>
      <w:bookmarkStart w:id="2371" w:name="_Toc8835475"/>
      <w:bookmarkStart w:id="2372" w:name="_Toc8834105"/>
      <w:bookmarkStart w:id="2373" w:name="_Toc8909568"/>
      <w:bookmarkStart w:id="2374" w:name="_Toc8910780"/>
      <w:bookmarkStart w:id="2375" w:name="_Toc8911817"/>
      <w:bookmarkStart w:id="2376" w:name="_Toc8974638"/>
      <w:bookmarkStart w:id="2377" w:name="_Toc9008291"/>
      <w:bookmarkStart w:id="2378" w:name="_Toc9008694"/>
      <w:bookmarkStart w:id="2379" w:name="_Toc9348690"/>
      <w:bookmarkStart w:id="2380" w:name="_Toc9608141"/>
      <w:bookmarkStart w:id="2381" w:name="_Toc16000710"/>
      <w:r>
        <w:t>7.</w:t>
      </w:r>
      <w:r>
        <w:tab/>
        <w:t>Statistics</w:t>
      </w:r>
      <w:bookmarkEnd w:id="2370"/>
      <w:bookmarkEnd w:id="2371"/>
      <w:bookmarkEnd w:id="2372"/>
      <w:bookmarkEnd w:id="2373"/>
      <w:bookmarkEnd w:id="2374"/>
      <w:bookmarkEnd w:id="2375"/>
      <w:bookmarkEnd w:id="2376"/>
      <w:bookmarkEnd w:id="2377"/>
      <w:bookmarkEnd w:id="2378"/>
      <w:bookmarkEnd w:id="2379"/>
      <w:bookmarkEnd w:id="2380"/>
      <w:bookmarkEnd w:id="2381"/>
    </w:p>
    <w:tbl>
      <w:tblPr>
        <w:tblW w:w="6360" w:type="dxa"/>
        <w:tblInd w:w="108" w:type="dxa"/>
        <w:tblLook w:val="04A0" w:firstRow="1" w:lastRow="0" w:firstColumn="1" w:lastColumn="0" w:noHBand="0" w:noVBand="1"/>
      </w:tblPr>
      <w:tblGrid>
        <w:gridCol w:w="3697"/>
        <w:gridCol w:w="656"/>
        <w:gridCol w:w="656"/>
        <w:gridCol w:w="656"/>
        <w:gridCol w:w="656"/>
        <w:gridCol w:w="703"/>
      </w:tblGrid>
      <w:tr>
        <w:trPr>
          <w:trHeight w:val="210"/>
        </w:trPr>
        <w:tc>
          <w:tcPr>
            <w:tcW w:w="6360"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Merchandise trade EU28 2014-2018</w:t>
            </w:r>
          </w:p>
        </w:tc>
      </w:tr>
      <w:tr>
        <w:trPr>
          <w:trHeight w:val="210"/>
        </w:trPr>
        <w:tc>
          <w:tcPr>
            <w:tcW w:w="3697" w:type="dxa"/>
            <w:tcBorders>
              <w:top w:val="single" w:sz="4" w:space="0" w:color="auto"/>
              <w:left w:val="nil"/>
              <w:bottom w:val="single" w:sz="4" w:space="0" w:color="auto"/>
              <w:right w:val="nil"/>
            </w:tcBorders>
            <w:shd w:val="clear" w:color="000000" w:fill="FFFFFF"/>
            <w:noWrap/>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 </w:t>
            </w:r>
          </w:p>
        </w:tc>
        <w:tc>
          <w:tcPr>
            <w:tcW w:w="490"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490"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490"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490"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703"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r>
      <w:tr>
        <w:trPr>
          <w:trHeight w:val="210"/>
        </w:trPr>
        <w:tc>
          <w:tcPr>
            <w:tcW w:w="3697" w:type="dxa"/>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EU28 trade with Morocco (mio €)</w:t>
            </w:r>
          </w:p>
        </w:tc>
        <w:tc>
          <w:tcPr>
            <w:tcW w:w="490"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n-IE" w:eastAsia="en-IE"/>
              </w:rPr>
            </w:pPr>
          </w:p>
        </w:tc>
        <w:tc>
          <w:tcPr>
            <w:tcW w:w="490"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490"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490"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703"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r>
      <w:tr>
        <w:trPr>
          <w:trHeight w:val="210"/>
        </w:trPr>
        <w:tc>
          <w:tcPr>
            <w:tcW w:w="36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11.053</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12.456</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13.792</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15.117</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16.073</w:t>
            </w:r>
          </w:p>
        </w:tc>
      </w:tr>
      <w:tr>
        <w:trPr>
          <w:trHeight w:val="210"/>
        </w:trPr>
        <w:tc>
          <w:tcPr>
            <w:tcW w:w="36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18.213</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18.142</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20.966</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22.366</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23.260</w:t>
            </w:r>
          </w:p>
        </w:tc>
      </w:tr>
      <w:tr>
        <w:trPr>
          <w:trHeight w:val="210"/>
        </w:trPr>
        <w:tc>
          <w:tcPr>
            <w:tcW w:w="36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7.160</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5.686</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7.175</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7.249</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7.187</w:t>
            </w:r>
          </w:p>
        </w:tc>
      </w:tr>
      <w:tr>
        <w:trPr>
          <w:trHeight w:val="210"/>
        </w:trPr>
        <w:tc>
          <w:tcPr>
            <w:tcW w:w="3697" w:type="dxa"/>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Share Morocco in EU28 trade with Extra-EU28</w:t>
            </w:r>
          </w:p>
        </w:tc>
        <w:tc>
          <w:tcPr>
            <w:tcW w:w="490"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n-IE" w:eastAsia="en-IE"/>
              </w:rPr>
            </w:pPr>
          </w:p>
        </w:tc>
        <w:tc>
          <w:tcPr>
            <w:tcW w:w="490"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490"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490"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703"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r>
      <w:tr>
        <w:trPr>
          <w:trHeight w:val="210"/>
        </w:trPr>
        <w:tc>
          <w:tcPr>
            <w:tcW w:w="36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0,7%</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0,7%</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0,8%</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0,8%</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0,8%</w:t>
            </w:r>
          </w:p>
        </w:tc>
      </w:tr>
      <w:tr>
        <w:trPr>
          <w:trHeight w:val="210"/>
        </w:trPr>
        <w:tc>
          <w:tcPr>
            <w:tcW w:w="36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w:t>
            </w:r>
          </w:p>
        </w:tc>
      </w:tr>
      <w:tr>
        <w:trPr>
          <w:trHeight w:val="210"/>
        </w:trPr>
        <w:tc>
          <w:tcPr>
            <w:tcW w:w="36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0,9%</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0,9%</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w:t>
            </w:r>
          </w:p>
        </w:tc>
      </w:tr>
      <w:tr>
        <w:trPr>
          <w:trHeight w:val="210"/>
        </w:trPr>
        <w:tc>
          <w:tcPr>
            <w:tcW w:w="6360"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Share EU28 in trade Morocco with world</w:t>
            </w:r>
          </w:p>
        </w:tc>
      </w:tr>
      <w:tr>
        <w:trPr>
          <w:trHeight w:val="210"/>
        </w:trPr>
        <w:tc>
          <w:tcPr>
            <w:tcW w:w="36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51,0%</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52,5%</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55,6%</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56,5%</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54,6%</w:t>
            </w:r>
          </w:p>
        </w:tc>
      </w:tr>
      <w:tr>
        <w:trPr>
          <w:trHeight w:val="210"/>
        </w:trPr>
        <w:tc>
          <w:tcPr>
            <w:tcW w:w="36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63,4%</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61,3%</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64,9%</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64,6%</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64,1%</w:t>
            </w:r>
          </w:p>
        </w:tc>
      </w:tr>
      <w:tr>
        <w:trPr>
          <w:trHeight w:val="210"/>
        </w:trPr>
        <w:tc>
          <w:tcPr>
            <w:tcW w:w="36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55,2%</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55,7%</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58,9%</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59,4%</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57,9%</w:t>
            </w:r>
          </w:p>
        </w:tc>
      </w:tr>
      <w:tr>
        <w:trPr>
          <w:trHeight w:val="225"/>
        </w:trPr>
        <w:tc>
          <w:tcPr>
            <w:tcW w:w="4677" w:type="dxa"/>
            <w:gridSpan w:val="3"/>
            <w:tcBorders>
              <w:top w:val="single" w:sz="4" w:space="0" w:color="auto"/>
              <w:left w:val="nil"/>
              <w:bottom w:val="nil"/>
              <w:right w:val="nil"/>
            </w:tcBorders>
            <w:shd w:val="clear" w:color="000000" w:fill="FFFFFF"/>
            <w:noWrap/>
            <w:vAlign w:val="bottom"/>
            <w:hideMark/>
          </w:tcPr>
          <w:p>
            <w:pPr>
              <w:rPr>
                <w:rFonts w:eastAsia="Times New Roman"/>
                <w:noProof/>
                <w:sz w:val="12"/>
                <w:szCs w:val="12"/>
                <w:lang w:val="en-IE" w:eastAsia="en-IE"/>
              </w:rPr>
            </w:pPr>
            <w:r>
              <w:rPr>
                <w:rFonts w:eastAsia="Times New Roman"/>
                <w:noProof/>
                <w:sz w:val="12"/>
                <w:szCs w:val="12"/>
                <w:lang w:val="en-IE" w:eastAsia="en-IE"/>
              </w:rPr>
              <w:t xml:space="preserve">Source Trade G2 Statistics/ISDB </w:t>
            </w:r>
          </w:p>
        </w:tc>
        <w:tc>
          <w:tcPr>
            <w:tcW w:w="490"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490"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703" w:type="dxa"/>
            <w:tcBorders>
              <w:top w:val="single" w:sz="4" w:space="0" w:color="auto"/>
              <w:left w:val="nil"/>
              <w:bottom w:val="nil"/>
              <w:right w:val="nil"/>
            </w:tcBorders>
            <w:shd w:val="clear" w:color="000000" w:fill="FFFFFF"/>
            <w:noWrap/>
            <w:hideMark/>
          </w:tcPr>
          <w:p>
            <w:pPr>
              <w:jc w:val="right"/>
              <w:rPr>
                <w:rFonts w:eastAsia="Times New Roman"/>
                <w:noProof/>
                <w:sz w:val="12"/>
                <w:szCs w:val="12"/>
                <w:lang w:val="en-IE" w:eastAsia="en-IE"/>
              </w:rPr>
            </w:pPr>
            <w:r>
              <w:rPr>
                <w:rFonts w:eastAsia="Times New Roman"/>
                <w:noProof/>
                <w:sz w:val="12"/>
                <w:szCs w:val="12"/>
                <w:lang w:val="en-IE" w:eastAsia="en-IE"/>
              </w:rPr>
              <w:t>25-mars-19</w:t>
            </w:r>
          </w:p>
        </w:tc>
      </w:tr>
      <w:tr>
        <w:trPr>
          <w:trHeight w:val="210"/>
        </w:trPr>
        <w:tc>
          <w:tcPr>
            <w:tcW w:w="5167" w:type="dxa"/>
            <w:gridSpan w:val="4"/>
            <w:tcBorders>
              <w:top w:val="nil"/>
              <w:left w:val="nil"/>
              <w:bottom w:val="nil"/>
              <w:right w:val="nil"/>
            </w:tcBorders>
            <w:shd w:val="clear" w:color="000000" w:fill="FFFFFF"/>
            <w:noWrap/>
            <w:hideMark/>
          </w:tcPr>
          <w:p>
            <w:pPr>
              <w:rPr>
                <w:rFonts w:eastAsia="Times New Roman"/>
                <w:noProof/>
                <w:color w:val="000000"/>
                <w:sz w:val="12"/>
                <w:szCs w:val="12"/>
                <w:lang w:val="en-IE" w:eastAsia="en-IE"/>
              </w:rPr>
            </w:pPr>
            <w:r>
              <w:rPr>
                <w:rFonts w:eastAsia="Times New Roman"/>
                <w:noProof/>
                <w:color w:val="000000"/>
                <w:sz w:val="12"/>
                <w:szCs w:val="12"/>
                <w:lang w:val="en-IE" w:eastAsia="en-IE"/>
              </w:rPr>
              <w:t>Trade EU28: Eurostat COMEXT;  Trade Morocco: IMF Dots</w:t>
            </w:r>
          </w:p>
        </w:tc>
        <w:tc>
          <w:tcPr>
            <w:tcW w:w="490"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10"/>
        </w:trPr>
        <w:tc>
          <w:tcPr>
            <w:tcW w:w="3697"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490"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490"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490"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490"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25"/>
        </w:trPr>
        <w:tc>
          <w:tcPr>
            <w:tcW w:w="6360"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Total merchandise trade EU28 with Morocco (mio €)</w:t>
            </w:r>
          </w:p>
        </w:tc>
      </w:tr>
      <w:tr>
        <w:trPr>
          <w:trHeight w:val="225"/>
        </w:trPr>
        <w:tc>
          <w:tcPr>
            <w:tcW w:w="4187"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Morocco</w:t>
            </w:r>
          </w:p>
        </w:tc>
        <w:tc>
          <w:tcPr>
            <w:tcW w:w="49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49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193"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187"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90"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90"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90"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6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15.117</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16.073</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955</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6,3%</w:t>
            </w:r>
          </w:p>
        </w:tc>
      </w:tr>
      <w:tr>
        <w:trPr>
          <w:trHeight w:val="225"/>
        </w:trPr>
        <w:tc>
          <w:tcPr>
            <w:tcW w:w="36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22.366</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23.260</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893</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4,0%</w:t>
            </w:r>
          </w:p>
        </w:tc>
      </w:tr>
      <w:tr>
        <w:trPr>
          <w:trHeight w:val="225"/>
        </w:trPr>
        <w:tc>
          <w:tcPr>
            <w:tcW w:w="36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7.249</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7.187</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-62</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697"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90"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37.484</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39.332</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1.849</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4,9%</w:t>
            </w:r>
          </w:p>
        </w:tc>
      </w:tr>
      <w:tr>
        <w:trPr>
          <w:trHeight w:val="240"/>
        </w:trPr>
        <w:tc>
          <w:tcPr>
            <w:tcW w:w="5167"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490"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6360"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Agrifood trade EU28 with Morocco (mio €)</w:t>
            </w:r>
          </w:p>
        </w:tc>
      </w:tr>
      <w:tr>
        <w:trPr>
          <w:trHeight w:val="255"/>
        </w:trPr>
        <w:tc>
          <w:tcPr>
            <w:tcW w:w="4187"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Morocco</w:t>
            </w:r>
          </w:p>
        </w:tc>
        <w:tc>
          <w:tcPr>
            <w:tcW w:w="49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49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193"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187"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90"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90"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90"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6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2.248</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2.396</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148</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6,6%</w:t>
            </w:r>
          </w:p>
        </w:tc>
      </w:tr>
      <w:tr>
        <w:trPr>
          <w:trHeight w:val="225"/>
        </w:trPr>
        <w:tc>
          <w:tcPr>
            <w:tcW w:w="36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1.504</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1.485</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w:t>
            </w:r>
          </w:p>
        </w:tc>
      </w:tr>
      <w:tr>
        <w:trPr>
          <w:trHeight w:val="225"/>
        </w:trPr>
        <w:tc>
          <w:tcPr>
            <w:tcW w:w="36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-745</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-911</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-167</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697"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3.752</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3.881</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130</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3,5%</w:t>
            </w:r>
          </w:p>
        </w:tc>
      </w:tr>
      <w:tr>
        <w:trPr>
          <w:trHeight w:val="240"/>
        </w:trPr>
        <w:tc>
          <w:tcPr>
            <w:tcW w:w="5167"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490"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6360"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NAMA trade EU28 with Morocco (mio €)</w:t>
            </w:r>
          </w:p>
        </w:tc>
      </w:tr>
      <w:tr>
        <w:trPr>
          <w:trHeight w:val="225"/>
        </w:trPr>
        <w:tc>
          <w:tcPr>
            <w:tcW w:w="4187"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Morocco</w:t>
            </w:r>
          </w:p>
        </w:tc>
        <w:tc>
          <w:tcPr>
            <w:tcW w:w="49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49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193"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187"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90"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90"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90"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4187"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imports</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12.869</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13.676</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807</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6,3%</w:t>
            </w:r>
          </w:p>
        </w:tc>
      </w:tr>
      <w:tr>
        <w:trPr>
          <w:trHeight w:val="225"/>
        </w:trPr>
        <w:tc>
          <w:tcPr>
            <w:tcW w:w="4187"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exports</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20.863</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21.775</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912</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4,4%</w:t>
            </w:r>
          </w:p>
        </w:tc>
      </w:tr>
      <w:tr>
        <w:trPr>
          <w:trHeight w:val="225"/>
        </w:trPr>
        <w:tc>
          <w:tcPr>
            <w:tcW w:w="36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7.994</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8.098</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104</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6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33.732</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35.451</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1.719</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5,1%</w:t>
            </w:r>
          </w:p>
        </w:tc>
      </w:tr>
      <w:tr>
        <w:trPr>
          <w:trHeight w:val="240"/>
        </w:trPr>
        <w:tc>
          <w:tcPr>
            <w:tcW w:w="5167"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490" w:type="dxa"/>
            <w:tcBorders>
              <w:top w:val="single" w:sz="4" w:space="0" w:color="auto"/>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5167" w:type="dxa"/>
            <w:gridSpan w:val="4"/>
            <w:tcBorders>
              <w:top w:val="nil"/>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Services trade EU28 with Morocco (mio €)</w:t>
            </w:r>
          </w:p>
        </w:tc>
        <w:tc>
          <w:tcPr>
            <w:tcW w:w="490" w:type="dxa"/>
            <w:tcBorders>
              <w:top w:val="nil"/>
              <w:left w:val="nil"/>
              <w:bottom w:val="nil"/>
              <w:right w:val="nil"/>
            </w:tcBorders>
            <w:shd w:val="clear" w:color="000000" w:fill="FFFFFF"/>
            <w:noWrap/>
            <w:vAlign w:val="center"/>
            <w:hideMark/>
          </w:tcPr>
          <w:p>
            <w:pPr>
              <w:rPr>
                <w:rFonts w:eastAsia="Times New Roman"/>
                <w:b/>
                <w:bCs/>
                <w:noProof/>
                <w:sz w:val="16"/>
                <w:szCs w:val="16"/>
                <w:lang w:val="en-IE" w:eastAsia="en-IE"/>
              </w:rPr>
            </w:pPr>
            <w:r>
              <w:rPr>
                <w:rFonts w:eastAsia="Times New Roman"/>
                <w:b/>
                <w:bCs/>
                <w:noProof/>
                <w:sz w:val="16"/>
                <w:szCs w:val="16"/>
                <w:lang w:val="en-IE" w:eastAsia="en-IE"/>
              </w:rPr>
              <w:t> </w:t>
            </w:r>
          </w:p>
        </w:tc>
        <w:tc>
          <w:tcPr>
            <w:tcW w:w="703" w:type="dxa"/>
            <w:tcBorders>
              <w:top w:val="nil"/>
              <w:left w:val="nil"/>
              <w:bottom w:val="nil"/>
              <w:right w:val="nil"/>
            </w:tcBorders>
            <w:shd w:val="clear" w:color="000000" w:fill="FFFFFF"/>
            <w:noWrap/>
            <w:vAlign w:val="center"/>
            <w:hideMark/>
          </w:tcPr>
          <w:p>
            <w:pPr>
              <w:rPr>
                <w:rFonts w:eastAsia="Times New Roman"/>
                <w:b/>
                <w:bCs/>
                <w:noProof/>
                <w:sz w:val="16"/>
                <w:szCs w:val="16"/>
                <w:lang w:val="en-IE" w:eastAsia="en-IE"/>
              </w:rPr>
            </w:pPr>
            <w:r>
              <w:rPr>
                <w:rFonts w:eastAsia="Times New Roman"/>
                <w:b/>
                <w:bCs/>
                <w:noProof/>
                <w:sz w:val="16"/>
                <w:szCs w:val="16"/>
                <w:lang w:val="en-IE" w:eastAsia="en-IE"/>
              </w:rPr>
              <w:t> </w:t>
            </w:r>
          </w:p>
        </w:tc>
      </w:tr>
      <w:tr>
        <w:trPr>
          <w:trHeight w:val="225"/>
        </w:trPr>
        <w:tc>
          <w:tcPr>
            <w:tcW w:w="4187"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Morocco</w:t>
            </w:r>
          </w:p>
        </w:tc>
        <w:tc>
          <w:tcPr>
            <w:tcW w:w="490"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490"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1193"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187"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490"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490"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490"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6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5.548</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6.074</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526</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9,5%</w:t>
            </w:r>
          </w:p>
        </w:tc>
      </w:tr>
      <w:tr>
        <w:trPr>
          <w:trHeight w:val="225"/>
        </w:trPr>
        <w:tc>
          <w:tcPr>
            <w:tcW w:w="36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3.933</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4.331</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398</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10,1%</w:t>
            </w:r>
          </w:p>
        </w:tc>
      </w:tr>
      <w:tr>
        <w:trPr>
          <w:trHeight w:val="225"/>
        </w:trPr>
        <w:tc>
          <w:tcPr>
            <w:tcW w:w="36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-1.615</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-1.743</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-128</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697"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90"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9.481</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10.405</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923</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9,7%</w:t>
            </w:r>
          </w:p>
        </w:tc>
      </w:tr>
      <w:tr>
        <w:trPr>
          <w:trHeight w:val="240"/>
        </w:trPr>
        <w:tc>
          <w:tcPr>
            <w:tcW w:w="5657" w:type="dxa"/>
            <w:gridSpan w:val="5"/>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703"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40"/>
        </w:trPr>
        <w:tc>
          <w:tcPr>
            <w:tcW w:w="6360"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Services trade EU28 with Morocco (mio €)</w:t>
            </w:r>
          </w:p>
        </w:tc>
      </w:tr>
      <w:tr>
        <w:trPr>
          <w:trHeight w:val="225"/>
        </w:trPr>
        <w:tc>
          <w:tcPr>
            <w:tcW w:w="3697"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49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49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49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703"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36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4.483</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5.456</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5.094</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5.548</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6.074</w:t>
            </w:r>
          </w:p>
        </w:tc>
      </w:tr>
      <w:tr>
        <w:trPr>
          <w:trHeight w:val="225"/>
        </w:trPr>
        <w:tc>
          <w:tcPr>
            <w:tcW w:w="36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3.080</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3.369</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4.101</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3.933</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4.331</w:t>
            </w:r>
          </w:p>
        </w:tc>
      </w:tr>
      <w:tr>
        <w:trPr>
          <w:trHeight w:val="225"/>
        </w:trPr>
        <w:tc>
          <w:tcPr>
            <w:tcW w:w="36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-1.403</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-2.087</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-993</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-1.615</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-1.743</w:t>
            </w:r>
          </w:p>
        </w:tc>
      </w:tr>
      <w:tr>
        <w:trPr>
          <w:trHeight w:val="225"/>
        </w:trPr>
        <w:tc>
          <w:tcPr>
            <w:tcW w:w="3697"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7.563</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8.826</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9.194</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9.481</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10.405</w:t>
            </w:r>
          </w:p>
        </w:tc>
      </w:tr>
      <w:tr>
        <w:trPr>
          <w:trHeight w:val="225"/>
        </w:trPr>
        <w:tc>
          <w:tcPr>
            <w:tcW w:w="3697"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490"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 </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6360"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FDI EU28 with Morocco (mio €)</w:t>
            </w:r>
          </w:p>
        </w:tc>
      </w:tr>
      <w:tr>
        <w:trPr>
          <w:trHeight w:val="225"/>
        </w:trPr>
        <w:tc>
          <w:tcPr>
            <w:tcW w:w="3697"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49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49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49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703"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6360"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Stocks</w:t>
            </w:r>
          </w:p>
        </w:tc>
      </w:tr>
      <w:tr>
        <w:trPr>
          <w:trHeight w:val="225"/>
        </w:trPr>
        <w:tc>
          <w:tcPr>
            <w:tcW w:w="36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707</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948</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927</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543</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869</w:t>
            </w:r>
          </w:p>
        </w:tc>
      </w:tr>
      <w:tr>
        <w:trPr>
          <w:trHeight w:val="225"/>
        </w:trPr>
        <w:tc>
          <w:tcPr>
            <w:tcW w:w="36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17.508</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14.156</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14.862</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15.337</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18.478</w:t>
            </w:r>
          </w:p>
        </w:tc>
      </w:tr>
      <w:tr>
        <w:trPr>
          <w:trHeight w:val="225"/>
        </w:trPr>
        <w:tc>
          <w:tcPr>
            <w:tcW w:w="6360"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Flows</w:t>
            </w:r>
          </w:p>
        </w:tc>
      </w:tr>
      <w:tr>
        <w:trPr>
          <w:trHeight w:val="225"/>
        </w:trPr>
        <w:tc>
          <w:tcPr>
            <w:tcW w:w="36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195</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42</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-314</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73</w:t>
            </w:r>
          </w:p>
        </w:tc>
      </w:tr>
      <w:tr>
        <w:trPr>
          <w:trHeight w:val="225"/>
        </w:trPr>
        <w:tc>
          <w:tcPr>
            <w:tcW w:w="36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860</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-3.456</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770</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608</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340</w:t>
            </w:r>
          </w:p>
        </w:tc>
      </w:tr>
      <w:tr>
        <w:trPr>
          <w:trHeight w:val="225"/>
        </w:trPr>
        <w:tc>
          <w:tcPr>
            <w:tcW w:w="3697" w:type="dxa"/>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490"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 </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bl>
    <w:p>
      <w:pPr>
        <w:rPr>
          <w:noProof/>
        </w:rPr>
      </w:pPr>
    </w:p>
    <w:p>
      <w:pPr>
        <w:spacing w:after="200" w:line="276" w:lineRule="auto"/>
        <w:rPr>
          <w:noProof/>
        </w:rPr>
      </w:pPr>
      <w:r>
        <w:rPr>
          <w:noProof/>
        </w:rPr>
        <w:br w:type="page"/>
      </w:r>
    </w:p>
    <w:p>
      <w:pPr>
        <w:pStyle w:val="ChapterHead"/>
        <w:jc w:val="both"/>
        <w:rPr>
          <w:b/>
          <w:noProof/>
        </w:rPr>
      </w:pPr>
      <w:bookmarkStart w:id="2382" w:name="_Toc8833649"/>
      <w:bookmarkStart w:id="2383" w:name="_Toc8835476"/>
      <w:bookmarkStart w:id="2384" w:name="_Toc8834106"/>
      <w:bookmarkStart w:id="2385" w:name="_Toc8909569"/>
      <w:bookmarkStart w:id="2386" w:name="_Toc8910781"/>
      <w:bookmarkStart w:id="2387" w:name="_Toc8911818"/>
      <w:bookmarkStart w:id="2388" w:name="_Toc8974639"/>
      <w:bookmarkStart w:id="2389" w:name="_Toc9008292"/>
      <w:bookmarkStart w:id="2390" w:name="_Toc9008695"/>
      <w:bookmarkStart w:id="2391" w:name="_Toc9348691"/>
      <w:bookmarkStart w:id="2392" w:name="_Toc9608142"/>
      <w:bookmarkStart w:id="2393" w:name="_Toc16000711"/>
      <w:r>
        <w:rPr>
          <w:b/>
          <w:noProof/>
        </w:rPr>
        <w:t>ANNUAL INFO SHEET ON THE IMPLEMENTATION OF THE EU-PALESTINE INTERIM ASSOCIATION AGREEMENT</w:t>
      </w:r>
      <w:bookmarkEnd w:id="2382"/>
      <w:bookmarkEnd w:id="2383"/>
      <w:bookmarkEnd w:id="2384"/>
      <w:bookmarkEnd w:id="2385"/>
      <w:bookmarkEnd w:id="2386"/>
      <w:bookmarkEnd w:id="2387"/>
      <w:bookmarkEnd w:id="2388"/>
      <w:bookmarkEnd w:id="2389"/>
      <w:bookmarkEnd w:id="2390"/>
      <w:bookmarkEnd w:id="2391"/>
      <w:bookmarkEnd w:id="2392"/>
      <w:bookmarkEnd w:id="2393"/>
    </w:p>
    <w:p>
      <w:pPr>
        <w:pStyle w:val="ManualHeading1"/>
      </w:pPr>
      <w:bookmarkStart w:id="2394" w:name="_Toc8833650"/>
      <w:bookmarkStart w:id="2395" w:name="_Toc8835477"/>
      <w:bookmarkStart w:id="2396" w:name="_Toc8834107"/>
      <w:bookmarkStart w:id="2397" w:name="_Toc8909570"/>
      <w:bookmarkStart w:id="2398" w:name="_Toc8910782"/>
      <w:bookmarkStart w:id="2399" w:name="_Toc8911819"/>
      <w:bookmarkStart w:id="2400" w:name="_Toc8974640"/>
      <w:bookmarkStart w:id="2401" w:name="_Toc9008293"/>
      <w:bookmarkStart w:id="2402" w:name="_Toc9008696"/>
      <w:bookmarkStart w:id="2403" w:name="_Toc9348692"/>
      <w:bookmarkStart w:id="2404" w:name="_Toc9608143"/>
      <w:bookmarkStart w:id="2405" w:name="_Toc16000712"/>
      <w:r>
        <w:t>1.</w:t>
      </w:r>
      <w:r>
        <w:tab/>
        <w:t>Introduction</w:t>
      </w:r>
      <w:bookmarkEnd w:id="2394"/>
      <w:bookmarkEnd w:id="2395"/>
      <w:bookmarkEnd w:id="2396"/>
      <w:bookmarkEnd w:id="2397"/>
      <w:bookmarkEnd w:id="2398"/>
      <w:bookmarkEnd w:id="2399"/>
      <w:bookmarkEnd w:id="2400"/>
      <w:bookmarkEnd w:id="2401"/>
      <w:bookmarkEnd w:id="2402"/>
      <w:bookmarkEnd w:id="2403"/>
      <w:bookmarkEnd w:id="2404"/>
      <w:bookmarkEnd w:id="2405"/>
    </w:p>
    <w:p>
      <w:pPr>
        <w:jc w:val="both"/>
        <w:rPr>
          <w:noProof/>
        </w:rPr>
      </w:pPr>
      <w:r>
        <w:rPr>
          <w:noProof/>
        </w:rPr>
        <w:t>The Interim Association Agreement creating a free trade area between the EU and Palestine</w:t>
      </w:r>
      <w:r>
        <w:rPr>
          <w:rFonts w:eastAsia="Times New Roman"/>
          <w:noProof/>
          <w:vertAlign w:val="superscript"/>
        </w:rPr>
        <w:footnoteReference w:id="70"/>
      </w:r>
      <w:r>
        <w:rPr>
          <w:rFonts w:eastAsia="Times New Roman"/>
          <w:noProof/>
        </w:rPr>
        <w:t xml:space="preserve"> </w:t>
      </w:r>
      <w:r>
        <w:rPr>
          <w:noProof/>
        </w:rPr>
        <w:t xml:space="preserve">(hereinafter called ‘the Interim Agreement’) was signed in 1997 and entered into force on 1 July 1997. The Interim Agreement liberalised two-way trade in industrial goods by providing duty-free and quota-free access for industrial goods traded in both directions, with some limited liberalisation of agricultural products by both parties. This was an asymmetrical liberalisation to the extent that the EU dismantled its tariffs on the first day of the agreement while Palestine had a phased reduction of tariffs. The Agreement was first updated in 2005 before a more significant update was signed in 2011 to further liberalise trade in agricultural, processed agricultural products (PAPs), fish and fishery products. The EU removed all tariffs and quotas on agricultural products and PAPs imported into the EU for a period of ten years, which is renewable. Palestine continues to maintain a number of tariffs and quotas on selected agricultural and PAPs products. </w:t>
      </w:r>
    </w:p>
    <w:p>
      <w:pPr>
        <w:jc w:val="both"/>
        <w:rPr>
          <w:noProof/>
        </w:rPr>
      </w:pPr>
    </w:p>
    <w:p>
      <w:pPr>
        <w:jc w:val="both"/>
        <w:rPr>
          <w:noProof/>
        </w:rPr>
      </w:pPr>
      <w:r>
        <w:rPr>
          <w:noProof/>
        </w:rPr>
        <w:t>Products from Israeli settlements in Palestinian territory do not benefit from the preferential tariff agreement under the EU-Palestine or EU-Israel Association Agreement.</w:t>
      </w:r>
    </w:p>
    <w:p>
      <w:pPr>
        <w:jc w:val="both"/>
        <w:rPr>
          <w:noProof/>
        </w:rPr>
      </w:pPr>
    </w:p>
    <w:p>
      <w:pPr>
        <w:jc w:val="both"/>
        <w:rPr>
          <w:noProof/>
        </w:rPr>
      </w:pPr>
      <w:r>
        <w:rPr>
          <w:noProof/>
        </w:rPr>
        <w:t>Palestine is a member of the Regional Convention on pan-Euro-Mediterranean preferential rules of origin (PEM Convention)</w:t>
      </w:r>
      <w:r>
        <w:rPr>
          <w:rFonts w:eastAsia="Times New Roman"/>
          <w:noProof/>
          <w:vertAlign w:val="superscript"/>
        </w:rPr>
        <w:footnoteReference w:id="71"/>
      </w:r>
      <w:r>
        <w:rPr>
          <w:noProof/>
        </w:rPr>
        <w:t>, which it signed in 2013 and notified the EU of its ratification in 2014. The main objective of the Convention is to provide a more unified framework for origin protocols.</w:t>
      </w:r>
    </w:p>
    <w:p>
      <w:pPr>
        <w:pStyle w:val="ManualHeading1"/>
      </w:pPr>
      <w:bookmarkStart w:id="2406" w:name="_Toc8833651"/>
      <w:bookmarkStart w:id="2407" w:name="_Toc8835478"/>
      <w:bookmarkStart w:id="2408" w:name="_Toc8834108"/>
      <w:bookmarkStart w:id="2409" w:name="_Toc8909571"/>
      <w:bookmarkStart w:id="2410" w:name="_Toc8910783"/>
      <w:bookmarkStart w:id="2411" w:name="_Toc8911820"/>
      <w:bookmarkStart w:id="2412" w:name="_Toc8974641"/>
      <w:bookmarkStart w:id="2413" w:name="_Toc9008294"/>
      <w:bookmarkStart w:id="2414" w:name="_Toc9008697"/>
      <w:bookmarkStart w:id="2415" w:name="_Toc9348693"/>
      <w:bookmarkStart w:id="2416" w:name="_Toc9608144"/>
      <w:bookmarkStart w:id="2417" w:name="_Toc16000713"/>
      <w:r>
        <w:t>2.</w:t>
      </w:r>
      <w:r>
        <w:tab/>
        <w:t>Evolution of trade</w:t>
      </w:r>
      <w:bookmarkEnd w:id="2406"/>
      <w:bookmarkEnd w:id="2407"/>
      <w:bookmarkEnd w:id="2408"/>
      <w:bookmarkEnd w:id="2409"/>
      <w:bookmarkEnd w:id="2410"/>
      <w:bookmarkEnd w:id="2411"/>
      <w:bookmarkEnd w:id="2412"/>
      <w:bookmarkEnd w:id="2413"/>
      <w:bookmarkEnd w:id="2414"/>
      <w:bookmarkEnd w:id="2415"/>
      <w:bookmarkEnd w:id="2416"/>
      <w:bookmarkEnd w:id="2417"/>
    </w:p>
    <w:p>
      <w:pPr>
        <w:pStyle w:val="Heading2"/>
        <w:tabs>
          <w:tab w:val="clear" w:pos="4570"/>
        </w:tabs>
        <w:ind w:left="567"/>
      </w:pPr>
      <w:bookmarkStart w:id="2418" w:name="_Toc8835479"/>
      <w:bookmarkStart w:id="2419" w:name="_Toc8834109"/>
      <w:bookmarkStart w:id="2420" w:name="_Toc8909572"/>
      <w:bookmarkStart w:id="2421" w:name="_Toc8910784"/>
      <w:bookmarkStart w:id="2422" w:name="_Toc8911821"/>
      <w:bookmarkStart w:id="2423" w:name="_Toc8974642"/>
      <w:bookmarkStart w:id="2424" w:name="_Toc9008295"/>
      <w:bookmarkStart w:id="2425" w:name="_Toc9008698"/>
      <w:bookmarkStart w:id="2426" w:name="_Toc9348694"/>
      <w:bookmarkStart w:id="2427" w:name="_Toc9608145"/>
      <w:bookmarkStart w:id="2428" w:name="_Toc16000714"/>
      <w:r>
        <w:t xml:space="preserve">2.1 </w:t>
      </w:r>
      <w:bookmarkStart w:id="2429" w:name="_Toc8833652"/>
      <w:r>
        <w:t>Trade in Goods</w:t>
      </w:r>
      <w:bookmarkEnd w:id="2418"/>
      <w:bookmarkEnd w:id="2419"/>
      <w:bookmarkEnd w:id="2420"/>
      <w:bookmarkEnd w:id="2421"/>
      <w:bookmarkEnd w:id="2422"/>
      <w:bookmarkEnd w:id="2423"/>
      <w:bookmarkEnd w:id="2424"/>
      <w:bookmarkEnd w:id="2425"/>
      <w:bookmarkEnd w:id="2426"/>
      <w:bookmarkEnd w:id="2427"/>
      <w:bookmarkEnd w:id="2429"/>
      <w:bookmarkEnd w:id="2428"/>
    </w:p>
    <w:p>
      <w:pPr>
        <w:jc w:val="both"/>
        <w:rPr>
          <w:rFonts w:eastAsia="Times New Roman"/>
          <w:noProof/>
          <w:szCs w:val="20"/>
        </w:rPr>
      </w:pPr>
      <w:r>
        <w:rPr>
          <w:rFonts w:eastAsia="Times New Roman"/>
          <w:noProof/>
          <w:szCs w:val="20"/>
        </w:rPr>
        <w:t>In 2018, the EU was Palestine’s second largest trade partner behind Israel, representing 11% of its total trade. With a 11% share, the EU was the second largest exporter to Palestine behind Israel (53%). Together with Kuwait the EU was Palestine’s fourth largest export destination (2%), behind Israel (80%), Jordan (7%) and UAE (3%).</w:t>
      </w:r>
    </w:p>
    <w:p>
      <w:pPr>
        <w:jc w:val="both"/>
        <w:rPr>
          <w:rFonts w:eastAsia="Times New Roman"/>
          <w:noProof/>
          <w:szCs w:val="20"/>
        </w:rPr>
      </w:pPr>
    </w:p>
    <w:p>
      <w:pPr>
        <w:jc w:val="both"/>
        <w:rPr>
          <w:rFonts w:eastAsia="Times New Roman"/>
          <w:noProof/>
        </w:rPr>
      </w:pPr>
      <w:r>
        <w:rPr>
          <w:rFonts w:eastAsia="Times New Roman"/>
          <w:noProof/>
        </w:rPr>
        <w:t xml:space="preserve">The value of trade between the EU and Palestine has increased since the Association Agreement came into force, in both directions. In 2002 the value of trade in goods was € 41 million and in 2018 it was € 243 million. </w:t>
      </w:r>
    </w:p>
    <w:p>
      <w:pPr>
        <w:jc w:val="both"/>
        <w:rPr>
          <w:rFonts w:eastAsia="Times New Roman"/>
          <w:noProof/>
        </w:rPr>
      </w:pPr>
    </w:p>
    <w:p>
      <w:pPr>
        <w:jc w:val="both"/>
        <w:rPr>
          <w:rFonts w:eastAsia="Times New Roman"/>
          <w:noProof/>
        </w:rPr>
      </w:pPr>
      <w:r>
        <w:rPr>
          <w:rFonts w:eastAsia="Times New Roman"/>
          <w:noProof/>
        </w:rPr>
        <w:t xml:space="preserve">It should be noted that the value of EU exports to Palestine has increased more than in the other direction. This has deepened Palestine’s trade deficit with the EU over the same period. Palestinian exports remained largely at that same level despite full preferential market access to the EU market. This is largely due to obstacles facing Palestinian trade, as well as competitiveness issues and the Palestinian difficulty in meeting EU standards, in particular SPS and technical standards. </w:t>
      </w:r>
    </w:p>
    <w:p>
      <w:pPr>
        <w:jc w:val="both"/>
        <w:rPr>
          <w:rFonts w:eastAsia="Times New Roman"/>
          <w:noProof/>
        </w:rPr>
      </w:pPr>
    </w:p>
    <w:p>
      <w:pPr>
        <w:rPr>
          <w:noProof/>
          <w:lang w:eastAsia="en-GB"/>
        </w:rPr>
      </w:pPr>
      <w:r>
        <w:rPr>
          <w:noProof/>
          <w:lang w:eastAsia="en-GB"/>
        </w:rPr>
        <w:drawing>
          <wp:inline distT="0" distB="0" distL="0" distR="0">
            <wp:extent cx="5760720" cy="2400935"/>
            <wp:effectExtent l="0" t="0" r="11430" b="1841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jc w:val="both"/>
        <w:rPr>
          <w:rFonts w:eastAsia="Times New Roman"/>
          <w:noProof/>
        </w:rPr>
      </w:pPr>
    </w:p>
    <w:p>
      <w:pPr>
        <w:jc w:val="both"/>
        <w:rPr>
          <w:rFonts w:eastAsia="Times New Roman"/>
          <w:noProof/>
        </w:rPr>
      </w:pPr>
      <w:r>
        <w:rPr>
          <w:rFonts w:eastAsia="Times New Roman"/>
          <w:noProof/>
        </w:rPr>
        <w:t xml:space="preserve">The value of </w:t>
      </w:r>
      <w:r>
        <w:rPr>
          <w:rFonts w:eastAsia="Times New Roman"/>
          <w:noProof/>
          <w:u w:val="single"/>
        </w:rPr>
        <w:t>EU exports</w:t>
      </w:r>
      <w:r>
        <w:rPr>
          <w:rFonts w:eastAsia="Times New Roman"/>
          <w:noProof/>
        </w:rPr>
        <w:t xml:space="preserve"> to Palestine has risen from €33 million in 2002 to €243 million in 2018 (an increase of more than 600%). EU exports decreased (7%) between 2017 and 2018, declining from €261 million to €243 million. This was the first decline after the period 2008-09. The </w:t>
      </w:r>
      <w:r>
        <w:rPr>
          <w:rFonts w:eastAsia="Times New Roman"/>
          <w:noProof/>
          <w:u w:val="single"/>
        </w:rPr>
        <w:t>main export sectors</w:t>
      </w:r>
      <w:r>
        <w:rPr>
          <w:rFonts w:eastAsia="Times New Roman"/>
          <w:noProof/>
        </w:rPr>
        <w:t xml:space="preserve"> in 2018 were machinery and transport equipment (49%), food and live animals (20%) and chemicals (13%). </w:t>
      </w:r>
    </w:p>
    <w:p>
      <w:pPr>
        <w:jc w:val="both"/>
        <w:rPr>
          <w:rFonts w:eastAsia="Times New Roman"/>
          <w:noProof/>
        </w:rPr>
      </w:pPr>
    </w:p>
    <w:p>
      <w:pPr>
        <w:jc w:val="both"/>
        <w:rPr>
          <w:rFonts w:eastAsia="Times New Roman"/>
          <w:noProof/>
        </w:rPr>
      </w:pPr>
      <w:r>
        <w:rPr>
          <w:rFonts w:eastAsia="Times New Roman"/>
          <w:noProof/>
        </w:rPr>
        <w:t xml:space="preserve">The value of </w:t>
      </w:r>
      <w:r>
        <w:rPr>
          <w:rFonts w:eastAsia="Times New Roman"/>
          <w:noProof/>
          <w:u w:val="single"/>
        </w:rPr>
        <w:t>EU imports</w:t>
      </w:r>
      <w:r>
        <w:rPr>
          <w:rFonts w:eastAsia="Times New Roman"/>
          <w:noProof/>
        </w:rPr>
        <w:t xml:space="preserve"> from Palestine has risen from less than €8 million in 2002 to more than €18 million in 2018, which represents an increase of 137%. Within the lifespan of the agreement, however, the value of imports has been fluctuating: Between 2017 and 2018, EU imports increased by 12% from €16 million to €18 million. In 2018 the </w:t>
      </w:r>
      <w:r>
        <w:rPr>
          <w:rFonts w:eastAsia="Times New Roman"/>
          <w:noProof/>
          <w:u w:val="single"/>
        </w:rPr>
        <w:t>most important import sectors</w:t>
      </w:r>
      <w:r>
        <w:rPr>
          <w:rFonts w:eastAsia="Times New Roman"/>
          <w:noProof/>
        </w:rPr>
        <w:t xml:space="preserve"> were agri-food products (94% out of which 50% are fruits and nuts) and chemicals (6%). </w:t>
      </w:r>
    </w:p>
    <w:p>
      <w:pPr>
        <w:pStyle w:val="Heading2"/>
        <w:tabs>
          <w:tab w:val="clear" w:pos="4570"/>
        </w:tabs>
        <w:ind w:left="567"/>
      </w:pPr>
      <w:bookmarkStart w:id="2430" w:name="_Toc8835480"/>
      <w:bookmarkStart w:id="2431" w:name="_Toc8834110"/>
      <w:bookmarkStart w:id="2432" w:name="_Toc8909573"/>
      <w:bookmarkStart w:id="2433" w:name="_Toc8910785"/>
      <w:bookmarkStart w:id="2434" w:name="_Toc8911822"/>
      <w:bookmarkStart w:id="2435" w:name="_Toc8974643"/>
      <w:bookmarkStart w:id="2436" w:name="_Toc9008296"/>
      <w:bookmarkStart w:id="2437" w:name="_Toc9008699"/>
      <w:bookmarkStart w:id="2438" w:name="_Toc9348695"/>
      <w:bookmarkStart w:id="2439" w:name="_Toc9608146"/>
      <w:bookmarkStart w:id="2440" w:name="_Toc16000715"/>
      <w:r>
        <w:t xml:space="preserve">2.2 </w:t>
      </w:r>
      <w:bookmarkStart w:id="2441" w:name="_Toc8833653"/>
      <w:r>
        <w:t>Trade in agricultural goods</w:t>
      </w:r>
      <w:bookmarkEnd w:id="2430"/>
      <w:bookmarkEnd w:id="2431"/>
      <w:bookmarkEnd w:id="2432"/>
      <w:bookmarkEnd w:id="2433"/>
      <w:bookmarkEnd w:id="2434"/>
      <w:bookmarkEnd w:id="2435"/>
      <w:bookmarkEnd w:id="2436"/>
      <w:bookmarkEnd w:id="2437"/>
      <w:bookmarkEnd w:id="2438"/>
      <w:bookmarkEnd w:id="2439"/>
      <w:bookmarkEnd w:id="2441"/>
      <w:bookmarkEnd w:id="2440"/>
    </w:p>
    <w:p>
      <w:pPr>
        <w:jc w:val="both"/>
        <w:rPr>
          <w:rFonts w:eastAsia="Times New Roman"/>
          <w:noProof/>
        </w:rPr>
      </w:pPr>
      <w:r>
        <w:rPr>
          <w:rFonts w:eastAsia="Times New Roman"/>
          <w:noProof/>
        </w:rPr>
        <w:t>Total trade in agri-food products between the EU and Palestine increased by 863% between 2003 and 2018, from €8 million to €77 million in 2018. EU exports remained the same between 2017 and 2018, accounting for €60 million. EU imports increased (31%) between 2017 and 2018, from €13 million to €17 million.</w:t>
      </w:r>
    </w:p>
    <w:p>
      <w:pPr>
        <w:jc w:val="both"/>
        <w:rPr>
          <w:rFonts w:eastAsia="Times New Roman"/>
          <w:noProof/>
        </w:rPr>
      </w:pPr>
    </w:p>
    <w:p>
      <w:pPr>
        <w:jc w:val="both"/>
        <w:rPr>
          <w:rFonts w:eastAsia="Times New Roman"/>
          <w:b/>
          <w:noProof/>
        </w:rPr>
      </w:pPr>
      <w:r>
        <w:rPr>
          <w:rFonts w:eastAsia="Times New Roman"/>
          <w:noProof/>
        </w:rPr>
        <w:t>In 2018, agri-food products represented the majority of EU imports from Palestine, accounting for €17 million (over 90%) of the EU's total imports. Palestine exports a limited number of agri-food products including: fruit, nuts and spices, olive oil, bulbs, roots, live plants, and vegetables. Overall the level of Palestinian agri-food exports has grown since the Agricultural Agreement of 2012, rising from €9 million in 2011 to its current value. The biggest increase has been in olive oil, which has risen from €1 million to €5 million in the same period, with year-on-year variations. Export levels of vegetables, bulbs, roots and live plants have remained relatively static over the same period and even fell slightly in the last couple of years; the “star export item” more recently has been dates. The EU exported mainly infant food and other cereals, flour &amp; starch or milk preparations, followed by chocolate, confectionary and ice cream, and live animals to Palestine.</w:t>
      </w:r>
    </w:p>
    <w:p>
      <w:pPr>
        <w:pStyle w:val="ManualHeading2"/>
      </w:pPr>
      <w:bookmarkStart w:id="2442" w:name="_Toc8833655"/>
      <w:bookmarkStart w:id="2443" w:name="_Toc8835482"/>
      <w:bookmarkStart w:id="2444" w:name="_Toc8834112"/>
      <w:bookmarkStart w:id="2445" w:name="_Toc8909575"/>
      <w:bookmarkStart w:id="2446" w:name="_Toc8910787"/>
      <w:bookmarkStart w:id="2447" w:name="_Toc8911824"/>
      <w:bookmarkStart w:id="2448" w:name="_Toc8974645"/>
      <w:bookmarkStart w:id="2449" w:name="_Toc9008298"/>
      <w:bookmarkStart w:id="2450" w:name="_Toc9008701"/>
      <w:bookmarkStart w:id="2451" w:name="_Toc9348697"/>
      <w:bookmarkStart w:id="2452" w:name="_Toc9608148"/>
      <w:bookmarkStart w:id="2453" w:name="_Toc16000716"/>
      <w:r>
        <w:t>2.3</w:t>
      </w:r>
      <w:r>
        <w:tab/>
        <w:t>Trade in Services and Foreign Direct investment (FDIs)</w:t>
      </w:r>
      <w:bookmarkEnd w:id="2442"/>
      <w:bookmarkEnd w:id="2443"/>
      <w:bookmarkEnd w:id="2444"/>
      <w:bookmarkEnd w:id="2445"/>
      <w:bookmarkEnd w:id="2446"/>
      <w:bookmarkEnd w:id="2447"/>
      <w:bookmarkEnd w:id="2448"/>
      <w:bookmarkEnd w:id="2449"/>
      <w:bookmarkEnd w:id="2450"/>
      <w:bookmarkEnd w:id="2451"/>
      <w:bookmarkEnd w:id="2452"/>
      <w:bookmarkEnd w:id="2453"/>
    </w:p>
    <w:p>
      <w:pPr>
        <w:jc w:val="both"/>
        <w:rPr>
          <w:rFonts w:eastAsia="Times New Roman"/>
          <w:noProof/>
          <w:szCs w:val="20"/>
        </w:rPr>
      </w:pPr>
      <w:r>
        <w:rPr>
          <w:rFonts w:eastAsia="Times New Roman"/>
          <w:noProof/>
          <w:szCs w:val="20"/>
        </w:rPr>
        <w:t xml:space="preserve">In 2017 </w:t>
      </w:r>
      <w:r>
        <w:rPr>
          <w:rFonts w:eastAsia="Times New Roman"/>
          <w:b/>
          <w:noProof/>
          <w:szCs w:val="20"/>
        </w:rPr>
        <w:t>trade in services</w:t>
      </w:r>
      <w:r>
        <w:rPr>
          <w:rFonts w:eastAsia="Times New Roman"/>
          <w:noProof/>
          <w:szCs w:val="20"/>
        </w:rPr>
        <w:t xml:space="preserve"> between the EU and Palestine was worth €113 million, which represents a 23% increase as compared to €92 million in 2010. There have been year-on-year fluctuations in the value of services imported from Palestine, which has declined slightly overall between 2011 and 2015. In 2016, EU imports from Palestine reached a high of €95 million, but then declined to €36 million in 2017. As for EU exports of services, they have been growing since 2014, with a slight fluctuation in 2016, to reach an all-time high of €78 million in 2017. </w:t>
      </w:r>
    </w:p>
    <w:p>
      <w:pPr>
        <w:jc w:val="both"/>
        <w:rPr>
          <w:rFonts w:eastAsia="Times New Roman"/>
          <w:noProof/>
          <w:szCs w:val="20"/>
        </w:rPr>
      </w:pPr>
    </w:p>
    <w:p>
      <w:pPr>
        <w:jc w:val="both"/>
        <w:rPr>
          <w:rFonts w:eastAsia="Times New Roman"/>
          <w:noProof/>
          <w:szCs w:val="20"/>
        </w:rPr>
      </w:pPr>
      <w:r>
        <w:rPr>
          <w:rFonts w:eastAsia="Times New Roman"/>
          <w:noProof/>
          <w:szCs w:val="20"/>
        </w:rPr>
        <w:t xml:space="preserve">In 2017, EU </w:t>
      </w:r>
      <w:r>
        <w:rPr>
          <w:rFonts w:eastAsia="Times New Roman"/>
          <w:b/>
          <w:noProof/>
          <w:szCs w:val="20"/>
        </w:rPr>
        <w:t>FDI</w:t>
      </w:r>
      <w:r>
        <w:rPr>
          <w:rFonts w:eastAsia="Times New Roman"/>
          <w:noProof/>
          <w:szCs w:val="20"/>
        </w:rPr>
        <w:t xml:space="preserve"> stocks in Palestine amounted to €28 million, an increase from €15 million in 2013. In 2016, EU FDI flows accounted for €14 million. </w:t>
      </w:r>
    </w:p>
    <w:p>
      <w:pPr>
        <w:jc w:val="both"/>
        <w:rPr>
          <w:rFonts w:eastAsia="Times New Roman"/>
          <w:noProof/>
          <w:szCs w:val="20"/>
        </w:rPr>
      </w:pPr>
    </w:p>
    <w:p>
      <w:pPr>
        <w:jc w:val="both"/>
        <w:rPr>
          <w:rFonts w:eastAsia="Times New Roman"/>
          <w:noProof/>
        </w:rPr>
      </w:pPr>
      <w:r>
        <w:rPr>
          <w:rFonts w:eastAsia="Times New Roman"/>
          <w:noProof/>
        </w:rPr>
        <w:t>According to the World Bank 2018 "Ease of Doing Business" index which ranks 190 countries, Palestine ranked 116</w:t>
      </w:r>
      <w:r>
        <w:rPr>
          <w:rFonts w:eastAsia="Times New Roman"/>
          <w:noProof/>
          <w:vertAlign w:val="superscript"/>
        </w:rPr>
        <w:t>th</w:t>
      </w:r>
      <w:r>
        <w:rPr>
          <w:rFonts w:eastAsia="Times New Roman"/>
          <w:noProof/>
        </w:rPr>
        <w:t xml:space="preserve"> in the World for overall ease of doing business, slightly down from the 114</w:t>
      </w:r>
      <w:r>
        <w:rPr>
          <w:rFonts w:eastAsia="Times New Roman"/>
          <w:noProof/>
          <w:vertAlign w:val="superscript"/>
        </w:rPr>
        <w:t>th</w:t>
      </w:r>
      <w:r>
        <w:rPr>
          <w:rFonts w:eastAsia="Times New Roman"/>
          <w:noProof/>
        </w:rPr>
        <w:t xml:space="preserve"> position held in 2018. The distance to frontier (DTF)</w:t>
      </w:r>
      <w:r>
        <w:rPr>
          <w:rFonts w:eastAsia="Times New Roman"/>
          <w:noProof/>
          <w:vertAlign w:val="superscript"/>
        </w:rPr>
        <w:footnoteReference w:id="72"/>
      </w:r>
      <w:r>
        <w:rPr>
          <w:rFonts w:eastAsia="Times New Roman"/>
          <w:noProof/>
        </w:rPr>
        <w:t xml:space="preserve"> score is 59.11 out of 100 – a slight improvement from the value achieved in 2018 (58.7).</w:t>
      </w:r>
    </w:p>
    <w:p>
      <w:pPr>
        <w:pStyle w:val="ManualHeading1"/>
      </w:pPr>
      <w:bookmarkStart w:id="2454" w:name="_Toc8833656"/>
      <w:bookmarkStart w:id="2455" w:name="_Toc8835483"/>
      <w:bookmarkStart w:id="2456" w:name="_Toc8834113"/>
      <w:bookmarkStart w:id="2457" w:name="_Toc8909576"/>
      <w:bookmarkStart w:id="2458" w:name="_Toc8910788"/>
      <w:bookmarkStart w:id="2459" w:name="_Toc8911825"/>
      <w:bookmarkStart w:id="2460" w:name="_Toc8974646"/>
      <w:bookmarkStart w:id="2461" w:name="_Toc9008299"/>
      <w:bookmarkStart w:id="2462" w:name="_Toc9008702"/>
      <w:bookmarkStart w:id="2463" w:name="_Toc9348698"/>
      <w:bookmarkStart w:id="2464" w:name="_Toc9608149"/>
      <w:bookmarkStart w:id="2465" w:name="_Toc16000717"/>
      <w:r>
        <w:t>3.</w:t>
      </w:r>
      <w:r>
        <w:tab/>
        <w:t>Issues addressed in the Annual (Joint Committee/Trade Committee) meeting</w:t>
      </w:r>
      <w:bookmarkEnd w:id="2454"/>
      <w:bookmarkEnd w:id="2455"/>
      <w:bookmarkEnd w:id="2456"/>
      <w:bookmarkEnd w:id="2457"/>
      <w:bookmarkEnd w:id="2458"/>
      <w:bookmarkEnd w:id="2459"/>
      <w:bookmarkEnd w:id="2460"/>
      <w:bookmarkEnd w:id="2461"/>
      <w:bookmarkEnd w:id="2462"/>
      <w:bookmarkEnd w:id="2463"/>
      <w:bookmarkEnd w:id="2464"/>
      <w:bookmarkEnd w:id="2465"/>
    </w:p>
    <w:p>
      <w:pPr>
        <w:jc w:val="both"/>
        <w:rPr>
          <w:rFonts w:eastAsia="Times New Roman"/>
          <w:noProof/>
          <w:szCs w:val="20"/>
        </w:rPr>
      </w:pPr>
      <w:r>
        <w:rPr>
          <w:rFonts w:eastAsia="Times New Roman"/>
          <w:noProof/>
        </w:rPr>
        <w:t xml:space="preserve">The most recent meeting of the </w:t>
      </w:r>
      <w:r>
        <w:rPr>
          <w:rFonts w:eastAsia="Times New Roman"/>
          <w:b/>
          <w:bCs/>
          <w:noProof/>
        </w:rPr>
        <w:t>EU-Palestinian Sub-committee on Trade and Internal Market, Industry, Agriculture and Fisheries, and Customs</w:t>
      </w:r>
      <w:r>
        <w:rPr>
          <w:rFonts w:eastAsia="Times New Roman"/>
          <w:noProof/>
        </w:rPr>
        <w:t xml:space="preserve"> took place in September 2018. On trade, it was recognised that the Association Agreement had not reached its full potential due to external issues. On wider trade matters, the EU reiterated its support for Palestine to have observer status at the WTO – and inquired about concrete steps for Palestine’s accession to the Agadir Agreement</w:t>
      </w:r>
      <w:r>
        <w:rPr>
          <w:rFonts w:eastAsia="Times New Roman"/>
          <w:noProof/>
          <w:vertAlign w:val="superscript"/>
        </w:rPr>
        <w:footnoteReference w:id="73"/>
      </w:r>
      <w:r>
        <w:rPr>
          <w:rFonts w:eastAsia="Times New Roman"/>
          <w:noProof/>
        </w:rPr>
        <w:t xml:space="preserve"> and to materialise this in practice. A possible negotiation in view of an Agreement on Conformity Assessment and Acceptance (ACAA) was also discussed where Palestine is focused on construction material and pharmaceuticals. Agriculture and SPS issues were also raised, with the EU encouraging Palestine to diversify exports. Customs issues were discussed with Palestine providing updates on customs procedures and ongoing reforms. </w:t>
      </w:r>
    </w:p>
    <w:p>
      <w:pPr>
        <w:pStyle w:val="ManualHeading1"/>
      </w:pPr>
      <w:bookmarkStart w:id="2466" w:name="_Toc8833657"/>
      <w:bookmarkStart w:id="2467" w:name="_Toc8835484"/>
      <w:bookmarkStart w:id="2468" w:name="_Toc8834114"/>
      <w:bookmarkStart w:id="2469" w:name="_Toc8909577"/>
      <w:bookmarkStart w:id="2470" w:name="_Toc8910789"/>
      <w:bookmarkStart w:id="2471" w:name="_Toc8911826"/>
      <w:bookmarkStart w:id="2472" w:name="_Toc8974647"/>
      <w:bookmarkStart w:id="2473" w:name="_Toc9008300"/>
      <w:bookmarkStart w:id="2474" w:name="_Toc9008703"/>
      <w:bookmarkStart w:id="2475" w:name="_Toc9348699"/>
      <w:bookmarkStart w:id="2476" w:name="_Toc9608150"/>
      <w:bookmarkStart w:id="2477" w:name="_Toc16000718"/>
      <w:r>
        <w:t>4.</w:t>
      </w:r>
      <w:r>
        <w:tab/>
        <w:t>Specific areas of importance</w:t>
      </w:r>
      <w:bookmarkEnd w:id="2466"/>
      <w:bookmarkEnd w:id="2467"/>
      <w:bookmarkEnd w:id="2468"/>
      <w:bookmarkEnd w:id="2469"/>
      <w:bookmarkEnd w:id="2470"/>
      <w:bookmarkEnd w:id="2471"/>
      <w:bookmarkEnd w:id="2472"/>
      <w:bookmarkEnd w:id="2473"/>
      <w:bookmarkEnd w:id="2474"/>
      <w:bookmarkEnd w:id="2475"/>
      <w:bookmarkEnd w:id="2476"/>
      <w:bookmarkEnd w:id="2477"/>
    </w:p>
    <w:p>
      <w:pPr>
        <w:jc w:val="both"/>
        <w:rPr>
          <w:rFonts w:eastAsia="Times New Roman"/>
          <w:noProof/>
          <w:szCs w:val="20"/>
        </w:rPr>
      </w:pPr>
      <w:r>
        <w:rPr>
          <w:rFonts w:eastAsia="Times New Roman"/>
          <w:noProof/>
          <w:szCs w:val="20"/>
        </w:rPr>
        <w:t xml:space="preserve">The expansion of Palestinian trade is largely influenced by its relationship with Israel. Several reports have identified a number of key trade barriers including Israeli control over Palestinian trade routes, internal restrictions on the movement of people and goods by physical barriers (such as checkpoints) and the cost of bureaucratic process – including transaction costs imposed at Israeli checkpoints. Such restrictions contribute to the increased dependency of the Palestinian economy on Israel, which in 2018 accounted for 53% of Palestinian imports and absorbed 80% of Palestinian exports. The reactivation of the Joint Economy Committee in charge of follow-up of the Paris Protocol that has not met since 2009 would be an important step in achieving progress. </w:t>
      </w:r>
    </w:p>
    <w:p>
      <w:pPr>
        <w:jc w:val="both"/>
        <w:rPr>
          <w:rFonts w:eastAsia="Times New Roman"/>
          <w:noProof/>
          <w:szCs w:val="20"/>
        </w:rPr>
      </w:pPr>
    </w:p>
    <w:p>
      <w:pPr>
        <w:jc w:val="both"/>
        <w:rPr>
          <w:rFonts w:eastAsia="Times New Roman"/>
          <w:noProof/>
          <w:szCs w:val="20"/>
        </w:rPr>
      </w:pPr>
      <w:r>
        <w:rPr>
          <w:rFonts w:eastAsia="Times New Roman"/>
          <w:noProof/>
          <w:szCs w:val="20"/>
        </w:rPr>
        <w:t>Trade-related support to Palestine includes the EU-funded project on ‘EU Support to the Ministry of National Economy for trade policy formulation and WTO accession 2015-2017’. The project supported Palestinian WTO accession Agenda with the provision of technical assistance to align policies, legislation and trade agreements with WTO requirements. Furthermore, the EU financed the National Export Strategy, formulated by the Palestinian Authority and Paltrade, which identified 12 potential export growth sectors. An action plan was rolled out mapping the specific activities needed for its implementation. The EU also co-funds, together with certain EU Member States, projects supporting the implementation of the National Export Strategy and local entrepeneurship. The EU supported the implementation of the Asycuda customs management information system, in cooperation with UNCTAD, and reinforced Palestinian readiness for border management with a project running from 2007 and 2011 and a Twinning between an EU Member States’ Customs and the Palestinian Customs on valuation and revenue collection has started in 2018.</w:t>
      </w:r>
    </w:p>
    <w:p>
      <w:pPr>
        <w:pStyle w:val="ManualHeading1"/>
      </w:pPr>
      <w:bookmarkStart w:id="2478" w:name="_Toc8833658"/>
      <w:bookmarkStart w:id="2479" w:name="_Toc8835485"/>
      <w:bookmarkStart w:id="2480" w:name="_Toc8834115"/>
      <w:bookmarkStart w:id="2481" w:name="_Toc8909578"/>
      <w:bookmarkStart w:id="2482" w:name="_Toc8910790"/>
      <w:bookmarkStart w:id="2483" w:name="_Toc8911827"/>
      <w:bookmarkStart w:id="2484" w:name="_Toc8974648"/>
      <w:bookmarkStart w:id="2485" w:name="_Toc9008301"/>
      <w:bookmarkStart w:id="2486" w:name="_Toc9008704"/>
      <w:bookmarkStart w:id="2487" w:name="_Toc9348700"/>
      <w:bookmarkStart w:id="2488" w:name="_Toc9608151"/>
      <w:bookmarkStart w:id="2489" w:name="_Toc16000719"/>
      <w:r>
        <w:t>5.</w:t>
      </w:r>
      <w:r>
        <w:tab/>
        <w:t>Progress made, main open issues and follow-up actions</w:t>
      </w:r>
      <w:bookmarkEnd w:id="2478"/>
      <w:bookmarkEnd w:id="2479"/>
      <w:bookmarkEnd w:id="2480"/>
      <w:bookmarkEnd w:id="2481"/>
      <w:bookmarkEnd w:id="2482"/>
      <w:bookmarkEnd w:id="2483"/>
      <w:bookmarkEnd w:id="2484"/>
      <w:bookmarkEnd w:id="2485"/>
      <w:bookmarkEnd w:id="2486"/>
      <w:bookmarkEnd w:id="2487"/>
      <w:bookmarkEnd w:id="2488"/>
      <w:bookmarkEnd w:id="2489"/>
    </w:p>
    <w:p>
      <w:pPr>
        <w:jc w:val="both"/>
        <w:rPr>
          <w:rFonts w:eastAsia="Times New Roman"/>
          <w:noProof/>
        </w:rPr>
      </w:pPr>
      <w:r>
        <w:rPr>
          <w:rFonts w:eastAsia="Times New Roman"/>
          <w:noProof/>
        </w:rPr>
        <w:t xml:space="preserve">The ongoing situation with Israel remains a key factor in EU-Palestinian trade. The </w:t>
      </w:r>
      <w:r>
        <w:rPr>
          <w:rFonts w:eastAsia="Times New Roman"/>
          <w:b/>
          <w:noProof/>
        </w:rPr>
        <w:t>Union for Mediterranean Trade Ministerial</w:t>
      </w:r>
      <w:r>
        <w:rPr>
          <w:rFonts w:eastAsia="Times New Roman"/>
          <w:noProof/>
        </w:rPr>
        <w:t xml:space="preserve"> in 2010 adopted a package of measures to facilitate trade in Palestinian products with other Euro-Mediterranean partners on a bilateral and regional basis and was followed by an informal Trade Trilateral Working Group (European Commission, Israel and Palestine). It is planned to continue this work to facilitate trade of Palestinian products. </w:t>
      </w:r>
    </w:p>
    <w:p>
      <w:pPr>
        <w:jc w:val="both"/>
        <w:rPr>
          <w:rFonts w:eastAsia="Times New Roman"/>
          <w:noProof/>
        </w:rPr>
      </w:pPr>
    </w:p>
    <w:p>
      <w:pPr>
        <w:jc w:val="both"/>
        <w:rPr>
          <w:rFonts w:eastAsia="Times New Roman"/>
          <w:noProof/>
        </w:rPr>
      </w:pPr>
      <w:r>
        <w:rPr>
          <w:noProof/>
        </w:rPr>
        <w:t xml:space="preserve">In March 2018 at the Union for the Mediterranean (UfM) Trade Ministerial Conference, the EU presented a Technical Programme Report on the implementation of the 2010 Package of Measures. Ministers called </w:t>
      </w:r>
      <w:r>
        <w:rPr>
          <w:rFonts w:eastAsia="Times New Roman"/>
          <w:noProof/>
        </w:rPr>
        <w:t>for rapid and substantial progress in the implementation of the 2010 Package of measures to facilitate trade of Palestinian products with other Euro-Mediterranean partners. Ministers thanked the EU for preparing a Technical Progress Report</w:t>
      </w:r>
      <w:r>
        <w:rPr>
          <w:rFonts w:eastAsia="Times New Roman"/>
          <w:noProof/>
          <w:vertAlign w:val="superscript"/>
        </w:rPr>
        <w:footnoteReference w:id="74"/>
      </w:r>
      <w:r>
        <w:rPr>
          <w:rFonts w:eastAsia="Times New Roman"/>
          <w:noProof/>
        </w:rPr>
        <w:t xml:space="preserve"> and noted that the EU shall prepare updates of this report working for concrete actions taken to facilitate Palestinian trade, including a report to be presented at the 2019 Ministerial Conference.</w:t>
      </w:r>
    </w:p>
    <w:p>
      <w:pPr>
        <w:pStyle w:val="ManualHeading1"/>
      </w:pPr>
      <w:bookmarkStart w:id="2490" w:name="_Toc8833659"/>
      <w:bookmarkStart w:id="2491" w:name="_Toc8835486"/>
      <w:bookmarkStart w:id="2492" w:name="_Toc8834116"/>
      <w:bookmarkStart w:id="2493" w:name="_Toc8909579"/>
      <w:bookmarkStart w:id="2494" w:name="_Toc8910791"/>
      <w:bookmarkStart w:id="2495" w:name="_Toc8911828"/>
      <w:bookmarkStart w:id="2496" w:name="_Toc8974649"/>
      <w:bookmarkStart w:id="2497" w:name="_Toc9008302"/>
      <w:bookmarkStart w:id="2498" w:name="_Toc9008705"/>
      <w:bookmarkStart w:id="2499" w:name="_Toc9348701"/>
      <w:bookmarkStart w:id="2500" w:name="_Toc9608152"/>
      <w:bookmarkStart w:id="2501" w:name="_Toc16000720"/>
      <w:r>
        <w:t>6.</w:t>
      </w:r>
      <w:r>
        <w:tab/>
        <w:t>Conclusions and outlook</w:t>
      </w:r>
      <w:bookmarkEnd w:id="2490"/>
      <w:bookmarkEnd w:id="2491"/>
      <w:bookmarkEnd w:id="2492"/>
      <w:bookmarkEnd w:id="2493"/>
      <w:bookmarkEnd w:id="2494"/>
      <w:bookmarkEnd w:id="2495"/>
      <w:bookmarkEnd w:id="2496"/>
      <w:bookmarkEnd w:id="2497"/>
      <w:bookmarkEnd w:id="2498"/>
      <w:bookmarkEnd w:id="2499"/>
      <w:bookmarkEnd w:id="2500"/>
      <w:bookmarkEnd w:id="2501"/>
    </w:p>
    <w:p>
      <w:pPr>
        <w:jc w:val="both"/>
        <w:rPr>
          <w:noProof/>
          <w:sz w:val="22"/>
          <w:szCs w:val="22"/>
        </w:rPr>
      </w:pPr>
      <w:r>
        <w:rPr>
          <w:rFonts w:eastAsia="Times New Roman"/>
          <w:noProof/>
          <w:szCs w:val="20"/>
        </w:rPr>
        <w:t xml:space="preserve">Overall the value of trade between the EU and Palestine has increased with the Agreement. The EU trade surplus continues to increase since the value of Palestinian exports to the EU remains negligible. The continuation of the trade restrictions applied by Israel remains a key issue in EU-Palestinian trade relations and continues to be addressed in the trade discussions with both parties. </w:t>
      </w:r>
      <w:r>
        <w:rPr>
          <w:rFonts w:eastAsia="Times New Roman"/>
          <w:noProof/>
        </w:rPr>
        <w:t>The EU promotes trilateral discussions on trade to facilitate progress and will continue to engage with both sides to remove the obstacles to Palestinian trade.</w:t>
      </w:r>
    </w:p>
    <w:p>
      <w:pPr>
        <w:pStyle w:val="ManualHeading1"/>
      </w:pPr>
      <w:bookmarkStart w:id="2502" w:name="_Toc8833660"/>
      <w:bookmarkStart w:id="2503" w:name="_Toc8835487"/>
      <w:bookmarkStart w:id="2504" w:name="_Toc8834117"/>
      <w:bookmarkStart w:id="2505" w:name="_Toc8909580"/>
      <w:bookmarkStart w:id="2506" w:name="_Toc8910792"/>
      <w:bookmarkStart w:id="2507" w:name="_Toc8911829"/>
      <w:bookmarkStart w:id="2508" w:name="_Toc8974650"/>
      <w:bookmarkStart w:id="2509" w:name="_Toc9008303"/>
      <w:bookmarkStart w:id="2510" w:name="_Toc9008706"/>
      <w:bookmarkStart w:id="2511" w:name="_Toc9348702"/>
      <w:bookmarkStart w:id="2512" w:name="_Toc9608153"/>
      <w:bookmarkStart w:id="2513" w:name="_Toc16000721"/>
      <w:r>
        <w:t>7.</w:t>
      </w:r>
      <w:r>
        <w:tab/>
        <w:t>Statistics</w:t>
      </w:r>
      <w:bookmarkEnd w:id="2502"/>
      <w:bookmarkEnd w:id="2503"/>
      <w:bookmarkEnd w:id="2504"/>
      <w:bookmarkEnd w:id="2505"/>
      <w:bookmarkEnd w:id="2506"/>
      <w:bookmarkEnd w:id="2507"/>
      <w:bookmarkEnd w:id="2508"/>
      <w:bookmarkEnd w:id="2509"/>
      <w:bookmarkEnd w:id="2510"/>
      <w:bookmarkEnd w:id="2511"/>
      <w:bookmarkEnd w:id="2512"/>
      <w:bookmarkEnd w:id="2513"/>
    </w:p>
    <w:tbl>
      <w:tblPr>
        <w:tblW w:w="9360" w:type="dxa"/>
        <w:tblInd w:w="108" w:type="dxa"/>
        <w:tblLook w:val="04A0" w:firstRow="1" w:lastRow="0" w:firstColumn="1" w:lastColumn="0" w:noHBand="0" w:noVBand="1"/>
      </w:tblPr>
      <w:tblGrid>
        <w:gridCol w:w="5199"/>
        <w:gridCol w:w="817"/>
        <w:gridCol w:w="817"/>
        <w:gridCol w:w="893"/>
        <w:gridCol w:w="817"/>
        <w:gridCol w:w="817"/>
      </w:tblGrid>
      <w:tr>
        <w:trPr>
          <w:trHeight w:val="210"/>
        </w:trPr>
        <w:tc>
          <w:tcPr>
            <w:tcW w:w="5199"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17"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17"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93"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17"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17"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10"/>
        </w:trPr>
        <w:tc>
          <w:tcPr>
            <w:tcW w:w="9360"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Merchandise trade EU28 2014-2018</w:t>
            </w:r>
          </w:p>
        </w:tc>
      </w:tr>
      <w:tr>
        <w:trPr>
          <w:trHeight w:val="210"/>
        </w:trPr>
        <w:tc>
          <w:tcPr>
            <w:tcW w:w="5199" w:type="dxa"/>
            <w:tcBorders>
              <w:top w:val="single" w:sz="4" w:space="0" w:color="auto"/>
              <w:left w:val="nil"/>
              <w:bottom w:val="single" w:sz="4" w:space="0" w:color="auto"/>
              <w:right w:val="nil"/>
            </w:tcBorders>
            <w:shd w:val="clear" w:color="000000" w:fill="FFFFFF"/>
            <w:noWrap/>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 </w:t>
            </w:r>
          </w:p>
        </w:tc>
        <w:tc>
          <w:tcPr>
            <w:tcW w:w="817"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817"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893"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817"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817"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r>
      <w:tr>
        <w:trPr>
          <w:trHeight w:val="210"/>
        </w:trPr>
        <w:tc>
          <w:tcPr>
            <w:tcW w:w="5199" w:type="dxa"/>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EU28 trade with Occupied Palestinian Territory (mio €)</w:t>
            </w:r>
          </w:p>
        </w:tc>
        <w:tc>
          <w:tcPr>
            <w:tcW w:w="817"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n-IE" w:eastAsia="en-IE"/>
              </w:rPr>
            </w:pPr>
          </w:p>
        </w:tc>
        <w:tc>
          <w:tcPr>
            <w:tcW w:w="817"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893"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817"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817"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r>
      <w:tr>
        <w:trPr>
          <w:trHeight w:val="210"/>
        </w:trPr>
        <w:tc>
          <w:tcPr>
            <w:tcW w:w="519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w:t>
            </w:r>
          </w:p>
        </w:tc>
        <w:tc>
          <w:tcPr>
            <w:tcW w:w="89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w:t>
            </w:r>
          </w:p>
        </w:tc>
      </w:tr>
      <w:tr>
        <w:trPr>
          <w:trHeight w:val="210"/>
        </w:trPr>
        <w:tc>
          <w:tcPr>
            <w:tcW w:w="519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141</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195</w:t>
            </w:r>
          </w:p>
        </w:tc>
        <w:tc>
          <w:tcPr>
            <w:tcW w:w="89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254</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261</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243</w:t>
            </w:r>
          </w:p>
        </w:tc>
      </w:tr>
      <w:tr>
        <w:trPr>
          <w:trHeight w:val="210"/>
        </w:trPr>
        <w:tc>
          <w:tcPr>
            <w:tcW w:w="519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127</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179</w:t>
            </w:r>
          </w:p>
        </w:tc>
        <w:tc>
          <w:tcPr>
            <w:tcW w:w="89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235</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245</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225</w:t>
            </w:r>
          </w:p>
        </w:tc>
      </w:tr>
      <w:tr>
        <w:trPr>
          <w:trHeight w:val="210"/>
        </w:trPr>
        <w:tc>
          <w:tcPr>
            <w:tcW w:w="5199" w:type="dxa"/>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Share Occupied Palestinian Territory in EU28 trade with Extra-EU28</w:t>
            </w:r>
          </w:p>
        </w:tc>
        <w:tc>
          <w:tcPr>
            <w:tcW w:w="817"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n-IE" w:eastAsia="en-IE"/>
              </w:rPr>
            </w:pPr>
          </w:p>
        </w:tc>
        <w:tc>
          <w:tcPr>
            <w:tcW w:w="817"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893"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817"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817"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r>
      <w:tr>
        <w:trPr>
          <w:trHeight w:val="210"/>
        </w:trPr>
        <w:tc>
          <w:tcPr>
            <w:tcW w:w="519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89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r>
      <w:tr>
        <w:trPr>
          <w:trHeight w:val="210"/>
        </w:trPr>
        <w:tc>
          <w:tcPr>
            <w:tcW w:w="519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89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r>
      <w:tr>
        <w:trPr>
          <w:trHeight w:val="210"/>
        </w:trPr>
        <w:tc>
          <w:tcPr>
            <w:tcW w:w="519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89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r>
      <w:tr>
        <w:trPr>
          <w:trHeight w:val="210"/>
        </w:trPr>
        <w:tc>
          <w:tcPr>
            <w:tcW w:w="9360"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Share EU28 in trade Occupied Palestinian Territory with world</w:t>
            </w:r>
          </w:p>
        </w:tc>
      </w:tr>
      <w:tr>
        <w:trPr>
          <w:trHeight w:val="210"/>
        </w:trPr>
        <w:tc>
          <w:tcPr>
            <w:tcW w:w="519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9,0%</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11,7%</w:t>
            </w:r>
          </w:p>
        </w:tc>
        <w:tc>
          <w:tcPr>
            <w:tcW w:w="89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12,4%</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13,7%</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15,0%</w:t>
            </w:r>
          </w:p>
        </w:tc>
      </w:tr>
      <w:tr>
        <w:trPr>
          <w:trHeight w:val="210"/>
        </w:trPr>
        <w:tc>
          <w:tcPr>
            <w:tcW w:w="519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w:t>
            </w:r>
          </w:p>
        </w:tc>
        <w:tc>
          <w:tcPr>
            <w:tcW w:w="89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w:t>
            </w:r>
          </w:p>
        </w:tc>
      </w:tr>
      <w:tr>
        <w:trPr>
          <w:trHeight w:val="210"/>
        </w:trPr>
        <w:tc>
          <w:tcPr>
            <w:tcW w:w="519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8,1%</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10,1%</w:t>
            </w:r>
          </w:p>
        </w:tc>
        <w:tc>
          <w:tcPr>
            <w:tcW w:w="89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10,8%</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11,8%</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11,5%</w:t>
            </w:r>
          </w:p>
        </w:tc>
      </w:tr>
      <w:tr>
        <w:trPr>
          <w:trHeight w:val="225"/>
        </w:trPr>
        <w:tc>
          <w:tcPr>
            <w:tcW w:w="6833" w:type="dxa"/>
            <w:gridSpan w:val="3"/>
            <w:tcBorders>
              <w:top w:val="single" w:sz="4" w:space="0" w:color="auto"/>
              <w:left w:val="nil"/>
              <w:bottom w:val="nil"/>
              <w:right w:val="nil"/>
            </w:tcBorders>
            <w:shd w:val="clear" w:color="000000" w:fill="FFFFFF"/>
            <w:noWrap/>
            <w:vAlign w:val="bottom"/>
            <w:hideMark/>
          </w:tcPr>
          <w:p>
            <w:pPr>
              <w:rPr>
                <w:rFonts w:eastAsia="Times New Roman"/>
                <w:noProof/>
                <w:sz w:val="12"/>
                <w:szCs w:val="12"/>
                <w:lang w:val="en-IE" w:eastAsia="en-IE"/>
              </w:rPr>
            </w:pPr>
            <w:r>
              <w:rPr>
                <w:rFonts w:eastAsia="Times New Roman"/>
                <w:noProof/>
                <w:sz w:val="12"/>
                <w:szCs w:val="12"/>
                <w:lang w:val="en-IE" w:eastAsia="en-IE"/>
              </w:rPr>
              <w:t xml:space="preserve">Source Trade G2 Statistics/ISDB </w:t>
            </w:r>
          </w:p>
        </w:tc>
        <w:tc>
          <w:tcPr>
            <w:tcW w:w="893"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817"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817" w:type="dxa"/>
            <w:tcBorders>
              <w:top w:val="single" w:sz="4" w:space="0" w:color="auto"/>
              <w:left w:val="nil"/>
              <w:bottom w:val="nil"/>
              <w:right w:val="nil"/>
            </w:tcBorders>
            <w:shd w:val="clear" w:color="000000" w:fill="FFFFFF"/>
            <w:noWrap/>
            <w:hideMark/>
          </w:tcPr>
          <w:p>
            <w:pPr>
              <w:jc w:val="right"/>
              <w:rPr>
                <w:rFonts w:eastAsia="Times New Roman"/>
                <w:noProof/>
                <w:sz w:val="12"/>
                <w:szCs w:val="12"/>
                <w:lang w:val="en-IE" w:eastAsia="en-IE"/>
              </w:rPr>
            </w:pPr>
            <w:r>
              <w:rPr>
                <w:rFonts w:eastAsia="Times New Roman"/>
                <w:noProof/>
                <w:sz w:val="12"/>
                <w:szCs w:val="12"/>
                <w:lang w:val="en-IE" w:eastAsia="en-IE"/>
              </w:rPr>
              <w:t>25-mars-19</w:t>
            </w:r>
          </w:p>
        </w:tc>
      </w:tr>
      <w:tr>
        <w:trPr>
          <w:trHeight w:val="210"/>
        </w:trPr>
        <w:tc>
          <w:tcPr>
            <w:tcW w:w="9360" w:type="dxa"/>
            <w:gridSpan w:val="6"/>
            <w:tcBorders>
              <w:top w:val="nil"/>
              <w:left w:val="nil"/>
              <w:bottom w:val="nil"/>
              <w:right w:val="nil"/>
            </w:tcBorders>
            <w:shd w:val="clear" w:color="000000" w:fill="FFFFFF"/>
            <w:noWrap/>
            <w:hideMark/>
          </w:tcPr>
          <w:p>
            <w:pPr>
              <w:rPr>
                <w:rFonts w:eastAsia="Times New Roman"/>
                <w:noProof/>
                <w:color w:val="000000"/>
                <w:sz w:val="12"/>
                <w:szCs w:val="12"/>
                <w:lang w:val="en-IE" w:eastAsia="en-IE"/>
              </w:rPr>
            </w:pPr>
            <w:r>
              <w:rPr>
                <w:rFonts w:eastAsia="Times New Roman"/>
                <w:noProof/>
                <w:color w:val="000000"/>
                <w:sz w:val="12"/>
                <w:szCs w:val="12"/>
                <w:lang w:val="en-IE" w:eastAsia="en-IE"/>
              </w:rPr>
              <w:t>Trade EU28: Eurostat COMEXT;  Trade Occupied Palestinian Territory: IMF Dots</w:t>
            </w:r>
          </w:p>
        </w:tc>
      </w:tr>
      <w:tr>
        <w:trPr>
          <w:trHeight w:val="210"/>
        </w:trPr>
        <w:tc>
          <w:tcPr>
            <w:tcW w:w="5199"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17"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17"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93"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17"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17"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25"/>
        </w:trPr>
        <w:tc>
          <w:tcPr>
            <w:tcW w:w="9360"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Total merchandise trade EU28 with Occupied Palestinian Territory (mio €)</w:t>
            </w:r>
          </w:p>
        </w:tc>
      </w:tr>
      <w:tr>
        <w:trPr>
          <w:trHeight w:val="225"/>
        </w:trPr>
        <w:tc>
          <w:tcPr>
            <w:tcW w:w="6016"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Occupied Palestinian Territory</w:t>
            </w:r>
          </w:p>
        </w:tc>
        <w:tc>
          <w:tcPr>
            <w:tcW w:w="817"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893"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634"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6016"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17"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93"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17"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17"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519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1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w:t>
            </w:r>
          </w:p>
        </w:tc>
        <w:tc>
          <w:tcPr>
            <w:tcW w:w="89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12,3%</w:t>
            </w:r>
          </w:p>
        </w:tc>
      </w:tr>
      <w:tr>
        <w:trPr>
          <w:trHeight w:val="225"/>
        </w:trPr>
        <w:tc>
          <w:tcPr>
            <w:tcW w:w="519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1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261</w:t>
            </w:r>
          </w:p>
        </w:tc>
        <w:tc>
          <w:tcPr>
            <w:tcW w:w="89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243</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-7,1%</w:t>
            </w:r>
          </w:p>
        </w:tc>
      </w:tr>
      <w:tr>
        <w:trPr>
          <w:trHeight w:val="225"/>
        </w:trPr>
        <w:tc>
          <w:tcPr>
            <w:tcW w:w="519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1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245</w:t>
            </w:r>
          </w:p>
        </w:tc>
        <w:tc>
          <w:tcPr>
            <w:tcW w:w="89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225</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w:t>
            </w:r>
          </w:p>
        </w:tc>
        <w:tc>
          <w:tcPr>
            <w:tcW w:w="81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5199"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17"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1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278</w:t>
            </w:r>
          </w:p>
        </w:tc>
        <w:tc>
          <w:tcPr>
            <w:tcW w:w="89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261</w:t>
            </w:r>
          </w:p>
        </w:tc>
        <w:tc>
          <w:tcPr>
            <w:tcW w:w="81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w:t>
            </w:r>
          </w:p>
        </w:tc>
        <w:tc>
          <w:tcPr>
            <w:tcW w:w="81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-6,0%</w:t>
            </w:r>
          </w:p>
        </w:tc>
      </w:tr>
      <w:tr>
        <w:trPr>
          <w:trHeight w:val="240"/>
        </w:trPr>
        <w:tc>
          <w:tcPr>
            <w:tcW w:w="7726"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817"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817"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9360"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Agrifood trade EU28 with Occupied Palestinian Territory (mio €)</w:t>
            </w:r>
          </w:p>
        </w:tc>
      </w:tr>
      <w:tr>
        <w:trPr>
          <w:trHeight w:val="255"/>
        </w:trPr>
        <w:tc>
          <w:tcPr>
            <w:tcW w:w="6016"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Occupied Palestinian Territory</w:t>
            </w:r>
          </w:p>
        </w:tc>
        <w:tc>
          <w:tcPr>
            <w:tcW w:w="817"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893"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634"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6016"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17"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93"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17"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17"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519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1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w:t>
            </w:r>
          </w:p>
        </w:tc>
        <w:tc>
          <w:tcPr>
            <w:tcW w:w="89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25,2%</w:t>
            </w:r>
          </w:p>
        </w:tc>
      </w:tr>
      <w:tr>
        <w:trPr>
          <w:trHeight w:val="225"/>
        </w:trPr>
        <w:tc>
          <w:tcPr>
            <w:tcW w:w="519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1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60</w:t>
            </w:r>
          </w:p>
        </w:tc>
        <w:tc>
          <w:tcPr>
            <w:tcW w:w="89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60</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r>
      <w:tr>
        <w:trPr>
          <w:trHeight w:val="225"/>
        </w:trPr>
        <w:tc>
          <w:tcPr>
            <w:tcW w:w="519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1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46</w:t>
            </w:r>
          </w:p>
        </w:tc>
        <w:tc>
          <w:tcPr>
            <w:tcW w:w="89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43</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w:t>
            </w:r>
          </w:p>
        </w:tc>
        <w:tc>
          <w:tcPr>
            <w:tcW w:w="81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5199"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1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1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73</w:t>
            </w:r>
          </w:p>
        </w:tc>
        <w:tc>
          <w:tcPr>
            <w:tcW w:w="89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77</w:t>
            </w:r>
          </w:p>
        </w:tc>
        <w:tc>
          <w:tcPr>
            <w:tcW w:w="81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w:t>
            </w:r>
          </w:p>
        </w:tc>
        <w:tc>
          <w:tcPr>
            <w:tcW w:w="81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4,7%</w:t>
            </w:r>
          </w:p>
        </w:tc>
      </w:tr>
      <w:tr>
        <w:trPr>
          <w:trHeight w:val="240"/>
        </w:trPr>
        <w:tc>
          <w:tcPr>
            <w:tcW w:w="7726"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817"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817"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9360"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NAMA trade EU28 with Occupied Palestinian Territory (mio €)</w:t>
            </w:r>
          </w:p>
        </w:tc>
      </w:tr>
      <w:tr>
        <w:trPr>
          <w:trHeight w:val="225"/>
        </w:trPr>
        <w:tc>
          <w:tcPr>
            <w:tcW w:w="6016"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Occupied Palestinian Territory</w:t>
            </w:r>
          </w:p>
        </w:tc>
        <w:tc>
          <w:tcPr>
            <w:tcW w:w="817"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893"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634"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6016"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17"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93"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17"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17"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6016"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imports</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w:t>
            </w:r>
          </w:p>
        </w:tc>
        <w:tc>
          <w:tcPr>
            <w:tcW w:w="89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-49,2%</w:t>
            </w:r>
          </w:p>
        </w:tc>
      </w:tr>
      <w:tr>
        <w:trPr>
          <w:trHeight w:val="225"/>
        </w:trPr>
        <w:tc>
          <w:tcPr>
            <w:tcW w:w="6016"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exports</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202</w:t>
            </w:r>
          </w:p>
        </w:tc>
        <w:tc>
          <w:tcPr>
            <w:tcW w:w="89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183</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-9,2%</w:t>
            </w:r>
          </w:p>
        </w:tc>
      </w:tr>
      <w:tr>
        <w:trPr>
          <w:trHeight w:val="225"/>
        </w:trPr>
        <w:tc>
          <w:tcPr>
            <w:tcW w:w="519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1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199</w:t>
            </w:r>
          </w:p>
        </w:tc>
        <w:tc>
          <w:tcPr>
            <w:tcW w:w="89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182</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w:t>
            </w:r>
          </w:p>
        </w:tc>
        <w:tc>
          <w:tcPr>
            <w:tcW w:w="81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519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1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204</w:t>
            </w:r>
          </w:p>
        </w:tc>
        <w:tc>
          <w:tcPr>
            <w:tcW w:w="89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184</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w:t>
            </w:r>
          </w:p>
        </w:tc>
        <w:tc>
          <w:tcPr>
            <w:tcW w:w="81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-9,8%</w:t>
            </w:r>
          </w:p>
        </w:tc>
      </w:tr>
      <w:tr>
        <w:trPr>
          <w:trHeight w:val="240"/>
        </w:trPr>
        <w:tc>
          <w:tcPr>
            <w:tcW w:w="7726"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817" w:type="dxa"/>
            <w:tcBorders>
              <w:top w:val="single" w:sz="4" w:space="0" w:color="auto"/>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817"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7726" w:type="dxa"/>
            <w:gridSpan w:val="4"/>
            <w:tcBorders>
              <w:top w:val="nil"/>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Services trade EU28 with Occupied Palestinian Territory (mio €)</w:t>
            </w:r>
          </w:p>
        </w:tc>
        <w:tc>
          <w:tcPr>
            <w:tcW w:w="817" w:type="dxa"/>
            <w:tcBorders>
              <w:top w:val="nil"/>
              <w:left w:val="nil"/>
              <w:bottom w:val="nil"/>
              <w:right w:val="nil"/>
            </w:tcBorders>
            <w:shd w:val="clear" w:color="000000" w:fill="FFFFFF"/>
            <w:noWrap/>
            <w:vAlign w:val="center"/>
            <w:hideMark/>
          </w:tcPr>
          <w:p>
            <w:pPr>
              <w:rPr>
                <w:rFonts w:eastAsia="Times New Roman"/>
                <w:b/>
                <w:bCs/>
                <w:noProof/>
                <w:sz w:val="16"/>
                <w:szCs w:val="16"/>
                <w:lang w:val="en-IE" w:eastAsia="en-IE"/>
              </w:rPr>
            </w:pPr>
            <w:r>
              <w:rPr>
                <w:rFonts w:eastAsia="Times New Roman"/>
                <w:b/>
                <w:bCs/>
                <w:noProof/>
                <w:sz w:val="16"/>
                <w:szCs w:val="16"/>
                <w:lang w:val="en-IE" w:eastAsia="en-IE"/>
              </w:rPr>
              <w:t> </w:t>
            </w:r>
          </w:p>
        </w:tc>
        <w:tc>
          <w:tcPr>
            <w:tcW w:w="817" w:type="dxa"/>
            <w:tcBorders>
              <w:top w:val="nil"/>
              <w:left w:val="nil"/>
              <w:bottom w:val="nil"/>
              <w:right w:val="nil"/>
            </w:tcBorders>
            <w:shd w:val="clear" w:color="000000" w:fill="FFFFFF"/>
            <w:noWrap/>
            <w:vAlign w:val="center"/>
            <w:hideMark/>
          </w:tcPr>
          <w:p>
            <w:pPr>
              <w:rPr>
                <w:rFonts w:eastAsia="Times New Roman"/>
                <w:b/>
                <w:bCs/>
                <w:noProof/>
                <w:sz w:val="16"/>
                <w:szCs w:val="16"/>
                <w:lang w:val="en-IE" w:eastAsia="en-IE"/>
              </w:rPr>
            </w:pPr>
            <w:r>
              <w:rPr>
                <w:rFonts w:eastAsia="Times New Roman"/>
                <w:b/>
                <w:bCs/>
                <w:noProof/>
                <w:sz w:val="16"/>
                <w:szCs w:val="16"/>
                <w:lang w:val="en-IE" w:eastAsia="en-IE"/>
              </w:rPr>
              <w:t> </w:t>
            </w:r>
          </w:p>
        </w:tc>
      </w:tr>
      <w:tr>
        <w:trPr>
          <w:trHeight w:val="225"/>
        </w:trPr>
        <w:tc>
          <w:tcPr>
            <w:tcW w:w="6016"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Occupied Palestinian Territory</w:t>
            </w:r>
          </w:p>
        </w:tc>
        <w:tc>
          <w:tcPr>
            <w:tcW w:w="817"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893"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1634"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6016"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17"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893"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817"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17"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519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1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98</w:t>
            </w:r>
          </w:p>
        </w:tc>
        <w:tc>
          <w:tcPr>
            <w:tcW w:w="89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36</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-62</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-63,3%</w:t>
            </w:r>
          </w:p>
        </w:tc>
      </w:tr>
      <w:tr>
        <w:trPr>
          <w:trHeight w:val="225"/>
        </w:trPr>
        <w:tc>
          <w:tcPr>
            <w:tcW w:w="519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1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70</w:t>
            </w:r>
          </w:p>
        </w:tc>
        <w:tc>
          <w:tcPr>
            <w:tcW w:w="89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78</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11,2%</w:t>
            </w:r>
          </w:p>
        </w:tc>
      </w:tr>
      <w:tr>
        <w:trPr>
          <w:trHeight w:val="225"/>
        </w:trPr>
        <w:tc>
          <w:tcPr>
            <w:tcW w:w="519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1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-28</w:t>
            </w:r>
          </w:p>
        </w:tc>
        <w:tc>
          <w:tcPr>
            <w:tcW w:w="89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42</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70</w:t>
            </w:r>
          </w:p>
        </w:tc>
        <w:tc>
          <w:tcPr>
            <w:tcW w:w="81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5199"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17"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1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168</w:t>
            </w:r>
          </w:p>
        </w:tc>
        <w:tc>
          <w:tcPr>
            <w:tcW w:w="89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113</w:t>
            </w:r>
          </w:p>
        </w:tc>
        <w:tc>
          <w:tcPr>
            <w:tcW w:w="81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-54</w:t>
            </w:r>
          </w:p>
        </w:tc>
        <w:tc>
          <w:tcPr>
            <w:tcW w:w="81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-32,3%</w:t>
            </w:r>
          </w:p>
        </w:tc>
      </w:tr>
      <w:tr>
        <w:trPr>
          <w:trHeight w:val="240"/>
        </w:trPr>
        <w:tc>
          <w:tcPr>
            <w:tcW w:w="8543" w:type="dxa"/>
            <w:gridSpan w:val="5"/>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817"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40"/>
        </w:trPr>
        <w:tc>
          <w:tcPr>
            <w:tcW w:w="9360"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Services trade EU28 with Occupied Palestinian Territory (mio €)</w:t>
            </w:r>
          </w:p>
        </w:tc>
      </w:tr>
      <w:tr>
        <w:trPr>
          <w:trHeight w:val="225"/>
        </w:trPr>
        <w:tc>
          <w:tcPr>
            <w:tcW w:w="5199"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17"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817"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893"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817"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817"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519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37</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31</w:t>
            </w:r>
          </w:p>
        </w:tc>
        <w:tc>
          <w:tcPr>
            <w:tcW w:w="89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39</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98</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36</w:t>
            </w:r>
          </w:p>
        </w:tc>
      </w:tr>
      <w:tr>
        <w:trPr>
          <w:trHeight w:val="225"/>
        </w:trPr>
        <w:tc>
          <w:tcPr>
            <w:tcW w:w="519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47</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58</w:t>
            </w:r>
          </w:p>
        </w:tc>
        <w:tc>
          <w:tcPr>
            <w:tcW w:w="89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73</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70</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78</w:t>
            </w:r>
          </w:p>
        </w:tc>
      </w:tr>
      <w:tr>
        <w:trPr>
          <w:trHeight w:val="225"/>
        </w:trPr>
        <w:tc>
          <w:tcPr>
            <w:tcW w:w="519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28</w:t>
            </w:r>
          </w:p>
        </w:tc>
        <w:tc>
          <w:tcPr>
            <w:tcW w:w="89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35</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-28</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42</w:t>
            </w:r>
          </w:p>
        </w:tc>
      </w:tr>
      <w:tr>
        <w:trPr>
          <w:trHeight w:val="225"/>
        </w:trPr>
        <w:tc>
          <w:tcPr>
            <w:tcW w:w="5199"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1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84</w:t>
            </w:r>
          </w:p>
        </w:tc>
        <w:tc>
          <w:tcPr>
            <w:tcW w:w="81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89</w:t>
            </w:r>
          </w:p>
        </w:tc>
        <w:tc>
          <w:tcPr>
            <w:tcW w:w="89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112</w:t>
            </w:r>
          </w:p>
        </w:tc>
        <w:tc>
          <w:tcPr>
            <w:tcW w:w="81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168</w:t>
            </w:r>
          </w:p>
        </w:tc>
        <w:tc>
          <w:tcPr>
            <w:tcW w:w="81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113</w:t>
            </w:r>
          </w:p>
        </w:tc>
      </w:tr>
      <w:tr>
        <w:trPr>
          <w:trHeight w:val="225"/>
        </w:trPr>
        <w:tc>
          <w:tcPr>
            <w:tcW w:w="5199"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817"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 </w:t>
            </w:r>
          </w:p>
        </w:tc>
        <w:tc>
          <w:tcPr>
            <w:tcW w:w="81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9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1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1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9360"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FDI EU28 with Occupied Palestinian Territory (mio €)</w:t>
            </w:r>
          </w:p>
        </w:tc>
      </w:tr>
      <w:tr>
        <w:trPr>
          <w:trHeight w:val="225"/>
        </w:trPr>
        <w:tc>
          <w:tcPr>
            <w:tcW w:w="5199"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17"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817"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893"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817"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817"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9360"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Stocks</w:t>
            </w:r>
          </w:p>
        </w:tc>
      </w:tr>
      <w:tr>
        <w:trPr>
          <w:trHeight w:val="225"/>
        </w:trPr>
        <w:tc>
          <w:tcPr>
            <w:tcW w:w="519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w:t>
            </w:r>
          </w:p>
        </w:tc>
        <w:tc>
          <w:tcPr>
            <w:tcW w:w="89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w:t>
            </w:r>
          </w:p>
        </w:tc>
      </w:tr>
      <w:tr>
        <w:trPr>
          <w:trHeight w:val="225"/>
        </w:trPr>
        <w:tc>
          <w:tcPr>
            <w:tcW w:w="519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w:t>
            </w:r>
          </w:p>
        </w:tc>
        <w:tc>
          <w:tcPr>
            <w:tcW w:w="89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28</w:t>
            </w:r>
          </w:p>
        </w:tc>
      </w:tr>
      <w:tr>
        <w:trPr>
          <w:trHeight w:val="225"/>
        </w:trPr>
        <w:tc>
          <w:tcPr>
            <w:tcW w:w="9360"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Flows</w:t>
            </w:r>
          </w:p>
        </w:tc>
      </w:tr>
      <w:tr>
        <w:trPr>
          <w:trHeight w:val="225"/>
        </w:trPr>
        <w:tc>
          <w:tcPr>
            <w:tcW w:w="519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w:t>
            </w:r>
          </w:p>
        </w:tc>
        <w:tc>
          <w:tcPr>
            <w:tcW w:w="89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w:t>
            </w:r>
          </w:p>
        </w:tc>
        <w:tc>
          <w:tcPr>
            <w:tcW w:w="81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1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w:t>
            </w:r>
          </w:p>
        </w:tc>
      </w:tr>
      <w:tr>
        <w:trPr>
          <w:trHeight w:val="225"/>
        </w:trPr>
        <w:tc>
          <w:tcPr>
            <w:tcW w:w="519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81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-91</w:t>
            </w:r>
          </w:p>
        </w:tc>
        <w:tc>
          <w:tcPr>
            <w:tcW w:w="81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w:t>
            </w:r>
          </w:p>
        </w:tc>
        <w:tc>
          <w:tcPr>
            <w:tcW w:w="89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w:t>
            </w:r>
          </w:p>
        </w:tc>
        <w:tc>
          <w:tcPr>
            <w:tcW w:w="81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w:t>
            </w:r>
          </w:p>
        </w:tc>
        <w:tc>
          <w:tcPr>
            <w:tcW w:w="81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w:t>
            </w:r>
          </w:p>
        </w:tc>
      </w:tr>
      <w:tr>
        <w:trPr>
          <w:trHeight w:val="225"/>
        </w:trPr>
        <w:tc>
          <w:tcPr>
            <w:tcW w:w="5199" w:type="dxa"/>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817"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 </w:t>
            </w:r>
          </w:p>
        </w:tc>
        <w:tc>
          <w:tcPr>
            <w:tcW w:w="81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9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1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1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bl>
    <w:p>
      <w:pPr>
        <w:rPr>
          <w:noProof/>
          <w:lang w:val="en-IE"/>
        </w:rPr>
      </w:pPr>
    </w:p>
    <w:p>
      <w:pPr>
        <w:spacing w:after="200" w:line="276" w:lineRule="auto"/>
        <w:rPr>
          <w:noProof/>
        </w:rPr>
      </w:pPr>
      <w:r>
        <w:rPr>
          <w:noProof/>
        </w:rPr>
        <w:br w:type="page"/>
      </w:r>
    </w:p>
    <w:p>
      <w:pPr>
        <w:pStyle w:val="ChapterHead"/>
        <w:jc w:val="both"/>
        <w:rPr>
          <w:b/>
          <w:noProof/>
        </w:rPr>
      </w:pPr>
      <w:bookmarkStart w:id="2514" w:name="_Toc8833661"/>
      <w:bookmarkStart w:id="2515" w:name="_Toc8835488"/>
      <w:bookmarkStart w:id="2516" w:name="_Toc8834118"/>
      <w:bookmarkStart w:id="2517" w:name="_Toc8909581"/>
      <w:bookmarkStart w:id="2518" w:name="_Toc8910793"/>
      <w:bookmarkStart w:id="2519" w:name="_Toc8911830"/>
      <w:bookmarkStart w:id="2520" w:name="_Toc8974651"/>
      <w:bookmarkStart w:id="2521" w:name="_Toc9008304"/>
      <w:bookmarkStart w:id="2522" w:name="_Toc9008707"/>
      <w:bookmarkStart w:id="2523" w:name="_Toc9348703"/>
      <w:bookmarkStart w:id="2524" w:name="_Toc9608154"/>
      <w:bookmarkStart w:id="2525" w:name="_Toc16000722"/>
      <w:r>
        <w:rPr>
          <w:b/>
          <w:noProof/>
        </w:rPr>
        <w:t>ANNUAL INFO SHEET ON THE IMPLEMENTATION OF THE EU-TUNISIA ASSOCIATION AGREEMENT</w:t>
      </w:r>
      <w:bookmarkEnd w:id="2514"/>
      <w:bookmarkEnd w:id="2515"/>
      <w:bookmarkEnd w:id="2516"/>
      <w:bookmarkEnd w:id="2517"/>
      <w:bookmarkEnd w:id="2518"/>
      <w:bookmarkEnd w:id="2519"/>
      <w:bookmarkEnd w:id="2520"/>
      <w:bookmarkEnd w:id="2521"/>
      <w:bookmarkEnd w:id="2522"/>
      <w:bookmarkEnd w:id="2523"/>
      <w:bookmarkEnd w:id="2524"/>
      <w:bookmarkEnd w:id="2525"/>
    </w:p>
    <w:p>
      <w:pPr>
        <w:pStyle w:val="ManualHeading1"/>
      </w:pPr>
      <w:bookmarkStart w:id="2526" w:name="_Toc524628385"/>
      <w:bookmarkStart w:id="2527" w:name="_Toc8833662"/>
      <w:bookmarkStart w:id="2528" w:name="_Toc8835489"/>
      <w:bookmarkStart w:id="2529" w:name="_Toc8834119"/>
      <w:bookmarkStart w:id="2530" w:name="_Toc8909582"/>
      <w:bookmarkStart w:id="2531" w:name="_Toc8910794"/>
      <w:bookmarkStart w:id="2532" w:name="_Toc8911831"/>
      <w:bookmarkStart w:id="2533" w:name="_Toc8974652"/>
      <w:bookmarkStart w:id="2534" w:name="_Toc9008305"/>
      <w:bookmarkStart w:id="2535" w:name="_Toc9008708"/>
      <w:bookmarkStart w:id="2536" w:name="_Toc9348704"/>
      <w:bookmarkStart w:id="2537" w:name="_Toc9608155"/>
      <w:bookmarkStart w:id="2538" w:name="_Toc16000723"/>
      <w:r>
        <w:t>1.</w:t>
      </w:r>
      <w:r>
        <w:tab/>
        <w:t>Introduction</w:t>
      </w:r>
      <w:bookmarkEnd w:id="2526"/>
      <w:bookmarkEnd w:id="2527"/>
      <w:bookmarkEnd w:id="2528"/>
      <w:bookmarkEnd w:id="2529"/>
      <w:bookmarkEnd w:id="2530"/>
      <w:bookmarkEnd w:id="2531"/>
      <w:bookmarkEnd w:id="2532"/>
      <w:bookmarkEnd w:id="2533"/>
      <w:bookmarkEnd w:id="2534"/>
      <w:bookmarkEnd w:id="2535"/>
      <w:bookmarkEnd w:id="2536"/>
      <w:bookmarkEnd w:id="2537"/>
      <w:bookmarkEnd w:id="2538"/>
    </w:p>
    <w:p>
      <w:pPr>
        <w:jc w:val="both"/>
        <w:rPr>
          <w:noProof/>
        </w:rPr>
      </w:pPr>
      <w:r>
        <w:rPr>
          <w:noProof/>
        </w:rPr>
        <w:t>The EU and Tunisia established a free trade area as part of the EU-Tunisia Association Agreement, signed on 17 July 1995 and entered into force on 1 March 1998. The free trade area provided for a reciprocal liberalisation of trade in goods, with elements of asymmetry in favour of Tunisia: since the day of entry into force of the Agreement, all industrial products covered by the Agreement can be exported by Tunisia to the EU tariff-free, while Tunisia benefited from a transitional period of 12 years. Tunisia started implementing the agreement in 1996, i.e. 2 years before its official entry into force, and all tariffs and non-tariff measures mentioned in the Association Agreement were entirely dismantled by 2008: so the EU-Tunisia free trade area was even fully implemented two years ahead of schedule. Trade of industrial products is entirely liberalised, while market opening of agricultural products has been more limited. As regards fisheries’ products, the EU opened its market (with only one product subject to tariff rate quota) while the Tunisian market remains closed. In 2011, the EU and Tunisia signed a protocol establishing a Dispute Settlement Mechanism, which came into force. Both sides are currently discussing the steps to undertake in order to make the system operational.</w:t>
      </w:r>
    </w:p>
    <w:p>
      <w:pPr>
        <w:jc w:val="both"/>
        <w:rPr>
          <w:noProof/>
        </w:rPr>
      </w:pPr>
    </w:p>
    <w:p>
      <w:pPr>
        <w:jc w:val="both"/>
        <w:rPr>
          <w:noProof/>
        </w:rPr>
      </w:pPr>
      <w:r>
        <w:rPr>
          <w:noProof/>
        </w:rPr>
        <w:t>The Regional Convention on Pan-Euro-Mediterranean preferential rules of origin (PEM convention) was signed by Tunisia on 16 January 2013. The Convention seeks to provide a more unified framework for origin protocols. The EU hopes that Tunisia will grasp this opportunity and join the PEM revised rules that will strongly benefit Tunisian companies and help them to hook into new and profitable regional value chains.</w:t>
      </w:r>
    </w:p>
    <w:p>
      <w:pPr>
        <w:jc w:val="both"/>
        <w:rPr>
          <w:noProof/>
        </w:rPr>
      </w:pPr>
    </w:p>
    <w:p>
      <w:pPr>
        <w:jc w:val="both"/>
        <w:rPr>
          <w:noProof/>
        </w:rPr>
      </w:pPr>
      <w:r>
        <w:rPr>
          <w:noProof/>
        </w:rPr>
        <w:t xml:space="preserve">Negotiations on a Deep and Comprehensive Free Trade Area (DCFTA) with Tunisia were launched in Tunis in October 2015 and the first full round of negotiations took place in April 2016. </w:t>
      </w:r>
    </w:p>
    <w:p>
      <w:pPr>
        <w:jc w:val="both"/>
        <w:rPr>
          <w:noProof/>
        </w:rPr>
      </w:pPr>
    </w:p>
    <w:p>
      <w:pPr>
        <w:jc w:val="both"/>
        <w:rPr>
          <w:noProof/>
        </w:rPr>
      </w:pPr>
      <w:r>
        <w:rPr>
          <w:noProof/>
        </w:rPr>
        <w:t xml:space="preserve">One of the main objectives of the negotiations is to support economic reforms in Tunisia and to bring Tunisian legislation closer to EU legislation in trade-related areas. This means atypical trade negotiations where the principles of asymmetry and progressiveness in favour of Tunisia guide both market access (especially in agriculture, services and investment) and regulatory approximation. </w:t>
      </w:r>
    </w:p>
    <w:p>
      <w:pPr>
        <w:jc w:val="both"/>
        <w:rPr>
          <w:noProof/>
        </w:rPr>
      </w:pPr>
    </w:p>
    <w:p>
      <w:pPr>
        <w:jc w:val="both"/>
        <w:rPr>
          <w:noProof/>
        </w:rPr>
      </w:pPr>
      <w:r>
        <w:rPr>
          <w:noProof/>
        </w:rPr>
        <w:t>The first two rounds covered all chapters and were very constructive, which reaffirms the Tunisian commitment to the DCFTA. Ahead of the 2</w:t>
      </w:r>
      <w:r>
        <w:rPr>
          <w:noProof/>
          <w:vertAlign w:val="superscript"/>
        </w:rPr>
        <w:t>nd</w:t>
      </w:r>
      <w:r>
        <w:rPr>
          <w:noProof/>
        </w:rPr>
        <w:t xml:space="preserve"> and the 3</w:t>
      </w:r>
      <w:r>
        <w:rPr>
          <w:noProof/>
          <w:vertAlign w:val="superscript"/>
        </w:rPr>
        <w:t>rd</w:t>
      </w:r>
      <w:r>
        <w:rPr>
          <w:noProof/>
        </w:rPr>
        <w:t xml:space="preserve"> negotiating rounds, the EU submitted a number of new or updated negotiating texts, modified to take account of the latest legislative and policy developments.</w:t>
      </w:r>
    </w:p>
    <w:p>
      <w:pPr>
        <w:jc w:val="both"/>
        <w:rPr>
          <w:noProof/>
        </w:rPr>
      </w:pPr>
    </w:p>
    <w:p>
      <w:pPr>
        <w:jc w:val="both"/>
        <w:rPr>
          <w:noProof/>
        </w:rPr>
      </w:pPr>
      <w:r>
        <w:rPr>
          <w:noProof/>
        </w:rPr>
        <w:t xml:space="preserve">The negotiations have been carried out in utmost transparency both on the EU side and on the Tunisian side. All EU initial proposals are public and civil society consultations are held in the margins of negotiating rounds, including jointly. Joint reports are also published after each round, including in Tunisia. After the third round (which took place in December 2018), good progress was made.  </w:t>
      </w:r>
    </w:p>
    <w:p>
      <w:pPr>
        <w:pStyle w:val="Heading1"/>
        <w:tabs>
          <w:tab w:val="clear" w:pos="480"/>
        </w:tabs>
        <w:ind w:left="0" w:firstLine="0"/>
        <w:rPr>
          <w:noProof/>
        </w:rPr>
      </w:pPr>
      <w:bookmarkStart w:id="2539" w:name="_Toc8833663"/>
      <w:bookmarkStart w:id="2540" w:name="_Toc8835490"/>
      <w:bookmarkStart w:id="2541" w:name="_Toc8834120"/>
      <w:bookmarkStart w:id="2542" w:name="_Toc8909583"/>
      <w:bookmarkStart w:id="2543" w:name="_Toc8910795"/>
      <w:bookmarkStart w:id="2544" w:name="_Toc8911832"/>
      <w:bookmarkStart w:id="2545" w:name="_Toc8974653"/>
      <w:bookmarkStart w:id="2546" w:name="_Toc9008306"/>
      <w:bookmarkStart w:id="2547" w:name="_Toc9008709"/>
      <w:bookmarkStart w:id="2548" w:name="_Toc9348705"/>
      <w:bookmarkStart w:id="2549" w:name="_Toc9608156"/>
      <w:bookmarkStart w:id="2550" w:name="_Toc16000724"/>
      <w:r>
        <w:rPr>
          <w:noProof/>
        </w:rPr>
        <w:t xml:space="preserve">2. </w:t>
      </w:r>
      <w:r>
        <w:rPr>
          <w:noProof/>
        </w:rPr>
        <w:tab/>
        <w:t>Evolution of trade</w:t>
      </w:r>
      <w:bookmarkEnd w:id="2539"/>
      <w:bookmarkEnd w:id="2540"/>
      <w:bookmarkEnd w:id="2541"/>
      <w:bookmarkEnd w:id="2542"/>
      <w:bookmarkEnd w:id="2543"/>
      <w:bookmarkEnd w:id="2544"/>
      <w:bookmarkEnd w:id="2545"/>
      <w:bookmarkEnd w:id="2546"/>
      <w:bookmarkEnd w:id="2547"/>
      <w:bookmarkEnd w:id="2548"/>
      <w:bookmarkEnd w:id="2549"/>
      <w:bookmarkEnd w:id="2550"/>
    </w:p>
    <w:p>
      <w:pPr>
        <w:pStyle w:val="Heading2"/>
        <w:ind w:left="0" w:firstLine="0"/>
      </w:pPr>
      <w:bookmarkStart w:id="2551" w:name="_Toc524628387"/>
      <w:bookmarkStart w:id="2552" w:name="_Toc8833664"/>
      <w:bookmarkStart w:id="2553" w:name="_Toc8835491"/>
      <w:bookmarkStart w:id="2554" w:name="_Toc8834121"/>
      <w:bookmarkStart w:id="2555" w:name="_Toc8909584"/>
      <w:bookmarkStart w:id="2556" w:name="_Toc8910796"/>
      <w:bookmarkStart w:id="2557" w:name="_Toc8911833"/>
      <w:bookmarkStart w:id="2558" w:name="_Toc8974654"/>
      <w:bookmarkStart w:id="2559" w:name="_Toc9008307"/>
      <w:bookmarkStart w:id="2560" w:name="_Toc9008710"/>
      <w:bookmarkStart w:id="2561" w:name="_Toc9348706"/>
      <w:bookmarkStart w:id="2562" w:name="_Toc9608157"/>
      <w:bookmarkStart w:id="2563" w:name="_Toc16000725"/>
      <w:r>
        <w:t>2.1 Trade in Goods</w:t>
      </w:r>
      <w:bookmarkEnd w:id="2551"/>
      <w:bookmarkEnd w:id="2552"/>
      <w:bookmarkEnd w:id="2553"/>
      <w:bookmarkEnd w:id="2554"/>
      <w:bookmarkEnd w:id="2555"/>
      <w:bookmarkEnd w:id="2556"/>
      <w:bookmarkEnd w:id="2557"/>
      <w:bookmarkEnd w:id="2558"/>
      <w:bookmarkEnd w:id="2559"/>
      <w:bookmarkEnd w:id="2560"/>
      <w:bookmarkEnd w:id="2561"/>
      <w:bookmarkEnd w:id="2562"/>
      <w:bookmarkEnd w:id="2563"/>
    </w:p>
    <w:p>
      <w:pPr>
        <w:jc w:val="both"/>
        <w:rPr>
          <w:noProof/>
        </w:rPr>
      </w:pPr>
      <w:r>
        <w:rPr>
          <w:noProof/>
        </w:rPr>
        <w:t>The EU is Tunisia’s main trading partner and Tunisia is the 33</w:t>
      </w:r>
      <w:r>
        <w:rPr>
          <w:noProof/>
          <w:vertAlign w:val="superscript"/>
        </w:rPr>
        <w:t>rd</w:t>
      </w:r>
      <w:r>
        <w:rPr>
          <w:noProof/>
        </w:rPr>
        <w:t xml:space="preserve"> trading partner for the EU – 4</w:t>
      </w:r>
      <w:r>
        <w:rPr>
          <w:noProof/>
          <w:vertAlign w:val="superscript"/>
        </w:rPr>
        <w:t>th</w:t>
      </w:r>
      <w:r>
        <w:rPr>
          <w:noProof/>
        </w:rPr>
        <w:t xml:space="preserve"> in the Euro-Med region. In 2018, the EU accounted for 73% of Tunisian total exports of goods, and 53% of its total imports. Overall the EU accounted for 61% of Tunisia’s total trade.</w:t>
      </w:r>
    </w:p>
    <w:p>
      <w:pPr>
        <w:rPr>
          <w:noProof/>
          <w:lang w:eastAsia="en-GB"/>
        </w:rPr>
      </w:pPr>
    </w:p>
    <w:p>
      <w:pPr>
        <w:rPr>
          <w:b/>
          <w:noProof/>
          <w:highlight w:val="yellow"/>
        </w:rPr>
      </w:pPr>
      <w:r>
        <w:rPr>
          <w:noProof/>
          <w:lang w:eastAsia="en-GB"/>
        </w:rPr>
        <w:drawing>
          <wp:inline distT="0" distB="0" distL="0" distR="0">
            <wp:extent cx="5760720" cy="2459355"/>
            <wp:effectExtent l="0" t="0" r="11430" b="1714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jc w:val="both"/>
        <w:rPr>
          <w:noProof/>
        </w:rPr>
      </w:pPr>
    </w:p>
    <w:p>
      <w:pPr>
        <w:jc w:val="both"/>
        <w:rPr>
          <w:noProof/>
        </w:rPr>
      </w:pPr>
      <w:r>
        <w:rPr>
          <w:noProof/>
        </w:rPr>
        <w:t>Trade in goods between the EU and Tunisia has increased significantly over the period since the Agreement entered into force: between 2002 and 2018, the total trade in goods increased by 58%, from €13.9 billion to €21.9 billion.</w:t>
      </w:r>
    </w:p>
    <w:p>
      <w:pPr>
        <w:jc w:val="both"/>
        <w:rPr>
          <w:noProof/>
        </w:rPr>
      </w:pPr>
    </w:p>
    <w:p>
      <w:pPr>
        <w:jc w:val="both"/>
        <w:rPr>
          <w:noProof/>
        </w:rPr>
      </w:pPr>
      <w:r>
        <w:rPr>
          <w:noProof/>
        </w:rPr>
        <w:t xml:space="preserve">EU exports rose by 52% between 2002 and 2018, up to €11.7 billion. Between 2017 and 2018, they increased by 5%. In 2018, the EU mainly exported machinery and transport equipment (33%), manufactured products (23%), and fuels and mining products (15%). </w:t>
      </w:r>
    </w:p>
    <w:p>
      <w:pPr>
        <w:jc w:val="both"/>
        <w:rPr>
          <w:noProof/>
        </w:rPr>
      </w:pPr>
    </w:p>
    <w:p>
      <w:pPr>
        <w:jc w:val="both"/>
        <w:rPr>
          <w:noProof/>
        </w:rPr>
      </w:pPr>
      <w:r>
        <w:rPr>
          <w:noProof/>
        </w:rPr>
        <w:t xml:space="preserve">EU imports rose by 65% since 2002, reaching €10.2 billion in 2018. Year-on-year, they increased by 8% in 2018. Tunisia’s exports of non-fuel industrial products (machinery, transport equipment, textiles and clothing) increased steadily over the period, while the exports of agricultural products have remained at a comparatively low level, even though they have quadrupled since 2002. In 2018, EU imports consisted mainly of machinery and transport equipment (39%), miscellaneous manufactured articles (mainly textiles) at 34% and mineral fuels (7%). </w:t>
      </w:r>
    </w:p>
    <w:p>
      <w:pPr>
        <w:jc w:val="both"/>
        <w:rPr>
          <w:noProof/>
        </w:rPr>
      </w:pPr>
    </w:p>
    <w:p>
      <w:pPr>
        <w:jc w:val="both"/>
        <w:rPr>
          <w:noProof/>
        </w:rPr>
      </w:pPr>
      <w:r>
        <w:rPr>
          <w:noProof/>
        </w:rPr>
        <w:t>Overall, the agreement has proven mutually beneficial. Tunisia’s trade deficit with the EU is relatively small when compared to the one Tunisia has with China, Russia or Turkey – three countries, which make up for a far smaller share of Tunisia’s total trade. Following a dip in 2008 due to the financial crisis, trade flows between the EU and Tunisia reached a plateau between 2011 and 2016, and then picked up more vigorously. Ongoing negotiations for the DCFTA aim at making room for further progress in trade between the EU and Tunisia, including further liberalisation of agricultural and fisheries’ trade, two areas only covered in a limited way by the current Agreement.</w:t>
      </w:r>
    </w:p>
    <w:p>
      <w:pPr>
        <w:pStyle w:val="Heading2"/>
        <w:ind w:left="0" w:firstLine="0"/>
      </w:pPr>
      <w:bookmarkStart w:id="2564" w:name="_Toc524628388"/>
      <w:bookmarkStart w:id="2565" w:name="_Toc8833665"/>
      <w:bookmarkStart w:id="2566" w:name="_Toc8835492"/>
      <w:bookmarkStart w:id="2567" w:name="_Toc8834122"/>
      <w:bookmarkStart w:id="2568" w:name="_Toc8909585"/>
      <w:bookmarkStart w:id="2569" w:name="_Toc8910797"/>
      <w:bookmarkStart w:id="2570" w:name="_Toc8911834"/>
      <w:bookmarkStart w:id="2571" w:name="_Toc8974655"/>
      <w:bookmarkStart w:id="2572" w:name="_Toc9008308"/>
      <w:bookmarkStart w:id="2573" w:name="_Toc9008711"/>
      <w:bookmarkStart w:id="2574" w:name="_Toc9348707"/>
      <w:bookmarkStart w:id="2575" w:name="_Toc9608158"/>
      <w:bookmarkStart w:id="2576" w:name="_Toc16000726"/>
      <w:r>
        <w:t>2.2 Trade in agricultural goods</w:t>
      </w:r>
      <w:bookmarkEnd w:id="2564"/>
      <w:bookmarkEnd w:id="2565"/>
      <w:bookmarkEnd w:id="2566"/>
      <w:bookmarkEnd w:id="2567"/>
      <w:bookmarkEnd w:id="2568"/>
      <w:bookmarkEnd w:id="2569"/>
      <w:bookmarkEnd w:id="2570"/>
      <w:bookmarkEnd w:id="2571"/>
      <w:bookmarkEnd w:id="2572"/>
      <w:bookmarkEnd w:id="2573"/>
      <w:bookmarkEnd w:id="2574"/>
      <w:bookmarkEnd w:id="2575"/>
      <w:bookmarkEnd w:id="2576"/>
    </w:p>
    <w:p>
      <w:pPr>
        <w:jc w:val="both"/>
        <w:rPr>
          <w:noProof/>
        </w:rPr>
      </w:pPr>
      <w:r>
        <w:rPr>
          <w:noProof/>
        </w:rPr>
        <w:t xml:space="preserve">Total trade in agricultural products between the EU and Tunisia increased by 140% between 2003 and 2018, from €0.5 billion to nearly €1.2 billion. </w:t>
      </w:r>
    </w:p>
    <w:p>
      <w:pPr>
        <w:jc w:val="both"/>
        <w:rPr>
          <w:noProof/>
        </w:rPr>
      </w:pPr>
    </w:p>
    <w:p>
      <w:pPr>
        <w:jc w:val="both"/>
        <w:rPr>
          <w:noProof/>
        </w:rPr>
      </w:pPr>
      <w:r>
        <w:rPr>
          <w:noProof/>
        </w:rPr>
        <w:t>Year-on-year, EU agricultural exports slightly decreased by 1.3%, from €555 million in 2017 to €547 million in 2018. The decrease was mainly due to a €39 million decrease in wheat exports, but exports grew for various other agricultural goods such as other cereals, live animals and beef.</w:t>
      </w:r>
    </w:p>
    <w:p>
      <w:pPr>
        <w:jc w:val="both"/>
        <w:rPr>
          <w:noProof/>
        </w:rPr>
      </w:pPr>
    </w:p>
    <w:p>
      <w:pPr>
        <w:jc w:val="both"/>
        <w:rPr>
          <w:noProof/>
        </w:rPr>
      </w:pPr>
      <w:r>
        <w:rPr>
          <w:noProof/>
        </w:rPr>
        <w:t>Tunisia is by far the main origin for olive oil imports into the EU (69% of olive oil imports in 2018). EU agricultural imports increased by 44% from €459 million in 2017 to €662 million in 2018, driven by dynamic olive oil imports. Despite that increase, agri-food imports remained well below their 2015 level (€811 million).</w:t>
      </w:r>
    </w:p>
    <w:p>
      <w:pPr>
        <w:jc w:val="both"/>
        <w:rPr>
          <w:noProof/>
        </w:rPr>
      </w:pPr>
    </w:p>
    <w:p>
      <w:pPr>
        <w:jc w:val="both"/>
        <w:rPr>
          <w:noProof/>
        </w:rPr>
      </w:pPr>
      <w:r>
        <w:rPr>
          <w:noProof/>
        </w:rPr>
        <w:t>The 56 700 tonne tariff rate quota (TRQ) for olive oil imports from Tunisia set out in the bilateral agreement was almost filled in 2018 (fill rate of 98%). The fill rate was intermediate for fresh oranges (31%) and low for prepared tomatoes (12%), wine and cut flowers (4%). Several quotas for Tunisian products were not utilised at all in 2018 (including wine with geographical indication, apricot pulp, new potatoes, natural honey and truffles).</w:t>
      </w:r>
    </w:p>
    <w:p>
      <w:pPr>
        <w:pStyle w:val="Heading2"/>
        <w:ind w:left="0" w:firstLine="0"/>
      </w:pPr>
      <w:bookmarkStart w:id="2577" w:name="_Toc524628390"/>
      <w:bookmarkStart w:id="2578" w:name="_Toc8833667"/>
      <w:bookmarkStart w:id="2579" w:name="_Toc8835494"/>
      <w:bookmarkStart w:id="2580" w:name="_Toc8834124"/>
      <w:bookmarkStart w:id="2581" w:name="_Toc8909587"/>
      <w:bookmarkStart w:id="2582" w:name="_Toc8910799"/>
      <w:bookmarkStart w:id="2583" w:name="_Toc8911836"/>
      <w:bookmarkStart w:id="2584" w:name="_Toc8974657"/>
      <w:bookmarkStart w:id="2585" w:name="_Toc9008310"/>
      <w:bookmarkStart w:id="2586" w:name="_Toc9008713"/>
      <w:bookmarkStart w:id="2587" w:name="_Toc9348709"/>
      <w:bookmarkStart w:id="2588" w:name="_Toc9608160"/>
      <w:bookmarkStart w:id="2589" w:name="_Toc16000727"/>
      <w:r>
        <w:t>2.4 Trade in Services and Investment</w:t>
      </w:r>
      <w:r>
        <w:rPr>
          <w:vertAlign w:val="superscript"/>
        </w:rPr>
        <w:footnoteReference w:id="75"/>
      </w:r>
      <w:bookmarkEnd w:id="2577"/>
      <w:bookmarkEnd w:id="2578"/>
      <w:bookmarkEnd w:id="2579"/>
      <w:bookmarkEnd w:id="2580"/>
      <w:bookmarkEnd w:id="2581"/>
      <w:bookmarkEnd w:id="2582"/>
      <w:bookmarkEnd w:id="2583"/>
      <w:bookmarkEnd w:id="2584"/>
      <w:bookmarkEnd w:id="2585"/>
      <w:bookmarkEnd w:id="2586"/>
      <w:bookmarkEnd w:id="2587"/>
      <w:bookmarkEnd w:id="2588"/>
      <w:bookmarkEnd w:id="2589"/>
    </w:p>
    <w:p>
      <w:pPr>
        <w:jc w:val="both"/>
        <w:rPr>
          <w:noProof/>
        </w:rPr>
      </w:pPr>
      <w:r>
        <w:rPr>
          <w:noProof/>
        </w:rPr>
        <w:t xml:space="preserve">Total </w:t>
      </w:r>
      <w:r>
        <w:rPr>
          <w:b/>
          <w:noProof/>
        </w:rPr>
        <w:t>trade in services</w:t>
      </w:r>
      <w:r>
        <w:rPr>
          <w:noProof/>
        </w:rPr>
        <w:t xml:space="preserve"> between the EU and Tunisia decreased between 2010 and 2017, from €5.9 billion to €3.8 billion, mainly owing to the weak performance of the tourism sector, mostly due to security issues. Both Tunisia and the EU suffered from this decrease, with Tunisian exports of services to the EU falling by 43% between 2010 and 2017 and EU exports of services to Tunisia falling by 20% over the same period. In 2017, the EU exported € 1.3 billion in services to Tunisia, compared to € 1.4 billion in 2016 and Tunisia exported € 2.5 billion in services to the EU compared to € 2.3 billion in 2016.</w:t>
      </w:r>
    </w:p>
    <w:p>
      <w:pPr>
        <w:jc w:val="both"/>
        <w:rPr>
          <w:noProof/>
        </w:rPr>
      </w:pPr>
    </w:p>
    <w:p>
      <w:pPr>
        <w:jc w:val="both"/>
        <w:rPr>
          <w:noProof/>
        </w:rPr>
      </w:pPr>
      <w:r>
        <w:rPr>
          <w:b/>
          <w:bCs/>
          <w:noProof/>
        </w:rPr>
        <w:t xml:space="preserve">FDI </w:t>
      </w:r>
      <w:r>
        <w:rPr>
          <w:noProof/>
        </w:rPr>
        <w:t>flows remained relatively steady between 2013 and 2017, despite a slowdown of EU FDI in Tunisia, resulting in the total EU FDI stock of € 4.0 billion in Tunisia at the end of 2017. The EU remains the first foreign investor in Tunisia, accounting for over 85% of FDIs entering the country. In 2015, 3,100 EU companies were present in Tunisia, employing around 327 000 persons.</w:t>
      </w:r>
      <w:r>
        <w:rPr>
          <w:noProof/>
          <w:vertAlign w:val="superscript"/>
        </w:rPr>
        <w:footnoteReference w:id="76"/>
      </w:r>
      <w:r>
        <w:rPr>
          <w:noProof/>
        </w:rPr>
        <w:t xml:space="preserve">  </w:t>
      </w:r>
    </w:p>
    <w:p>
      <w:pPr>
        <w:jc w:val="both"/>
        <w:rPr>
          <w:noProof/>
          <w:sz w:val="22"/>
        </w:rPr>
      </w:pPr>
    </w:p>
    <w:p>
      <w:pPr>
        <w:jc w:val="both"/>
        <w:rPr>
          <w:noProof/>
        </w:rPr>
      </w:pPr>
      <w:r>
        <w:rPr>
          <w:noProof/>
        </w:rPr>
        <w:t xml:space="preserve">The </w:t>
      </w:r>
      <w:r>
        <w:rPr>
          <w:b/>
          <w:bCs/>
          <w:noProof/>
        </w:rPr>
        <w:t>business environment</w:t>
      </w:r>
      <w:r>
        <w:rPr>
          <w:noProof/>
        </w:rPr>
        <w:t xml:space="preserve"> was affected by the instability prevailing after the 2011 Arab Spring Revolution, even though Tunisia enacted a new Investment Law in 2017, which also led to the establishment of a Tunisian Investment Authority in 2018. Tunisia remained ranked 80</w:t>
      </w:r>
      <w:r>
        <w:rPr>
          <w:noProof/>
          <w:vertAlign w:val="superscript"/>
        </w:rPr>
        <w:t>th</w:t>
      </w:r>
      <w:r>
        <w:rPr>
          <w:noProof/>
        </w:rPr>
        <w:t xml:space="preserve"> out of 190 in the Doing Business 2018 ranking – up from the 88</w:t>
      </w:r>
      <w:r>
        <w:rPr>
          <w:noProof/>
          <w:vertAlign w:val="superscript"/>
        </w:rPr>
        <w:t>th</w:t>
      </w:r>
      <w:r>
        <w:rPr>
          <w:noProof/>
        </w:rPr>
        <w:t xml:space="preserve"> place in 2017– with a distance to frontier (DTF)</w:t>
      </w:r>
      <w:r>
        <w:rPr>
          <w:noProof/>
          <w:vertAlign w:val="superscript"/>
        </w:rPr>
        <w:footnoteReference w:id="77"/>
      </w:r>
      <w:r>
        <w:rPr>
          <w:noProof/>
        </w:rPr>
        <w:t xml:space="preserve"> score of 66.11 out of 100 – an improvement from the score of 2018 (64.60).</w:t>
      </w:r>
    </w:p>
    <w:p>
      <w:pPr>
        <w:pStyle w:val="ManualHeading1"/>
        <w:rPr>
          <w:caps/>
        </w:rPr>
      </w:pPr>
      <w:bookmarkStart w:id="2590" w:name="_Toc524628391"/>
      <w:bookmarkStart w:id="2591" w:name="_Toc8833668"/>
      <w:bookmarkStart w:id="2592" w:name="_Toc8835495"/>
      <w:bookmarkStart w:id="2593" w:name="_Toc8834125"/>
      <w:bookmarkStart w:id="2594" w:name="_Toc8909588"/>
      <w:bookmarkStart w:id="2595" w:name="_Toc8910800"/>
      <w:bookmarkStart w:id="2596" w:name="_Toc8911837"/>
      <w:bookmarkStart w:id="2597" w:name="_Toc8974658"/>
      <w:bookmarkStart w:id="2598" w:name="_Toc9008311"/>
      <w:bookmarkStart w:id="2599" w:name="_Toc9008714"/>
      <w:bookmarkStart w:id="2600" w:name="_Toc9348710"/>
      <w:bookmarkStart w:id="2601" w:name="_Toc9608161"/>
      <w:bookmarkStart w:id="2602" w:name="_Toc16000728"/>
      <w:r>
        <w:t>3.</w:t>
      </w:r>
      <w:r>
        <w:tab/>
        <w:t>Issues addressed in the Joint Committee meetings</w:t>
      </w:r>
      <w:bookmarkEnd w:id="2590"/>
      <w:bookmarkEnd w:id="2591"/>
      <w:bookmarkEnd w:id="2592"/>
      <w:bookmarkEnd w:id="2593"/>
      <w:bookmarkEnd w:id="2594"/>
      <w:bookmarkEnd w:id="2595"/>
      <w:bookmarkEnd w:id="2596"/>
      <w:bookmarkEnd w:id="2597"/>
      <w:bookmarkEnd w:id="2598"/>
      <w:bookmarkEnd w:id="2599"/>
      <w:bookmarkEnd w:id="2600"/>
      <w:bookmarkEnd w:id="2601"/>
      <w:bookmarkEnd w:id="2602"/>
      <w:r>
        <w:t xml:space="preserve"> </w:t>
      </w:r>
    </w:p>
    <w:p>
      <w:pPr>
        <w:jc w:val="both"/>
        <w:rPr>
          <w:noProof/>
        </w:rPr>
      </w:pPr>
      <w:r>
        <w:rPr>
          <w:noProof/>
        </w:rPr>
        <w:t xml:space="preserve">The last </w:t>
      </w:r>
      <w:r>
        <w:rPr>
          <w:b/>
          <w:bCs/>
          <w:noProof/>
        </w:rPr>
        <w:t>Sub-Committee on Agricultural and Fisheries Products</w:t>
      </w:r>
      <w:r>
        <w:rPr>
          <w:noProof/>
        </w:rPr>
        <w:t xml:space="preserve"> met in December 2017. Tunisia and the EU exchanged trade statistics on bilateral trade in agricultural and fishery products and updated each other on their agricultural and fishery policies. Tunisia expressed the wish for cooperation between the EU and Tunisia on quality policies, notably regarding organic agriculture and geographical indications (GIs). Both Parties discussed Tunisian requests for a reintegration into the Generalized System of Preferences, an additional olive oil quota and a possibility to renew a quota for eels. The EU raised several SPS issues, notably regarding the exports of apples, live plants, and poultry products from the EU to Tunisia. Tunisia touched on the SPS issues related to its exports of fishery products and inquired about a possibility to export dairy products to the EU. The EU raised concerns about the increase of customs duties by Tunisia on some agricultural products and import restrictions on red meat and live animals. </w:t>
      </w:r>
    </w:p>
    <w:p>
      <w:pPr>
        <w:jc w:val="both"/>
        <w:rPr>
          <w:noProof/>
        </w:rPr>
      </w:pPr>
    </w:p>
    <w:p>
      <w:pPr>
        <w:rPr>
          <w:noProof/>
        </w:rPr>
      </w:pPr>
      <w:bookmarkStart w:id="2603" w:name="_Toc524628392"/>
      <w:r>
        <w:rPr>
          <w:noProof/>
        </w:rPr>
        <w:t>The Tunisian authorities did not follow up in 2018 on the issue of exporting dairy products to the EU.</w:t>
      </w:r>
    </w:p>
    <w:p>
      <w:pPr>
        <w:rPr>
          <w:noProof/>
        </w:rPr>
      </w:pPr>
    </w:p>
    <w:p>
      <w:pPr>
        <w:jc w:val="both"/>
        <w:rPr>
          <w:noProof/>
        </w:rPr>
      </w:pPr>
      <w:r>
        <w:rPr>
          <w:noProof/>
        </w:rPr>
        <w:t xml:space="preserve">The </w:t>
      </w:r>
      <w:r>
        <w:rPr>
          <w:b/>
          <w:bCs/>
          <w:noProof/>
        </w:rPr>
        <w:t>Sub-Committee on Customs Cooperation and Taxation</w:t>
      </w:r>
      <w:r>
        <w:rPr>
          <w:noProof/>
        </w:rPr>
        <w:t xml:space="preserve"> met in February 2017. Several issues were discussed covering both customs and taxation. On customs, the main issues considered were the modernisation of the Tunisian customs administration, the evolution of the legislation of both parties since the previous meeting, border management (especially the challenge met by Tunisian customs at the border with Libya), the fight against counterfeiting goods, methods of mutual administrative assistance and preferential origin, including a state of play of the revision of the pan-euro-Mediterranean preferential rules of origin. On Taxation, Tunisia informed about the reform of its taxation rules. In general, both Parties agreed on the need to support Tunisian customs in preparing projects relating to customs legislation, as well as modernisation. </w:t>
      </w:r>
    </w:p>
    <w:p>
      <w:pPr>
        <w:pStyle w:val="ManualHeading1"/>
        <w:rPr>
          <w:caps/>
        </w:rPr>
      </w:pPr>
      <w:bookmarkStart w:id="2604" w:name="_Toc8833669"/>
      <w:bookmarkStart w:id="2605" w:name="_Toc8835496"/>
      <w:bookmarkStart w:id="2606" w:name="_Toc8834126"/>
      <w:bookmarkStart w:id="2607" w:name="_Toc8909589"/>
      <w:bookmarkStart w:id="2608" w:name="_Toc8910801"/>
      <w:bookmarkStart w:id="2609" w:name="_Toc8911838"/>
      <w:bookmarkStart w:id="2610" w:name="_Toc8974659"/>
      <w:bookmarkStart w:id="2611" w:name="_Toc9008312"/>
      <w:bookmarkStart w:id="2612" w:name="_Toc9008715"/>
      <w:bookmarkStart w:id="2613" w:name="_Toc9348711"/>
      <w:bookmarkStart w:id="2614" w:name="_Toc9608162"/>
      <w:bookmarkStart w:id="2615" w:name="_Toc16000729"/>
      <w:r>
        <w:t>4.</w:t>
      </w:r>
      <w:r>
        <w:tab/>
        <w:t>Specific areas of importance</w:t>
      </w:r>
      <w:bookmarkEnd w:id="2603"/>
      <w:bookmarkEnd w:id="2604"/>
      <w:bookmarkEnd w:id="2605"/>
      <w:bookmarkEnd w:id="2606"/>
      <w:bookmarkEnd w:id="2607"/>
      <w:bookmarkEnd w:id="2608"/>
      <w:bookmarkEnd w:id="2609"/>
      <w:bookmarkEnd w:id="2610"/>
      <w:bookmarkEnd w:id="2611"/>
      <w:bookmarkEnd w:id="2612"/>
      <w:bookmarkEnd w:id="2613"/>
      <w:bookmarkEnd w:id="2614"/>
      <w:bookmarkEnd w:id="2615"/>
    </w:p>
    <w:p>
      <w:pPr>
        <w:jc w:val="both"/>
        <w:rPr>
          <w:noProof/>
        </w:rPr>
      </w:pPr>
      <w:r>
        <w:rPr>
          <w:noProof/>
        </w:rPr>
        <w:t xml:space="preserve">Tunisia’s economic situation remains fragile. Multiple shocks, including the fall in EU demand for Tunisian products because of the economic crisis, the 2011 Revolution and the political transition that ensued, led to a sharp drop in growth, a deterioration of the balance of payments, increasing unemployment and poverty, and a growing informal sector. To ensure this fragility does not compromise the democratic transition unfolding in Tunisia, the EU continues to provide support to Tunisia and its authorities, and has been stepping up its political and financial support considerably since 2011. </w:t>
      </w:r>
    </w:p>
    <w:p>
      <w:pPr>
        <w:jc w:val="both"/>
        <w:rPr>
          <w:noProof/>
        </w:rPr>
      </w:pPr>
    </w:p>
    <w:p>
      <w:pPr>
        <w:jc w:val="both"/>
        <w:rPr>
          <w:noProof/>
          <w:lang w:val="en-US"/>
        </w:rPr>
      </w:pPr>
      <w:r>
        <w:rPr>
          <w:noProof/>
        </w:rPr>
        <w:t xml:space="preserve">Tunisia benefits from a </w:t>
      </w:r>
      <w:r>
        <w:rPr>
          <w:b/>
          <w:noProof/>
        </w:rPr>
        <w:t>‘special relationship’</w:t>
      </w:r>
      <w:r>
        <w:rPr>
          <w:noProof/>
        </w:rPr>
        <w:t xml:space="preserve"> with the EU, which since 2012 takes the shape of a ‘</w:t>
      </w:r>
      <w:r>
        <w:rPr>
          <w:b/>
          <w:noProof/>
        </w:rPr>
        <w:t>Privileged Partnership’</w:t>
      </w:r>
      <w:r>
        <w:rPr>
          <w:noProof/>
        </w:rPr>
        <w:t xml:space="preserve"> detailed in an ambitious ENP (European Neighbourhood Policy) Action Plan. Additionally, and in complement to external support from the IMF, Tunisia has benefitted from a first Macro-Financial Assistance (MFA) operation between 2014 and 2017, and is currently implementing a second MFA operation aimed at alleviating balance of payment issues as well as promoting growth-stimulating social and economic reforms. In 2016, the EU reaffirmed its support to Tunisia through a joint communication, ‘Strengthening EU support for Tunisia’,</w:t>
      </w:r>
      <w:r>
        <w:rPr>
          <w:noProof/>
          <w:vertAlign w:val="superscript"/>
        </w:rPr>
        <w:footnoteReference w:id="78"/>
      </w:r>
      <w:r>
        <w:rPr>
          <w:noProof/>
        </w:rPr>
        <w:t xml:space="preserve"> detailing the areas in which EU support is to be provided, including a number of trade-related measures as well as the launch of a ‘Partnership for growth’ initiative. These include a possible early entry </w:t>
      </w:r>
      <w:r>
        <w:rPr>
          <w:noProof/>
          <w:lang w:val="en-US"/>
        </w:rPr>
        <w:t>into force of the EU’s trade concessions on agricultural market access under a future DCFTA (on a temporary basis), the possible advanced implementation of the new the Pan-Euro-Mediterranean (PEM) rules of origin as well as temporary flexibility for certain products</w:t>
      </w:r>
      <w:r>
        <w:rPr>
          <w:noProof/>
        </w:rPr>
        <w:t xml:space="preserve">, the setting up of </w:t>
      </w:r>
      <w:r>
        <w:rPr>
          <w:noProof/>
          <w:lang w:val="en-US"/>
        </w:rPr>
        <w:t xml:space="preserve">a structured regulatory dialogue to facilitate and speed up the negotiation of an Agreement on Conformity Assessment and Acceptance (ACAA) of industrial products that still needs </w:t>
      </w:r>
      <w:r>
        <w:rPr>
          <w:noProof/>
        </w:rPr>
        <w:t>key legislation to be adopted (i.e. laws on security of industrial and food products)</w:t>
      </w:r>
      <w:r>
        <w:rPr>
          <w:noProof/>
          <w:lang w:val="en-US"/>
        </w:rPr>
        <w:t>. Discussions are ongoing on several of these issues.</w:t>
      </w:r>
    </w:p>
    <w:p>
      <w:pPr>
        <w:jc w:val="both"/>
        <w:rPr>
          <w:noProof/>
          <w:lang w:val="en-US"/>
        </w:rPr>
      </w:pPr>
    </w:p>
    <w:p>
      <w:pPr>
        <w:jc w:val="both"/>
        <w:rPr>
          <w:noProof/>
        </w:rPr>
      </w:pPr>
      <w:r>
        <w:rPr>
          <w:noProof/>
        </w:rPr>
        <w:t>Following a preparatory process ahead of the launch of DCFTA negotiations, which included an analysis of the Tunisian regulatory framework in the economic field, the Commission concluded that Tunisia has achieved considerable progress in terms of regulatory alignment in the areas to be covered by the future DCFTA. Nevertheless, some challenges remain in terms of implementation of some key and of institutional capacity, such as for meeting the</w:t>
      </w:r>
      <w:r>
        <w:rPr>
          <w:rFonts w:eastAsia="Times New Roman"/>
          <w:noProof/>
          <w:szCs w:val="20"/>
          <w:lang w:eastAsia="en-GB"/>
        </w:rPr>
        <w:t xml:space="preserve"> obligations in the field of competition and public aid, including transparency on the latter</w:t>
      </w:r>
      <w:r>
        <w:rPr>
          <w:noProof/>
        </w:rPr>
        <w:t xml:space="preserve">. </w:t>
      </w:r>
    </w:p>
    <w:p>
      <w:pPr>
        <w:jc w:val="both"/>
        <w:rPr>
          <w:noProof/>
        </w:rPr>
      </w:pPr>
    </w:p>
    <w:p>
      <w:pPr>
        <w:jc w:val="both"/>
        <w:rPr>
          <w:noProof/>
        </w:rPr>
      </w:pPr>
      <w:r>
        <w:rPr>
          <w:noProof/>
        </w:rPr>
        <w:t>In addition to the benefits emitted from the deeper economic exchange, the EU provides substantial trade-related assistance to help Tunisia adjust to the new conditions of competition following the signature of the EU-Tunisia Association Agreement, as well as to adapt to the possible impact of the DCFTA agreement. Ongoing European projects provide not only assistance to wide range of Tunisian companies to increase their competitiveness on the local and international markets, but equally favour reforms and help upgrading the quality infrastructure which benefits Tunisian consumers. The signature of a new programme “</w:t>
      </w:r>
      <w:r>
        <w:rPr>
          <w:i/>
          <w:iCs/>
          <w:noProof/>
        </w:rPr>
        <w:t>Programme d’appui à la compétitivité et aux exportations (PACE)</w:t>
      </w:r>
      <w:r>
        <w:rPr>
          <w:noProof/>
        </w:rPr>
        <w:t>” in November 2018 shows ongoing European support to the industrial and agriculture sectors and complements another programme, the “</w:t>
      </w:r>
      <w:r>
        <w:rPr>
          <w:i/>
          <w:iCs/>
          <w:noProof/>
        </w:rPr>
        <w:t>Programme d’Appui à la Compétitivité des Services (PACS)</w:t>
      </w:r>
      <w:r>
        <w:rPr>
          <w:noProof/>
        </w:rPr>
        <w:t>" launched in 2016 which focuses mainly on the services sector. Upon request by the Tunisian authorities, the European Union also provides financial resources to hire technical expertise in order to understand the gap between the EU and the Tunisian legislation, the potential effect of the conclusion of the DCFTA agreement and the strategic orientations and eventual reforms to undertake. Current and recent projects include studies on public procurement, competition and state aid, postal services, the EU sanitary and phytosanitary requirements to protect human and animal health, Conformity Assessment and Acceptance of Industrial Products in the sectors identified by the Tunisian authorities.</w:t>
      </w:r>
    </w:p>
    <w:p>
      <w:pPr>
        <w:pStyle w:val="ManualHeading1"/>
        <w:rPr>
          <w:caps/>
        </w:rPr>
      </w:pPr>
      <w:bookmarkStart w:id="2616" w:name="_Toc524628393"/>
      <w:bookmarkStart w:id="2617" w:name="_Toc8833670"/>
      <w:bookmarkStart w:id="2618" w:name="_Toc8835497"/>
      <w:bookmarkStart w:id="2619" w:name="_Toc8834127"/>
      <w:bookmarkStart w:id="2620" w:name="_Toc8909590"/>
      <w:bookmarkStart w:id="2621" w:name="_Toc8910802"/>
      <w:bookmarkStart w:id="2622" w:name="_Toc8911839"/>
      <w:bookmarkStart w:id="2623" w:name="_Toc8974660"/>
      <w:bookmarkStart w:id="2624" w:name="_Toc9008313"/>
      <w:bookmarkStart w:id="2625" w:name="_Toc9008716"/>
      <w:bookmarkStart w:id="2626" w:name="_Toc9348712"/>
      <w:bookmarkStart w:id="2627" w:name="_Toc9608163"/>
      <w:bookmarkStart w:id="2628" w:name="_Toc16000730"/>
      <w:r>
        <w:t>5.</w:t>
      </w:r>
      <w:r>
        <w:tab/>
        <w:t>Progress, main open issues and follow-up actions</w:t>
      </w:r>
      <w:bookmarkEnd w:id="2616"/>
      <w:bookmarkEnd w:id="2617"/>
      <w:bookmarkEnd w:id="2618"/>
      <w:bookmarkEnd w:id="2619"/>
      <w:bookmarkEnd w:id="2620"/>
      <w:bookmarkEnd w:id="2621"/>
      <w:bookmarkEnd w:id="2622"/>
      <w:bookmarkEnd w:id="2623"/>
      <w:bookmarkEnd w:id="2624"/>
      <w:bookmarkEnd w:id="2625"/>
      <w:bookmarkEnd w:id="2626"/>
      <w:bookmarkEnd w:id="2627"/>
      <w:bookmarkEnd w:id="2628"/>
    </w:p>
    <w:p>
      <w:pPr>
        <w:spacing w:before="120"/>
        <w:jc w:val="both"/>
        <w:rPr>
          <w:rFonts w:eastAsia="Times New Roman"/>
          <w:noProof/>
        </w:rPr>
      </w:pPr>
      <w:r>
        <w:rPr>
          <w:noProof/>
        </w:rPr>
        <w:t xml:space="preserve">Since the end of last year contentious trade issues between the EU and Tunisia have substantially increased. </w:t>
      </w:r>
      <w:r>
        <w:rPr>
          <w:rFonts w:eastAsia="Times New Roman"/>
          <w:noProof/>
        </w:rPr>
        <w:t xml:space="preserve">On 29 November 2018, without prior notice to private operators, Tunisia enforced by surprise a new restrictive measure imposing </w:t>
      </w:r>
      <w:r>
        <w:rPr>
          <w:rFonts w:eastAsia="Times New Roman"/>
          <w:b/>
          <w:bCs/>
          <w:noProof/>
        </w:rPr>
        <w:t>import authorizations</w:t>
      </w:r>
      <w:r>
        <w:rPr>
          <w:rFonts w:eastAsia="Times New Roman"/>
          <w:noProof/>
        </w:rPr>
        <w:t xml:space="preserve"> on a very long list of products. The import authorizations should in theory be guided by objective technical specifications ("</w:t>
      </w:r>
      <w:r>
        <w:rPr>
          <w:rFonts w:eastAsia="Times New Roman"/>
          <w:b/>
          <w:bCs/>
          <w:noProof/>
        </w:rPr>
        <w:t>cahier des charges"</w:t>
      </w:r>
      <w:r>
        <w:rPr>
          <w:rFonts w:eastAsia="Times New Roman"/>
          <w:noProof/>
        </w:rPr>
        <w:t xml:space="preserve">) but these have not yet been defined and the Ministry of Trade intends to evaluate and decide on importation requests on a </w:t>
      </w:r>
      <w:r>
        <w:rPr>
          <w:rFonts w:eastAsia="Times New Roman"/>
          <w:b/>
          <w:bCs/>
          <w:noProof/>
        </w:rPr>
        <w:t>case-by-case basis in the absence of specific criteria</w:t>
      </w:r>
      <w:r>
        <w:rPr>
          <w:rFonts w:eastAsia="Times New Roman"/>
          <w:noProof/>
        </w:rPr>
        <w:t xml:space="preserve">. </w:t>
      </w:r>
      <w:r>
        <w:rPr>
          <w:rFonts w:eastAsia="Times New Roman"/>
          <w:b/>
          <w:bCs/>
          <w:noProof/>
        </w:rPr>
        <w:t>Quantitative restrictions</w:t>
      </w:r>
      <w:r>
        <w:rPr>
          <w:rFonts w:eastAsia="Times New Roman"/>
          <w:noProof/>
        </w:rPr>
        <w:t xml:space="preserve"> are also being applied. </w:t>
      </w:r>
    </w:p>
    <w:p>
      <w:pPr>
        <w:jc w:val="both"/>
        <w:rPr>
          <w:rFonts w:eastAsia="Times New Roman"/>
          <w:noProof/>
        </w:rPr>
      </w:pPr>
      <w:r>
        <w:rPr>
          <w:rFonts w:eastAsia="Times New Roman"/>
          <w:noProof/>
        </w:rPr>
        <w:t xml:space="preserve">The measure imposes de facto </w:t>
      </w:r>
      <w:r>
        <w:rPr>
          <w:rFonts w:eastAsia="Times New Roman"/>
          <w:b/>
          <w:bCs/>
          <w:noProof/>
          <w:u w:val="single"/>
        </w:rPr>
        <w:t>non-automatic import licenses</w:t>
      </w:r>
      <w:r>
        <w:rPr>
          <w:rFonts w:eastAsia="Times New Roman"/>
          <w:noProof/>
        </w:rPr>
        <w:t xml:space="preserve"> and appears to be a clear violation of Article 19 of the EU-Tunisia Association Agreement which </w:t>
      </w:r>
      <w:r>
        <w:rPr>
          <w:rFonts w:eastAsia="Times New Roman"/>
          <w:b/>
          <w:bCs/>
          <w:noProof/>
          <w:u w:val="single"/>
        </w:rPr>
        <w:t>prohibits quantitative restrictions</w:t>
      </w:r>
      <w:r>
        <w:rPr>
          <w:rFonts w:eastAsia="Times New Roman"/>
          <w:noProof/>
        </w:rPr>
        <w:t xml:space="preserve">. The new measure has not been notified to the WTO and appears contrary to WTO provisions. </w:t>
      </w:r>
    </w:p>
    <w:p>
      <w:pPr>
        <w:jc w:val="both"/>
        <w:rPr>
          <w:rFonts w:eastAsia="Times New Roman"/>
          <w:noProof/>
        </w:rPr>
      </w:pPr>
    </w:p>
    <w:p>
      <w:pPr>
        <w:jc w:val="both"/>
        <w:rPr>
          <w:rFonts w:eastAsia="Times New Roman"/>
          <w:noProof/>
        </w:rPr>
      </w:pPr>
      <w:r>
        <w:rPr>
          <w:rFonts w:eastAsia="Times New Roman"/>
          <w:noProof/>
        </w:rPr>
        <w:t xml:space="preserve">The list includes many agricultural and agri-food products, textiles &amp; clothing, cosmetics, leather products, shoes, toys, electrical goods. </w:t>
      </w:r>
    </w:p>
    <w:p>
      <w:pPr>
        <w:numPr>
          <w:ilvl w:val="0"/>
          <w:numId w:val="27"/>
        </w:numPr>
        <w:jc w:val="both"/>
        <w:rPr>
          <w:rFonts w:eastAsia="Times New Roman"/>
          <w:noProof/>
        </w:rPr>
      </w:pPr>
      <w:r>
        <w:rPr>
          <w:rFonts w:eastAsia="Times New Roman"/>
          <w:noProof/>
        </w:rPr>
        <w:t>The products affected represent roughly 4</w:t>
      </w:r>
      <w:r>
        <w:rPr>
          <w:rFonts w:eastAsia="Times New Roman"/>
          <w:b/>
          <w:bCs/>
          <w:noProof/>
        </w:rPr>
        <w:t>% of total EU exports</w:t>
      </w:r>
      <w:r>
        <w:rPr>
          <w:rFonts w:eastAsia="Times New Roman"/>
          <w:noProof/>
        </w:rPr>
        <w:t xml:space="preserve"> to Tunisia (€398 million in 2017).</w:t>
      </w:r>
    </w:p>
    <w:p>
      <w:pPr>
        <w:numPr>
          <w:ilvl w:val="0"/>
          <w:numId w:val="27"/>
        </w:numPr>
        <w:jc w:val="both"/>
        <w:rPr>
          <w:rFonts w:eastAsia="Times New Roman"/>
          <w:noProof/>
        </w:rPr>
      </w:pPr>
      <w:r>
        <w:rPr>
          <w:rFonts w:eastAsia="Times New Roman"/>
          <w:noProof/>
          <w:u w:val="single"/>
        </w:rPr>
        <w:t>Key sectors affected</w:t>
      </w:r>
      <w:r>
        <w:rPr>
          <w:rFonts w:eastAsia="Times New Roman"/>
          <w:noProof/>
        </w:rPr>
        <w:t xml:space="preserve"> (2017 EU export data): clothing €155 million, cosmetics €94 million, agri-food products €35 million, cleaning products €26 million, toys &amp; sports €21 million, textile €17 million.</w:t>
      </w:r>
    </w:p>
    <w:p>
      <w:pPr>
        <w:numPr>
          <w:ilvl w:val="0"/>
          <w:numId w:val="27"/>
        </w:numPr>
        <w:spacing w:after="240"/>
        <w:ind w:left="714" w:hanging="357"/>
        <w:jc w:val="both"/>
        <w:rPr>
          <w:rFonts w:eastAsia="Times New Roman"/>
          <w:noProof/>
        </w:rPr>
      </w:pPr>
      <w:r>
        <w:rPr>
          <w:rFonts w:eastAsia="Times New Roman"/>
          <w:noProof/>
          <w:u w:val="single"/>
        </w:rPr>
        <w:t>Member States most affected</w:t>
      </w:r>
      <w:r>
        <w:rPr>
          <w:rFonts w:eastAsia="Times New Roman"/>
          <w:noProof/>
        </w:rPr>
        <w:t xml:space="preserve">: France €126 million (including €49 million in cosmetics); Italy €115 million (incl. €65 million in clothing), Spain €44 million. </w:t>
      </w:r>
    </w:p>
    <w:p>
      <w:pPr>
        <w:jc w:val="both"/>
        <w:rPr>
          <w:rFonts w:eastAsia="Times New Roman"/>
          <w:noProof/>
        </w:rPr>
      </w:pPr>
      <w:r>
        <w:rPr>
          <w:rFonts w:eastAsia="Times New Roman"/>
          <w:b/>
          <w:bCs/>
          <w:noProof/>
        </w:rPr>
        <w:t xml:space="preserve">All affected EU Member States clearly voiced their concerns and asked for a prompt resolution of this issue. </w:t>
      </w:r>
      <w:r>
        <w:rPr>
          <w:rFonts w:eastAsia="Times New Roman"/>
          <w:noProof/>
        </w:rPr>
        <w:t xml:space="preserve">A letter by Commissioner Malmström was addressed to the Tunisian Minister of Trade on 19/12/2018, calling for the elimination of the new measure as soon as possible. In his reply Tunisia trade minister reaffirms the compatibility of these measures with WTO rules and underlines the necessity of these measures for ensuring consumer protection. A reply to the Minister's letter has been sent on 12/02/2019 dismissing the Minister's arguments and suggesting in the immediate term ways to except EU exports in the application of the erga omnes measure (e.g. considering the CE mark as sufficient as well as suggesting discussions on other technical options for products not covered by CE mark). </w:t>
      </w:r>
    </w:p>
    <w:p>
      <w:pPr>
        <w:jc w:val="both"/>
        <w:rPr>
          <w:rFonts w:eastAsia="Times New Roman"/>
          <w:noProof/>
        </w:rPr>
      </w:pPr>
    </w:p>
    <w:p>
      <w:pPr>
        <w:jc w:val="both"/>
        <w:rPr>
          <w:noProof/>
        </w:rPr>
      </w:pPr>
      <w:r>
        <w:rPr>
          <w:rFonts w:eastAsia="Times New Roman"/>
          <w:noProof/>
        </w:rPr>
        <w:t xml:space="preserve">This issue was also debated at length during the trade sub-committee meeting that took place on 28 February 2019 in Tunis, during the WTO licence committee meeting on 4 April in Geneva and during the Association committee meeting on 11 April. The EU raised again the issue during the Association Council meeting in May 2019. </w:t>
      </w:r>
      <w:r>
        <w:rPr>
          <w:noProof/>
        </w:rPr>
        <w:t>In July 2019, following bilateral cooperation efforts and extensive calls for the withdrawal of these measures, the Tunisian government informed that it cancelled the import restrictive authorisation measures as of 26 July 2019).</w:t>
      </w:r>
    </w:p>
    <w:p>
      <w:pPr>
        <w:jc w:val="both"/>
        <w:rPr>
          <w:noProof/>
        </w:rPr>
      </w:pPr>
    </w:p>
    <w:p>
      <w:pPr>
        <w:jc w:val="both"/>
        <w:rPr>
          <w:noProof/>
        </w:rPr>
      </w:pPr>
      <w:r>
        <w:rPr>
          <w:noProof/>
        </w:rPr>
        <w:t xml:space="preserve">Several other open issues include: </w:t>
      </w:r>
    </w:p>
    <w:p>
      <w:pPr>
        <w:numPr>
          <w:ilvl w:val="0"/>
          <w:numId w:val="26"/>
        </w:numPr>
        <w:spacing w:after="120" w:line="276" w:lineRule="auto"/>
        <w:contextualSpacing/>
        <w:jc w:val="both"/>
        <w:rPr>
          <w:noProof/>
        </w:rPr>
      </w:pPr>
      <w:r>
        <w:rPr>
          <w:noProof/>
        </w:rPr>
        <w:t xml:space="preserve">technical and administrative difficulties met by EU exporters on pharmaceutical products, ceramic tiles, tyres and cars </w:t>
      </w:r>
    </w:p>
    <w:p>
      <w:pPr>
        <w:numPr>
          <w:ilvl w:val="0"/>
          <w:numId w:val="26"/>
        </w:numPr>
        <w:spacing w:after="120" w:line="276" w:lineRule="auto"/>
        <w:contextualSpacing/>
        <w:jc w:val="both"/>
        <w:rPr>
          <w:noProof/>
        </w:rPr>
      </w:pPr>
      <w:r>
        <w:rPr>
          <w:noProof/>
        </w:rPr>
        <w:t xml:space="preserve">Export declaration requested to EU operators. </w:t>
      </w:r>
    </w:p>
    <w:p>
      <w:pPr>
        <w:numPr>
          <w:ilvl w:val="0"/>
          <w:numId w:val="26"/>
        </w:numPr>
        <w:spacing w:after="240" w:line="276" w:lineRule="auto"/>
        <w:jc w:val="both"/>
        <w:rPr>
          <w:noProof/>
        </w:rPr>
      </w:pPr>
      <w:r>
        <w:rPr>
          <w:noProof/>
        </w:rPr>
        <w:t>longstanding SPS issues related to exports of apples.</w:t>
      </w:r>
    </w:p>
    <w:p>
      <w:pPr>
        <w:jc w:val="both"/>
        <w:rPr>
          <w:noProof/>
        </w:rPr>
      </w:pPr>
      <w:r>
        <w:rPr>
          <w:noProof/>
        </w:rPr>
        <w:t xml:space="preserve">The EU is pursuing a resolution of these issues through regular dialogue, in the framework of the Sub-Committee Meetings, and in view of the negotiations of the DCFTA. </w:t>
      </w:r>
    </w:p>
    <w:p>
      <w:pPr>
        <w:pStyle w:val="ManualHeading1"/>
        <w:rPr>
          <w:caps/>
        </w:rPr>
      </w:pPr>
      <w:bookmarkStart w:id="2629" w:name="_Toc524628394"/>
      <w:bookmarkStart w:id="2630" w:name="_Toc8833671"/>
      <w:bookmarkStart w:id="2631" w:name="_Toc8835498"/>
      <w:bookmarkStart w:id="2632" w:name="_Toc8834128"/>
      <w:bookmarkStart w:id="2633" w:name="_Toc8909591"/>
      <w:bookmarkStart w:id="2634" w:name="_Toc8910803"/>
      <w:bookmarkStart w:id="2635" w:name="_Toc8911840"/>
      <w:bookmarkStart w:id="2636" w:name="_Toc8974661"/>
      <w:bookmarkStart w:id="2637" w:name="_Toc9008314"/>
      <w:bookmarkStart w:id="2638" w:name="_Toc9008717"/>
      <w:bookmarkStart w:id="2639" w:name="_Toc9348713"/>
      <w:bookmarkStart w:id="2640" w:name="_Toc9608164"/>
      <w:bookmarkStart w:id="2641" w:name="_Toc16000731"/>
      <w:r>
        <w:t>6.</w:t>
      </w:r>
      <w:r>
        <w:tab/>
        <w:t>Conclusions and outlook</w:t>
      </w:r>
      <w:bookmarkEnd w:id="2629"/>
      <w:bookmarkEnd w:id="2630"/>
      <w:bookmarkEnd w:id="2631"/>
      <w:bookmarkEnd w:id="2632"/>
      <w:bookmarkEnd w:id="2633"/>
      <w:bookmarkEnd w:id="2634"/>
      <w:bookmarkEnd w:id="2635"/>
      <w:bookmarkEnd w:id="2636"/>
      <w:bookmarkEnd w:id="2637"/>
      <w:bookmarkEnd w:id="2638"/>
      <w:bookmarkEnd w:id="2639"/>
      <w:bookmarkEnd w:id="2640"/>
      <w:bookmarkEnd w:id="2641"/>
    </w:p>
    <w:p>
      <w:pPr>
        <w:jc w:val="both"/>
        <w:rPr>
          <w:noProof/>
        </w:rPr>
      </w:pPr>
      <w:r>
        <w:rPr>
          <w:noProof/>
        </w:rPr>
        <w:t xml:space="preserve">The overall impact of the free trade area on EU-Tunisia trade has been </w:t>
      </w:r>
      <w:r>
        <w:rPr>
          <w:b/>
          <w:bCs/>
          <w:noProof/>
        </w:rPr>
        <w:t>positive.</w:t>
      </w:r>
      <w:r>
        <w:rPr>
          <w:noProof/>
        </w:rPr>
        <w:t xml:space="preserve"> Both Tunisia and the EU benefitted from the dismantling of bilateral tariffs and non-tariff barriers. It seems, however, that the EU-Tunisia Association Agreement, the first signed by the EU in the region, has reached its limits (notably related to the exlusion of agricultural products), and needs to be upgraded in order to continue to deliver positive results. This means both extending the scope and deepening the provisions of the free trade area in the future DCFTA for which negotiations started in October 2015. </w:t>
      </w:r>
    </w:p>
    <w:p>
      <w:pPr>
        <w:jc w:val="both"/>
        <w:rPr>
          <w:noProof/>
        </w:rPr>
      </w:pPr>
    </w:p>
    <w:p>
      <w:pPr>
        <w:autoSpaceDE w:val="0"/>
        <w:autoSpaceDN w:val="0"/>
        <w:adjustRightInd w:val="0"/>
        <w:jc w:val="both"/>
        <w:rPr>
          <w:rFonts w:eastAsia="Times New Roman"/>
          <w:noProof/>
          <w:lang w:val="en-US"/>
        </w:rPr>
      </w:pPr>
      <w:r>
        <w:rPr>
          <w:rFonts w:eastAsia="Times New Roman"/>
          <w:noProof/>
          <w:lang w:val="en-US"/>
        </w:rPr>
        <w:t xml:space="preserve">DCFTA talks take place at delicate political times in Tunisia ahead of two elections in Tunisia: parliamentary and presidential elections. These are scheduled for October and December 2019, respectively. After four full rounds some texts have been practically closed at technical level (GIs and most of the IP text), while for other texts more than 60% of provisions have been agreed (this is the case for sustainable development, competition, digital trade). Good progress has also been made on TBT, SPS and trade facilitation. In other areas, progress is slower, (e.g. public procurement). Some texts have led to intense debates with civil society in Tunisia (e.g. intellectual property). </w:t>
      </w:r>
    </w:p>
    <w:p>
      <w:pPr>
        <w:pStyle w:val="Heading1"/>
        <w:rPr>
          <w:noProof/>
        </w:rPr>
      </w:pPr>
      <w:bookmarkStart w:id="2642" w:name="_Toc8833672"/>
      <w:bookmarkStart w:id="2643" w:name="_Toc8835499"/>
      <w:bookmarkStart w:id="2644" w:name="_Toc8834129"/>
      <w:bookmarkStart w:id="2645" w:name="_Toc8909592"/>
      <w:bookmarkStart w:id="2646" w:name="_Toc8910804"/>
      <w:bookmarkStart w:id="2647" w:name="_Toc8911841"/>
      <w:bookmarkStart w:id="2648" w:name="_Toc8974662"/>
      <w:bookmarkStart w:id="2649" w:name="_Toc9008315"/>
      <w:bookmarkStart w:id="2650" w:name="_Toc9008718"/>
      <w:bookmarkStart w:id="2651" w:name="_Toc9348714"/>
      <w:bookmarkStart w:id="2652" w:name="_Toc9608165"/>
      <w:bookmarkStart w:id="2653" w:name="_Toc16000732"/>
      <w:r>
        <w:rPr>
          <w:noProof/>
        </w:rPr>
        <w:t xml:space="preserve">7. </w:t>
      </w:r>
      <w:r>
        <w:rPr>
          <w:noProof/>
        </w:rPr>
        <w:tab/>
        <w:t>Statistics</w:t>
      </w:r>
      <w:bookmarkEnd w:id="2642"/>
      <w:bookmarkEnd w:id="2643"/>
      <w:bookmarkEnd w:id="2644"/>
      <w:bookmarkEnd w:id="2645"/>
      <w:bookmarkEnd w:id="2646"/>
      <w:bookmarkEnd w:id="2647"/>
      <w:bookmarkEnd w:id="2648"/>
      <w:bookmarkEnd w:id="2649"/>
      <w:bookmarkEnd w:id="2650"/>
      <w:bookmarkEnd w:id="2651"/>
      <w:bookmarkEnd w:id="2652"/>
      <w:bookmarkEnd w:id="2653"/>
    </w:p>
    <w:p>
      <w:pPr>
        <w:rPr>
          <w:noProof/>
        </w:rPr>
      </w:pPr>
    </w:p>
    <w:tbl>
      <w:tblPr>
        <w:tblW w:w="7957" w:type="dxa"/>
        <w:tblInd w:w="108" w:type="dxa"/>
        <w:tblLook w:val="04A0" w:firstRow="1" w:lastRow="0" w:firstColumn="1" w:lastColumn="0" w:noHBand="0" w:noVBand="1"/>
      </w:tblPr>
      <w:tblGrid>
        <w:gridCol w:w="3597"/>
        <w:gridCol w:w="856"/>
        <w:gridCol w:w="856"/>
        <w:gridCol w:w="936"/>
        <w:gridCol w:w="856"/>
        <w:gridCol w:w="856"/>
      </w:tblGrid>
      <w:tr>
        <w:trPr>
          <w:trHeight w:val="210"/>
        </w:trPr>
        <w:tc>
          <w:tcPr>
            <w:tcW w:w="3597"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93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10"/>
        </w:trPr>
        <w:tc>
          <w:tcPr>
            <w:tcW w:w="7957"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Merchandise trade EU28 2014-2018</w:t>
            </w:r>
          </w:p>
        </w:tc>
      </w:tr>
      <w:tr>
        <w:trPr>
          <w:trHeight w:val="210"/>
        </w:trPr>
        <w:tc>
          <w:tcPr>
            <w:tcW w:w="3597" w:type="dxa"/>
            <w:tcBorders>
              <w:top w:val="single" w:sz="4" w:space="0" w:color="auto"/>
              <w:left w:val="nil"/>
              <w:bottom w:val="single" w:sz="4" w:space="0" w:color="auto"/>
              <w:right w:val="nil"/>
            </w:tcBorders>
            <w:shd w:val="clear" w:color="000000" w:fill="FFFFFF"/>
            <w:noWrap/>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 </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93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r>
      <w:tr>
        <w:trPr>
          <w:trHeight w:val="210"/>
        </w:trPr>
        <w:tc>
          <w:tcPr>
            <w:tcW w:w="3597" w:type="dxa"/>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EU28 trade with Tunisia (mio €)</w:t>
            </w:r>
          </w:p>
        </w:tc>
        <w:tc>
          <w:tcPr>
            <w:tcW w:w="856"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n-IE" w:eastAsia="en-IE"/>
              </w:rPr>
            </w:pP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93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r>
      <w:tr>
        <w:trPr>
          <w:trHeight w:val="210"/>
        </w:trPr>
        <w:tc>
          <w:tcPr>
            <w:tcW w:w="35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9.365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9.506</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9.309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9.433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10.179</w:t>
            </w:r>
          </w:p>
        </w:tc>
      </w:tr>
      <w:tr>
        <w:trPr>
          <w:trHeight w:val="210"/>
        </w:trPr>
        <w:tc>
          <w:tcPr>
            <w:tcW w:w="35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10.992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10.758</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10.550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11.163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11.676</w:t>
            </w:r>
          </w:p>
        </w:tc>
      </w:tr>
      <w:tr>
        <w:trPr>
          <w:trHeight w:val="210"/>
        </w:trPr>
        <w:tc>
          <w:tcPr>
            <w:tcW w:w="35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1.627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1.252</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1.241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1.731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1.497</w:t>
            </w:r>
          </w:p>
        </w:tc>
      </w:tr>
      <w:tr>
        <w:trPr>
          <w:trHeight w:val="210"/>
        </w:trPr>
        <w:tc>
          <w:tcPr>
            <w:tcW w:w="3597" w:type="dxa"/>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Share Tunisia in EU28 trade with Extra-EU28</w:t>
            </w:r>
          </w:p>
        </w:tc>
        <w:tc>
          <w:tcPr>
            <w:tcW w:w="856"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n-IE" w:eastAsia="en-IE"/>
              </w:rPr>
            </w:pP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93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r>
      <w:tr>
        <w:trPr>
          <w:trHeight w:val="210"/>
        </w:trPr>
        <w:tc>
          <w:tcPr>
            <w:tcW w:w="35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0,6%</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0,5%</w:t>
            </w:r>
          </w:p>
        </w:tc>
      </w:tr>
      <w:tr>
        <w:trPr>
          <w:trHeight w:val="210"/>
        </w:trPr>
        <w:tc>
          <w:tcPr>
            <w:tcW w:w="35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0,6%</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0,6%</w:t>
            </w:r>
          </w:p>
        </w:tc>
      </w:tr>
      <w:tr>
        <w:trPr>
          <w:trHeight w:val="210"/>
        </w:trPr>
        <w:tc>
          <w:tcPr>
            <w:tcW w:w="35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0,6%</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0,6%</w:t>
            </w:r>
          </w:p>
        </w:tc>
      </w:tr>
      <w:tr>
        <w:trPr>
          <w:trHeight w:val="210"/>
        </w:trPr>
        <w:tc>
          <w:tcPr>
            <w:tcW w:w="7957"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Share EU28 in trade Tunisia with world</w:t>
            </w:r>
          </w:p>
        </w:tc>
      </w:tr>
      <w:tr>
        <w:trPr>
          <w:trHeight w:val="210"/>
        </w:trPr>
        <w:tc>
          <w:tcPr>
            <w:tcW w:w="35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52,5%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55,2%</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54,4%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54,0%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53,4%</w:t>
            </w:r>
          </w:p>
        </w:tc>
      </w:tr>
      <w:tr>
        <w:trPr>
          <w:trHeight w:val="210"/>
        </w:trPr>
        <w:tc>
          <w:tcPr>
            <w:tcW w:w="35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77,8%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78,1%</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77,5%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74,3%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73,3%</w:t>
            </w:r>
          </w:p>
        </w:tc>
      </w:tr>
      <w:tr>
        <w:trPr>
          <w:trHeight w:val="210"/>
        </w:trPr>
        <w:tc>
          <w:tcPr>
            <w:tcW w:w="35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62,4%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64,3%</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63,7%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62,3%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61,5%</w:t>
            </w:r>
          </w:p>
        </w:tc>
      </w:tr>
      <w:tr>
        <w:trPr>
          <w:trHeight w:val="225"/>
        </w:trPr>
        <w:tc>
          <w:tcPr>
            <w:tcW w:w="5309" w:type="dxa"/>
            <w:gridSpan w:val="3"/>
            <w:tcBorders>
              <w:top w:val="single" w:sz="4" w:space="0" w:color="auto"/>
              <w:left w:val="nil"/>
              <w:bottom w:val="nil"/>
              <w:right w:val="nil"/>
            </w:tcBorders>
            <w:shd w:val="clear" w:color="000000" w:fill="FFFFFF"/>
            <w:noWrap/>
            <w:vAlign w:val="bottom"/>
            <w:hideMark/>
          </w:tcPr>
          <w:p>
            <w:pPr>
              <w:rPr>
                <w:rFonts w:eastAsia="Times New Roman"/>
                <w:noProof/>
                <w:sz w:val="12"/>
                <w:szCs w:val="12"/>
                <w:lang w:val="en-IE" w:eastAsia="en-IE"/>
              </w:rPr>
            </w:pPr>
            <w:r>
              <w:rPr>
                <w:rFonts w:eastAsia="Times New Roman"/>
                <w:noProof/>
                <w:sz w:val="12"/>
                <w:szCs w:val="12"/>
                <w:lang w:val="en-IE" w:eastAsia="en-IE"/>
              </w:rPr>
              <w:t xml:space="preserve">Source Trade G2 Statistics/ISDB </w:t>
            </w:r>
          </w:p>
        </w:tc>
        <w:tc>
          <w:tcPr>
            <w:tcW w:w="936"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single" w:sz="4" w:space="0" w:color="auto"/>
              <w:left w:val="nil"/>
              <w:bottom w:val="nil"/>
              <w:right w:val="nil"/>
            </w:tcBorders>
            <w:shd w:val="clear" w:color="000000" w:fill="FFFFFF"/>
            <w:noWrap/>
            <w:hideMark/>
          </w:tcPr>
          <w:p>
            <w:pPr>
              <w:jc w:val="right"/>
              <w:rPr>
                <w:rFonts w:eastAsia="Times New Roman"/>
                <w:noProof/>
                <w:sz w:val="12"/>
                <w:szCs w:val="12"/>
                <w:lang w:val="en-IE" w:eastAsia="en-IE"/>
              </w:rPr>
            </w:pPr>
            <w:r>
              <w:rPr>
                <w:rFonts w:eastAsia="Times New Roman"/>
                <w:noProof/>
                <w:sz w:val="12"/>
                <w:szCs w:val="12"/>
                <w:lang w:val="en-IE" w:eastAsia="en-IE"/>
              </w:rPr>
              <w:t>25-mars-19</w:t>
            </w:r>
          </w:p>
        </w:tc>
      </w:tr>
      <w:tr>
        <w:trPr>
          <w:trHeight w:val="210"/>
        </w:trPr>
        <w:tc>
          <w:tcPr>
            <w:tcW w:w="6245" w:type="dxa"/>
            <w:gridSpan w:val="4"/>
            <w:tcBorders>
              <w:top w:val="nil"/>
              <w:left w:val="nil"/>
              <w:bottom w:val="nil"/>
              <w:right w:val="nil"/>
            </w:tcBorders>
            <w:shd w:val="clear" w:color="000000" w:fill="FFFFFF"/>
            <w:noWrap/>
            <w:hideMark/>
          </w:tcPr>
          <w:p>
            <w:pPr>
              <w:rPr>
                <w:rFonts w:eastAsia="Times New Roman"/>
                <w:noProof/>
                <w:color w:val="000000"/>
                <w:sz w:val="12"/>
                <w:szCs w:val="12"/>
                <w:lang w:val="en-IE" w:eastAsia="en-IE"/>
              </w:rPr>
            </w:pPr>
            <w:r>
              <w:rPr>
                <w:rFonts w:eastAsia="Times New Roman"/>
                <w:noProof/>
                <w:color w:val="000000"/>
                <w:sz w:val="12"/>
                <w:szCs w:val="12"/>
                <w:lang w:val="en-IE" w:eastAsia="en-IE"/>
              </w:rPr>
              <w:t>Trade EU28: Eurostat COMEXT;  Trade Tunisia: IMF Dots</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10"/>
        </w:trPr>
        <w:tc>
          <w:tcPr>
            <w:tcW w:w="3597"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93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25"/>
        </w:trPr>
        <w:tc>
          <w:tcPr>
            <w:tcW w:w="7957"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Total merchandise trade EU28 with Tunisia (mio €)</w:t>
            </w:r>
          </w:p>
        </w:tc>
      </w:tr>
      <w:tr>
        <w:trPr>
          <w:trHeight w:val="225"/>
        </w:trPr>
        <w:tc>
          <w:tcPr>
            <w:tcW w:w="4453"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Tunisia</w:t>
            </w:r>
          </w:p>
        </w:tc>
        <w:tc>
          <w:tcPr>
            <w:tcW w:w="85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93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71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453"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93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5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9.433</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10.179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747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7,9%</w:t>
            </w:r>
          </w:p>
        </w:tc>
      </w:tr>
      <w:tr>
        <w:trPr>
          <w:trHeight w:val="225"/>
        </w:trPr>
        <w:tc>
          <w:tcPr>
            <w:tcW w:w="35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11.163</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11.676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513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4,6%</w:t>
            </w:r>
          </w:p>
        </w:tc>
      </w:tr>
      <w:tr>
        <w:trPr>
          <w:trHeight w:val="225"/>
        </w:trPr>
        <w:tc>
          <w:tcPr>
            <w:tcW w:w="35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1.731</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1.497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-234</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597"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20.596</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21.855</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1.260</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6,1%</w:t>
            </w:r>
          </w:p>
        </w:tc>
      </w:tr>
      <w:tr>
        <w:trPr>
          <w:trHeight w:val="240"/>
        </w:trPr>
        <w:tc>
          <w:tcPr>
            <w:tcW w:w="6245"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7957"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Agrifood trade EU28 with Tunisia (mio €)</w:t>
            </w:r>
          </w:p>
        </w:tc>
      </w:tr>
      <w:tr>
        <w:trPr>
          <w:trHeight w:val="255"/>
        </w:trPr>
        <w:tc>
          <w:tcPr>
            <w:tcW w:w="4453"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Tunisia</w:t>
            </w:r>
          </w:p>
        </w:tc>
        <w:tc>
          <w:tcPr>
            <w:tcW w:w="85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93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71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453"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93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5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459</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662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44,2%</w:t>
            </w:r>
          </w:p>
        </w:tc>
      </w:tr>
      <w:tr>
        <w:trPr>
          <w:trHeight w:val="225"/>
        </w:trPr>
        <w:tc>
          <w:tcPr>
            <w:tcW w:w="35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555</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547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w:t>
            </w:r>
          </w:p>
        </w:tc>
      </w:tr>
      <w:tr>
        <w:trPr>
          <w:trHeight w:val="225"/>
        </w:trPr>
        <w:tc>
          <w:tcPr>
            <w:tcW w:w="35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96</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-210</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597"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1.014</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1.209</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195</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19,3%</w:t>
            </w:r>
          </w:p>
        </w:tc>
      </w:tr>
      <w:tr>
        <w:trPr>
          <w:trHeight w:val="240"/>
        </w:trPr>
        <w:tc>
          <w:tcPr>
            <w:tcW w:w="6245"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7957"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NAMA trade EU28 with Tunisia (mio €)</w:t>
            </w:r>
          </w:p>
        </w:tc>
      </w:tr>
      <w:tr>
        <w:trPr>
          <w:trHeight w:val="225"/>
        </w:trPr>
        <w:tc>
          <w:tcPr>
            <w:tcW w:w="4453"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Tunisia</w:t>
            </w:r>
          </w:p>
        </w:tc>
        <w:tc>
          <w:tcPr>
            <w:tcW w:w="85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93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71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453"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93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4453"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8.974</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9.517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544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6,1%</w:t>
            </w:r>
          </w:p>
        </w:tc>
      </w:tr>
      <w:tr>
        <w:trPr>
          <w:trHeight w:val="225"/>
        </w:trPr>
        <w:tc>
          <w:tcPr>
            <w:tcW w:w="4453"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10.609</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11.129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520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4,9%</w:t>
            </w:r>
          </w:p>
        </w:tc>
      </w:tr>
      <w:tr>
        <w:trPr>
          <w:trHeight w:val="225"/>
        </w:trPr>
        <w:tc>
          <w:tcPr>
            <w:tcW w:w="35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1.635</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1.611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5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19.582</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20.646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1.064</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5,4%</w:t>
            </w:r>
          </w:p>
        </w:tc>
      </w:tr>
      <w:tr>
        <w:trPr>
          <w:trHeight w:val="240"/>
        </w:trPr>
        <w:tc>
          <w:tcPr>
            <w:tcW w:w="6245"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856" w:type="dxa"/>
            <w:tcBorders>
              <w:top w:val="single" w:sz="4" w:space="0" w:color="auto"/>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6245" w:type="dxa"/>
            <w:gridSpan w:val="4"/>
            <w:tcBorders>
              <w:top w:val="nil"/>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Services trade EU28 with Tunisia (mio €)</w:t>
            </w:r>
          </w:p>
        </w:tc>
        <w:tc>
          <w:tcPr>
            <w:tcW w:w="856" w:type="dxa"/>
            <w:tcBorders>
              <w:top w:val="nil"/>
              <w:left w:val="nil"/>
              <w:bottom w:val="nil"/>
              <w:right w:val="nil"/>
            </w:tcBorders>
            <w:shd w:val="clear" w:color="000000" w:fill="FFFFFF"/>
            <w:noWrap/>
            <w:vAlign w:val="center"/>
            <w:hideMark/>
          </w:tcPr>
          <w:p>
            <w:pPr>
              <w:rPr>
                <w:rFonts w:eastAsia="Times New Roman"/>
                <w:b/>
                <w:bCs/>
                <w:noProof/>
                <w:sz w:val="16"/>
                <w:szCs w:val="16"/>
                <w:lang w:val="en-IE" w:eastAsia="en-IE"/>
              </w:rPr>
            </w:pPr>
            <w:r>
              <w:rPr>
                <w:rFonts w:eastAsia="Times New Roman"/>
                <w:b/>
                <w:bCs/>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bCs/>
                <w:noProof/>
                <w:sz w:val="16"/>
                <w:szCs w:val="16"/>
                <w:lang w:val="en-IE" w:eastAsia="en-IE"/>
              </w:rPr>
            </w:pPr>
            <w:r>
              <w:rPr>
                <w:rFonts w:eastAsia="Times New Roman"/>
                <w:b/>
                <w:bCs/>
                <w:noProof/>
                <w:sz w:val="16"/>
                <w:szCs w:val="16"/>
                <w:lang w:val="en-IE" w:eastAsia="en-IE"/>
              </w:rPr>
              <w:t> </w:t>
            </w:r>
          </w:p>
        </w:tc>
      </w:tr>
      <w:tr>
        <w:trPr>
          <w:trHeight w:val="225"/>
        </w:trPr>
        <w:tc>
          <w:tcPr>
            <w:tcW w:w="4453"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Tunisia</w:t>
            </w:r>
          </w:p>
        </w:tc>
        <w:tc>
          <w:tcPr>
            <w:tcW w:w="856"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936"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171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453"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936"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5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2.253</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2.451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8,8%</w:t>
            </w:r>
          </w:p>
        </w:tc>
      </w:tr>
      <w:tr>
        <w:trPr>
          <w:trHeight w:val="225"/>
        </w:trPr>
        <w:tc>
          <w:tcPr>
            <w:tcW w:w="35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1.359</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1.329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w:t>
            </w:r>
          </w:p>
        </w:tc>
      </w:tr>
      <w:tr>
        <w:trPr>
          <w:trHeight w:val="225"/>
        </w:trPr>
        <w:tc>
          <w:tcPr>
            <w:tcW w:w="35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-895</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-1.121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-227</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597"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3.612</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3.780</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168</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4,7%</w:t>
            </w:r>
          </w:p>
        </w:tc>
      </w:tr>
      <w:tr>
        <w:trPr>
          <w:trHeight w:val="240"/>
        </w:trPr>
        <w:tc>
          <w:tcPr>
            <w:tcW w:w="7101" w:type="dxa"/>
            <w:gridSpan w:val="5"/>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40"/>
        </w:trPr>
        <w:tc>
          <w:tcPr>
            <w:tcW w:w="7957"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Services trade EU28 with Tunisia (mio €)</w:t>
            </w:r>
          </w:p>
        </w:tc>
      </w:tr>
      <w:tr>
        <w:trPr>
          <w:trHeight w:val="225"/>
        </w:trPr>
        <w:tc>
          <w:tcPr>
            <w:tcW w:w="3597"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93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35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3.630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3.511</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3.310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2.253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2.451</w:t>
            </w:r>
          </w:p>
        </w:tc>
      </w:tr>
      <w:tr>
        <w:trPr>
          <w:trHeight w:val="225"/>
        </w:trPr>
        <w:tc>
          <w:tcPr>
            <w:tcW w:w="35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1.492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1.135</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1.401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1.359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1.329</w:t>
            </w:r>
          </w:p>
        </w:tc>
      </w:tr>
      <w:tr>
        <w:trPr>
          <w:trHeight w:val="225"/>
        </w:trPr>
        <w:tc>
          <w:tcPr>
            <w:tcW w:w="35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-2.138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-2.376</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-1.909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-895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-1.121</w:t>
            </w:r>
          </w:p>
        </w:tc>
      </w:tr>
      <w:tr>
        <w:trPr>
          <w:trHeight w:val="225"/>
        </w:trPr>
        <w:tc>
          <w:tcPr>
            <w:tcW w:w="3597"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5.122</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4.646</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4.711</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3.612</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3.780</w:t>
            </w:r>
          </w:p>
        </w:tc>
      </w:tr>
      <w:tr>
        <w:trPr>
          <w:trHeight w:val="225"/>
        </w:trPr>
        <w:tc>
          <w:tcPr>
            <w:tcW w:w="3597"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856"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93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7957"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it-IT" w:eastAsia="en-IE"/>
              </w:rPr>
            </w:pPr>
            <w:r>
              <w:rPr>
                <w:rFonts w:eastAsia="Times New Roman"/>
                <w:b/>
                <w:bCs/>
                <w:noProof/>
                <w:sz w:val="16"/>
                <w:szCs w:val="16"/>
                <w:lang w:val="it-IT" w:eastAsia="en-IE"/>
              </w:rPr>
              <w:t>FDI EU28 with Tunisia (mio €)</w:t>
            </w:r>
          </w:p>
        </w:tc>
      </w:tr>
      <w:tr>
        <w:trPr>
          <w:trHeight w:val="225"/>
        </w:trPr>
        <w:tc>
          <w:tcPr>
            <w:tcW w:w="3597"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val="it-IT" w:eastAsia="en-IE"/>
              </w:rPr>
            </w:pPr>
            <w:r>
              <w:rPr>
                <w:rFonts w:eastAsia="Times New Roman"/>
                <w:noProof/>
                <w:sz w:val="16"/>
                <w:szCs w:val="16"/>
                <w:lang w:val="it-IT" w:eastAsia="en-IE"/>
              </w:rPr>
              <w:t> </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93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7957"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Stocks</w:t>
            </w:r>
          </w:p>
        </w:tc>
      </w:tr>
      <w:tr>
        <w:trPr>
          <w:trHeight w:val="225"/>
        </w:trPr>
        <w:tc>
          <w:tcPr>
            <w:tcW w:w="35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248</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284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357</w:t>
            </w:r>
          </w:p>
        </w:tc>
      </w:tr>
      <w:tr>
        <w:trPr>
          <w:trHeight w:val="225"/>
        </w:trPr>
        <w:tc>
          <w:tcPr>
            <w:tcW w:w="35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2.945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4.307</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4.026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4.181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4.019</w:t>
            </w:r>
          </w:p>
        </w:tc>
      </w:tr>
      <w:tr>
        <w:trPr>
          <w:trHeight w:val="225"/>
        </w:trPr>
        <w:tc>
          <w:tcPr>
            <w:tcW w:w="7957"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Flows</w:t>
            </w:r>
          </w:p>
        </w:tc>
      </w:tr>
      <w:tr>
        <w:trPr>
          <w:trHeight w:val="225"/>
        </w:trPr>
        <w:tc>
          <w:tcPr>
            <w:tcW w:w="35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52</w:t>
            </w:r>
          </w:p>
        </w:tc>
      </w:tr>
      <w:tr>
        <w:trPr>
          <w:trHeight w:val="225"/>
        </w:trPr>
        <w:tc>
          <w:tcPr>
            <w:tcW w:w="359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92</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754</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503</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734</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351</w:t>
            </w:r>
          </w:p>
        </w:tc>
      </w:tr>
      <w:tr>
        <w:trPr>
          <w:trHeight w:val="225"/>
        </w:trPr>
        <w:tc>
          <w:tcPr>
            <w:tcW w:w="3597" w:type="dxa"/>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856"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93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bl>
    <w:p>
      <w:pPr>
        <w:rPr>
          <w:noProof/>
          <w:lang w:val="en-IE"/>
        </w:rPr>
      </w:pPr>
    </w:p>
    <w:p>
      <w:pPr>
        <w:rPr>
          <w:noProof/>
        </w:rPr>
      </w:pPr>
    </w:p>
    <w:p>
      <w:pPr>
        <w:spacing w:after="200" w:line="276" w:lineRule="auto"/>
        <w:rPr>
          <w:noProof/>
        </w:rPr>
      </w:pPr>
      <w:r>
        <w:rPr>
          <w:noProof/>
        </w:rPr>
        <w:br w:type="page"/>
      </w:r>
    </w:p>
    <w:p>
      <w:pPr>
        <w:pStyle w:val="ChapterHead"/>
        <w:jc w:val="both"/>
        <w:rPr>
          <w:b/>
          <w:noProof/>
        </w:rPr>
      </w:pPr>
      <w:bookmarkStart w:id="2654" w:name="_Toc8833673"/>
      <w:bookmarkStart w:id="2655" w:name="_Toc8835500"/>
      <w:bookmarkStart w:id="2656" w:name="_Toc8834130"/>
      <w:bookmarkStart w:id="2657" w:name="_Toc8909593"/>
      <w:bookmarkStart w:id="2658" w:name="_Toc8910805"/>
      <w:bookmarkStart w:id="2659" w:name="_Toc8911842"/>
      <w:bookmarkStart w:id="2660" w:name="_Toc8974663"/>
      <w:bookmarkStart w:id="2661" w:name="_Toc9008316"/>
      <w:bookmarkStart w:id="2662" w:name="_Toc9008719"/>
      <w:bookmarkStart w:id="2663" w:name="_Toc9348715"/>
      <w:bookmarkStart w:id="2664" w:name="_Toc9608166"/>
      <w:bookmarkStart w:id="2665" w:name="_Toc16000733"/>
      <w:r>
        <w:rPr>
          <w:b/>
          <w:noProof/>
        </w:rPr>
        <w:t>FIRST GENERATION FREE TRADE AGREEMENTS WITH THE WESTERN BALKAN PARTNERS</w:t>
      </w:r>
      <w:bookmarkEnd w:id="2654"/>
      <w:bookmarkEnd w:id="2655"/>
      <w:bookmarkEnd w:id="2656"/>
      <w:bookmarkEnd w:id="2657"/>
      <w:bookmarkEnd w:id="2658"/>
      <w:bookmarkEnd w:id="2659"/>
      <w:bookmarkEnd w:id="2660"/>
      <w:bookmarkEnd w:id="2661"/>
      <w:bookmarkEnd w:id="2662"/>
      <w:bookmarkEnd w:id="2663"/>
      <w:bookmarkEnd w:id="2664"/>
      <w:bookmarkEnd w:id="2665"/>
    </w:p>
    <w:p>
      <w:pPr>
        <w:spacing w:after="200" w:line="276" w:lineRule="auto"/>
        <w:rPr>
          <w:noProof/>
        </w:rPr>
      </w:pPr>
      <w:r>
        <w:rPr>
          <w:noProof/>
        </w:rPr>
        <w:br w:type="page"/>
      </w:r>
    </w:p>
    <w:p>
      <w:pPr>
        <w:pStyle w:val="ChapterHead"/>
        <w:jc w:val="both"/>
        <w:rPr>
          <w:b/>
          <w:noProof/>
        </w:rPr>
      </w:pPr>
      <w:bookmarkStart w:id="2666" w:name="_Toc8833674"/>
      <w:bookmarkStart w:id="2667" w:name="_Toc8835501"/>
      <w:bookmarkStart w:id="2668" w:name="_Toc8834131"/>
      <w:bookmarkStart w:id="2669" w:name="_Toc8909594"/>
      <w:bookmarkStart w:id="2670" w:name="_Toc8910806"/>
      <w:bookmarkStart w:id="2671" w:name="_Toc8911843"/>
      <w:bookmarkStart w:id="2672" w:name="_Toc8974664"/>
      <w:bookmarkStart w:id="2673" w:name="_Toc9008317"/>
      <w:bookmarkStart w:id="2674" w:name="_Toc9008720"/>
      <w:bookmarkStart w:id="2675" w:name="_Toc9348716"/>
      <w:bookmarkStart w:id="2676" w:name="_Toc9608167"/>
      <w:bookmarkStart w:id="2677" w:name="_Toc16000734"/>
      <w:r>
        <w:rPr>
          <w:b/>
          <w:noProof/>
        </w:rPr>
        <w:t>ANNUAL INFO SHEET ON THE IMPLEMENTATION OF THE TRADE PILLAR OF THE EU-ALBANIA STABILISATION AND ASSOCIATION AGREEMENT</w:t>
      </w:r>
      <w:bookmarkEnd w:id="2666"/>
      <w:bookmarkEnd w:id="2667"/>
      <w:bookmarkEnd w:id="2668"/>
      <w:bookmarkEnd w:id="2669"/>
      <w:bookmarkEnd w:id="2670"/>
      <w:bookmarkEnd w:id="2671"/>
      <w:bookmarkEnd w:id="2672"/>
      <w:bookmarkEnd w:id="2673"/>
      <w:bookmarkEnd w:id="2674"/>
      <w:bookmarkEnd w:id="2675"/>
      <w:bookmarkEnd w:id="2676"/>
      <w:bookmarkEnd w:id="2677"/>
    </w:p>
    <w:p>
      <w:pPr>
        <w:pStyle w:val="ManualHeading1"/>
      </w:pPr>
      <w:bookmarkStart w:id="2678" w:name="_Toc8833675"/>
      <w:bookmarkStart w:id="2679" w:name="_Toc8835502"/>
      <w:bookmarkStart w:id="2680" w:name="_Toc8834132"/>
      <w:bookmarkStart w:id="2681" w:name="_Toc8909595"/>
      <w:bookmarkStart w:id="2682" w:name="_Toc8910807"/>
      <w:bookmarkStart w:id="2683" w:name="_Toc8911844"/>
      <w:bookmarkStart w:id="2684" w:name="_Toc8974665"/>
      <w:bookmarkStart w:id="2685" w:name="_Toc9008318"/>
      <w:bookmarkStart w:id="2686" w:name="_Toc9008721"/>
      <w:bookmarkStart w:id="2687" w:name="_Toc9348717"/>
      <w:bookmarkStart w:id="2688" w:name="_Toc9608168"/>
      <w:bookmarkStart w:id="2689" w:name="_Toc16000735"/>
      <w:r>
        <w:t>1.</w:t>
      </w:r>
      <w:r>
        <w:tab/>
        <w:t>Introduction</w:t>
      </w:r>
      <w:bookmarkEnd w:id="2678"/>
      <w:bookmarkEnd w:id="2679"/>
      <w:bookmarkEnd w:id="2680"/>
      <w:bookmarkEnd w:id="2681"/>
      <w:bookmarkEnd w:id="2682"/>
      <w:bookmarkEnd w:id="2683"/>
      <w:bookmarkEnd w:id="2684"/>
      <w:bookmarkEnd w:id="2685"/>
      <w:bookmarkEnd w:id="2686"/>
      <w:bookmarkEnd w:id="2687"/>
      <w:bookmarkEnd w:id="2688"/>
      <w:bookmarkEnd w:id="2689"/>
    </w:p>
    <w:p>
      <w:pPr>
        <w:jc w:val="both"/>
        <w:rPr>
          <w:noProof/>
        </w:rPr>
      </w:pPr>
      <w:r>
        <w:rPr>
          <w:noProof/>
        </w:rPr>
        <w:t>On 12 June 2006, the EU and Albania signed a Stabilisation and Association Agreement (SAA). The SAA is the prime instrument of the EU’s overall policy towards the Western Balkan countries’ Stabilisation and Association process</w:t>
      </w:r>
      <w:r>
        <w:rPr>
          <w:rStyle w:val="FootnoteReference"/>
          <w:noProof/>
        </w:rPr>
        <w:footnoteReference w:id="79"/>
      </w:r>
      <w:r>
        <w:rPr>
          <w:noProof/>
        </w:rPr>
        <w:t xml:space="preserve">. Under this process, all Western Balkans countries, including Albania, have a common future as EU Member States.  </w:t>
      </w:r>
    </w:p>
    <w:p>
      <w:pPr>
        <w:jc w:val="both"/>
        <w:rPr>
          <w:noProof/>
        </w:rPr>
      </w:pPr>
    </w:p>
    <w:p>
      <w:pPr>
        <w:jc w:val="both"/>
        <w:rPr>
          <w:noProof/>
        </w:rPr>
      </w:pPr>
      <w:r>
        <w:rPr>
          <w:noProof/>
        </w:rPr>
        <w:t xml:space="preserve">The full SAA entered into force on 1 April 2009, however, the trade-related part of the SAA already entered into force through an Interim Agreement on 1 December 2006 (hereinafter ‘the Agreement’). This Agreement established a free-trade area over a transitional period of ten years. As regards the EU, in 2006, 98.7% of its tariff lines were already duty-free, representing 100% of the value of imports from Albania. By 2010, Albania liberalised 92.7% of tariff lines for imports from the EU. </w:t>
      </w:r>
    </w:p>
    <w:p>
      <w:pPr>
        <w:jc w:val="both"/>
        <w:rPr>
          <w:noProof/>
        </w:rPr>
      </w:pPr>
    </w:p>
    <w:p>
      <w:pPr>
        <w:jc w:val="both"/>
        <w:rPr>
          <w:noProof/>
        </w:rPr>
      </w:pPr>
      <w:r>
        <w:rPr>
          <w:noProof/>
        </w:rPr>
        <w:t xml:space="preserve">The Agreement covers products in all Chapters of the Harmonised System. Regarding agricultural products the agreement is largely asymmetrical. EU agricultural imports from Albania are almost completely liberalised (with very few exceptions). On the other hand, EU agricultural exports to Albania are subject to tariffs and tariff rate quotas (TRQs).   </w:t>
      </w:r>
    </w:p>
    <w:p>
      <w:pPr>
        <w:jc w:val="both"/>
        <w:rPr>
          <w:noProof/>
        </w:rPr>
      </w:pPr>
    </w:p>
    <w:p>
      <w:pPr>
        <w:jc w:val="both"/>
        <w:rPr>
          <w:noProof/>
        </w:rPr>
      </w:pPr>
      <w:r>
        <w:rPr>
          <w:noProof/>
        </w:rPr>
        <w:t>The Agreement also includes provisions concerning competition matters, investment and related payments, a high level of protection of intellectual property rights and strengthened co-operation in customs matters. Since the entry into force of the full SAA on 1 April 2009, a number of additional disciplines are being implemented concerning, notably, government procurement, legislative approximation in many areas including standardisation, as well as provisions regarding services and establishment.</w:t>
      </w:r>
    </w:p>
    <w:p>
      <w:pPr>
        <w:pStyle w:val="ManualHeading1"/>
      </w:pPr>
      <w:bookmarkStart w:id="2690" w:name="_Toc8833676"/>
      <w:bookmarkStart w:id="2691" w:name="_Toc8835503"/>
      <w:bookmarkStart w:id="2692" w:name="_Toc8834133"/>
      <w:bookmarkStart w:id="2693" w:name="_Toc8909596"/>
      <w:bookmarkStart w:id="2694" w:name="_Toc8910808"/>
      <w:bookmarkStart w:id="2695" w:name="_Toc8911845"/>
      <w:bookmarkStart w:id="2696" w:name="_Toc8974666"/>
      <w:bookmarkStart w:id="2697" w:name="_Toc9008319"/>
      <w:bookmarkStart w:id="2698" w:name="_Toc9008722"/>
      <w:bookmarkStart w:id="2699" w:name="_Toc9348718"/>
      <w:bookmarkStart w:id="2700" w:name="_Toc9608169"/>
      <w:bookmarkStart w:id="2701" w:name="_Toc16000736"/>
      <w:r>
        <w:t>2.</w:t>
      </w:r>
      <w:r>
        <w:tab/>
        <w:t>Evolution of trade</w:t>
      </w:r>
      <w:bookmarkEnd w:id="2690"/>
      <w:bookmarkEnd w:id="2691"/>
      <w:bookmarkEnd w:id="2692"/>
      <w:bookmarkEnd w:id="2693"/>
      <w:bookmarkEnd w:id="2694"/>
      <w:bookmarkEnd w:id="2695"/>
      <w:bookmarkEnd w:id="2696"/>
      <w:bookmarkEnd w:id="2697"/>
      <w:bookmarkEnd w:id="2698"/>
      <w:bookmarkEnd w:id="2699"/>
      <w:bookmarkEnd w:id="2700"/>
      <w:bookmarkEnd w:id="2701"/>
    </w:p>
    <w:p>
      <w:pPr>
        <w:pStyle w:val="Heading2"/>
        <w:ind w:left="0" w:firstLine="0"/>
      </w:pPr>
      <w:bookmarkStart w:id="2702" w:name="_Toc8833677"/>
      <w:bookmarkStart w:id="2703" w:name="_Toc8835504"/>
      <w:bookmarkStart w:id="2704" w:name="_Toc8834134"/>
      <w:bookmarkStart w:id="2705" w:name="_Toc8909597"/>
      <w:bookmarkStart w:id="2706" w:name="_Toc8910809"/>
      <w:bookmarkStart w:id="2707" w:name="_Toc8911846"/>
      <w:bookmarkStart w:id="2708" w:name="_Toc8974667"/>
      <w:bookmarkStart w:id="2709" w:name="_Toc9008320"/>
      <w:bookmarkStart w:id="2710" w:name="_Toc9008723"/>
      <w:bookmarkStart w:id="2711" w:name="_Toc9348719"/>
      <w:bookmarkStart w:id="2712" w:name="_Toc9608170"/>
      <w:bookmarkStart w:id="2713" w:name="_Toc16000737"/>
      <w:r>
        <w:t>2.1 Trade in Goods</w:t>
      </w:r>
      <w:bookmarkEnd w:id="2702"/>
      <w:bookmarkEnd w:id="2703"/>
      <w:bookmarkEnd w:id="2704"/>
      <w:bookmarkEnd w:id="2705"/>
      <w:bookmarkEnd w:id="2706"/>
      <w:bookmarkEnd w:id="2707"/>
      <w:bookmarkEnd w:id="2708"/>
      <w:bookmarkEnd w:id="2709"/>
      <w:bookmarkEnd w:id="2710"/>
      <w:bookmarkEnd w:id="2711"/>
      <w:bookmarkEnd w:id="2712"/>
      <w:bookmarkEnd w:id="2713"/>
    </w:p>
    <w:p>
      <w:pPr>
        <w:jc w:val="both"/>
        <w:rPr>
          <w:noProof/>
          <w:lang w:eastAsia="en-GB"/>
        </w:rPr>
      </w:pPr>
      <w:r>
        <w:rPr>
          <w:noProof/>
          <w:lang w:eastAsia="en-GB"/>
        </w:rPr>
        <w:t xml:space="preserve">Total bilateral trade between the EU and Albania increased by 10% between 2017 and 2018 reaching a total of </w:t>
      </w:r>
      <w:r>
        <w:rPr>
          <w:b/>
          <w:bCs/>
          <w:noProof/>
          <w:lang w:eastAsia="en-GB"/>
        </w:rPr>
        <w:t>€5 billion</w:t>
      </w:r>
      <w:r>
        <w:rPr>
          <w:noProof/>
          <w:lang w:eastAsia="en-GB"/>
        </w:rPr>
        <w:t>. This represents a 150% increase in trade since the implementation of the trade agreement in 2006. The EU remains Albania’s first trading partner accounting for 76% of total exports and 62% of total imports of goods. More specifically, Germany, Greece, Italy, and Spain are responsible for 73% of the EU’s exports to Albania and 85% of the EU’s imports from Albania. The main traded products concern the following sectors: machinery and appliances; footwear; hats and other headgear; textiles and textile articles and mineral products. The overall trade balance is in favour of the EU, which has enjoyed a stable surplus of €1.4 billion over the last 3 years, which is partly offset by a small surplus in the balance of services.</w:t>
      </w:r>
    </w:p>
    <w:p>
      <w:pPr>
        <w:rPr>
          <w:noProof/>
          <w:lang w:eastAsia="en-GB"/>
        </w:rPr>
      </w:pPr>
    </w:p>
    <w:p>
      <w:pPr>
        <w:pStyle w:val="Heading2"/>
        <w:ind w:left="0" w:firstLine="0"/>
      </w:pPr>
      <w:bookmarkStart w:id="2714" w:name="_Toc8833678"/>
      <w:bookmarkStart w:id="2715" w:name="_Toc8835505"/>
      <w:bookmarkStart w:id="2716" w:name="_Toc8834135"/>
      <w:bookmarkStart w:id="2717" w:name="_Toc8909598"/>
      <w:bookmarkStart w:id="2718" w:name="_Toc8910810"/>
      <w:bookmarkStart w:id="2719" w:name="_Toc8911847"/>
      <w:bookmarkStart w:id="2720" w:name="_Toc8974668"/>
      <w:bookmarkStart w:id="2721" w:name="_Toc9008321"/>
      <w:bookmarkStart w:id="2722" w:name="_Toc9008724"/>
      <w:bookmarkStart w:id="2723" w:name="_Toc9348720"/>
      <w:bookmarkStart w:id="2724" w:name="_Toc9608171"/>
      <w:bookmarkStart w:id="2725" w:name="_Toc16000738"/>
      <w:r>
        <w:t>2.2 Trade in agricultural goods</w:t>
      </w:r>
      <w:bookmarkEnd w:id="2714"/>
      <w:bookmarkEnd w:id="2715"/>
      <w:bookmarkEnd w:id="2716"/>
      <w:bookmarkEnd w:id="2717"/>
      <w:bookmarkEnd w:id="2718"/>
      <w:bookmarkEnd w:id="2719"/>
      <w:bookmarkEnd w:id="2720"/>
      <w:bookmarkEnd w:id="2721"/>
      <w:bookmarkEnd w:id="2722"/>
      <w:bookmarkEnd w:id="2723"/>
      <w:bookmarkEnd w:id="2724"/>
      <w:bookmarkEnd w:id="2725"/>
    </w:p>
    <w:p>
      <w:pPr>
        <w:jc w:val="both"/>
        <w:rPr>
          <w:noProof/>
          <w:lang w:eastAsia="en-GB"/>
        </w:rPr>
      </w:pPr>
      <w:r>
        <w:rPr>
          <w:noProof/>
          <w:lang w:eastAsia="en-GB"/>
        </w:rPr>
        <w:t xml:space="preserve">In 2018, trade in agricultural products increased by 8% reaching a total of </w:t>
      </w:r>
      <w:r>
        <w:rPr>
          <w:b/>
          <w:bCs/>
          <w:noProof/>
          <w:lang w:eastAsia="en-GB"/>
        </w:rPr>
        <w:t>€500 million</w:t>
      </w:r>
      <w:r>
        <w:rPr>
          <w:noProof/>
          <w:lang w:eastAsia="en-GB"/>
        </w:rPr>
        <w:t>, which represents 10% of the total bilateral trade. Only 5% of Albania’s exports to the EU are agricultural products versus 13% of all EU’s exports to Albania. However, another 5% of Albania’s exports include fishery products versus only 2% for the EU. The EU imported mainly edible vegetables, fruits and nuts, and oil seeds and oleaginous fruits from Albania and exported primarily beverages, food preparations and tobacco to Albania.</w:t>
      </w:r>
    </w:p>
    <w:p>
      <w:pPr>
        <w:jc w:val="both"/>
        <w:rPr>
          <w:noProof/>
          <w:lang w:eastAsia="en-GB"/>
        </w:rPr>
      </w:pPr>
    </w:p>
    <w:p>
      <w:pPr>
        <w:jc w:val="both"/>
        <w:rPr>
          <w:noProof/>
          <w:lang w:eastAsia="en-GB"/>
        </w:rPr>
      </w:pPr>
      <w:r>
        <w:rPr>
          <w:noProof/>
          <w:lang w:eastAsia="en-GB"/>
        </w:rPr>
        <w:t>A limited share of the EU-Albania agricultural trade is subject to duty-free Tariff Rate Quotas (TRQs).  Three out of five TRQs granted by Albania were fully utilised by EU exporters whereas two were not used or almost not used in 2018. On the EU side, the two TRQs in place for wine and sugar suffered again a low uptake from Albanian exporters in 2018 (see table below.</w:t>
      </w:r>
    </w:p>
    <w:p>
      <w:pPr>
        <w:jc w:val="both"/>
        <w:rPr>
          <w:noProof/>
          <w:lang w:eastAsia="en-GB"/>
        </w:rPr>
      </w:pPr>
    </w:p>
    <w:tbl>
      <w:tblPr>
        <w:tblW w:w="9520" w:type="dxa"/>
        <w:tblInd w:w="118" w:type="dxa"/>
        <w:tblLook w:val="04A0" w:firstRow="1" w:lastRow="0" w:firstColumn="1" w:lastColumn="0" w:noHBand="0" w:noVBand="1"/>
      </w:tblPr>
      <w:tblGrid>
        <w:gridCol w:w="1176"/>
        <w:gridCol w:w="4721"/>
        <w:gridCol w:w="1960"/>
        <w:gridCol w:w="1700"/>
      </w:tblGrid>
      <w:tr>
        <w:trPr>
          <w:trHeight w:val="315"/>
        </w:trPr>
        <w:tc>
          <w:tcPr>
            <w:tcW w:w="586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pPr>
              <w:jc w:val="center"/>
              <w:rPr>
                <w:rFonts w:eastAsia="Times New Roman"/>
                <w:b/>
                <w:bCs/>
                <w:noProof/>
                <w:color w:val="000000"/>
                <w:lang w:val="en-IE" w:eastAsia="en-IE"/>
              </w:rPr>
            </w:pPr>
            <w:r>
              <w:rPr>
                <w:rFonts w:eastAsia="Times New Roman"/>
                <w:b/>
                <w:bCs/>
                <w:noProof/>
                <w:color w:val="000000"/>
                <w:lang w:val="en-IE" w:eastAsia="en-IE"/>
              </w:rPr>
              <w:t>TRQ identification</w:t>
            </w:r>
          </w:p>
        </w:tc>
        <w:tc>
          <w:tcPr>
            <w:tcW w:w="1960" w:type="dxa"/>
            <w:tcBorders>
              <w:top w:val="single" w:sz="8" w:space="0" w:color="auto"/>
              <w:left w:val="nil"/>
              <w:bottom w:val="single" w:sz="4" w:space="0" w:color="auto"/>
              <w:right w:val="single" w:sz="8" w:space="0" w:color="auto"/>
            </w:tcBorders>
            <w:shd w:val="clear" w:color="auto" w:fill="auto"/>
            <w:noWrap/>
            <w:vAlign w:val="bottom"/>
            <w:hideMark/>
          </w:tcPr>
          <w:p>
            <w:pPr>
              <w:jc w:val="center"/>
              <w:rPr>
                <w:rFonts w:eastAsia="Times New Roman"/>
                <w:b/>
                <w:bCs/>
                <w:noProof/>
                <w:color w:val="000000"/>
                <w:lang w:val="en-IE" w:eastAsia="en-IE"/>
              </w:rPr>
            </w:pPr>
            <w:r>
              <w:rPr>
                <w:rFonts w:eastAsia="Times New Roman"/>
                <w:b/>
                <w:bCs/>
                <w:noProof/>
                <w:color w:val="000000"/>
                <w:lang w:val="en-IE" w:eastAsia="en-IE"/>
              </w:rPr>
              <w:t>TRQ availability</w:t>
            </w:r>
          </w:p>
        </w:tc>
        <w:tc>
          <w:tcPr>
            <w:tcW w:w="1700" w:type="dxa"/>
            <w:tcBorders>
              <w:top w:val="single" w:sz="8" w:space="0" w:color="auto"/>
              <w:left w:val="nil"/>
              <w:bottom w:val="single" w:sz="4" w:space="0" w:color="auto"/>
              <w:right w:val="single" w:sz="8" w:space="0" w:color="auto"/>
            </w:tcBorders>
            <w:shd w:val="clear" w:color="auto" w:fill="auto"/>
            <w:noWrap/>
            <w:vAlign w:val="bottom"/>
            <w:hideMark/>
          </w:tcPr>
          <w:p>
            <w:pPr>
              <w:jc w:val="center"/>
              <w:rPr>
                <w:rFonts w:eastAsia="Times New Roman"/>
                <w:b/>
                <w:bCs/>
                <w:noProof/>
                <w:color w:val="000000"/>
                <w:lang w:val="en-IE" w:eastAsia="en-IE"/>
              </w:rPr>
            </w:pPr>
            <w:r>
              <w:rPr>
                <w:rFonts w:eastAsia="Times New Roman"/>
                <w:b/>
                <w:bCs/>
                <w:noProof/>
                <w:color w:val="000000"/>
                <w:lang w:val="en-IE" w:eastAsia="en-IE"/>
              </w:rPr>
              <w:t>TRQ use</w:t>
            </w:r>
          </w:p>
        </w:tc>
      </w:tr>
      <w:tr>
        <w:trPr>
          <w:trHeight w:val="420"/>
        </w:trPr>
        <w:tc>
          <w:tcPr>
            <w:tcW w:w="1139" w:type="dxa"/>
            <w:tcBorders>
              <w:top w:val="nil"/>
              <w:left w:val="single" w:sz="8" w:space="0" w:color="auto"/>
              <w:bottom w:val="single" w:sz="8" w:space="0" w:color="auto"/>
              <w:right w:val="single" w:sz="4" w:space="0" w:color="auto"/>
            </w:tcBorders>
            <w:shd w:val="clear" w:color="auto" w:fill="auto"/>
            <w:noWrap/>
            <w:vAlign w:val="bottom"/>
            <w:hideMark/>
          </w:tcPr>
          <w:p>
            <w:pPr>
              <w:jc w:val="center"/>
              <w:rPr>
                <w:rFonts w:eastAsia="Times New Roman"/>
                <w:b/>
                <w:bCs/>
                <w:noProof/>
                <w:color w:val="000000"/>
                <w:lang w:val="en-IE" w:eastAsia="en-IE"/>
              </w:rPr>
            </w:pPr>
            <w:r>
              <w:rPr>
                <w:rFonts w:eastAsia="Times New Roman"/>
                <w:b/>
                <w:bCs/>
                <w:noProof/>
                <w:color w:val="000000"/>
                <w:lang w:val="en-IE" w:eastAsia="en-IE"/>
              </w:rPr>
              <w:t>Code</w:t>
            </w:r>
          </w:p>
        </w:tc>
        <w:tc>
          <w:tcPr>
            <w:tcW w:w="4721" w:type="dxa"/>
            <w:tcBorders>
              <w:top w:val="nil"/>
              <w:left w:val="nil"/>
              <w:bottom w:val="single" w:sz="8" w:space="0" w:color="auto"/>
              <w:right w:val="single" w:sz="8" w:space="0" w:color="auto"/>
            </w:tcBorders>
            <w:shd w:val="clear" w:color="auto" w:fill="auto"/>
            <w:noWrap/>
            <w:vAlign w:val="bottom"/>
            <w:hideMark/>
          </w:tcPr>
          <w:p>
            <w:pPr>
              <w:jc w:val="center"/>
              <w:rPr>
                <w:rFonts w:eastAsia="Times New Roman"/>
                <w:b/>
                <w:bCs/>
                <w:noProof/>
                <w:color w:val="000000"/>
                <w:lang w:val="en-IE" w:eastAsia="en-IE"/>
              </w:rPr>
            </w:pPr>
            <w:r>
              <w:rPr>
                <w:rFonts w:eastAsia="Times New Roman"/>
                <w:b/>
                <w:bCs/>
                <w:noProof/>
                <w:color w:val="000000"/>
                <w:lang w:val="en-IE" w:eastAsia="en-IE"/>
              </w:rPr>
              <w:t>Description of goods</w:t>
            </w:r>
          </w:p>
        </w:tc>
        <w:tc>
          <w:tcPr>
            <w:tcW w:w="1960" w:type="dxa"/>
            <w:tcBorders>
              <w:top w:val="nil"/>
              <w:left w:val="nil"/>
              <w:bottom w:val="single" w:sz="8" w:space="0" w:color="auto"/>
              <w:right w:val="single" w:sz="8" w:space="0" w:color="auto"/>
            </w:tcBorders>
            <w:shd w:val="clear" w:color="auto" w:fill="auto"/>
            <w:noWrap/>
            <w:vAlign w:val="bottom"/>
            <w:hideMark/>
          </w:tcPr>
          <w:p>
            <w:pPr>
              <w:jc w:val="center"/>
              <w:rPr>
                <w:rFonts w:eastAsia="Times New Roman"/>
                <w:b/>
                <w:bCs/>
                <w:noProof/>
                <w:color w:val="000000"/>
                <w:lang w:val="en-IE" w:eastAsia="en-IE"/>
              </w:rPr>
            </w:pPr>
            <w:r>
              <w:rPr>
                <w:rFonts w:eastAsia="Times New Roman"/>
                <w:b/>
                <w:bCs/>
                <w:noProof/>
                <w:color w:val="000000"/>
                <w:lang w:val="en-IE" w:eastAsia="en-IE"/>
              </w:rPr>
              <w:t>Weight</w:t>
            </w:r>
          </w:p>
        </w:tc>
        <w:tc>
          <w:tcPr>
            <w:tcW w:w="1700" w:type="dxa"/>
            <w:tcBorders>
              <w:top w:val="nil"/>
              <w:left w:val="nil"/>
              <w:bottom w:val="single" w:sz="8" w:space="0" w:color="auto"/>
              <w:right w:val="single" w:sz="8" w:space="0" w:color="auto"/>
            </w:tcBorders>
            <w:shd w:val="clear" w:color="auto" w:fill="auto"/>
            <w:noWrap/>
            <w:vAlign w:val="bottom"/>
            <w:hideMark/>
          </w:tcPr>
          <w:p>
            <w:pPr>
              <w:jc w:val="center"/>
              <w:rPr>
                <w:rFonts w:eastAsia="Times New Roman"/>
                <w:b/>
                <w:bCs/>
                <w:noProof/>
                <w:color w:val="000000"/>
                <w:lang w:val="en-IE" w:eastAsia="en-IE"/>
              </w:rPr>
            </w:pPr>
            <w:r>
              <w:rPr>
                <w:rFonts w:eastAsia="Times New Roman"/>
                <w:b/>
                <w:bCs/>
                <w:noProof/>
                <w:color w:val="000000"/>
                <w:lang w:val="en-IE" w:eastAsia="en-IE"/>
              </w:rPr>
              <w:t>Weight</w:t>
            </w:r>
          </w:p>
        </w:tc>
      </w:tr>
      <w:tr>
        <w:trPr>
          <w:trHeight w:val="156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pPr>
              <w:jc w:val="center"/>
              <w:rPr>
                <w:rFonts w:eastAsia="Times New Roman"/>
                <w:noProof/>
                <w:color w:val="000000"/>
                <w:lang w:val="en-IE" w:eastAsia="en-IE"/>
              </w:rPr>
            </w:pPr>
            <w:r>
              <w:rPr>
                <w:rFonts w:eastAsia="Times New Roman"/>
                <w:noProof/>
                <w:color w:val="000000"/>
                <w:lang w:val="en-IE" w:eastAsia="en-IE"/>
              </w:rPr>
              <w:t>04011010</w:t>
            </w:r>
          </w:p>
        </w:tc>
        <w:tc>
          <w:tcPr>
            <w:tcW w:w="4721" w:type="dxa"/>
            <w:tcBorders>
              <w:top w:val="nil"/>
              <w:left w:val="nil"/>
              <w:bottom w:val="single" w:sz="4" w:space="0" w:color="auto"/>
              <w:right w:val="single" w:sz="4" w:space="0" w:color="auto"/>
            </w:tcBorders>
            <w:shd w:val="clear" w:color="auto" w:fill="auto"/>
            <w:vAlign w:val="bottom"/>
            <w:hideMark/>
          </w:tcPr>
          <w:p>
            <w:pPr>
              <w:rPr>
                <w:rFonts w:eastAsia="Times New Roman"/>
                <w:noProof/>
                <w:color w:val="000000"/>
                <w:lang w:val="en-IE" w:eastAsia="en-IE"/>
              </w:rPr>
            </w:pPr>
            <w:r>
              <w:rPr>
                <w:rFonts w:eastAsia="Times New Roman"/>
                <w:noProof/>
                <w:color w:val="000000"/>
                <w:lang w:val="en-IE" w:eastAsia="en-IE"/>
              </w:rPr>
              <w:t>Milk and cream, not concentrated nor containing added sugar or other sweetening matter, of a fat content, by weight, not exceeding 1 %, in immediate packings of a net content not exceeding two litres</w:t>
            </w:r>
          </w:p>
        </w:tc>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pPr>
              <w:jc w:val="center"/>
              <w:rPr>
                <w:rFonts w:ascii="Calibri" w:eastAsia="Times New Roman" w:hAnsi="Calibri" w:cs="Calibri"/>
                <w:noProof/>
                <w:color w:val="000000"/>
                <w:sz w:val="22"/>
                <w:szCs w:val="22"/>
                <w:lang w:val="en-IE" w:eastAsia="en-IE"/>
              </w:rPr>
            </w:pPr>
            <w:r>
              <w:rPr>
                <w:rFonts w:ascii="Calibri" w:eastAsia="Times New Roman" w:hAnsi="Calibri" w:cs="Calibri"/>
                <w:noProof/>
                <w:color w:val="000000"/>
                <w:sz w:val="22"/>
                <w:szCs w:val="22"/>
                <w:lang w:val="en-IE" w:eastAsia="en-IE"/>
              </w:rPr>
              <w:t>790 tonnes</w:t>
            </w:r>
          </w:p>
        </w:tc>
        <w:tc>
          <w:tcPr>
            <w:tcW w:w="1700" w:type="dxa"/>
            <w:vMerge w:val="restart"/>
            <w:tcBorders>
              <w:top w:val="nil"/>
              <w:left w:val="single" w:sz="4" w:space="0" w:color="auto"/>
              <w:bottom w:val="single" w:sz="4" w:space="0" w:color="000000"/>
              <w:right w:val="single" w:sz="4" w:space="0" w:color="auto"/>
            </w:tcBorders>
            <w:shd w:val="clear" w:color="auto" w:fill="auto"/>
            <w:noWrap/>
            <w:vAlign w:val="center"/>
            <w:hideMark/>
          </w:tcPr>
          <w:p>
            <w:pPr>
              <w:jc w:val="center"/>
              <w:rPr>
                <w:rFonts w:ascii="Calibri" w:eastAsia="Times New Roman" w:hAnsi="Calibri" w:cs="Calibri"/>
                <w:noProof/>
                <w:color w:val="000000"/>
                <w:sz w:val="22"/>
                <w:szCs w:val="22"/>
                <w:lang w:val="en-IE" w:eastAsia="en-IE"/>
              </w:rPr>
            </w:pPr>
            <w:r>
              <w:rPr>
                <w:rFonts w:ascii="Calibri" w:eastAsia="Times New Roman" w:hAnsi="Calibri" w:cs="Calibri"/>
                <w:noProof/>
                <w:color w:val="000000"/>
                <w:sz w:val="22"/>
                <w:szCs w:val="22"/>
                <w:lang w:val="en-IE" w:eastAsia="en-IE"/>
              </w:rPr>
              <w:t>789.80 tonnes</w:t>
            </w:r>
          </w:p>
        </w:tc>
      </w:tr>
      <w:tr>
        <w:trPr>
          <w:trHeight w:val="1605"/>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pPr>
              <w:jc w:val="center"/>
              <w:rPr>
                <w:rFonts w:eastAsia="Times New Roman"/>
                <w:noProof/>
                <w:color w:val="000000"/>
                <w:lang w:val="en-IE" w:eastAsia="en-IE"/>
              </w:rPr>
            </w:pPr>
            <w:r>
              <w:rPr>
                <w:rFonts w:eastAsia="Times New Roman"/>
                <w:noProof/>
                <w:color w:val="000000"/>
                <w:lang w:val="en-IE" w:eastAsia="en-IE"/>
              </w:rPr>
              <w:t>04012011</w:t>
            </w:r>
          </w:p>
        </w:tc>
        <w:tc>
          <w:tcPr>
            <w:tcW w:w="4721" w:type="dxa"/>
            <w:tcBorders>
              <w:top w:val="nil"/>
              <w:left w:val="nil"/>
              <w:bottom w:val="single" w:sz="4" w:space="0" w:color="auto"/>
              <w:right w:val="single" w:sz="4" w:space="0" w:color="auto"/>
            </w:tcBorders>
            <w:shd w:val="clear" w:color="auto" w:fill="auto"/>
            <w:vAlign w:val="bottom"/>
            <w:hideMark/>
          </w:tcPr>
          <w:p>
            <w:pPr>
              <w:rPr>
                <w:rFonts w:eastAsia="Times New Roman"/>
                <w:noProof/>
                <w:color w:val="000000"/>
                <w:lang w:val="en-IE" w:eastAsia="en-IE"/>
              </w:rPr>
            </w:pPr>
            <w:r>
              <w:rPr>
                <w:rFonts w:eastAsia="Times New Roman"/>
                <w:noProof/>
                <w:color w:val="000000"/>
                <w:lang w:val="en-IE" w:eastAsia="en-IE"/>
              </w:rPr>
              <w:t>Milk and cream, not concentrated nor containing added sugar or other sweetening matter, of a fat content, by weight, not exceeding 3 %, in immediate packings of a net content not exceeding two litres</w:t>
            </w:r>
          </w:p>
        </w:tc>
        <w:tc>
          <w:tcPr>
            <w:tcW w:w="1960" w:type="dxa"/>
            <w:vMerge/>
            <w:tcBorders>
              <w:top w:val="nil"/>
              <w:left w:val="single" w:sz="4" w:space="0" w:color="auto"/>
              <w:bottom w:val="single" w:sz="4" w:space="0" w:color="000000"/>
              <w:right w:val="single" w:sz="4" w:space="0" w:color="auto"/>
            </w:tcBorders>
            <w:vAlign w:val="center"/>
            <w:hideMark/>
          </w:tcPr>
          <w:p>
            <w:pPr>
              <w:rPr>
                <w:rFonts w:ascii="Calibri" w:eastAsia="Times New Roman" w:hAnsi="Calibri" w:cs="Calibri"/>
                <w:noProof/>
                <w:color w:val="000000"/>
                <w:sz w:val="22"/>
                <w:szCs w:val="22"/>
                <w:lang w:val="en-IE" w:eastAsia="en-IE"/>
              </w:rPr>
            </w:pPr>
          </w:p>
        </w:tc>
        <w:tc>
          <w:tcPr>
            <w:tcW w:w="1700" w:type="dxa"/>
            <w:vMerge/>
            <w:tcBorders>
              <w:top w:val="nil"/>
              <w:left w:val="single" w:sz="4" w:space="0" w:color="auto"/>
              <w:bottom w:val="single" w:sz="4" w:space="0" w:color="000000"/>
              <w:right w:val="single" w:sz="4" w:space="0" w:color="auto"/>
            </w:tcBorders>
            <w:vAlign w:val="center"/>
            <w:hideMark/>
          </w:tcPr>
          <w:p>
            <w:pPr>
              <w:rPr>
                <w:rFonts w:ascii="Calibri" w:eastAsia="Times New Roman" w:hAnsi="Calibri" w:cs="Calibri"/>
                <w:noProof/>
                <w:color w:val="000000"/>
                <w:sz w:val="22"/>
                <w:szCs w:val="22"/>
                <w:lang w:val="en-IE" w:eastAsia="en-IE"/>
              </w:rPr>
            </w:pPr>
          </w:p>
        </w:tc>
      </w:tr>
      <w:tr>
        <w:trPr>
          <w:trHeight w:val="1605"/>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pPr>
              <w:jc w:val="center"/>
              <w:rPr>
                <w:rFonts w:eastAsia="Times New Roman"/>
                <w:noProof/>
                <w:color w:val="000000"/>
                <w:lang w:val="en-IE" w:eastAsia="en-IE"/>
              </w:rPr>
            </w:pPr>
            <w:r>
              <w:rPr>
                <w:rFonts w:eastAsia="Times New Roman"/>
                <w:noProof/>
                <w:color w:val="000000"/>
                <w:lang w:val="en-IE" w:eastAsia="en-IE"/>
              </w:rPr>
              <w:t>04012091</w:t>
            </w:r>
          </w:p>
        </w:tc>
        <w:tc>
          <w:tcPr>
            <w:tcW w:w="4721" w:type="dxa"/>
            <w:tcBorders>
              <w:top w:val="nil"/>
              <w:left w:val="nil"/>
              <w:bottom w:val="single" w:sz="4" w:space="0" w:color="auto"/>
              <w:right w:val="single" w:sz="4" w:space="0" w:color="auto"/>
            </w:tcBorders>
            <w:shd w:val="clear" w:color="auto" w:fill="auto"/>
            <w:vAlign w:val="bottom"/>
            <w:hideMark/>
          </w:tcPr>
          <w:p>
            <w:pPr>
              <w:rPr>
                <w:rFonts w:eastAsia="Times New Roman"/>
                <w:noProof/>
                <w:color w:val="000000"/>
                <w:lang w:val="en-IE" w:eastAsia="en-IE"/>
              </w:rPr>
            </w:pPr>
            <w:r>
              <w:rPr>
                <w:rFonts w:eastAsia="Times New Roman"/>
                <w:noProof/>
                <w:color w:val="000000"/>
                <w:lang w:val="en-IE" w:eastAsia="en-IE"/>
              </w:rPr>
              <w:t>Milk and cream, not concentrated nor containing added sugar or other sweetening matter, of a fat content, by weight, exceeding 3 %, in immediate packings of a net content not exceeding two litres</w:t>
            </w:r>
          </w:p>
        </w:tc>
        <w:tc>
          <w:tcPr>
            <w:tcW w:w="1960" w:type="dxa"/>
            <w:vMerge/>
            <w:tcBorders>
              <w:top w:val="nil"/>
              <w:left w:val="single" w:sz="4" w:space="0" w:color="auto"/>
              <w:bottom w:val="single" w:sz="4" w:space="0" w:color="000000"/>
              <w:right w:val="single" w:sz="4" w:space="0" w:color="auto"/>
            </w:tcBorders>
            <w:vAlign w:val="center"/>
            <w:hideMark/>
          </w:tcPr>
          <w:p>
            <w:pPr>
              <w:rPr>
                <w:rFonts w:ascii="Calibri" w:eastAsia="Times New Roman" w:hAnsi="Calibri" w:cs="Calibri"/>
                <w:noProof/>
                <w:color w:val="000000"/>
                <w:sz w:val="22"/>
                <w:szCs w:val="22"/>
                <w:lang w:val="en-IE" w:eastAsia="en-IE"/>
              </w:rPr>
            </w:pPr>
          </w:p>
        </w:tc>
        <w:tc>
          <w:tcPr>
            <w:tcW w:w="1700" w:type="dxa"/>
            <w:vMerge/>
            <w:tcBorders>
              <w:top w:val="nil"/>
              <w:left w:val="single" w:sz="4" w:space="0" w:color="auto"/>
              <w:bottom w:val="single" w:sz="4" w:space="0" w:color="000000"/>
              <w:right w:val="single" w:sz="4" w:space="0" w:color="auto"/>
            </w:tcBorders>
            <w:vAlign w:val="center"/>
            <w:hideMark/>
          </w:tcPr>
          <w:p>
            <w:pPr>
              <w:rPr>
                <w:rFonts w:ascii="Calibri" w:eastAsia="Times New Roman" w:hAnsi="Calibri" w:cs="Calibri"/>
                <w:noProof/>
                <w:color w:val="000000"/>
                <w:sz w:val="22"/>
                <w:szCs w:val="22"/>
                <w:lang w:val="en-IE" w:eastAsia="en-IE"/>
              </w:rPr>
            </w:pPr>
          </w:p>
        </w:tc>
      </w:tr>
      <w:tr>
        <w:trPr>
          <w:trHeight w:val="315"/>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pPr>
              <w:jc w:val="center"/>
              <w:rPr>
                <w:rFonts w:eastAsia="Times New Roman"/>
                <w:noProof/>
                <w:color w:val="000000"/>
                <w:lang w:val="en-IE" w:eastAsia="en-IE"/>
              </w:rPr>
            </w:pPr>
            <w:r>
              <w:rPr>
                <w:rFonts w:eastAsia="Times New Roman"/>
                <w:noProof/>
                <w:color w:val="000000"/>
                <w:lang w:val="en-IE" w:eastAsia="en-IE"/>
              </w:rPr>
              <w:t>10019120</w:t>
            </w:r>
          </w:p>
        </w:tc>
        <w:tc>
          <w:tcPr>
            <w:tcW w:w="4721"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lang w:val="en-IE" w:eastAsia="en-IE"/>
              </w:rPr>
            </w:pPr>
            <w:r>
              <w:rPr>
                <w:rFonts w:eastAsia="Times New Roman"/>
                <w:noProof/>
                <w:color w:val="000000"/>
                <w:lang w:val="en-IE" w:eastAsia="en-IE"/>
              </w:rPr>
              <w:t>Common wheat and meslin</w:t>
            </w:r>
          </w:p>
        </w:tc>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pPr>
              <w:jc w:val="center"/>
              <w:rPr>
                <w:rFonts w:ascii="Calibri" w:eastAsia="Times New Roman" w:hAnsi="Calibri" w:cs="Calibri"/>
                <w:noProof/>
                <w:color w:val="000000"/>
                <w:sz w:val="22"/>
                <w:szCs w:val="22"/>
                <w:lang w:val="en-IE" w:eastAsia="en-IE"/>
              </w:rPr>
            </w:pPr>
            <w:r>
              <w:rPr>
                <w:rFonts w:ascii="Calibri" w:eastAsia="Times New Roman" w:hAnsi="Calibri" w:cs="Calibri"/>
                <w:noProof/>
                <w:color w:val="000000"/>
                <w:sz w:val="22"/>
                <w:szCs w:val="22"/>
                <w:lang w:val="en-IE" w:eastAsia="en-IE"/>
              </w:rPr>
              <w:t>42,000 ton</w:t>
            </w:r>
          </w:p>
        </w:tc>
        <w:tc>
          <w:tcPr>
            <w:tcW w:w="1700" w:type="dxa"/>
            <w:vMerge w:val="restart"/>
            <w:tcBorders>
              <w:top w:val="nil"/>
              <w:left w:val="single" w:sz="4" w:space="0" w:color="auto"/>
              <w:bottom w:val="single" w:sz="4" w:space="0" w:color="000000"/>
              <w:right w:val="single" w:sz="4" w:space="0" w:color="auto"/>
            </w:tcBorders>
            <w:shd w:val="clear" w:color="auto" w:fill="auto"/>
            <w:noWrap/>
            <w:vAlign w:val="center"/>
            <w:hideMark/>
          </w:tcPr>
          <w:p>
            <w:pPr>
              <w:jc w:val="center"/>
              <w:rPr>
                <w:rFonts w:ascii="Calibri" w:eastAsia="Times New Roman" w:hAnsi="Calibri" w:cs="Calibri"/>
                <w:noProof/>
                <w:color w:val="000000"/>
                <w:sz w:val="22"/>
                <w:szCs w:val="22"/>
                <w:lang w:val="en-IE" w:eastAsia="en-IE"/>
              </w:rPr>
            </w:pPr>
            <w:r>
              <w:rPr>
                <w:rFonts w:ascii="Calibri" w:eastAsia="Times New Roman" w:hAnsi="Calibri" w:cs="Calibri"/>
                <w:noProof/>
                <w:color w:val="000000"/>
                <w:sz w:val="22"/>
                <w:szCs w:val="22"/>
                <w:lang w:val="en-IE" w:eastAsia="en-IE"/>
              </w:rPr>
              <w:t>471.61 tonnes</w:t>
            </w:r>
          </w:p>
        </w:tc>
      </w:tr>
      <w:tr>
        <w:trPr>
          <w:trHeight w:val="315"/>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pPr>
              <w:jc w:val="center"/>
              <w:rPr>
                <w:rFonts w:eastAsia="Times New Roman"/>
                <w:noProof/>
                <w:color w:val="000000"/>
                <w:lang w:val="en-IE" w:eastAsia="en-IE"/>
              </w:rPr>
            </w:pPr>
            <w:r>
              <w:rPr>
                <w:rFonts w:eastAsia="Times New Roman"/>
                <w:noProof/>
                <w:color w:val="000000"/>
                <w:lang w:val="en-IE" w:eastAsia="en-IE"/>
              </w:rPr>
              <w:t>10019900</w:t>
            </w:r>
          </w:p>
        </w:tc>
        <w:tc>
          <w:tcPr>
            <w:tcW w:w="4721"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lang w:val="en-IE" w:eastAsia="en-IE"/>
              </w:rPr>
            </w:pPr>
            <w:r>
              <w:rPr>
                <w:rFonts w:eastAsia="Times New Roman"/>
                <w:noProof/>
                <w:color w:val="000000"/>
                <w:lang w:val="en-IE" w:eastAsia="en-IE"/>
              </w:rPr>
              <w:t>Other</w:t>
            </w:r>
          </w:p>
        </w:tc>
        <w:tc>
          <w:tcPr>
            <w:tcW w:w="1960" w:type="dxa"/>
            <w:vMerge/>
            <w:tcBorders>
              <w:top w:val="nil"/>
              <w:left w:val="single" w:sz="4" w:space="0" w:color="auto"/>
              <w:bottom w:val="single" w:sz="4" w:space="0" w:color="000000"/>
              <w:right w:val="single" w:sz="4" w:space="0" w:color="auto"/>
            </w:tcBorders>
            <w:vAlign w:val="center"/>
            <w:hideMark/>
          </w:tcPr>
          <w:p>
            <w:pPr>
              <w:rPr>
                <w:rFonts w:ascii="Calibri" w:eastAsia="Times New Roman" w:hAnsi="Calibri" w:cs="Calibri"/>
                <w:noProof/>
                <w:color w:val="000000"/>
                <w:sz w:val="22"/>
                <w:szCs w:val="22"/>
                <w:lang w:val="en-IE" w:eastAsia="en-IE"/>
              </w:rPr>
            </w:pPr>
          </w:p>
        </w:tc>
        <w:tc>
          <w:tcPr>
            <w:tcW w:w="1700" w:type="dxa"/>
            <w:vMerge/>
            <w:tcBorders>
              <w:top w:val="nil"/>
              <w:left w:val="single" w:sz="4" w:space="0" w:color="auto"/>
              <w:bottom w:val="single" w:sz="4" w:space="0" w:color="000000"/>
              <w:right w:val="single" w:sz="4" w:space="0" w:color="auto"/>
            </w:tcBorders>
            <w:vAlign w:val="center"/>
            <w:hideMark/>
          </w:tcPr>
          <w:p>
            <w:pPr>
              <w:rPr>
                <w:rFonts w:ascii="Calibri" w:eastAsia="Times New Roman" w:hAnsi="Calibri" w:cs="Calibri"/>
                <w:noProof/>
                <w:color w:val="000000"/>
                <w:sz w:val="22"/>
                <w:szCs w:val="22"/>
                <w:lang w:val="en-IE" w:eastAsia="en-IE"/>
              </w:rPr>
            </w:pPr>
          </w:p>
        </w:tc>
      </w:tr>
      <w:tr>
        <w:trPr>
          <w:trHeight w:val="315"/>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pPr>
              <w:jc w:val="center"/>
              <w:rPr>
                <w:rFonts w:eastAsia="Times New Roman"/>
                <w:noProof/>
                <w:color w:val="000000"/>
                <w:lang w:val="en-IE" w:eastAsia="en-IE"/>
              </w:rPr>
            </w:pPr>
            <w:r>
              <w:rPr>
                <w:rFonts w:eastAsia="Times New Roman"/>
                <w:noProof/>
                <w:color w:val="000000"/>
                <w:lang w:val="en-IE" w:eastAsia="en-IE"/>
              </w:rPr>
              <w:t>10059000</w:t>
            </w:r>
          </w:p>
        </w:tc>
        <w:tc>
          <w:tcPr>
            <w:tcW w:w="4721"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lang w:val="en-IE" w:eastAsia="en-IE"/>
              </w:rPr>
            </w:pPr>
            <w:r>
              <w:rPr>
                <w:rFonts w:eastAsia="Times New Roman"/>
                <w:noProof/>
                <w:color w:val="000000"/>
                <w:lang w:val="en-IE" w:eastAsia="en-IE"/>
              </w:rPr>
              <w:t>Maize  (except seeds)</w:t>
            </w:r>
          </w:p>
        </w:tc>
        <w:tc>
          <w:tcPr>
            <w:tcW w:w="1960" w:type="dxa"/>
            <w:tcBorders>
              <w:top w:val="nil"/>
              <w:left w:val="nil"/>
              <w:bottom w:val="single" w:sz="4" w:space="0" w:color="auto"/>
              <w:right w:val="single" w:sz="4" w:space="0" w:color="auto"/>
            </w:tcBorders>
            <w:shd w:val="clear" w:color="auto" w:fill="auto"/>
            <w:noWrap/>
            <w:vAlign w:val="bottom"/>
            <w:hideMark/>
          </w:tcPr>
          <w:p>
            <w:pPr>
              <w:jc w:val="center"/>
              <w:rPr>
                <w:rFonts w:ascii="Calibri" w:eastAsia="Times New Roman" w:hAnsi="Calibri" w:cs="Calibri"/>
                <w:noProof/>
                <w:color w:val="000000"/>
                <w:sz w:val="22"/>
                <w:szCs w:val="22"/>
                <w:lang w:val="en-IE" w:eastAsia="en-IE"/>
              </w:rPr>
            </w:pPr>
            <w:r>
              <w:rPr>
                <w:rFonts w:ascii="Calibri" w:eastAsia="Times New Roman" w:hAnsi="Calibri" w:cs="Calibri"/>
                <w:noProof/>
                <w:color w:val="000000"/>
                <w:sz w:val="22"/>
                <w:szCs w:val="22"/>
                <w:lang w:val="en-IE" w:eastAsia="en-IE"/>
              </w:rPr>
              <w:t>10,000 ton</w:t>
            </w:r>
          </w:p>
        </w:tc>
        <w:tc>
          <w:tcPr>
            <w:tcW w:w="1700" w:type="dxa"/>
            <w:tcBorders>
              <w:top w:val="nil"/>
              <w:left w:val="nil"/>
              <w:bottom w:val="single" w:sz="4" w:space="0" w:color="auto"/>
              <w:right w:val="single" w:sz="4" w:space="0" w:color="auto"/>
            </w:tcBorders>
            <w:shd w:val="clear" w:color="auto" w:fill="auto"/>
            <w:noWrap/>
            <w:vAlign w:val="bottom"/>
            <w:hideMark/>
          </w:tcPr>
          <w:p>
            <w:pPr>
              <w:jc w:val="center"/>
              <w:rPr>
                <w:rFonts w:ascii="Calibri" w:eastAsia="Times New Roman" w:hAnsi="Calibri" w:cs="Calibri"/>
                <w:noProof/>
                <w:color w:val="000000"/>
                <w:sz w:val="22"/>
                <w:szCs w:val="22"/>
                <w:lang w:val="en-IE" w:eastAsia="en-IE"/>
              </w:rPr>
            </w:pPr>
            <w:r>
              <w:rPr>
                <w:rFonts w:ascii="Calibri" w:eastAsia="Times New Roman" w:hAnsi="Calibri" w:cs="Calibri"/>
                <w:noProof/>
                <w:color w:val="000000"/>
                <w:sz w:val="22"/>
                <w:szCs w:val="22"/>
                <w:lang w:val="en-IE" w:eastAsia="en-IE"/>
              </w:rPr>
              <w:t>0 tonne</w:t>
            </w:r>
          </w:p>
        </w:tc>
      </w:tr>
      <w:tr>
        <w:trPr>
          <w:trHeight w:val="315"/>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pPr>
              <w:jc w:val="center"/>
              <w:rPr>
                <w:rFonts w:eastAsia="Times New Roman"/>
                <w:noProof/>
                <w:color w:val="000000"/>
                <w:lang w:val="en-IE" w:eastAsia="en-IE"/>
              </w:rPr>
            </w:pPr>
            <w:r>
              <w:rPr>
                <w:rFonts w:eastAsia="Times New Roman"/>
                <w:noProof/>
                <w:color w:val="000000"/>
                <w:lang w:val="en-IE" w:eastAsia="en-IE"/>
              </w:rPr>
              <w:t>220410</w:t>
            </w:r>
          </w:p>
        </w:tc>
        <w:tc>
          <w:tcPr>
            <w:tcW w:w="4721"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lang w:val="en-IE" w:eastAsia="en-IE"/>
              </w:rPr>
            </w:pPr>
            <w:r>
              <w:rPr>
                <w:rFonts w:eastAsia="Times New Roman"/>
                <w:noProof/>
                <w:color w:val="000000"/>
                <w:lang w:val="en-IE" w:eastAsia="en-IE"/>
              </w:rPr>
              <w:t>Sparkling wine</w:t>
            </w:r>
          </w:p>
        </w:tc>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pPr>
              <w:jc w:val="center"/>
              <w:rPr>
                <w:rFonts w:ascii="Calibri" w:eastAsia="Times New Roman" w:hAnsi="Calibri" w:cs="Calibri"/>
                <w:noProof/>
                <w:color w:val="000000"/>
                <w:sz w:val="22"/>
                <w:szCs w:val="22"/>
                <w:lang w:val="en-IE" w:eastAsia="en-IE"/>
              </w:rPr>
            </w:pPr>
            <w:r>
              <w:rPr>
                <w:rFonts w:ascii="Calibri" w:eastAsia="Times New Roman" w:hAnsi="Calibri" w:cs="Calibri"/>
                <w:noProof/>
                <w:color w:val="000000"/>
                <w:sz w:val="22"/>
                <w:szCs w:val="22"/>
                <w:lang w:val="en-IE" w:eastAsia="en-IE"/>
              </w:rPr>
              <w:t>10,000 HL</w:t>
            </w:r>
          </w:p>
        </w:tc>
        <w:tc>
          <w:tcPr>
            <w:tcW w:w="1700" w:type="dxa"/>
            <w:vMerge w:val="restart"/>
            <w:tcBorders>
              <w:top w:val="nil"/>
              <w:left w:val="single" w:sz="4" w:space="0" w:color="auto"/>
              <w:bottom w:val="single" w:sz="4" w:space="0" w:color="000000"/>
              <w:right w:val="single" w:sz="4" w:space="0" w:color="auto"/>
            </w:tcBorders>
            <w:shd w:val="clear" w:color="auto" w:fill="auto"/>
            <w:noWrap/>
            <w:vAlign w:val="center"/>
            <w:hideMark/>
          </w:tcPr>
          <w:p>
            <w:pPr>
              <w:jc w:val="center"/>
              <w:rPr>
                <w:rFonts w:ascii="Calibri" w:eastAsia="Times New Roman" w:hAnsi="Calibri" w:cs="Calibri"/>
                <w:noProof/>
                <w:color w:val="000000"/>
                <w:sz w:val="22"/>
                <w:szCs w:val="22"/>
                <w:lang w:val="en-IE" w:eastAsia="en-IE"/>
              </w:rPr>
            </w:pPr>
            <w:r>
              <w:rPr>
                <w:rFonts w:ascii="Calibri" w:eastAsia="Times New Roman" w:hAnsi="Calibri" w:cs="Calibri"/>
                <w:noProof/>
                <w:color w:val="000000"/>
                <w:sz w:val="22"/>
                <w:szCs w:val="22"/>
                <w:lang w:val="en-IE" w:eastAsia="en-IE"/>
              </w:rPr>
              <w:t>10,000 HL</w:t>
            </w:r>
          </w:p>
        </w:tc>
      </w:tr>
      <w:tr>
        <w:trPr>
          <w:trHeight w:val="315"/>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pPr>
              <w:jc w:val="center"/>
              <w:rPr>
                <w:rFonts w:eastAsia="Times New Roman"/>
                <w:noProof/>
                <w:color w:val="000000"/>
                <w:lang w:val="en-IE" w:eastAsia="en-IE"/>
              </w:rPr>
            </w:pPr>
            <w:r>
              <w:rPr>
                <w:rFonts w:eastAsia="Times New Roman"/>
                <w:noProof/>
                <w:color w:val="000000"/>
                <w:lang w:val="en-IE" w:eastAsia="en-IE"/>
              </w:rPr>
              <w:t>220421</w:t>
            </w:r>
          </w:p>
        </w:tc>
        <w:tc>
          <w:tcPr>
            <w:tcW w:w="4721"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lang w:val="en-IE" w:eastAsia="en-IE"/>
              </w:rPr>
            </w:pPr>
            <w:r>
              <w:rPr>
                <w:rFonts w:eastAsia="Times New Roman"/>
                <w:noProof/>
                <w:color w:val="000000"/>
                <w:lang w:val="en-IE" w:eastAsia="en-IE"/>
              </w:rPr>
              <w:t>In containers holding 2 litres or less</w:t>
            </w:r>
          </w:p>
        </w:tc>
        <w:tc>
          <w:tcPr>
            <w:tcW w:w="1960" w:type="dxa"/>
            <w:vMerge/>
            <w:tcBorders>
              <w:top w:val="nil"/>
              <w:left w:val="single" w:sz="4" w:space="0" w:color="auto"/>
              <w:bottom w:val="single" w:sz="4" w:space="0" w:color="000000"/>
              <w:right w:val="single" w:sz="4" w:space="0" w:color="auto"/>
            </w:tcBorders>
            <w:vAlign w:val="center"/>
            <w:hideMark/>
          </w:tcPr>
          <w:p>
            <w:pPr>
              <w:rPr>
                <w:rFonts w:ascii="Calibri" w:eastAsia="Times New Roman" w:hAnsi="Calibri" w:cs="Calibri"/>
                <w:noProof/>
                <w:color w:val="000000"/>
                <w:sz w:val="22"/>
                <w:szCs w:val="22"/>
                <w:lang w:val="en-IE" w:eastAsia="en-IE"/>
              </w:rPr>
            </w:pPr>
          </w:p>
        </w:tc>
        <w:tc>
          <w:tcPr>
            <w:tcW w:w="1700" w:type="dxa"/>
            <w:vMerge/>
            <w:tcBorders>
              <w:top w:val="nil"/>
              <w:left w:val="single" w:sz="4" w:space="0" w:color="auto"/>
              <w:bottom w:val="single" w:sz="4" w:space="0" w:color="000000"/>
              <w:right w:val="single" w:sz="4" w:space="0" w:color="auto"/>
            </w:tcBorders>
            <w:vAlign w:val="center"/>
            <w:hideMark/>
          </w:tcPr>
          <w:p>
            <w:pPr>
              <w:rPr>
                <w:rFonts w:ascii="Calibri" w:eastAsia="Times New Roman" w:hAnsi="Calibri" w:cs="Calibri"/>
                <w:noProof/>
                <w:color w:val="000000"/>
                <w:sz w:val="22"/>
                <w:szCs w:val="22"/>
                <w:lang w:val="en-IE" w:eastAsia="en-IE"/>
              </w:rPr>
            </w:pPr>
          </w:p>
        </w:tc>
      </w:tr>
      <w:tr>
        <w:trPr>
          <w:trHeight w:val="315"/>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pPr>
              <w:jc w:val="center"/>
              <w:rPr>
                <w:rFonts w:eastAsia="Times New Roman"/>
                <w:noProof/>
                <w:color w:val="000000"/>
                <w:lang w:val="en-IE" w:eastAsia="en-IE"/>
              </w:rPr>
            </w:pPr>
            <w:r>
              <w:rPr>
                <w:rFonts w:eastAsia="Times New Roman"/>
                <w:noProof/>
                <w:color w:val="000000"/>
                <w:lang w:val="en-IE" w:eastAsia="en-IE"/>
              </w:rPr>
              <w:t>21032000</w:t>
            </w:r>
          </w:p>
        </w:tc>
        <w:tc>
          <w:tcPr>
            <w:tcW w:w="4721"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lang w:val="en-IE" w:eastAsia="en-IE"/>
              </w:rPr>
            </w:pPr>
            <w:r>
              <w:rPr>
                <w:rFonts w:eastAsia="Times New Roman"/>
                <w:noProof/>
                <w:color w:val="000000"/>
                <w:lang w:val="en-IE" w:eastAsia="en-IE"/>
              </w:rPr>
              <w:t>Tomato ketchup and other tomato sauces</w:t>
            </w:r>
          </w:p>
        </w:tc>
        <w:tc>
          <w:tcPr>
            <w:tcW w:w="1960" w:type="dxa"/>
            <w:tcBorders>
              <w:top w:val="nil"/>
              <w:left w:val="nil"/>
              <w:bottom w:val="single" w:sz="4" w:space="0" w:color="auto"/>
              <w:right w:val="single" w:sz="4" w:space="0" w:color="auto"/>
            </w:tcBorders>
            <w:shd w:val="clear" w:color="auto" w:fill="auto"/>
            <w:noWrap/>
            <w:vAlign w:val="bottom"/>
            <w:hideMark/>
          </w:tcPr>
          <w:p>
            <w:pPr>
              <w:jc w:val="center"/>
              <w:rPr>
                <w:rFonts w:ascii="Calibri" w:eastAsia="Times New Roman" w:hAnsi="Calibri" w:cs="Calibri"/>
                <w:noProof/>
                <w:color w:val="000000"/>
                <w:sz w:val="22"/>
                <w:szCs w:val="22"/>
                <w:lang w:val="en-IE" w:eastAsia="en-IE"/>
              </w:rPr>
            </w:pPr>
            <w:r>
              <w:rPr>
                <w:rFonts w:ascii="Calibri" w:eastAsia="Times New Roman" w:hAnsi="Calibri" w:cs="Calibri"/>
                <w:noProof/>
                <w:color w:val="000000"/>
                <w:sz w:val="22"/>
                <w:szCs w:val="22"/>
                <w:lang w:val="en-IE" w:eastAsia="en-IE"/>
              </w:rPr>
              <w:t>60 tonnes</w:t>
            </w:r>
          </w:p>
        </w:tc>
        <w:tc>
          <w:tcPr>
            <w:tcW w:w="1700" w:type="dxa"/>
            <w:tcBorders>
              <w:top w:val="nil"/>
              <w:left w:val="nil"/>
              <w:bottom w:val="single" w:sz="4" w:space="0" w:color="auto"/>
              <w:right w:val="single" w:sz="4" w:space="0" w:color="auto"/>
            </w:tcBorders>
            <w:shd w:val="clear" w:color="auto" w:fill="auto"/>
            <w:noWrap/>
            <w:vAlign w:val="bottom"/>
            <w:hideMark/>
          </w:tcPr>
          <w:p>
            <w:pPr>
              <w:jc w:val="center"/>
              <w:rPr>
                <w:rFonts w:ascii="Calibri" w:eastAsia="Times New Roman" w:hAnsi="Calibri" w:cs="Calibri"/>
                <w:noProof/>
                <w:color w:val="000000"/>
                <w:sz w:val="22"/>
                <w:szCs w:val="22"/>
                <w:lang w:val="en-IE" w:eastAsia="en-IE"/>
              </w:rPr>
            </w:pPr>
            <w:r>
              <w:rPr>
                <w:rFonts w:ascii="Calibri" w:eastAsia="Times New Roman" w:hAnsi="Calibri" w:cs="Calibri"/>
                <w:noProof/>
                <w:color w:val="000000"/>
                <w:sz w:val="22"/>
                <w:szCs w:val="22"/>
                <w:lang w:val="en-IE" w:eastAsia="en-IE"/>
              </w:rPr>
              <w:t>60 tonnes</w:t>
            </w:r>
          </w:p>
        </w:tc>
      </w:tr>
    </w:tbl>
    <w:p>
      <w:pPr>
        <w:jc w:val="both"/>
        <w:rPr>
          <w:noProof/>
          <w:lang w:eastAsia="en-GB"/>
        </w:rPr>
      </w:pPr>
    </w:p>
    <w:p>
      <w:pPr>
        <w:pStyle w:val="Heading2"/>
        <w:tabs>
          <w:tab w:val="clear" w:pos="4570"/>
        </w:tabs>
        <w:ind w:left="567"/>
      </w:pPr>
      <w:bookmarkStart w:id="2726" w:name="_Toc8833680"/>
      <w:bookmarkStart w:id="2727" w:name="_Toc8835507"/>
      <w:bookmarkStart w:id="2728" w:name="_Toc8834137"/>
      <w:bookmarkStart w:id="2729" w:name="_Toc8909600"/>
      <w:bookmarkStart w:id="2730" w:name="_Toc8910812"/>
      <w:bookmarkStart w:id="2731" w:name="_Toc8911849"/>
      <w:bookmarkStart w:id="2732" w:name="_Toc8974670"/>
      <w:bookmarkStart w:id="2733" w:name="_Toc9008323"/>
      <w:bookmarkStart w:id="2734" w:name="_Toc9008726"/>
      <w:bookmarkStart w:id="2735" w:name="_Toc9348722"/>
      <w:bookmarkStart w:id="2736" w:name="_Toc9608173"/>
      <w:bookmarkStart w:id="2737" w:name="_Toc16000739"/>
      <w:r>
        <w:t>2.3 Trade in Services and Foreign Direct investment (FDIs)</w:t>
      </w:r>
      <w:bookmarkEnd w:id="2726"/>
      <w:bookmarkEnd w:id="2727"/>
      <w:bookmarkEnd w:id="2728"/>
      <w:bookmarkEnd w:id="2729"/>
      <w:bookmarkEnd w:id="2730"/>
      <w:bookmarkEnd w:id="2731"/>
      <w:bookmarkEnd w:id="2732"/>
      <w:bookmarkEnd w:id="2733"/>
      <w:bookmarkEnd w:id="2734"/>
      <w:bookmarkEnd w:id="2735"/>
      <w:bookmarkEnd w:id="2736"/>
      <w:bookmarkEnd w:id="2737"/>
    </w:p>
    <w:p>
      <w:pPr>
        <w:jc w:val="both"/>
        <w:rPr>
          <w:noProof/>
          <w:lang w:eastAsia="en-GB"/>
        </w:rPr>
      </w:pPr>
      <w:r>
        <w:rPr>
          <w:noProof/>
          <w:lang w:eastAsia="en-GB"/>
        </w:rPr>
        <w:t xml:space="preserve">Total bilateral trade in services increased by 4% in 2017, reaching a total of </w:t>
      </w:r>
      <w:r>
        <w:rPr>
          <w:b/>
          <w:bCs/>
          <w:noProof/>
          <w:lang w:eastAsia="en-GB"/>
        </w:rPr>
        <w:t>€1.6 billion</w:t>
      </w:r>
      <w:r>
        <w:rPr>
          <w:noProof/>
          <w:lang w:eastAsia="en-GB"/>
        </w:rPr>
        <w:t>. Albania enjoys a small surplus of €78 million in its trade in services with the EU, mainly resulting from a continued solid growth of its foreign tourism. This is also reflected in the increasing share of services in Albania’s total trade of goods and services with the EU, which grew from 28% in 2016 to 33% in 2017. In contrast, trade in services only make up 20% of the EU’s total trade in goods and services with Albania.</w:t>
      </w:r>
    </w:p>
    <w:p>
      <w:pPr>
        <w:jc w:val="both"/>
        <w:rPr>
          <w:noProof/>
          <w:lang w:eastAsia="en-GB"/>
        </w:rPr>
      </w:pPr>
    </w:p>
    <w:p>
      <w:pPr>
        <w:jc w:val="both"/>
        <w:rPr>
          <w:noProof/>
          <w:lang w:eastAsia="en-GB"/>
        </w:rPr>
      </w:pPr>
      <w:r>
        <w:rPr>
          <w:noProof/>
          <w:lang w:eastAsia="en-GB"/>
        </w:rPr>
        <w:t>The EU remains the main source of Foreign Direct investment into Albania holding over half of the total FDI stock (€5.5 billion) by end of 2017. The main EU countries investing in Albania are Greece, the Netherlands, Italy, Austria and France. EU FDI inflows to Albania were modest in 2017, reaching only just €100 million.</w:t>
      </w:r>
    </w:p>
    <w:p>
      <w:pPr>
        <w:pStyle w:val="ManualHeading1"/>
      </w:pPr>
      <w:bookmarkStart w:id="2738" w:name="_Toc8833681"/>
      <w:bookmarkStart w:id="2739" w:name="_Toc8835508"/>
      <w:bookmarkStart w:id="2740" w:name="_Toc8834138"/>
      <w:bookmarkStart w:id="2741" w:name="_Toc8909601"/>
      <w:bookmarkStart w:id="2742" w:name="_Toc8910813"/>
      <w:bookmarkStart w:id="2743" w:name="_Toc8911850"/>
      <w:bookmarkStart w:id="2744" w:name="_Toc8974671"/>
      <w:bookmarkStart w:id="2745" w:name="_Toc9008324"/>
      <w:bookmarkStart w:id="2746" w:name="_Toc9008727"/>
      <w:bookmarkStart w:id="2747" w:name="_Toc9348723"/>
      <w:bookmarkStart w:id="2748" w:name="_Toc9608174"/>
      <w:bookmarkStart w:id="2749" w:name="_Toc16000740"/>
      <w:r>
        <w:t>3.</w:t>
      </w:r>
      <w:r>
        <w:tab/>
        <w:t>Issues addressed in the Joint Committee meetings</w:t>
      </w:r>
      <w:bookmarkEnd w:id="2738"/>
      <w:bookmarkEnd w:id="2739"/>
      <w:bookmarkEnd w:id="2740"/>
      <w:bookmarkEnd w:id="2741"/>
      <w:bookmarkEnd w:id="2742"/>
      <w:bookmarkEnd w:id="2743"/>
      <w:bookmarkEnd w:id="2744"/>
      <w:bookmarkEnd w:id="2745"/>
      <w:bookmarkEnd w:id="2746"/>
      <w:bookmarkEnd w:id="2747"/>
      <w:bookmarkEnd w:id="2748"/>
      <w:bookmarkEnd w:id="2749"/>
    </w:p>
    <w:p>
      <w:pPr>
        <w:jc w:val="both"/>
        <w:rPr>
          <w:noProof/>
        </w:rPr>
      </w:pPr>
      <w:r>
        <w:rPr>
          <w:noProof/>
        </w:rPr>
        <w:t>Commercial issues are discussed on an annual basis in the context of the Sub-Committee on Trade, Industry, Customs and Taxation. The last meeting took place on 18 January 2018, during which the doubling of the trade volume between the EU and Albania was highlighted, with the EU remaining Albania’s first trade partner representing over 66% of its global trade. Albania’s overall smooth implementation of the trade agreement was welcome as well as its good co-operation in the context of WTO-related activities. Other trade issues addressed included the importance for Albania to deliver on the implementation of its national plan on trade facilitation, with a particular focus on border measures and the improvement of risk-based inspections by customs authorities.</w:t>
      </w:r>
    </w:p>
    <w:p>
      <w:pPr>
        <w:pStyle w:val="ManualHeading1"/>
      </w:pPr>
      <w:bookmarkStart w:id="2750" w:name="_Toc8833682"/>
      <w:bookmarkStart w:id="2751" w:name="_Toc8835509"/>
      <w:bookmarkStart w:id="2752" w:name="_Toc8834139"/>
      <w:bookmarkStart w:id="2753" w:name="_Toc8909602"/>
      <w:bookmarkStart w:id="2754" w:name="_Toc8910814"/>
      <w:bookmarkStart w:id="2755" w:name="_Toc8911851"/>
      <w:bookmarkStart w:id="2756" w:name="_Toc8974672"/>
      <w:bookmarkStart w:id="2757" w:name="_Toc9008325"/>
      <w:bookmarkStart w:id="2758" w:name="_Toc9008728"/>
      <w:bookmarkStart w:id="2759" w:name="_Toc9348724"/>
      <w:bookmarkStart w:id="2760" w:name="_Toc9608175"/>
      <w:bookmarkStart w:id="2761" w:name="_Toc16000741"/>
      <w:r>
        <w:t>4.</w:t>
      </w:r>
      <w:r>
        <w:tab/>
        <w:t>Specific areas of importance</w:t>
      </w:r>
      <w:bookmarkEnd w:id="2750"/>
      <w:bookmarkEnd w:id="2751"/>
      <w:bookmarkEnd w:id="2752"/>
      <w:bookmarkEnd w:id="2753"/>
      <w:bookmarkEnd w:id="2754"/>
      <w:bookmarkEnd w:id="2755"/>
      <w:bookmarkEnd w:id="2756"/>
      <w:bookmarkEnd w:id="2757"/>
      <w:bookmarkEnd w:id="2758"/>
      <w:bookmarkEnd w:id="2759"/>
      <w:bookmarkEnd w:id="2760"/>
      <w:bookmarkEnd w:id="2761"/>
    </w:p>
    <w:p>
      <w:pPr>
        <w:jc w:val="both"/>
        <w:rPr>
          <w:noProof/>
        </w:rPr>
      </w:pPr>
      <w:r>
        <w:rPr>
          <w:noProof/>
        </w:rPr>
        <w:t>The key factors with negative impact on trade are unfair competition and lack of transparency, especially in the public procurement process, as well as non-compliance with the rule of law, including the judicial system.</w:t>
      </w:r>
    </w:p>
    <w:p>
      <w:pPr>
        <w:pStyle w:val="ManualHeading1"/>
      </w:pPr>
      <w:bookmarkStart w:id="2762" w:name="_Toc8833683"/>
      <w:bookmarkStart w:id="2763" w:name="_Toc8835510"/>
      <w:bookmarkStart w:id="2764" w:name="_Toc8834140"/>
      <w:bookmarkStart w:id="2765" w:name="_Toc8909603"/>
      <w:bookmarkStart w:id="2766" w:name="_Toc8910815"/>
      <w:bookmarkStart w:id="2767" w:name="_Toc8911852"/>
      <w:bookmarkStart w:id="2768" w:name="_Toc8974673"/>
      <w:bookmarkStart w:id="2769" w:name="_Toc9008326"/>
      <w:bookmarkStart w:id="2770" w:name="_Toc9008729"/>
      <w:bookmarkStart w:id="2771" w:name="_Toc9348725"/>
      <w:bookmarkStart w:id="2772" w:name="_Toc9608176"/>
      <w:bookmarkStart w:id="2773" w:name="_Toc16000742"/>
      <w:r>
        <w:t>5.</w:t>
      </w:r>
      <w:r>
        <w:tab/>
        <w:t>Main open issues and follow-up actions</w:t>
      </w:r>
      <w:bookmarkEnd w:id="2762"/>
      <w:bookmarkEnd w:id="2763"/>
      <w:bookmarkEnd w:id="2764"/>
      <w:bookmarkEnd w:id="2765"/>
      <w:bookmarkEnd w:id="2766"/>
      <w:bookmarkEnd w:id="2767"/>
      <w:bookmarkEnd w:id="2768"/>
      <w:bookmarkEnd w:id="2769"/>
      <w:bookmarkEnd w:id="2770"/>
      <w:bookmarkEnd w:id="2771"/>
      <w:bookmarkEnd w:id="2772"/>
      <w:bookmarkEnd w:id="2773"/>
    </w:p>
    <w:p>
      <w:pPr>
        <w:jc w:val="both"/>
        <w:rPr>
          <w:noProof/>
        </w:rPr>
      </w:pPr>
      <w:r>
        <w:rPr>
          <w:noProof/>
        </w:rPr>
        <w:t>Enhancing transparency and accountability in particular ensuring the effective, efficient and transparent functioning of the public procurement system- and the fight against corruption remain essential issues that affect EU companies doing business in Albania. Although the procurement legislation improved over the last period, the implementation of public procurement still needs to be improved and be made more transparent. In addition, the e</w:t>
      </w:r>
      <w:r>
        <w:rPr>
          <w:rFonts w:eastAsia="Times New Roman"/>
          <w:noProof/>
        </w:rPr>
        <w:t xml:space="preserve">nforcement of competition </w:t>
      </w:r>
      <w:r>
        <w:rPr>
          <w:rFonts w:eastAsia="Times New Roman"/>
          <w:noProof/>
          <w:szCs w:val="20"/>
          <w:lang w:eastAsia="en-GB"/>
        </w:rPr>
        <w:t>rules needs to be enhanced, and significant efforts are needed with regards to the adoption of legislation and enforcement in the field of state aid control, including transparency of aid granted.</w:t>
      </w:r>
    </w:p>
    <w:p>
      <w:pPr>
        <w:jc w:val="both"/>
        <w:rPr>
          <w:noProof/>
        </w:rPr>
      </w:pPr>
    </w:p>
    <w:p>
      <w:pPr>
        <w:jc w:val="both"/>
        <w:rPr>
          <w:noProof/>
        </w:rPr>
      </w:pPr>
      <w:r>
        <w:rPr>
          <w:noProof/>
        </w:rPr>
        <w:t>Equally, progress of the ongoing judicial and institutional reforms has yet to be translated into a more favourable business environment. In spite of measures taken to address the informal economy, it is estimated to account for about one third of GDP causing unfair competition in the market. Lack of effective regulatory implementation of legislation, ad-hoc regulatory changes are also major concerns raised by the business community.</w:t>
      </w:r>
    </w:p>
    <w:p>
      <w:pPr>
        <w:jc w:val="both"/>
        <w:rPr>
          <w:noProof/>
        </w:rPr>
      </w:pPr>
    </w:p>
    <w:p>
      <w:pPr>
        <w:jc w:val="both"/>
        <w:rPr>
          <w:noProof/>
        </w:rPr>
      </w:pPr>
      <w:r>
        <w:rPr>
          <w:noProof/>
        </w:rPr>
        <w:t xml:space="preserve">Some positive outcome is expected from the ongoing implementation of the activities planned in the country’s National Plan on Trade Facilitation. Furthermore, the acceleration of the European integration progress is also expected to give further impetus to major reforms and consequently have a positive impact on the investment and business climate in Albania in the following years. </w:t>
      </w:r>
    </w:p>
    <w:p>
      <w:pPr>
        <w:pStyle w:val="ManualHeading1"/>
      </w:pPr>
      <w:bookmarkStart w:id="2774" w:name="_Toc8833684"/>
      <w:bookmarkStart w:id="2775" w:name="_Toc8835511"/>
      <w:bookmarkStart w:id="2776" w:name="_Toc8834141"/>
      <w:bookmarkStart w:id="2777" w:name="_Toc8909604"/>
      <w:bookmarkStart w:id="2778" w:name="_Toc8910816"/>
      <w:bookmarkStart w:id="2779" w:name="_Toc8911853"/>
      <w:bookmarkStart w:id="2780" w:name="_Toc8974674"/>
      <w:bookmarkStart w:id="2781" w:name="_Toc9008327"/>
      <w:bookmarkStart w:id="2782" w:name="_Toc9008730"/>
      <w:bookmarkStart w:id="2783" w:name="_Toc9348726"/>
      <w:bookmarkStart w:id="2784" w:name="_Toc9608177"/>
      <w:bookmarkStart w:id="2785" w:name="_Toc16000743"/>
      <w:r>
        <w:t>6.</w:t>
      </w:r>
      <w:r>
        <w:tab/>
        <w:t>Conclusions</w:t>
      </w:r>
      <w:bookmarkEnd w:id="2774"/>
      <w:bookmarkEnd w:id="2775"/>
      <w:bookmarkEnd w:id="2776"/>
      <w:bookmarkEnd w:id="2777"/>
      <w:bookmarkEnd w:id="2778"/>
      <w:bookmarkEnd w:id="2779"/>
      <w:bookmarkEnd w:id="2780"/>
      <w:bookmarkEnd w:id="2781"/>
      <w:bookmarkEnd w:id="2782"/>
      <w:bookmarkEnd w:id="2783"/>
      <w:bookmarkEnd w:id="2784"/>
      <w:bookmarkEnd w:id="2785"/>
      <w:r>
        <w:t xml:space="preserve"> </w:t>
      </w:r>
    </w:p>
    <w:p>
      <w:pPr>
        <w:jc w:val="both"/>
        <w:rPr>
          <w:noProof/>
        </w:rPr>
      </w:pPr>
      <w:r>
        <w:rPr>
          <w:noProof/>
        </w:rPr>
        <w:t>Albania and the EU are very close and growing trade partners having more than doubled their total trade since the entry into force of the trade agreement. The EU is Albania’s main trading partner, accounting for 76% of total exports and 62% of total imports of goods. While the trade agreement is generally implemented smoothly by Albania, the business climate is negatively affected by the large size of its informal economy and shortcomings in the rule of law, which are a strong deterrent to investments. Overall, it is expected that the renewed momentum of the European integration process will have a positive impact on the investment and business climate in Albania in the coming period. Similarly, the development of a Regional Economic Area based on EU rules and standards, to which all Western Balkan economies have committed, has the potential to generate untapped growth. A big milestone was in fact reached on 4 April 2019 when Ministers of Telecommunications from the Western Balkans signed a Regional Roaming Agreement that envisages a roaming-free region across the Western Balkans in 2021, also paving the way for further reductions of the roaming costs between the Western Balkans economies and the European Union.</w:t>
      </w:r>
    </w:p>
    <w:p>
      <w:pPr>
        <w:pStyle w:val="ManualHeading1"/>
      </w:pPr>
      <w:bookmarkStart w:id="2786" w:name="_Toc8833685"/>
      <w:bookmarkStart w:id="2787" w:name="_Toc8835512"/>
      <w:bookmarkStart w:id="2788" w:name="_Toc8834142"/>
      <w:bookmarkStart w:id="2789" w:name="_Toc8909605"/>
      <w:bookmarkStart w:id="2790" w:name="_Toc8910817"/>
      <w:bookmarkStart w:id="2791" w:name="_Toc8911854"/>
      <w:bookmarkStart w:id="2792" w:name="_Toc8974675"/>
      <w:bookmarkStart w:id="2793" w:name="_Toc9008328"/>
      <w:bookmarkStart w:id="2794" w:name="_Toc9008731"/>
      <w:bookmarkStart w:id="2795" w:name="_Toc9348727"/>
      <w:bookmarkStart w:id="2796" w:name="_Toc9608178"/>
      <w:bookmarkStart w:id="2797" w:name="_Toc16000744"/>
      <w:r>
        <w:t>7.</w:t>
      </w:r>
      <w:r>
        <w:tab/>
        <w:t>Statistics</w:t>
      </w:r>
      <w:bookmarkEnd w:id="2786"/>
      <w:bookmarkEnd w:id="2787"/>
      <w:bookmarkEnd w:id="2788"/>
      <w:bookmarkEnd w:id="2789"/>
      <w:bookmarkEnd w:id="2790"/>
      <w:bookmarkEnd w:id="2791"/>
      <w:bookmarkEnd w:id="2792"/>
      <w:bookmarkEnd w:id="2793"/>
      <w:bookmarkEnd w:id="2794"/>
      <w:bookmarkEnd w:id="2795"/>
      <w:bookmarkEnd w:id="2796"/>
      <w:bookmarkEnd w:id="2797"/>
    </w:p>
    <w:tbl>
      <w:tblPr>
        <w:tblW w:w="7981" w:type="dxa"/>
        <w:tblInd w:w="108" w:type="dxa"/>
        <w:tblLook w:val="04A0" w:firstRow="1" w:lastRow="0" w:firstColumn="1" w:lastColumn="0" w:noHBand="0" w:noVBand="1"/>
      </w:tblPr>
      <w:tblGrid>
        <w:gridCol w:w="3621"/>
        <w:gridCol w:w="856"/>
        <w:gridCol w:w="856"/>
        <w:gridCol w:w="936"/>
        <w:gridCol w:w="856"/>
        <w:gridCol w:w="856"/>
      </w:tblGrid>
      <w:tr>
        <w:trPr>
          <w:trHeight w:val="210"/>
        </w:trPr>
        <w:tc>
          <w:tcPr>
            <w:tcW w:w="3621"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93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10"/>
        </w:trPr>
        <w:tc>
          <w:tcPr>
            <w:tcW w:w="7981"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Merchandise trade EU28 2014-2018</w:t>
            </w:r>
          </w:p>
        </w:tc>
      </w:tr>
      <w:tr>
        <w:trPr>
          <w:trHeight w:val="210"/>
        </w:trPr>
        <w:tc>
          <w:tcPr>
            <w:tcW w:w="3621" w:type="dxa"/>
            <w:tcBorders>
              <w:top w:val="single" w:sz="4" w:space="0" w:color="auto"/>
              <w:left w:val="nil"/>
              <w:bottom w:val="single" w:sz="4" w:space="0" w:color="auto"/>
              <w:right w:val="nil"/>
            </w:tcBorders>
            <w:shd w:val="clear" w:color="000000" w:fill="FFFFFF"/>
            <w:noWrap/>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 </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93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r>
      <w:tr>
        <w:trPr>
          <w:trHeight w:val="210"/>
        </w:trPr>
        <w:tc>
          <w:tcPr>
            <w:tcW w:w="3621" w:type="dxa"/>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EU28 trade with Albania (mio €)</w:t>
            </w:r>
          </w:p>
        </w:tc>
        <w:tc>
          <w:tcPr>
            <w:tcW w:w="856"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n-IE" w:eastAsia="en-IE"/>
              </w:rPr>
            </w:pP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93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r>
      <w:tr>
        <w:trPr>
          <w:trHeight w:val="210"/>
        </w:trPr>
        <w:tc>
          <w:tcPr>
            <w:tcW w:w="362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1.246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1.165</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1.290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1.503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1.757</w:t>
            </w:r>
          </w:p>
        </w:tc>
      </w:tr>
      <w:tr>
        <w:trPr>
          <w:trHeight w:val="210"/>
        </w:trPr>
        <w:tc>
          <w:tcPr>
            <w:tcW w:w="362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2.468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2.519</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2.706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2.989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3.195</w:t>
            </w:r>
          </w:p>
        </w:tc>
      </w:tr>
      <w:tr>
        <w:trPr>
          <w:trHeight w:val="210"/>
        </w:trPr>
        <w:tc>
          <w:tcPr>
            <w:tcW w:w="362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1.222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1.355</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1.415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1.486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1.438</w:t>
            </w:r>
          </w:p>
        </w:tc>
      </w:tr>
      <w:tr>
        <w:trPr>
          <w:trHeight w:val="210"/>
        </w:trPr>
        <w:tc>
          <w:tcPr>
            <w:tcW w:w="3621" w:type="dxa"/>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Share Albania in EU28 trade with Extra-EU28</w:t>
            </w:r>
          </w:p>
        </w:tc>
        <w:tc>
          <w:tcPr>
            <w:tcW w:w="856"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n-IE" w:eastAsia="en-IE"/>
              </w:rPr>
            </w:pP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93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r>
      <w:tr>
        <w:trPr>
          <w:trHeight w:val="210"/>
        </w:trPr>
        <w:tc>
          <w:tcPr>
            <w:tcW w:w="362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r>
      <w:tr>
        <w:trPr>
          <w:trHeight w:val="210"/>
        </w:trPr>
        <w:tc>
          <w:tcPr>
            <w:tcW w:w="362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r>
      <w:tr>
        <w:trPr>
          <w:trHeight w:val="210"/>
        </w:trPr>
        <w:tc>
          <w:tcPr>
            <w:tcW w:w="362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r>
      <w:tr>
        <w:trPr>
          <w:trHeight w:val="210"/>
        </w:trPr>
        <w:tc>
          <w:tcPr>
            <w:tcW w:w="7981"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Share EU28 in trade Albania with world</w:t>
            </w:r>
          </w:p>
        </w:tc>
      </w:tr>
      <w:tr>
        <w:trPr>
          <w:trHeight w:val="210"/>
        </w:trPr>
        <w:tc>
          <w:tcPr>
            <w:tcW w:w="362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60,5%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61,1%</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63,2%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61,5%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61,6%</w:t>
            </w:r>
          </w:p>
        </w:tc>
      </w:tr>
      <w:tr>
        <w:trPr>
          <w:trHeight w:val="210"/>
        </w:trPr>
        <w:tc>
          <w:tcPr>
            <w:tcW w:w="362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73,8%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72,1%</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77,9%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77,2%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76,4%</w:t>
            </w:r>
          </w:p>
        </w:tc>
      </w:tr>
      <w:tr>
        <w:trPr>
          <w:trHeight w:val="210"/>
        </w:trPr>
        <w:tc>
          <w:tcPr>
            <w:tcW w:w="362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64,8%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64,5%</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67,5%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66,2%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66,5%</w:t>
            </w:r>
          </w:p>
        </w:tc>
      </w:tr>
      <w:tr>
        <w:trPr>
          <w:trHeight w:val="225"/>
        </w:trPr>
        <w:tc>
          <w:tcPr>
            <w:tcW w:w="5333" w:type="dxa"/>
            <w:gridSpan w:val="3"/>
            <w:tcBorders>
              <w:top w:val="single" w:sz="4" w:space="0" w:color="auto"/>
              <w:left w:val="nil"/>
              <w:bottom w:val="nil"/>
              <w:right w:val="nil"/>
            </w:tcBorders>
            <w:shd w:val="clear" w:color="000000" w:fill="FFFFFF"/>
            <w:noWrap/>
            <w:vAlign w:val="bottom"/>
            <w:hideMark/>
          </w:tcPr>
          <w:p>
            <w:pPr>
              <w:rPr>
                <w:rFonts w:eastAsia="Times New Roman"/>
                <w:noProof/>
                <w:sz w:val="12"/>
                <w:szCs w:val="12"/>
                <w:lang w:val="en-IE" w:eastAsia="en-IE"/>
              </w:rPr>
            </w:pPr>
            <w:r>
              <w:rPr>
                <w:rFonts w:eastAsia="Times New Roman"/>
                <w:noProof/>
                <w:sz w:val="12"/>
                <w:szCs w:val="12"/>
                <w:lang w:val="en-IE" w:eastAsia="en-IE"/>
              </w:rPr>
              <w:t xml:space="preserve">Source Trade G2 Statistics/ISDB </w:t>
            </w:r>
          </w:p>
        </w:tc>
        <w:tc>
          <w:tcPr>
            <w:tcW w:w="936"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single" w:sz="4" w:space="0" w:color="auto"/>
              <w:left w:val="nil"/>
              <w:bottom w:val="nil"/>
              <w:right w:val="nil"/>
            </w:tcBorders>
            <w:shd w:val="clear" w:color="000000" w:fill="FFFFFF"/>
            <w:noWrap/>
            <w:hideMark/>
          </w:tcPr>
          <w:p>
            <w:pPr>
              <w:jc w:val="right"/>
              <w:rPr>
                <w:rFonts w:eastAsia="Times New Roman"/>
                <w:noProof/>
                <w:sz w:val="12"/>
                <w:szCs w:val="12"/>
                <w:lang w:val="en-IE" w:eastAsia="en-IE"/>
              </w:rPr>
            </w:pPr>
            <w:r>
              <w:rPr>
                <w:rFonts w:eastAsia="Times New Roman"/>
                <w:noProof/>
                <w:sz w:val="12"/>
                <w:szCs w:val="12"/>
                <w:lang w:val="en-IE" w:eastAsia="en-IE"/>
              </w:rPr>
              <w:t>25-mars-19</w:t>
            </w:r>
          </w:p>
        </w:tc>
      </w:tr>
      <w:tr>
        <w:trPr>
          <w:trHeight w:val="210"/>
        </w:trPr>
        <w:tc>
          <w:tcPr>
            <w:tcW w:w="6269" w:type="dxa"/>
            <w:gridSpan w:val="4"/>
            <w:tcBorders>
              <w:top w:val="nil"/>
              <w:left w:val="nil"/>
              <w:bottom w:val="nil"/>
              <w:right w:val="nil"/>
            </w:tcBorders>
            <w:shd w:val="clear" w:color="000000" w:fill="FFFFFF"/>
            <w:noWrap/>
            <w:hideMark/>
          </w:tcPr>
          <w:p>
            <w:pPr>
              <w:rPr>
                <w:rFonts w:eastAsia="Times New Roman"/>
                <w:noProof/>
                <w:color w:val="000000"/>
                <w:sz w:val="12"/>
                <w:szCs w:val="12"/>
                <w:lang w:val="en-IE" w:eastAsia="en-IE"/>
              </w:rPr>
            </w:pPr>
            <w:r>
              <w:rPr>
                <w:rFonts w:eastAsia="Times New Roman"/>
                <w:noProof/>
                <w:color w:val="000000"/>
                <w:sz w:val="12"/>
                <w:szCs w:val="12"/>
                <w:lang w:val="en-IE" w:eastAsia="en-IE"/>
              </w:rPr>
              <w:t>Trade EU28: Eurostat COMEXT;  Trade Albania: IMF Dots</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10"/>
        </w:trPr>
        <w:tc>
          <w:tcPr>
            <w:tcW w:w="3621"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93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25"/>
        </w:trPr>
        <w:tc>
          <w:tcPr>
            <w:tcW w:w="7981"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Total merchandise trade EU28 with Albania (mio €)</w:t>
            </w:r>
          </w:p>
        </w:tc>
      </w:tr>
      <w:tr>
        <w:trPr>
          <w:trHeight w:val="225"/>
        </w:trPr>
        <w:tc>
          <w:tcPr>
            <w:tcW w:w="4477"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Albania</w:t>
            </w:r>
          </w:p>
        </w:tc>
        <w:tc>
          <w:tcPr>
            <w:tcW w:w="85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93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71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477"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93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62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1.503</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1.757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16,9%</w:t>
            </w:r>
          </w:p>
        </w:tc>
      </w:tr>
      <w:tr>
        <w:trPr>
          <w:trHeight w:val="225"/>
        </w:trPr>
        <w:tc>
          <w:tcPr>
            <w:tcW w:w="362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2.989</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3.195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6,9%</w:t>
            </w:r>
          </w:p>
        </w:tc>
      </w:tr>
      <w:tr>
        <w:trPr>
          <w:trHeight w:val="225"/>
        </w:trPr>
        <w:tc>
          <w:tcPr>
            <w:tcW w:w="362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1.486</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1.438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-48</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621"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4.492</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4.952</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459</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10,2%</w:t>
            </w:r>
          </w:p>
        </w:tc>
      </w:tr>
      <w:tr>
        <w:trPr>
          <w:trHeight w:val="240"/>
        </w:trPr>
        <w:tc>
          <w:tcPr>
            <w:tcW w:w="6269"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7981"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Agrifood trade EU28 with Albania (mio €)</w:t>
            </w:r>
          </w:p>
        </w:tc>
      </w:tr>
      <w:tr>
        <w:trPr>
          <w:trHeight w:val="255"/>
        </w:trPr>
        <w:tc>
          <w:tcPr>
            <w:tcW w:w="4477"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Albania</w:t>
            </w:r>
          </w:p>
        </w:tc>
        <w:tc>
          <w:tcPr>
            <w:tcW w:w="85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93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71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477"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93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62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79</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14,7%</w:t>
            </w:r>
          </w:p>
        </w:tc>
      </w:tr>
      <w:tr>
        <w:trPr>
          <w:trHeight w:val="225"/>
        </w:trPr>
        <w:tc>
          <w:tcPr>
            <w:tcW w:w="362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389</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417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7,3%</w:t>
            </w:r>
          </w:p>
        </w:tc>
      </w:tr>
      <w:tr>
        <w:trPr>
          <w:trHeight w:val="225"/>
        </w:trPr>
        <w:tc>
          <w:tcPr>
            <w:tcW w:w="362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310</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327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621"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468</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508</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40</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8,5%</w:t>
            </w:r>
          </w:p>
        </w:tc>
      </w:tr>
      <w:tr>
        <w:trPr>
          <w:trHeight w:val="240"/>
        </w:trPr>
        <w:tc>
          <w:tcPr>
            <w:tcW w:w="6269"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7981"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it-IT" w:eastAsia="en-IE"/>
              </w:rPr>
            </w:pPr>
            <w:r>
              <w:rPr>
                <w:rFonts w:eastAsia="Times New Roman"/>
                <w:b/>
                <w:bCs/>
                <w:noProof/>
                <w:sz w:val="16"/>
                <w:szCs w:val="16"/>
                <w:lang w:val="it-IT" w:eastAsia="en-IE"/>
              </w:rPr>
              <w:t>NAMA trade EU28 with Albania (mio €)</w:t>
            </w:r>
          </w:p>
        </w:tc>
      </w:tr>
      <w:tr>
        <w:trPr>
          <w:trHeight w:val="225"/>
        </w:trPr>
        <w:tc>
          <w:tcPr>
            <w:tcW w:w="4477"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Albania</w:t>
            </w:r>
          </w:p>
        </w:tc>
        <w:tc>
          <w:tcPr>
            <w:tcW w:w="85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93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71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477"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93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4477"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1.424</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1.666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17,0%</w:t>
            </w:r>
          </w:p>
        </w:tc>
      </w:tr>
      <w:tr>
        <w:trPr>
          <w:trHeight w:val="225"/>
        </w:trPr>
        <w:tc>
          <w:tcPr>
            <w:tcW w:w="4477"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2.600</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2.778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6,8%</w:t>
            </w:r>
          </w:p>
        </w:tc>
      </w:tr>
      <w:tr>
        <w:trPr>
          <w:trHeight w:val="225"/>
        </w:trPr>
        <w:tc>
          <w:tcPr>
            <w:tcW w:w="362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1.176</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1.112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-64</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62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4.025</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4.444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419</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10,4%</w:t>
            </w:r>
          </w:p>
        </w:tc>
      </w:tr>
      <w:tr>
        <w:trPr>
          <w:trHeight w:val="240"/>
        </w:trPr>
        <w:tc>
          <w:tcPr>
            <w:tcW w:w="6269"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856" w:type="dxa"/>
            <w:tcBorders>
              <w:top w:val="single" w:sz="4" w:space="0" w:color="auto"/>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6269" w:type="dxa"/>
            <w:gridSpan w:val="4"/>
            <w:tcBorders>
              <w:top w:val="nil"/>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Services trade EU28 with Albania (mio €)</w:t>
            </w:r>
          </w:p>
        </w:tc>
        <w:tc>
          <w:tcPr>
            <w:tcW w:w="856" w:type="dxa"/>
            <w:tcBorders>
              <w:top w:val="nil"/>
              <w:left w:val="nil"/>
              <w:bottom w:val="nil"/>
              <w:right w:val="nil"/>
            </w:tcBorders>
            <w:shd w:val="clear" w:color="000000" w:fill="FFFFFF"/>
            <w:noWrap/>
            <w:vAlign w:val="center"/>
            <w:hideMark/>
          </w:tcPr>
          <w:p>
            <w:pPr>
              <w:rPr>
                <w:rFonts w:eastAsia="Times New Roman"/>
                <w:b/>
                <w:bCs/>
                <w:noProof/>
                <w:sz w:val="16"/>
                <w:szCs w:val="16"/>
                <w:lang w:val="en-IE" w:eastAsia="en-IE"/>
              </w:rPr>
            </w:pPr>
            <w:r>
              <w:rPr>
                <w:rFonts w:eastAsia="Times New Roman"/>
                <w:b/>
                <w:bCs/>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bCs/>
                <w:noProof/>
                <w:sz w:val="16"/>
                <w:szCs w:val="16"/>
                <w:lang w:val="en-IE" w:eastAsia="en-IE"/>
              </w:rPr>
            </w:pPr>
            <w:r>
              <w:rPr>
                <w:rFonts w:eastAsia="Times New Roman"/>
                <w:b/>
                <w:bCs/>
                <w:noProof/>
                <w:sz w:val="16"/>
                <w:szCs w:val="16"/>
                <w:lang w:val="en-IE" w:eastAsia="en-IE"/>
              </w:rPr>
              <w:t> </w:t>
            </w:r>
          </w:p>
        </w:tc>
      </w:tr>
      <w:tr>
        <w:trPr>
          <w:trHeight w:val="225"/>
        </w:trPr>
        <w:tc>
          <w:tcPr>
            <w:tcW w:w="4477"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Albania</w:t>
            </w:r>
          </w:p>
        </w:tc>
        <w:tc>
          <w:tcPr>
            <w:tcW w:w="856"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936"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171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477"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936"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62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813</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858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5,6%</w:t>
            </w:r>
          </w:p>
        </w:tc>
      </w:tr>
      <w:tr>
        <w:trPr>
          <w:trHeight w:val="225"/>
        </w:trPr>
        <w:tc>
          <w:tcPr>
            <w:tcW w:w="362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764</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780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w:t>
            </w:r>
          </w:p>
        </w:tc>
      </w:tr>
      <w:tr>
        <w:trPr>
          <w:trHeight w:val="225"/>
        </w:trPr>
        <w:tc>
          <w:tcPr>
            <w:tcW w:w="362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-49</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-29</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621"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1.577</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1.638</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61</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3,9%</w:t>
            </w:r>
          </w:p>
        </w:tc>
      </w:tr>
      <w:tr>
        <w:trPr>
          <w:trHeight w:val="240"/>
        </w:trPr>
        <w:tc>
          <w:tcPr>
            <w:tcW w:w="7125" w:type="dxa"/>
            <w:gridSpan w:val="5"/>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40"/>
        </w:trPr>
        <w:tc>
          <w:tcPr>
            <w:tcW w:w="7981"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Services trade EU28 with Albania (mio €)</w:t>
            </w:r>
          </w:p>
        </w:tc>
      </w:tr>
      <w:tr>
        <w:trPr>
          <w:trHeight w:val="225"/>
        </w:trPr>
        <w:tc>
          <w:tcPr>
            <w:tcW w:w="3621"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93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362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686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730</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723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813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858</w:t>
            </w:r>
          </w:p>
        </w:tc>
      </w:tr>
      <w:tr>
        <w:trPr>
          <w:trHeight w:val="225"/>
        </w:trPr>
        <w:tc>
          <w:tcPr>
            <w:tcW w:w="362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629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722</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724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764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780</w:t>
            </w:r>
          </w:p>
        </w:tc>
      </w:tr>
      <w:tr>
        <w:trPr>
          <w:trHeight w:val="225"/>
        </w:trPr>
        <w:tc>
          <w:tcPr>
            <w:tcW w:w="362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-78</w:t>
            </w:r>
          </w:p>
        </w:tc>
      </w:tr>
      <w:tr>
        <w:trPr>
          <w:trHeight w:val="225"/>
        </w:trPr>
        <w:tc>
          <w:tcPr>
            <w:tcW w:w="3621"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1.315</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1.452</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1.446</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1.577</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1.638</w:t>
            </w:r>
          </w:p>
        </w:tc>
      </w:tr>
      <w:tr>
        <w:trPr>
          <w:trHeight w:val="225"/>
        </w:trPr>
        <w:tc>
          <w:tcPr>
            <w:tcW w:w="3621"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856"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93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7981"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it-IT" w:eastAsia="en-IE"/>
              </w:rPr>
            </w:pPr>
            <w:r>
              <w:rPr>
                <w:rFonts w:eastAsia="Times New Roman"/>
                <w:b/>
                <w:bCs/>
                <w:noProof/>
                <w:sz w:val="16"/>
                <w:szCs w:val="16"/>
                <w:lang w:val="it-IT" w:eastAsia="en-IE"/>
              </w:rPr>
              <w:t>FDI EU28 with Albania (mio €)</w:t>
            </w:r>
          </w:p>
        </w:tc>
      </w:tr>
      <w:tr>
        <w:trPr>
          <w:trHeight w:val="225"/>
        </w:trPr>
        <w:tc>
          <w:tcPr>
            <w:tcW w:w="3621"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val="it-IT" w:eastAsia="en-IE"/>
              </w:rPr>
            </w:pPr>
            <w:r>
              <w:rPr>
                <w:rFonts w:eastAsia="Times New Roman"/>
                <w:noProof/>
                <w:sz w:val="16"/>
                <w:szCs w:val="16"/>
                <w:lang w:val="it-IT" w:eastAsia="en-IE"/>
              </w:rPr>
              <w:t> </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93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7981"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Stocks</w:t>
            </w:r>
          </w:p>
        </w:tc>
      </w:tr>
      <w:tr>
        <w:trPr>
          <w:trHeight w:val="225"/>
        </w:trPr>
        <w:tc>
          <w:tcPr>
            <w:tcW w:w="362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50</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168</w:t>
            </w:r>
          </w:p>
        </w:tc>
      </w:tr>
      <w:tr>
        <w:trPr>
          <w:trHeight w:val="225"/>
        </w:trPr>
        <w:tc>
          <w:tcPr>
            <w:tcW w:w="362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2.504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5.723</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5.920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5.430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5.456</w:t>
            </w:r>
          </w:p>
        </w:tc>
      </w:tr>
      <w:tr>
        <w:trPr>
          <w:trHeight w:val="225"/>
        </w:trPr>
        <w:tc>
          <w:tcPr>
            <w:tcW w:w="7981"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Flows</w:t>
            </w:r>
          </w:p>
        </w:tc>
      </w:tr>
      <w:tr>
        <w:trPr>
          <w:trHeight w:val="225"/>
        </w:trPr>
        <w:tc>
          <w:tcPr>
            <w:tcW w:w="362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w:t>
            </w:r>
          </w:p>
        </w:tc>
      </w:tr>
      <w:tr>
        <w:trPr>
          <w:trHeight w:val="225"/>
        </w:trPr>
        <w:tc>
          <w:tcPr>
            <w:tcW w:w="362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266</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162</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189</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-177</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96</w:t>
            </w:r>
          </w:p>
        </w:tc>
      </w:tr>
      <w:tr>
        <w:trPr>
          <w:trHeight w:val="225"/>
        </w:trPr>
        <w:tc>
          <w:tcPr>
            <w:tcW w:w="3621" w:type="dxa"/>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856"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93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bl>
    <w:p>
      <w:pPr>
        <w:spacing w:after="200" w:line="276" w:lineRule="auto"/>
        <w:rPr>
          <w:noProof/>
        </w:rPr>
      </w:pPr>
      <w:r>
        <w:rPr>
          <w:noProof/>
        </w:rPr>
        <w:br w:type="page"/>
      </w:r>
    </w:p>
    <w:p>
      <w:pPr>
        <w:pStyle w:val="ChapterHead"/>
        <w:jc w:val="both"/>
        <w:rPr>
          <w:b/>
          <w:noProof/>
        </w:rPr>
      </w:pPr>
      <w:bookmarkStart w:id="2798" w:name="_Toc8833686"/>
      <w:bookmarkStart w:id="2799" w:name="_Toc8835513"/>
      <w:bookmarkStart w:id="2800" w:name="_Toc8834143"/>
      <w:bookmarkStart w:id="2801" w:name="_Toc8909606"/>
      <w:bookmarkStart w:id="2802" w:name="_Toc8910818"/>
      <w:bookmarkStart w:id="2803" w:name="_Toc8911855"/>
      <w:bookmarkStart w:id="2804" w:name="_Toc8974676"/>
      <w:bookmarkStart w:id="2805" w:name="_Toc9008329"/>
      <w:bookmarkStart w:id="2806" w:name="_Toc9008732"/>
      <w:bookmarkStart w:id="2807" w:name="_Toc9348728"/>
      <w:bookmarkStart w:id="2808" w:name="_Toc9608179"/>
      <w:bookmarkStart w:id="2809" w:name="_Toc16000745"/>
      <w:r>
        <w:rPr>
          <w:b/>
          <w:noProof/>
        </w:rPr>
        <w:t>ANNUAL INFO SHEET ON THE IMPLEMENTATION OF THE TRADE PILLAR OF THE EU-BOSNIA AND HERZEGOVINA STABILISATION AND ASSOCIATION AGREEMENT</w:t>
      </w:r>
      <w:bookmarkEnd w:id="2798"/>
      <w:bookmarkEnd w:id="2799"/>
      <w:bookmarkEnd w:id="2800"/>
      <w:bookmarkEnd w:id="2801"/>
      <w:bookmarkEnd w:id="2802"/>
      <w:bookmarkEnd w:id="2803"/>
      <w:bookmarkEnd w:id="2804"/>
      <w:bookmarkEnd w:id="2805"/>
      <w:bookmarkEnd w:id="2806"/>
      <w:bookmarkEnd w:id="2807"/>
      <w:bookmarkEnd w:id="2808"/>
      <w:bookmarkEnd w:id="2809"/>
    </w:p>
    <w:p>
      <w:pPr>
        <w:pStyle w:val="ManualHeading1"/>
      </w:pPr>
      <w:bookmarkStart w:id="2810" w:name="_Toc8833687"/>
      <w:bookmarkStart w:id="2811" w:name="_Toc8835514"/>
      <w:bookmarkStart w:id="2812" w:name="_Toc8834144"/>
      <w:bookmarkStart w:id="2813" w:name="_Toc8909607"/>
      <w:bookmarkStart w:id="2814" w:name="_Toc8910819"/>
      <w:bookmarkStart w:id="2815" w:name="_Toc8911856"/>
      <w:bookmarkStart w:id="2816" w:name="_Toc8974677"/>
      <w:bookmarkStart w:id="2817" w:name="_Toc9008330"/>
      <w:bookmarkStart w:id="2818" w:name="_Toc9008733"/>
      <w:bookmarkStart w:id="2819" w:name="_Toc9348729"/>
      <w:bookmarkStart w:id="2820" w:name="_Toc9608180"/>
      <w:bookmarkStart w:id="2821" w:name="_Toc16000746"/>
      <w:r>
        <w:t>1.</w:t>
      </w:r>
      <w:r>
        <w:tab/>
        <w:t>Introduction</w:t>
      </w:r>
      <w:bookmarkEnd w:id="2810"/>
      <w:bookmarkEnd w:id="2811"/>
      <w:bookmarkEnd w:id="2812"/>
      <w:bookmarkEnd w:id="2813"/>
      <w:bookmarkEnd w:id="2814"/>
      <w:bookmarkEnd w:id="2815"/>
      <w:bookmarkEnd w:id="2816"/>
      <w:bookmarkEnd w:id="2817"/>
      <w:bookmarkEnd w:id="2818"/>
      <w:bookmarkEnd w:id="2819"/>
      <w:bookmarkEnd w:id="2820"/>
      <w:bookmarkEnd w:id="2821"/>
    </w:p>
    <w:p>
      <w:pPr>
        <w:jc w:val="both"/>
        <w:rPr>
          <w:noProof/>
        </w:rPr>
      </w:pPr>
      <w:r>
        <w:rPr>
          <w:noProof/>
        </w:rPr>
        <w:t>On 16 June 2008, the EU and Bosnia and Herzegovina signed a Stabilisation and Association Agreement (SAA). The SAA is the prime instrument of the EU’s overall policy towards the Western Balkan countries’ Stabilisation and Association process. Under this process, all Western Balkans countries, including Bosnia and Herzegovina, have a common future as EU Member States.</w:t>
      </w:r>
    </w:p>
    <w:p>
      <w:pPr>
        <w:jc w:val="both"/>
        <w:rPr>
          <w:noProof/>
        </w:rPr>
      </w:pPr>
    </w:p>
    <w:p>
      <w:pPr>
        <w:jc w:val="both"/>
        <w:rPr>
          <w:noProof/>
        </w:rPr>
      </w:pPr>
      <w:r>
        <w:rPr>
          <w:noProof/>
        </w:rPr>
        <w:t xml:space="preserve">The SAA entered into force on 1 June 2015, however, the trade-related part of the SAA already entered into force through an Interim Agreement on 1 July 2008. This Agreement established a free-trade area over a transitional period of five years. The Agreement covers products in all Chapters of the Harmonised System. Regarding agricultural products, the agreement is largely asymmetrical. EU agricultural imports from Bosnia and Herzegovina are almost completely liberalised (with very few exceptions). On the other hand, EU agricultural exports to Bosnia and Herzegovina are subject to tariffs and tariff rate quotas (TRQs). </w:t>
      </w:r>
    </w:p>
    <w:p>
      <w:pPr>
        <w:jc w:val="both"/>
        <w:rPr>
          <w:noProof/>
        </w:rPr>
      </w:pPr>
    </w:p>
    <w:p>
      <w:pPr>
        <w:jc w:val="both"/>
        <w:rPr>
          <w:noProof/>
        </w:rPr>
      </w:pPr>
      <w:r>
        <w:rPr>
          <w:noProof/>
        </w:rPr>
        <w:t>The Agreement also includes provisions concerning competition and State aid, investment and related payments, a high level of protection of intellectual property rights and strengthened co-operation in customs matters. Since the entry into force of the full SAA on 1 June 2015, a number of additional disciplines are being implemented concerning, notably, government procurement, legislative approximation in many areas including standardisation, as well as provisions regarding services and establishment.</w:t>
      </w:r>
    </w:p>
    <w:p>
      <w:pPr>
        <w:pStyle w:val="ManualHeading1"/>
      </w:pPr>
      <w:bookmarkStart w:id="2822" w:name="_Toc8833688"/>
      <w:bookmarkStart w:id="2823" w:name="_Toc8835515"/>
      <w:bookmarkStart w:id="2824" w:name="_Toc8834145"/>
      <w:bookmarkStart w:id="2825" w:name="_Toc8909608"/>
      <w:bookmarkStart w:id="2826" w:name="_Toc8910820"/>
      <w:bookmarkStart w:id="2827" w:name="_Toc8911857"/>
      <w:bookmarkStart w:id="2828" w:name="_Toc8974678"/>
      <w:bookmarkStart w:id="2829" w:name="_Toc9008331"/>
      <w:bookmarkStart w:id="2830" w:name="_Toc9008734"/>
      <w:bookmarkStart w:id="2831" w:name="_Toc9348730"/>
      <w:bookmarkStart w:id="2832" w:name="_Toc9608181"/>
      <w:bookmarkStart w:id="2833" w:name="_Toc16000747"/>
      <w:r>
        <w:t>2.</w:t>
      </w:r>
      <w:r>
        <w:tab/>
        <w:t>Evolution of trade</w:t>
      </w:r>
      <w:bookmarkEnd w:id="2822"/>
      <w:bookmarkEnd w:id="2823"/>
      <w:bookmarkEnd w:id="2824"/>
      <w:bookmarkEnd w:id="2825"/>
      <w:bookmarkEnd w:id="2826"/>
      <w:bookmarkEnd w:id="2827"/>
      <w:bookmarkEnd w:id="2828"/>
      <w:bookmarkEnd w:id="2829"/>
      <w:bookmarkEnd w:id="2830"/>
      <w:bookmarkEnd w:id="2831"/>
      <w:bookmarkEnd w:id="2832"/>
      <w:bookmarkEnd w:id="2833"/>
    </w:p>
    <w:p>
      <w:pPr>
        <w:pStyle w:val="Heading2"/>
        <w:ind w:left="0" w:firstLine="0"/>
      </w:pPr>
      <w:bookmarkStart w:id="2834" w:name="_Toc8833689"/>
      <w:bookmarkStart w:id="2835" w:name="_Toc8835516"/>
      <w:bookmarkStart w:id="2836" w:name="_Toc8834146"/>
      <w:bookmarkStart w:id="2837" w:name="_Toc8909609"/>
      <w:bookmarkStart w:id="2838" w:name="_Toc8910821"/>
      <w:bookmarkStart w:id="2839" w:name="_Toc8911858"/>
      <w:bookmarkStart w:id="2840" w:name="_Toc8974679"/>
      <w:bookmarkStart w:id="2841" w:name="_Toc9008332"/>
      <w:bookmarkStart w:id="2842" w:name="_Toc9008735"/>
      <w:bookmarkStart w:id="2843" w:name="_Toc9348731"/>
      <w:bookmarkStart w:id="2844" w:name="_Toc9608182"/>
      <w:bookmarkStart w:id="2845" w:name="_Toc16000748"/>
      <w:r>
        <w:t>2.1 Trade in Goods</w:t>
      </w:r>
      <w:bookmarkEnd w:id="2834"/>
      <w:bookmarkEnd w:id="2835"/>
      <w:bookmarkEnd w:id="2836"/>
      <w:bookmarkEnd w:id="2837"/>
      <w:bookmarkEnd w:id="2838"/>
      <w:bookmarkEnd w:id="2839"/>
      <w:bookmarkEnd w:id="2840"/>
      <w:bookmarkEnd w:id="2841"/>
      <w:bookmarkEnd w:id="2842"/>
      <w:bookmarkEnd w:id="2843"/>
      <w:bookmarkEnd w:id="2844"/>
      <w:bookmarkEnd w:id="2845"/>
    </w:p>
    <w:p>
      <w:pPr>
        <w:jc w:val="both"/>
        <w:rPr>
          <w:noProof/>
          <w:lang w:eastAsia="en-GB"/>
        </w:rPr>
      </w:pPr>
      <w:r>
        <w:rPr>
          <w:noProof/>
          <w:lang w:eastAsia="en-GB"/>
        </w:rPr>
        <w:t xml:space="preserve">Total bilateral trade between the EU and Bosnia and Herzegovina increased by 5% between 2017 and 2018 reaching a total amount of </w:t>
      </w:r>
      <w:r>
        <w:rPr>
          <w:b/>
          <w:bCs/>
          <w:noProof/>
          <w:lang w:eastAsia="en-GB"/>
        </w:rPr>
        <w:t>€11 billion</w:t>
      </w:r>
      <w:r>
        <w:rPr>
          <w:noProof/>
          <w:lang w:eastAsia="en-GB"/>
        </w:rPr>
        <w:t>. This represents a modest increase of 38% since the implementation of the trade agreement in 2008. The EU remains Bosnia and Herzegovina’s first trading partner accounting for 73% of total exports and 61% of total imports of goods. More specifically, Croatia, Italy, Germany and Slovenia are responsible for 67% of the EU’s exports to Bosnia and Herzegovina and for 68% of the EU’s imports from Bosnia and Herzegovina. The main traded products concern the following sectors: machinery and appliances; base metals and articles thereof and mineral products. The overall trade balance is in favour of the EU, however, last year Bosnia and Herzegovina reduced the deficit to its lowest since 2008 at €1.45 billion.</w:t>
      </w:r>
    </w:p>
    <w:p>
      <w:pPr>
        <w:pStyle w:val="Heading2"/>
        <w:ind w:left="0" w:firstLine="0"/>
      </w:pPr>
      <w:bookmarkStart w:id="2846" w:name="_Toc8833690"/>
      <w:bookmarkStart w:id="2847" w:name="_Toc8835517"/>
      <w:bookmarkStart w:id="2848" w:name="_Toc8834147"/>
      <w:bookmarkStart w:id="2849" w:name="_Toc8909610"/>
      <w:bookmarkStart w:id="2850" w:name="_Toc8910822"/>
      <w:bookmarkStart w:id="2851" w:name="_Toc8911859"/>
      <w:bookmarkStart w:id="2852" w:name="_Toc8974680"/>
      <w:bookmarkStart w:id="2853" w:name="_Toc9008333"/>
      <w:bookmarkStart w:id="2854" w:name="_Toc9008736"/>
      <w:bookmarkStart w:id="2855" w:name="_Toc9348732"/>
      <w:bookmarkStart w:id="2856" w:name="_Toc9608183"/>
      <w:bookmarkStart w:id="2857" w:name="_Toc16000749"/>
      <w:r>
        <w:t>2.2 Trade in agricultural goods</w:t>
      </w:r>
      <w:bookmarkEnd w:id="2846"/>
      <w:bookmarkEnd w:id="2847"/>
      <w:bookmarkEnd w:id="2848"/>
      <w:bookmarkEnd w:id="2849"/>
      <w:bookmarkEnd w:id="2850"/>
      <w:bookmarkEnd w:id="2851"/>
      <w:bookmarkEnd w:id="2852"/>
      <w:bookmarkEnd w:id="2853"/>
      <w:bookmarkEnd w:id="2854"/>
      <w:bookmarkEnd w:id="2855"/>
      <w:bookmarkEnd w:id="2856"/>
      <w:bookmarkEnd w:id="2857"/>
    </w:p>
    <w:p>
      <w:pPr>
        <w:jc w:val="both"/>
        <w:rPr>
          <w:noProof/>
          <w:lang w:eastAsia="en-GB"/>
        </w:rPr>
      </w:pPr>
      <w:r>
        <w:rPr>
          <w:noProof/>
          <w:lang w:eastAsia="en-GB"/>
        </w:rPr>
        <w:t xml:space="preserve">In 2018, trade in agricultural products increased by 2.6% - on both imports and exports - reaching a total of </w:t>
      </w:r>
      <w:r>
        <w:rPr>
          <w:b/>
          <w:bCs/>
          <w:noProof/>
          <w:lang w:eastAsia="en-GB"/>
        </w:rPr>
        <w:t>€1.1 billion</w:t>
      </w:r>
      <w:r>
        <w:rPr>
          <w:noProof/>
          <w:lang w:eastAsia="en-GB"/>
        </w:rPr>
        <w:t>, which represents 10% of the total bilateral trade. Only 4.5% of Bosnia and Herzegovina’s exports to the EU are agricultural products versus 14% of all EU’s exports to Bosnia and Herzegovina. The EU imported mainly fruits and vegetables; raw hides, skins and fur and waters and soft drinks while its main exports to Bosnia and Herzegovina included meat, chocolate, confectionary and ice cream; food preparations; cheese and wheat.</w:t>
      </w:r>
    </w:p>
    <w:p>
      <w:pPr>
        <w:jc w:val="both"/>
        <w:rPr>
          <w:noProof/>
          <w:lang w:eastAsia="en-GB"/>
        </w:rPr>
      </w:pPr>
    </w:p>
    <w:p>
      <w:pPr>
        <w:jc w:val="both"/>
        <w:rPr>
          <w:noProof/>
          <w:lang w:eastAsia="en-GB"/>
        </w:rPr>
      </w:pPr>
      <w:r>
        <w:rPr>
          <w:noProof/>
          <w:lang w:eastAsia="en-GB"/>
        </w:rPr>
        <w:t xml:space="preserve">A limited share of EU-Bosnia and Herzegovina agricultural trade is subject to duty-free Tariff Rate Quotas (TRQs).  </w:t>
      </w:r>
    </w:p>
    <w:p>
      <w:pPr>
        <w:jc w:val="both"/>
        <w:rPr>
          <w:noProof/>
          <w:lang w:eastAsia="en-GB"/>
        </w:rPr>
      </w:pPr>
    </w:p>
    <w:p>
      <w:pPr>
        <w:jc w:val="both"/>
        <w:rPr>
          <w:noProof/>
          <w:lang w:eastAsia="en-GB"/>
        </w:rPr>
      </w:pPr>
      <w:r>
        <w:rPr>
          <w:noProof/>
          <w:lang w:eastAsia="en-GB"/>
        </w:rPr>
        <w:t>Data on the utilisation of the TRQs have been provided by Bosnia and Herzegovina authorities and are included in Section 7 Statistics.</w:t>
      </w:r>
    </w:p>
    <w:p>
      <w:pPr>
        <w:jc w:val="both"/>
        <w:rPr>
          <w:b/>
          <w:bCs/>
          <w:noProof/>
          <w:lang w:eastAsia="en-GB"/>
        </w:rPr>
      </w:pPr>
    </w:p>
    <w:p>
      <w:pPr>
        <w:jc w:val="both"/>
        <w:rPr>
          <w:noProof/>
          <w:lang w:eastAsia="en-GB"/>
        </w:rPr>
      </w:pPr>
      <w:r>
        <w:rPr>
          <w:noProof/>
          <w:lang w:eastAsia="en-GB"/>
        </w:rPr>
        <w:t>The EU grants very few agricultural TRQs to Bosnia and Herzegovina: beef (not used by exporters from the country, mainly due to SPS reasons: Bosnia and Herzegovina is indeed not authorised to export beef to the EU), sugar (37% used in 2018) and wine (85% used for sparkling wine and 62% for fresh wine in 2018).</w:t>
      </w:r>
    </w:p>
    <w:p>
      <w:pPr>
        <w:pStyle w:val="Heading2"/>
        <w:tabs>
          <w:tab w:val="clear" w:pos="4570"/>
        </w:tabs>
        <w:ind w:left="567"/>
      </w:pPr>
      <w:bookmarkStart w:id="2858" w:name="_Toc8833692"/>
      <w:bookmarkStart w:id="2859" w:name="_Toc8835519"/>
      <w:bookmarkStart w:id="2860" w:name="_Toc8834149"/>
      <w:bookmarkStart w:id="2861" w:name="_Toc8909612"/>
      <w:bookmarkStart w:id="2862" w:name="_Toc8910824"/>
      <w:bookmarkStart w:id="2863" w:name="_Toc8911861"/>
      <w:bookmarkStart w:id="2864" w:name="_Toc8974682"/>
      <w:bookmarkStart w:id="2865" w:name="_Toc9008335"/>
      <w:bookmarkStart w:id="2866" w:name="_Toc9008738"/>
      <w:bookmarkStart w:id="2867" w:name="_Toc9348734"/>
      <w:bookmarkStart w:id="2868" w:name="_Toc9608185"/>
      <w:bookmarkStart w:id="2869" w:name="_Toc16000750"/>
      <w:r>
        <w:t>2.3 Trade in Services and Foreign Direct investment (FDIs)</w:t>
      </w:r>
      <w:bookmarkEnd w:id="2858"/>
      <w:bookmarkEnd w:id="2859"/>
      <w:bookmarkEnd w:id="2860"/>
      <w:bookmarkEnd w:id="2861"/>
      <w:bookmarkEnd w:id="2862"/>
      <w:bookmarkEnd w:id="2863"/>
      <w:bookmarkEnd w:id="2864"/>
      <w:bookmarkEnd w:id="2865"/>
      <w:bookmarkEnd w:id="2866"/>
      <w:bookmarkEnd w:id="2867"/>
      <w:bookmarkEnd w:id="2868"/>
      <w:bookmarkEnd w:id="2869"/>
    </w:p>
    <w:p>
      <w:pPr>
        <w:jc w:val="both"/>
        <w:rPr>
          <w:noProof/>
          <w:lang w:eastAsia="en-GB"/>
        </w:rPr>
      </w:pPr>
      <w:r>
        <w:rPr>
          <w:noProof/>
          <w:lang w:eastAsia="en-GB"/>
        </w:rPr>
        <w:t xml:space="preserve">In 2017, Bosnia and Herzegovina’s exports of services to the EU dropped by nearly 11% since 2016 causing it to lose its positive balance with the EU. Overall total bilateral trade in services dropped by 5% from €2.2 billion to </w:t>
      </w:r>
      <w:r>
        <w:rPr>
          <w:b/>
          <w:bCs/>
          <w:noProof/>
          <w:lang w:eastAsia="en-GB"/>
        </w:rPr>
        <w:t>€2.1 billion</w:t>
      </w:r>
      <w:r>
        <w:rPr>
          <w:noProof/>
          <w:lang w:eastAsia="en-GB"/>
        </w:rPr>
        <w:t>.</w:t>
      </w:r>
    </w:p>
    <w:p>
      <w:pPr>
        <w:jc w:val="both"/>
        <w:rPr>
          <w:noProof/>
          <w:lang w:eastAsia="en-GB"/>
        </w:rPr>
      </w:pPr>
    </w:p>
    <w:p>
      <w:pPr>
        <w:jc w:val="both"/>
        <w:rPr>
          <w:noProof/>
          <w:lang w:eastAsia="en-GB"/>
        </w:rPr>
      </w:pPr>
      <w:r>
        <w:rPr>
          <w:noProof/>
          <w:lang w:eastAsia="en-GB"/>
        </w:rPr>
        <w:t>Nearly 63% of the country’s stock in FDI is originating from EU countries with total stocks amounting to €2.1 billion. Most of the investment is concentrated in the financial sector, retail and tourism. The biggest EU investors in 2017 were Austria (24%), followed by Croatia (13%) and Slovenia (13%). Recently, inflows increasingly consisted of reinvested earnings while the net EU outflows show a divestment of up to €0.9 billion. The legal framework provides in principle favourable treatment and protection guarantees for FDI. There are no restrictions on FDI entry and few limitations on foreign ownership; however, the low level of FDI flows (the lowest in the Western Balkans) reflects the reality of the country’s poor and fragmented business environment.</w:t>
      </w:r>
    </w:p>
    <w:p>
      <w:pPr>
        <w:pStyle w:val="ManualHeading1"/>
      </w:pPr>
      <w:bookmarkStart w:id="2870" w:name="_Toc8833693"/>
      <w:bookmarkStart w:id="2871" w:name="_Toc8835520"/>
      <w:bookmarkStart w:id="2872" w:name="_Toc8834150"/>
      <w:bookmarkStart w:id="2873" w:name="_Toc8909613"/>
      <w:bookmarkStart w:id="2874" w:name="_Toc8910825"/>
      <w:bookmarkStart w:id="2875" w:name="_Toc8911862"/>
      <w:bookmarkStart w:id="2876" w:name="_Toc8974683"/>
      <w:bookmarkStart w:id="2877" w:name="_Toc9008336"/>
      <w:bookmarkStart w:id="2878" w:name="_Toc9008739"/>
      <w:bookmarkStart w:id="2879" w:name="_Toc9348735"/>
      <w:bookmarkStart w:id="2880" w:name="_Toc9608186"/>
      <w:bookmarkStart w:id="2881" w:name="_Toc16000751"/>
      <w:r>
        <w:t>3.</w:t>
      </w:r>
      <w:r>
        <w:tab/>
        <w:t>Issues addressed in the annual Committee meetings</w:t>
      </w:r>
      <w:bookmarkEnd w:id="2870"/>
      <w:bookmarkEnd w:id="2871"/>
      <w:bookmarkEnd w:id="2872"/>
      <w:bookmarkEnd w:id="2873"/>
      <w:bookmarkEnd w:id="2874"/>
      <w:bookmarkEnd w:id="2875"/>
      <w:bookmarkEnd w:id="2876"/>
      <w:bookmarkEnd w:id="2877"/>
      <w:bookmarkEnd w:id="2878"/>
      <w:bookmarkEnd w:id="2879"/>
      <w:bookmarkEnd w:id="2880"/>
      <w:bookmarkEnd w:id="2881"/>
    </w:p>
    <w:p>
      <w:pPr>
        <w:jc w:val="both"/>
        <w:rPr>
          <w:noProof/>
        </w:rPr>
      </w:pPr>
      <w:r>
        <w:rPr>
          <w:noProof/>
        </w:rPr>
        <w:t xml:space="preserve">Commercial issues are discussed on an annual basis in the context of the Sub-committee on Trade, Industry, Customs and Taxation. The latest meeting took place on 18 October 2018, during which the 13% growth of the bilateral trade in 2017 was welcome, particularly as bilateral trade for the first time reached the €10 billion threshold. The main trade issues addressed during the meeting concerned: </w:t>
      </w:r>
    </w:p>
    <w:p>
      <w:pPr>
        <w:pStyle w:val="ListParagraph"/>
        <w:numPr>
          <w:ilvl w:val="0"/>
          <w:numId w:val="28"/>
        </w:numPr>
        <w:jc w:val="both"/>
        <w:rPr>
          <w:rFonts w:ascii="Times New Roman" w:hAnsi="Times New Roman" w:cs="Times New Roman"/>
          <w:noProof/>
          <w:sz w:val="24"/>
          <w:szCs w:val="24"/>
        </w:rPr>
      </w:pPr>
      <w:r>
        <w:rPr>
          <w:rFonts w:ascii="Times New Roman" w:hAnsi="Times New Roman" w:cs="Times New Roman"/>
          <w:b/>
          <w:bCs/>
          <w:noProof/>
          <w:sz w:val="24"/>
          <w:szCs w:val="24"/>
        </w:rPr>
        <w:t>Excise duties on beer</w:t>
      </w:r>
      <w:r>
        <w:rPr>
          <w:rFonts w:ascii="Times New Roman" w:hAnsi="Times New Roman" w:cs="Times New Roman"/>
          <w:noProof/>
          <w:sz w:val="24"/>
          <w:szCs w:val="24"/>
        </w:rPr>
        <w:t xml:space="preserve">: the country was requested to expedite alignment of the current excise structure for small breweries with the threshold set by the acquis (200 000 hl).  </w:t>
      </w:r>
    </w:p>
    <w:p>
      <w:pPr>
        <w:pStyle w:val="ListParagraph"/>
        <w:numPr>
          <w:ilvl w:val="0"/>
          <w:numId w:val="28"/>
        </w:numPr>
        <w:jc w:val="both"/>
        <w:rPr>
          <w:rFonts w:ascii="Times New Roman" w:hAnsi="Times New Roman" w:cs="Times New Roman"/>
          <w:noProof/>
          <w:sz w:val="24"/>
          <w:szCs w:val="24"/>
        </w:rPr>
      </w:pPr>
      <w:r>
        <w:rPr>
          <w:rFonts w:ascii="Times New Roman" w:hAnsi="Times New Roman" w:cs="Times New Roman"/>
          <w:b/>
          <w:bCs/>
          <w:noProof/>
          <w:sz w:val="24"/>
          <w:szCs w:val="24"/>
        </w:rPr>
        <w:t>Excise duties on spirits</w:t>
      </w:r>
      <w:r>
        <w:rPr>
          <w:rFonts w:ascii="Times New Roman" w:hAnsi="Times New Roman" w:cs="Times New Roman"/>
          <w:noProof/>
          <w:sz w:val="24"/>
          <w:szCs w:val="24"/>
        </w:rPr>
        <w:t>: the EU reminded Bosnia and Herzegovina that applicable provisions on excise duties on spirits do not comply with Article 35 of the SAA on the prohibition of fiscal discrimination and the EU acquis that foresees a single rate for all spirits.</w:t>
      </w:r>
    </w:p>
    <w:p>
      <w:pPr>
        <w:pStyle w:val="ListParagraph"/>
        <w:numPr>
          <w:ilvl w:val="0"/>
          <w:numId w:val="28"/>
        </w:numPr>
        <w:jc w:val="both"/>
        <w:rPr>
          <w:rFonts w:ascii="Times New Roman" w:hAnsi="Times New Roman" w:cs="Times New Roman"/>
          <w:noProof/>
          <w:sz w:val="24"/>
          <w:szCs w:val="24"/>
        </w:rPr>
      </w:pPr>
      <w:r>
        <w:rPr>
          <w:rFonts w:ascii="Times New Roman" w:hAnsi="Times New Roman" w:cs="Times New Roman"/>
          <w:b/>
          <w:bCs/>
          <w:noProof/>
          <w:sz w:val="24"/>
          <w:szCs w:val="24"/>
        </w:rPr>
        <w:t>WTO accession</w:t>
      </w:r>
      <w:r>
        <w:rPr>
          <w:rFonts w:ascii="Times New Roman" w:hAnsi="Times New Roman" w:cs="Times New Roman"/>
          <w:noProof/>
          <w:sz w:val="24"/>
          <w:szCs w:val="24"/>
        </w:rPr>
        <w:t xml:space="preserve">: the EU encouraged Bosnia and Herzegovina to intensify efforts to conclude its pending bilateral negotiations. </w:t>
      </w:r>
    </w:p>
    <w:p>
      <w:pPr>
        <w:pStyle w:val="ListParagraph"/>
        <w:numPr>
          <w:ilvl w:val="0"/>
          <w:numId w:val="28"/>
        </w:numPr>
        <w:jc w:val="both"/>
        <w:rPr>
          <w:rFonts w:ascii="Times New Roman" w:hAnsi="Times New Roman" w:cs="Times New Roman"/>
          <w:noProof/>
          <w:sz w:val="24"/>
          <w:szCs w:val="24"/>
        </w:rPr>
      </w:pPr>
      <w:r>
        <w:rPr>
          <w:rFonts w:ascii="Times New Roman" w:hAnsi="Times New Roman" w:cs="Times New Roman"/>
          <w:b/>
          <w:bCs/>
          <w:noProof/>
          <w:sz w:val="24"/>
          <w:szCs w:val="24"/>
        </w:rPr>
        <w:t>Business environment</w:t>
      </w:r>
      <w:r>
        <w:rPr>
          <w:rFonts w:ascii="Times New Roman" w:hAnsi="Times New Roman" w:cs="Times New Roman"/>
          <w:noProof/>
          <w:sz w:val="24"/>
          <w:szCs w:val="24"/>
        </w:rPr>
        <w:t>: the EU urged the country to address key issues faced by businesses: tackling infrastructure bottlenecks; improving the complex and inefficient administrative structures, in particular to unify the fragmented economic space, and also curbing the high political and regulatory uncertainty.</w:t>
      </w:r>
    </w:p>
    <w:p>
      <w:pPr>
        <w:jc w:val="both"/>
        <w:rPr>
          <w:noProof/>
        </w:rPr>
      </w:pPr>
      <w:r>
        <w:rPr>
          <w:noProof/>
        </w:rPr>
        <w:t xml:space="preserve">Commission took note of Bosnia and Herzegovina’s concerns regarding the EU steel provisional safeguard measures and reiterated that the key objective was to avoid any disruption of the traditional trade flows. It indicated that bilateral consultations in the framework of the SAA would be held before the end of 2018. </w:t>
      </w:r>
    </w:p>
    <w:p>
      <w:pPr>
        <w:pStyle w:val="ManualHeading1"/>
      </w:pPr>
      <w:bookmarkStart w:id="2882" w:name="_Toc8833694"/>
      <w:bookmarkStart w:id="2883" w:name="_Toc8835521"/>
      <w:bookmarkStart w:id="2884" w:name="_Toc8834151"/>
      <w:bookmarkStart w:id="2885" w:name="_Toc8909614"/>
      <w:bookmarkStart w:id="2886" w:name="_Toc8910826"/>
      <w:bookmarkStart w:id="2887" w:name="_Toc8911863"/>
      <w:bookmarkStart w:id="2888" w:name="_Toc8974684"/>
      <w:bookmarkStart w:id="2889" w:name="_Toc9008337"/>
      <w:bookmarkStart w:id="2890" w:name="_Toc9008740"/>
      <w:bookmarkStart w:id="2891" w:name="_Toc9348736"/>
      <w:bookmarkStart w:id="2892" w:name="_Toc9608187"/>
      <w:bookmarkStart w:id="2893" w:name="_Toc16000752"/>
      <w:r>
        <w:t>4.</w:t>
      </w:r>
      <w:r>
        <w:tab/>
        <w:t>Specific areas of importance</w:t>
      </w:r>
      <w:bookmarkEnd w:id="2882"/>
      <w:bookmarkEnd w:id="2883"/>
      <w:bookmarkEnd w:id="2884"/>
      <w:bookmarkEnd w:id="2885"/>
      <w:bookmarkEnd w:id="2886"/>
      <w:bookmarkEnd w:id="2887"/>
      <w:bookmarkEnd w:id="2888"/>
      <w:bookmarkEnd w:id="2889"/>
      <w:bookmarkEnd w:id="2890"/>
      <w:bookmarkEnd w:id="2891"/>
      <w:bookmarkEnd w:id="2892"/>
      <w:bookmarkEnd w:id="2893"/>
    </w:p>
    <w:p>
      <w:pPr>
        <w:jc w:val="both"/>
        <w:rPr>
          <w:noProof/>
        </w:rPr>
      </w:pPr>
      <w:r>
        <w:rPr>
          <w:noProof/>
        </w:rPr>
        <w:t xml:space="preserve">The </w:t>
      </w:r>
      <w:r>
        <w:rPr>
          <w:b/>
          <w:bCs/>
          <w:noProof/>
        </w:rPr>
        <w:t>business environment</w:t>
      </w:r>
      <w:r>
        <w:rPr>
          <w:noProof/>
        </w:rPr>
        <w:t xml:space="preserve"> is a key area of importance, in particular:</w:t>
      </w:r>
    </w:p>
    <w:p>
      <w:pPr>
        <w:pStyle w:val="ListParagraph"/>
        <w:numPr>
          <w:ilvl w:val="0"/>
          <w:numId w:val="29"/>
        </w:numPr>
        <w:jc w:val="both"/>
        <w:rPr>
          <w:rFonts w:ascii="Times New Roman" w:hAnsi="Times New Roman" w:cs="Times New Roman"/>
          <w:noProof/>
          <w:sz w:val="24"/>
          <w:szCs w:val="24"/>
        </w:rPr>
      </w:pPr>
      <w:r>
        <w:rPr>
          <w:rFonts w:ascii="Times New Roman" w:hAnsi="Times New Roman" w:cs="Times New Roman"/>
          <w:b/>
          <w:bCs/>
          <w:noProof/>
          <w:sz w:val="24"/>
          <w:szCs w:val="24"/>
        </w:rPr>
        <w:t>Market entry and exit regulations</w:t>
      </w:r>
      <w:r>
        <w:rPr>
          <w:rFonts w:ascii="Times New Roman" w:hAnsi="Times New Roman" w:cs="Times New Roman"/>
          <w:noProof/>
          <w:sz w:val="24"/>
          <w:szCs w:val="24"/>
        </w:rPr>
        <w:t xml:space="preserve"> are lengthy and cumbersome, in particular, as the high degree of regional fragmentation leads to a high number of different rules and different interpretations.</w:t>
      </w:r>
    </w:p>
    <w:p>
      <w:pPr>
        <w:pStyle w:val="ListParagraph"/>
        <w:numPr>
          <w:ilvl w:val="0"/>
          <w:numId w:val="29"/>
        </w:numPr>
        <w:jc w:val="both"/>
        <w:rPr>
          <w:rFonts w:ascii="Times New Roman" w:hAnsi="Times New Roman" w:cs="Times New Roman"/>
          <w:noProof/>
          <w:sz w:val="28"/>
          <w:szCs w:val="28"/>
        </w:rPr>
      </w:pPr>
      <w:r>
        <w:rPr>
          <w:rFonts w:ascii="Times New Roman" w:hAnsi="Times New Roman" w:cs="Times New Roman"/>
          <w:noProof/>
          <w:sz w:val="24"/>
          <w:szCs w:val="24"/>
        </w:rPr>
        <w:t xml:space="preserve">The large size of the </w:t>
      </w:r>
      <w:r>
        <w:rPr>
          <w:rFonts w:ascii="Times New Roman" w:hAnsi="Times New Roman" w:cs="Times New Roman"/>
          <w:b/>
          <w:bCs/>
          <w:noProof/>
          <w:sz w:val="24"/>
          <w:szCs w:val="24"/>
        </w:rPr>
        <w:t>informal economy</w:t>
      </w:r>
      <w:r>
        <w:rPr>
          <w:rFonts w:ascii="Times New Roman" w:hAnsi="Times New Roman" w:cs="Times New Roman"/>
          <w:noProof/>
          <w:sz w:val="24"/>
          <w:szCs w:val="24"/>
        </w:rPr>
        <w:t xml:space="preserve"> - estimated at 25% of GDP - distorts competition and has a negative impact on the business environment. </w:t>
      </w:r>
    </w:p>
    <w:p>
      <w:pPr>
        <w:pStyle w:val="ListParagraph"/>
        <w:numPr>
          <w:ilvl w:val="0"/>
          <w:numId w:val="29"/>
        </w:numPr>
        <w:jc w:val="both"/>
        <w:rPr>
          <w:rFonts w:ascii="Times New Roman" w:hAnsi="Times New Roman" w:cs="Times New Roman"/>
          <w:noProof/>
          <w:sz w:val="28"/>
          <w:szCs w:val="28"/>
        </w:rPr>
      </w:pPr>
      <w:r>
        <w:rPr>
          <w:rFonts w:ascii="Times New Roman" w:hAnsi="Times New Roman" w:cs="Times New Roman"/>
          <w:noProof/>
          <w:sz w:val="24"/>
          <w:szCs w:val="24"/>
        </w:rPr>
        <w:t xml:space="preserve">The </w:t>
      </w:r>
      <w:r>
        <w:rPr>
          <w:rFonts w:ascii="Times New Roman" w:hAnsi="Times New Roman" w:cs="Times New Roman"/>
          <w:b/>
          <w:bCs/>
          <w:noProof/>
          <w:sz w:val="24"/>
          <w:szCs w:val="24"/>
        </w:rPr>
        <w:t xml:space="preserve">institutional </w:t>
      </w:r>
      <w:r>
        <w:rPr>
          <w:rFonts w:ascii="Times New Roman" w:hAnsi="Times New Roman" w:cs="Times New Roman"/>
          <w:noProof/>
          <w:sz w:val="24"/>
          <w:szCs w:val="24"/>
        </w:rPr>
        <w:t xml:space="preserve">and </w:t>
      </w:r>
      <w:r>
        <w:rPr>
          <w:rFonts w:ascii="Times New Roman" w:hAnsi="Times New Roman" w:cs="Times New Roman"/>
          <w:b/>
          <w:bCs/>
          <w:noProof/>
          <w:sz w:val="24"/>
          <w:szCs w:val="24"/>
        </w:rPr>
        <w:t xml:space="preserve">regulatory environment </w:t>
      </w:r>
      <w:r>
        <w:rPr>
          <w:rFonts w:ascii="Times New Roman" w:hAnsi="Times New Roman" w:cs="Times New Roman"/>
          <w:noProof/>
          <w:sz w:val="24"/>
          <w:szCs w:val="24"/>
        </w:rPr>
        <w:t xml:space="preserve">is unstable and unpredictable. Contract enforcement is a very time consuming procedure and settling commercial disputes remains difficult, partly due to the missing possibilities of alternative dispute resolution methods but also due to a lack of courts specialised on commercial disputes. </w:t>
      </w:r>
    </w:p>
    <w:p>
      <w:pPr>
        <w:pStyle w:val="ListParagraph"/>
        <w:numPr>
          <w:ilvl w:val="0"/>
          <w:numId w:val="29"/>
        </w:numPr>
        <w:jc w:val="both"/>
        <w:rPr>
          <w:rFonts w:ascii="Times New Roman" w:hAnsi="Times New Roman" w:cs="Times New Roman"/>
          <w:noProof/>
          <w:sz w:val="28"/>
          <w:szCs w:val="28"/>
        </w:rPr>
      </w:pPr>
      <w:r>
        <w:rPr>
          <w:rFonts w:ascii="Times New Roman" w:hAnsi="Times New Roman" w:cs="Times New Roman"/>
          <w:b/>
          <w:bCs/>
          <w:noProof/>
          <w:sz w:val="24"/>
          <w:szCs w:val="24"/>
        </w:rPr>
        <w:t>Public procurement</w:t>
      </w:r>
      <w:r>
        <w:rPr>
          <w:rFonts w:ascii="Times New Roman" w:hAnsi="Times New Roman" w:cs="Times New Roman"/>
          <w:noProof/>
          <w:sz w:val="24"/>
          <w:szCs w:val="24"/>
        </w:rPr>
        <w:t xml:space="preserve"> procedures are complex and prone to corruption. </w:t>
      </w:r>
    </w:p>
    <w:p>
      <w:pPr>
        <w:pStyle w:val="ListParagraph"/>
        <w:numPr>
          <w:ilvl w:val="0"/>
          <w:numId w:val="29"/>
        </w:numPr>
        <w:jc w:val="both"/>
        <w:rPr>
          <w:rFonts w:ascii="Times New Roman" w:hAnsi="Times New Roman" w:cs="Times New Roman"/>
          <w:noProof/>
          <w:sz w:val="28"/>
          <w:szCs w:val="28"/>
        </w:rPr>
      </w:pPr>
      <w:r>
        <w:rPr>
          <w:rFonts w:ascii="Times New Roman" w:hAnsi="Times New Roman" w:cs="Times New Roman"/>
          <w:bCs/>
          <w:noProof/>
          <w:sz w:val="24"/>
          <w:szCs w:val="24"/>
        </w:rPr>
        <w:t>Lack of adequate enforcement of</w:t>
      </w:r>
      <w:r>
        <w:rPr>
          <w:rFonts w:ascii="Times New Roman" w:hAnsi="Times New Roman" w:cs="Times New Roman"/>
          <w:b/>
          <w:bCs/>
          <w:noProof/>
          <w:sz w:val="24"/>
          <w:szCs w:val="24"/>
        </w:rPr>
        <w:t xml:space="preserve"> State aid </w:t>
      </w:r>
      <w:r>
        <w:rPr>
          <w:rFonts w:ascii="Times New Roman" w:hAnsi="Times New Roman" w:cs="Times New Roman"/>
          <w:bCs/>
          <w:noProof/>
          <w:sz w:val="24"/>
          <w:szCs w:val="24"/>
        </w:rPr>
        <w:t>control.</w:t>
      </w:r>
    </w:p>
    <w:p>
      <w:pPr>
        <w:pStyle w:val="ManualHeading1"/>
      </w:pPr>
      <w:bookmarkStart w:id="2894" w:name="_Toc8833695"/>
      <w:bookmarkStart w:id="2895" w:name="_Toc8835522"/>
      <w:bookmarkStart w:id="2896" w:name="_Toc8834152"/>
      <w:bookmarkStart w:id="2897" w:name="_Toc8909615"/>
      <w:bookmarkStart w:id="2898" w:name="_Toc8910827"/>
      <w:bookmarkStart w:id="2899" w:name="_Toc8911864"/>
      <w:bookmarkStart w:id="2900" w:name="_Toc8974685"/>
      <w:bookmarkStart w:id="2901" w:name="_Toc9008338"/>
      <w:bookmarkStart w:id="2902" w:name="_Toc9008741"/>
      <w:bookmarkStart w:id="2903" w:name="_Toc9348737"/>
      <w:bookmarkStart w:id="2904" w:name="_Toc9608188"/>
      <w:bookmarkStart w:id="2905" w:name="_Toc16000753"/>
      <w:r>
        <w:t>5.</w:t>
      </w:r>
      <w:r>
        <w:tab/>
        <w:t>Main open issues and follow-up actions</w:t>
      </w:r>
      <w:bookmarkEnd w:id="2894"/>
      <w:bookmarkEnd w:id="2895"/>
      <w:bookmarkEnd w:id="2896"/>
      <w:bookmarkEnd w:id="2897"/>
      <w:bookmarkEnd w:id="2898"/>
      <w:bookmarkEnd w:id="2899"/>
      <w:bookmarkEnd w:id="2900"/>
      <w:bookmarkEnd w:id="2901"/>
      <w:bookmarkEnd w:id="2902"/>
      <w:bookmarkEnd w:id="2903"/>
      <w:bookmarkEnd w:id="2904"/>
      <w:bookmarkEnd w:id="2905"/>
    </w:p>
    <w:p>
      <w:pPr>
        <w:jc w:val="both"/>
        <w:rPr>
          <w:noProof/>
        </w:rPr>
      </w:pPr>
      <w:r>
        <w:rPr>
          <w:noProof/>
        </w:rPr>
        <w:t xml:space="preserve">Enhancing transparency and accountability - in particular ensuring the effective, efficient and transparent functioning of the </w:t>
      </w:r>
      <w:r>
        <w:rPr>
          <w:b/>
          <w:bCs/>
          <w:noProof/>
        </w:rPr>
        <w:t>public procurement</w:t>
      </w:r>
      <w:r>
        <w:rPr>
          <w:noProof/>
        </w:rPr>
        <w:t xml:space="preserve"> system - and the fight against corruption and the informal economy are essential issues that affect EU businesses doing business in Bosnia and Herzegovina that are part of the regular follow-up done under the SAA multidisciplinary subcommittee structures. In line with SAA obligations, e</w:t>
      </w:r>
      <w:r>
        <w:rPr>
          <w:rFonts w:eastAsia="Times New Roman"/>
          <w:noProof/>
        </w:rPr>
        <w:t xml:space="preserve">nforcement of competition </w:t>
      </w:r>
      <w:r>
        <w:rPr>
          <w:rFonts w:eastAsia="Times New Roman"/>
          <w:noProof/>
          <w:szCs w:val="20"/>
          <w:lang w:eastAsia="en-GB"/>
        </w:rPr>
        <w:t>rules needs to be enhanced, and significant efforts are needed with regards to adoption of legislation and enforcement in the field of state aid control.</w:t>
      </w:r>
      <w:r>
        <w:rPr>
          <w:noProof/>
        </w:rPr>
        <w:t xml:space="preserve"> </w:t>
      </w:r>
    </w:p>
    <w:p>
      <w:pPr>
        <w:jc w:val="both"/>
        <w:rPr>
          <w:noProof/>
        </w:rPr>
      </w:pPr>
    </w:p>
    <w:p>
      <w:pPr>
        <w:jc w:val="both"/>
        <w:rPr>
          <w:noProof/>
        </w:rPr>
      </w:pPr>
      <w:r>
        <w:rPr>
          <w:noProof/>
        </w:rPr>
        <w:t>Furthermore, in November 2018, Kosovo imposed a 100% import tariff for goods originating from Serbia and Bosnia and Herzegovina, indirectly affecting EU businesses operating in Bosnia and Herzegovina and trading in the region. These measures are politically motivated and the EU has repeatedly called on their termination.</w:t>
      </w:r>
    </w:p>
    <w:p>
      <w:pPr>
        <w:pStyle w:val="ManualHeading1"/>
      </w:pPr>
      <w:bookmarkStart w:id="2906" w:name="_Toc8833696"/>
      <w:bookmarkStart w:id="2907" w:name="_Toc8835523"/>
      <w:bookmarkStart w:id="2908" w:name="_Toc8834153"/>
      <w:bookmarkStart w:id="2909" w:name="_Toc8909616"/>
      <w:bookmarkStart w:id="2910" w:name="_Toc8910828"/>
      <w:bookmarkStart w:id="2911" w:name="_Toc8911865"/>
      <w:bookmarkStart w:id="2912" w:name="_Toc8974686"/>
      <w:bookmarkStart w:id="2913" w:name="_Toc9008339"/>
      <w:bookmarkStart w:id="2914" w:name="_Toc9008742"/>
      <w:bookmarkStart w:id="2915" w:name="_Toc9348738"/>
      <w:bookmarkStart w:id="2916" w:name="_Toc9608189"/>
      <w:bookmarkStart w:id="2917" w:name="_Toc16000754"/>
      <w:r>
        <w:t>6.</w:t>
      </w:r>
      <w:r>
        <w:tab/>
        <w:t>Conclusions</w:t>
      </w:r>
      <w:bookmarkEnd w:id="2906"/>
      <w:bookmarkEnd w:id="2907"/>
      <w:bookmarkEnd w:id="2908"/>
      <w:bookmarkEnd w:id="2909"/>
      <w:bookmarkEnd w:id="2910"/>
      <w:bookmarkEnd w:id="2911"/>
      <w:bookmarkEnd w:id="2912"/>
      <w:bookmarkEnd w:id="2913"/>
      <w:bookmarkEnd w:id="2914"/>
      <w:bookmarkEnd w:id="2915"/>
      <w:bookmarkEnd w:id="2916"/>
      <w:bookmarkEnd w:id="2917"/>
    </w:p>
    <w:p>
      <w:pPr>
        <w:jc w:val="both"/>
        <w:rPr>
          <w:noProof/>
        </w:rPr>
      </w:pPr>
      <w:r>
        <w:rPr>
          <w:noProof/>
        </w:rPr>
        <w:t xml:space="preserve">While the trade agreement is generally implemented smoothly by Bosnia and Herzegovina, the business climate is negatively affected by the large size of its informal economy. However, it is expected that the renewed momentum of the European integration process will give further impetus to major reforms and consequently have a positive impact on the investment and business climate in the coming period. Similarly, the development of a Regional Economic Area based on EU rules and standards, to which all Western Balkan economies have committed, has the potential to generate untapped growth. Despite the 100% tariffs imposed by Kosovo, which have recently undermined regional cooperation efforts, a big milestone was reached on 4 April 2019 when Ministers of Telecommunications from the Western Balkans signed a Regional Roaming Agreement. This Agreement envisages a roaming-free region across the Western Balkans in 2021, also paving the way for further reductions of the roaming costs between the Western Balkans economies and the European Union.  </w:t>
      </w:r>
    </w:p>
    <w:p>
      <w:pPr>
        <w:pStyle w:val="ManualHeading1"/>
      </w:pPr>
      <w:bookmarkStart w:id="2918" w:name="_Toc8833697"/>
      <w:bookmarkStart w:id="2919" w:name="_Toc8835524"/>
      <w:bookmarkStart w:id="2920" w:name="_Toc8834154"/>
      <w:bookmarkStart w:id="2921" w:name="_Toc8909617"/>
      <w:bookmarkStart w:id="2922" w:name="_Toc8910829"/>
      <w:bookmarkStart w:id="2923" w:name="_Toc8911866"/>
      <w:bookmarkStart w:id="2924" w:name="_Toc8974687"/>
      <w:bookmarkStart w:id="2925" w:name="_Toc9008340"/>
      <w:bookmarkStart w:id="2926" w:name="_Toc9008743"/>
      <w:bookmarkStart w:id="2927" w:name="_Toc9348739"/>
      <w:bookmarkStart w:id="2928" w:name="_Toc9608190"/>
      <w:bookmarkStart w:id="2929" w:name="_Toc16000755"/>
      <w:r>
        <w:t>7.</w:t>
      </w:r>
      <w:r>
        <w:tab/>
        <w:t>Statistics</w:t>
      </w:r>
      <w:bookmarkEnd w:id="2918"/>
      <w:bookmarkEnd w:id="2919"/>
      <w:bookmarkEnd w:id="2920"/>
      <w:bookmarkEnd w:id="2921"/>
      <w:bookmarkEnd w:id="2922"/>
      <w:bookmarkEnd w:id="2923"/>
      <w:bookmarkEnd w:id="2924"/>
      <w:bookmarkEnd w:id="2925"/>
      <w:bookmarkEnd w:id="2926"/>
      <w:bookmarkEnd w:id="2927"/>
      <w:bookmarkEnd w:id="2928"/>
      <w:bookmarkEnd w:id="2929"/>
    </w:p>
    <w:p>
      <w:pPr>
        <w:rPr>
          <w:noProof/>
        </w:rPr>
      </w:pPr>
    </w:p>
    <w:tbl>
      <w:tblPr>
        <w:tblW w:w="8990" w:type="dxa"/>
        <w:tblInd w:w="108" w:type="dxa"/>
        <w:tblLook w:val="04A0" w:firstRow="1" w:lastRow="0" w:firstColumn="1" w:lastColumn="0" w:noHBand="0" w:noVBand="1"/>
      </w:tblPr>
      <w:tblGrid>
        <w:gridCol w:w="4630"/>
        <w:gridCol w:w="856"/>
        <w:gridCol w:w="856"/>
        <w:gridCol w:w="936"/>
        <w:gridCol w:w="856"/>
        <w:gridCol w:w="856"/>
      </w:tblGrid>
      <w:tr>
        <w:trPr>
          <w:trHeight w:val="210"/>
        </w:trPr>
        <w:tc>
          <w:tcPr>
            <w:tcW w:w="4630"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93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10"/>
        </w:trPr>
        <w:tc>
          <w:tcPr>
            <w:tcW w:w="8990"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Merchandise trade EU28 2014-2018</w:t>
            </w:r>
          </w:p>
        </w:tc>
      </w:tr>
      <w:tr>
        <w:trPr>
          <w:trHeight w:val="210"/>
        </w:trPr>
        <w:tc>
          <w:tcPr>
            <w:tcW w:w="4630" w:type="dxa"/>
            <w:tcBorders>
              <w:top w:val="single" w:sz="4" w:space="0" w:color="auto"/>
              <w:left w:val="nil"/>
              <w:bottom w:val="single" w:sz="4" w:space="0" w:color="auto"/>
              <w:right w:val="nil"/>
            </w:tcBorders>
            <w:shd w:val="clear" w:color="000000" w:fill="FFFFFF"/>
            <w:noWrap/>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 </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93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r>
      <w:tr>
        <w:trPr>
          <w:trHeight w:val="210"/>
        </w:trPr>
        <w:tc>
          <w:tcPr>
            <w:tcW w:w="4630" w:type="dxa"/>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EU28 trade with Bosnia-Herzegovina (mio €)</w:t>
            </w:r>
          </w:p>
        </w:tc>
        <w:tc>
          <w:tcPr>
            <w:tcW w:w="856"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n-IE" w:eastAsia="en-IE"/>
              </w:rPr>
            </w:pP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93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r>
      <w:tr>
        <w:trPr>
          <w:trHeight w:val="210"/>
        </w:trPr>
        <w:tc>
          <w:tcPr>
            <w:tcW w:w="463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3.330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3.493</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3.782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4.256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4.629</w:t>
            </w:r>
          </w:p>
        </w:tc>
      </w:tr>
      <w:tr>
        <w:trPr>
          <w:trHeight w:val="210"/>
        </w:trPr>
        <w:tc>
          <w:tcPr>
            <w:tcW w:w="463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5.024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5.077</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5.254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5.921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6.083</w:t>
            </w:r>
          </w:p>
        </w:tc>
      </w:tr>
      <w:tr>
        <w:trPr>
          <w:trHeight w:val="210"/>
        </w:trPr>
        <w:tc>
          <w:tcPr>
            <w:tcW w:w="463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1.694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1.584</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1.473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1.665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1.454</w:t>
            </w:r>
          </w:p>
        </w:tc>
      </w:tr>
      <w:tr>
        <w:trPr>
          <w:trHeight w:val="210"/>
        </w:trPr>
        <w:tc>
          <w:tcPr>
            <w:tcW w:w="4630" w:type="dxa"/>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Share Bosnia-Herzegovina in EU28 trade with Extra-EU28</w:t>
            </w:r>
          </w:p>
        </w:tc>
        <w:tc>
          <w:tcPr>
            <w:tcW w:w="856"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n-IE" w:eastAsia="en-IE"/>
              </w:rPr>
            </w:pP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93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r>
      <w:tr>
        <w:trPr>
          <w:trHeight w:val="210"/>
        </w:trPr>
        <w:tc>
          <w:tcPr>
            <w:tcW w:w="463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r>
      <w:tr>
        <w:trPr>
          <w:trHeight w:val="210"/>
        </w:trPr>
        <w:tc>
          <w:tcPr>
            <w:tcW w:w="463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0,3%</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0,3%</w:t>
            </w:r>
          </w:p>
        </w:tc>
      </w:tr>
      <w:tr>
        <w:trPr>
          <w:trHeight w:val="210"/>
        </w:trPr>
        <w:tc>
          <w:tcPr>
            <w:tcW w:w="463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0,3%</w:t>
            </w:r>
          </w:p>
        </w:tc>
      </w:tr>
      <w:tr>
        <w:trPr>
          <w:trHeight w:val="210"/>
        </w:trPr>
        <w:tc>
          <w:tcPr>
            <w:tcW w:w="8990"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Share EU28 in trade Bosnia-Herzegovina with world</w:t>
            </w:r>
          </w:p>
        </w:tc>
      </w:tr>
      <w:tr>
        <w:trPr>
          <w:trHeight w:val="210"/>
        </w:trPr>
        <w:tc>
          <w:tcPr>
            <w:tcW w:w="463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58,7%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60,7%</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61,7%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61,2%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60,6%</w:t>
            </w:r>
          </w:p>
        </w:tc>
      </w:tr>
      <w:tr>
        <w:trPr>
          <w:trHeight w:val="210"/>
        </w:trPr>
        <w:tc>
          <w:tcPr>
            <w:tcW w:w="463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73,4%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73,3%</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71,5%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71,2%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72,9%</w:t>
            </w:r>
          </w:p>
        </w:tc>
      </w:tr>
      <w:tr>
        <w:trPr>
          <w:trHeight w:val="210"/>
        </w:trPr>
        <w:tc>
          <w:tcPr>
            <w:tcW w:w="463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63,8%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65,1%</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65,3%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64,9%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65,3%</w:t>
            </w:r>
          </w:p>
        </w:tc>
      </w:tr>
      <w:tr>
        <w:trPr>
          <w:trHeight w:val="225"/>
        </w:trPr>
        <w:tc>
          <w:tcPr>
            <w:tcW w:w="6342" w:type="dxa"/>
            <w:gridSpan w:val="3"/>
            <w:tcBorders>
              <w:top w:val="single" w:sz="4" w:space="0" w:color="auto"/>
              <w:left w:val="nil"/>
              <w:bottom w:val="nil"/>
              <w:right w:val="nil"/>
            </w:tcBorders>
            <w:shd w:val="clear" w:color="000000" w:fill="FFFFFF"/>
            <w:noWrap/>
            <w:vAlign w:val="bottom"/>
            <w:hideMark/>
          </w:tcPr>
          <w:p>
            <w:pPr>
              <w:rPr>
                <w:rFonts w:eastAsia="Times New Roman"/>
                <w:noProof/>
                <w:sz w:val="12"/>
                <w:szCs w:val="12"/>
                <w:lang w:val="en-IE" w:eastAsia="en-IE"/>
              </w:rPr>
            </w:pPr>
            <w:r>
              <w:rPr>
                <w:rFonts w:eastAsia="Times New Roman"/>
                <w:noProof/>
                <w:sz w:val="12"/>
                <w:szCs w:val="12"/>
                <w:lang w:val="en-IE" w:eastAsia="en-IE"/>
              </w:rPr>
              <w:t xml:space="preserve">Source Trade G2 Statistics/ISDB </w:t>
            </w:r>
          </w:p>
        </w:tc>
        <w:tc>
          <w:tcPr>
            <w:tcW w:w="936"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single" w:sz="4" w:space="0" w:color="auto"/>
              <w:left w:val="nil"/>
              <w:bottom w:val="nil"/>
              <w:right w:val="nil"/>
            </w:tcBorders>
            <w:shd w:val="clear" w:color="000000" w:fill="FFFFFF"/>
            <w:noWrap/>
            <w:hideMark/>
          </w:tcPr>
          <w:p>
            <w:pPr>
              <w:jc w:val="right"/>
              <w:rPr>
                <w:rFonts w:eastAsia="Times New Roman"/>
                <w:noProof/>
                <w:sz w:val="12"/>
                <w:szCs w:val="12"/>
                <w:lang w:val="en-IE" w:eastAsia="en-IE"/>
              </w:rPr>
            </w:pPr>
            <w:r>
              <w:rPr>
                <w:rFonts w:eastAsia="Times New Roman"/>
                <w:noProof/>
                <w:sz w:val="12"/>
                <w:szCs w:val="12"/>
                <w:lang w:val="en-IE" w:eastAsia="en-IE"/>
              </w:rPr>
              <w:t>25-mars-19</w:t>
            </w:r>
          </w:p>
        </w:tc>
      </w:tr>
      <w:tr>
        <w:trPr>
          <w:trHeight w:val="210"/>
        </w:trPr>
        <w:tc>
          <w:tcPr>
            <w:tcW w:w="8134" w:type="dxa"/>
            <w:gridSpan w:val="5"/>
            <w:tcBorders>
              <w:top w:val="nil"/>
              <w:left w:val="nil"/>
              <w:bottom w:val="nil"/>
              <w:right w:val="nil"/>
            </w:tcBorders>
            <w:shd w:val="clear" w:color="000000" w:fill="FFFFFF"/>
            <w:noWrap/>
            <w:hideMark/>
          </w:tcPr>
          <w:p>
            <w:pPr>
              <w:rPr>
                <w:rFonts w:eastAsia="Times New Roman"/>
                <w:noProof/>
                <w:color w:val="000000"/>
                <w:sz w:val="12"/>
                <w:szCs w:val="12"/>
                <w:lang w:val="en-IE" w:eastAsia="en-IE"/>
              </w:rPr>
            </w:pPr>
            <w:r>
              <w:rPr>
                <w:rFonts w:eastAsia="Times New Roman"/>
                <w:noProof/>
                <w:color w:val="000000"/>
                <w:sz w:val="12"/>
                <w:szCs w:val="12"/>
                <w:lang w:val="en-IE" w:eastAsia="en-IE"/>
              </w:rPr>
              <w:t>Trade EU28: Eurostat COMEXT;  Trade Bosnia-Herzegovina: IMF Dots</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10"/>
        </w:trPr>
        <w:tc>
          <w:tcPr>
            <w:tcW w:w="4630"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93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25"/>
        </w:trPr>
        <w:tc>
          <w:tcPr>
            <w:tcW w:w="8990"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Total merchandise trade EU28 with Bosnia-Herzegovina (mio €)</w:t>
            </w:r>
          </w:p>
        </w:tc>
      </w:tr>
      <w:tr>
        <w:trPr>
          <w:trHeight w:val="225"/>
        </w:trPr>
        <w:tc>
          <w:tcPr>
            <w:tcW w:w="5486"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Bosnia-Herzegovina</w:t>
            </w:r>
          </w:p>
        </w:tc>
        <w:tc>
          <w:tcPr>
            <w:tcW w:w="85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93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71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5486"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93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463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4.256</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4.629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373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8,8%</w:t>
            </w:r>
          </w:p>
        </w:tc>
      </w:tr>
      <w:tr>
        <w:trPr>
          <w:trHeight w:val="225"/>
        </w:trPr>
        <w:tc>
          <w:tcPr>
            <w:tcW w:w="463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5.921</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6.083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w:t>
            </w:r>
          </w:p>
        </w:tc>
      </w:tr>
      <w:tr>
        <w:trPr>
          <w:trHeight w:val="225"/>
        </w:trPr>
        <w:tc>
          <w:tcPr>
            <w:tcW w:w="463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1.665</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1.454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-211</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4630"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10.178</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10.712</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534</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5,2%</w:t>
            </w:r>
          </w:p>
        </w:tc>
      </w:tr>
      <w:tr>
        <w:trPr>
          <w:trHeight w:val="240"/>
        </w:trPr>
        <w:tc>
          <w:tcPr>
            <w:tcW w:w="7278"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8990"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Agrifood trade EU28 with Bosnia-Herzegovina (mio €)</w:t>
            </w:r>
          </w:p>
        </w:tc>
      </w:tr>
      <w:tr>
        <w:trPr>
          <w:trHeight w:val="255"/>
        </w:trPr>
        <w:tc>
          <w:tcPr>
            <w:tcW w:w="5486"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Bosnia-Herzegovina</w:t>
            </w:r>
          </w:p>
        </w:tc>
        <w:tc>
          <w:tcPr>
            <w:tcW w:w="85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93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71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5486"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93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463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203</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w:t>
            </w:r>
          </w:p>
        </w:tc>
      </w:tr>
      <w:tr>
        <w:trPr>
          <w:trHeight w:val="225"/>
        </w:trPr>
        <w:tc>
          <w:tcPr>
            <w:tcW w:w="463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829</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851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w:t>
            </w:r>
          </w:p>
        </w:tc>
      </w:tr>
      <w:tr>
        <w:trPr>
          <w:trHeight w:val="225"/>
        </w:trPr>
        <w:tc>
          <w:tcPr>
            <w:tcW w:w="463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627</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643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4630"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1.032</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1.059</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w:t>
            </w:r>
          </w:p>
        </w:tc>
      </w:tr>
      <w:tr>
        <w:trPr>
          <w:trHeight w:val="240"/>
        </w:trPr>
        <w:tc>
          <w:tcPr>
            <w:tcW w:w="7278"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8990"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NAMA trade EU28 with Bosnia-Herzegovina (mio €)</w:t>
            </w:r>
          </w:p>
        </w:tc>
      </w:tr>
      <w:tr>
        <w:trPr>
          <w:trHeight w:val="225"/>
        </w:trPr>
        <w:tc>
          <w:tcPr>
            <w:tcW w:w="5486"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Bosnia-Herzegovina</w:t>
            </w:r>
          </w:p>
        </w:tc>
        <w:tc>
          <w:tcPr>
            <w:tcW w:w="85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93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71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5486"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93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5486"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4.054</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4.421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367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9,1%</w:t>
            </w:r>
          </w:p>
        </w:tc>
      </w:tr>
      <w:tr>
        <w:trPr>
          <w:trHeight w:val="225"/>
        </w:trPr>
        <w:tc>
          <w:tcPr>
            <w:tcW w:w="5486"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5.092</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5.232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w:t>
            </w:r>
          </w:p>
        </w:tc>
      </w:tr>
      <w:tr>
        <w:trPr>
          <w:trHeight w:val="225"/>
        </w:trPr>
        <w:tc>
          <w:tcPr>
            <w:tcW w:w="463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1.038</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811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-228</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463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9.146</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9.653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507</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5,5%</w:t>
            </w:r>
          </w:p>
        </w:tc>
      </w:tr>
      <w:tr>
        <w:trPr>
          <w:trHeight w:val="240"/>
        </w:trPr>
        <w:tc>
          <w:tcPr>
            <w:tcW w:w="7278"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856" w:type="dxa"/>
            <w:tcBorders>
              <w:top w:val="single" w:sz="4" w:space="0" w:color="auto"/>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7278" w:type="dxa"/>
            <w:gridSpan w:val="4"/>
            <w:tcBorders>
              <w:top w:val="nil"/>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Services trade EU28 with Bosnia-Herzegovina (mio €)</w:t>
            </w:r>
          </w:p>
        </w:tc>
        <w:tc>
          <w:tcPr>
            <w:tcW w:w="856" w:type="dxa"/>
            <w:tcBorders>
              <w:top w:val="nil"/>
              <w:left w:val="nil"/>
              <w:bottom w:val="nil"/>
              <w:right w:val="nil"/>
            </w:tcBorders>
            <w:shd w:val="clear" w:color="000000" w:fill="FFFFFF"/>
            <w:noWrap/>
            <w:vAlign w:val="center"/>
            <w:hideMark/>
          </w:tcPr>
          <w:p>
            <w:pPr>
              <w:rPr>
                <w:rFonts w:eastAsia="Times New Roman"/>
                <w:b/>
                <w:bCs/>
                <w:noProof/>
                <w:sz w:val="16"/>
                <w:szCs w:val="16"/>
                <w:lang w:val="en-IE" w:eastAsia="en-IE"/>
              </w:rPr>
            </w:pPr>
            <w:r>
              <w:rPr>
                <w:rFonts w:eastAsia="Times New Roman"/>
                <w:b/>
                <w:bCs/>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bCs/>
                <w:noProof/>
                <w:sz w:val="16"/>
                <w:szCs w:val="16"/>
                <w:lang w:val="en-IE" w:eastAsia="en-IE"/>
              </w:rPr>
            </w:pPr>
            <w:r>
              <w:rPr>
                <w:rFonts w:eastAsia="Times New Roman"/>
                <w:b/>
                <w:bCs/>
                <w:noProof/>
                <w:sz w:val="16"/>
                <w:szCs w:val="16"/>
                <w:lang w:val="en-IE" w:eastAsia="en-IE"/>
              </w:rPr>
              <w:t> </w:t>
            </w:r>
          </w:p>
        </w:tc>
      </w:tr>
      <w:tr>
        <w:trPr>
          <w:trHeight w:val="225"/>
        </w:trPr>
        <w:tc>
          <w:tcPr>
            <w:tcW w:w="5486"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Bosnia-Herzegovina</w:t>
            </w:r>
          </w:p>
        </w:tc>
        <w:tc>
          <w:tcPr>
            <w:tcW w:w="856"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936"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171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5486"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936"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463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1.138</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1.014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-10,9%</w:t>
            </w:r>
          </w:p>
        </w:tc>
      </w:tr>
      <w:tr>
        <w:trPr>
          <w:trHeight w:val="225"/>
        </w:trPr>
        <w:tc>
          <w:tcPr>
            <w:tcW w:w="463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1.099</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1.108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0,8%</w:t>
            </w:r>
          </w:p>
        </w:tc>
      </w:tr>
      <w:tr>
        <w:trPr>
          <w:trHeight w:val="225"/>
        </w:trPr>
        <w:tc>
          <w:tcPr>
            <w:tcW w:w="463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-39</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133</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4630"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2.237</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2.122</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-115</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-5,1%</w:t>
            </w:r>
          </w:p>
        </w:tc>
      </w:tr>
      <w:tr>
        <w:trPr>
          <w:trHeight w:val="240"/>
        </w:trPr>
        <w:tc>
          <w:tcPr>
            <w:tcW w:w="8134" w:type="dxa"/>
            <w:gridSpan w:val="5"/>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40"/>
        </w:trPr>
        <w:tc>
          <w:tcPr>
            <w:tcW w:w="8990"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Services trade EU28 with Bosnia-Herzegovina (mio €)</w:t>
            </w:r>
          </w:p>
        </w:tc>
      </w:tr>
      <w:tr>
        <w:trPr>
          <w:trHeight w:val="225"/>
        </w:trPr>
        <w:tc>
          <w:tcPr>
            <w:tcW w:w="4630"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93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463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835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901</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895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1.138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1.014</w:t>
            </w:r>
          </w:p>
        </w:tc>
      </w:tr>
      <w:tr>
        <w:trPr>
          <w:trHeight w:val="225"/>
        </w:trPr>
        <w:tc>
          <w:tcPr>
            <w:tcW w:w="463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1.034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980</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945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1.099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1.108</w:t>
            </w:r>
          </w:p>
        </w:tc>
      </w:tr>
      <w:tr>
        <w:trPr>
          <w:trHeight w:val="225"/>
        </w:trPr>
        <w:tc>
          <w:tcPr>
            <w:tcW w:w="463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78</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94</w:t>
            </w:r>
          </w:p>
        </w:tc>
      </w:tr>
      <w:tr>
        <w:trPr>
          <w:trHeight w:val="225"/>
        </w:trPr>
        <w:tc>
          <w:tcPr>
            <w:tcW w:w="4630"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1.869</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1.881</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1.840</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2.237</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2.122</w:t>
            </w:r>
          </w:p>
        </w:tc>
      </w:tr>
      <w:tr>
        <w:trPr>
          <w:trHeight w:val="225"/>
        </w:trPr>
        <w:tc>
          <w:tcPr>
            <w:tcW w:w="4630"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856"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93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8990" w:type="dxa"/>
            <w:gridSpan w:val="6"/>
            <w:tcBorders>
              <w:top w:val="nil"/>
              <w:left w:val="nil"/>
              <w:bottom w:val="nil"/>
              <w:right w:val="nil"/>
            </w:tcBorders>
            <w:shd w:val="clear" w:color="000000" w:fill="FFFFFF"/>
            <w:noWrap/>
            <w:vAlign w:val="center"/>
            <w:hideMark/>
          </w:tcPr>
          <w:p>
            <w:pPr>
              <w:jc w:val="center"/>
              <w:rPr>
                <w:rFonts w:eastAsia="Times New Roman"/>
                <w:b/>
                <w:noProof/>
                <w:sz w:val="16"/>
                <w:lang w:val="pl-PL" w:eastAsia="en-IE"/>
              </w:rPr>
            </w:pPr>
            <w:r>
              <w:rPr>
                <w:rFonts w:eastAsia="Times New Roman"/>
                <w:b/>
                <w:noProof/>
                <w:sz w:val="16"/>
                <w:lang w:val="pl-PL" w:eastAsia="en-IE"/>
              </w:rPr>
              <w:t>FDI EU28 with Bosnia-Herzegovina (mio €)</w:t>
            </w:r>
          </w:p>
        </w:tc>
      </w:tr>
      <w:tr>
        <w:trPr>
          <w:trHeight w:val="225"/>
        </w:trPr>
        <w:tc>
          <w:tcPr>
            <w:tcW w:w="4630"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lang w:val="pl-PL" w:eastAsia="en-IE"/>
              </w:rPr>
            </w:pPr>
            <w:r>
              <w:rPr>
                <w:rFonts w:eastAsia="Times New Roman"/>
                <w:noProof/>
                <w:sz w:val="16"/>
                <w:lang w:val="pl-PL" w:eastAsia="en-IE"/>
              </w:rPr>
              <w:t> </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93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8990"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Stocks</w:t>
            </w:r>
          </w:p>
        </w:tc>
      </w:tr>
      <w:tr>
        <w:trPr>
          <w:trHeight w:val="225"/>
        </w:trPr>
        <w:tc>
          <w:tcPr>
            <w:tcW w:w="463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102</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81</w:t>
            </w:r>
          </w:p>
        </w:tc>
      </w:tr>
      <w:tr>
        <w:trPr>
          <w:trHeight w:val="225"/>
        </w:trPr>
        <w:tc>
          <w:tcPr>
            <w:tcW w:w="463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3.059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2.455</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3.395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3.410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2.161</w:t>
            </w:r>
          </w:p>
        </w:tc>
      </w:tr>
      <w:tr>
        <w:trPr>
          <w:trHeight w:val="225"/>
        </w:trPr>
        <w:tc>
          <w:tcPr>
            <w:tcW w:w="8990"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Flows</w:t>
            </w:r>
          </w:p>
        </w:tc>
      </w:tr>
      <w:tr>
        <w:trPr>
          <w:trHeight w:val="225"/>
        </w:trPr>
        <w:tc>
          <w:tcPr>
            <w:tcW w:w="463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60</w:t>
            </w:r>
          </w:p>
        </w:tc>
      </w:tr>
      <w:tr>
        <w:trPr>
          <w:trHeight w:val="225"/>
        </w:trPr>
        <w:tc>
          <w:tcPr>
            <w:tcW w:w="463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70</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-414</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465</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574</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-941</w:t>
            </w:r>
          </w:p>
        </w:tc>
      </w:tr>
      <w:tr>
        <w:trPr>
          <w:trHeight w:val="225"/>
        </w:trPr>
        <w:tc>
          <w:tcPr>
            <w:tcW w:w="4630" w:type="dxa"/>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856"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93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bl>
    <w:p>
      <w:pPr>
        <w:rPr>
          <w:noProof/>
        </w:rPr>
      </w:pPr>
    </w:p>
    <w:p>
      <w:pPr>
        <w:rPr>
          <w:noProof/>
        </w:rPr>
      </w:pPr>
      <w:r>
        <w:rPr>
          <w:noProof/>
        </w:rPr>
        <w:t xml:space="preserve">Fill rates of Bosnia-Herzegovina TRQs (all TRQs are duty free). </w:t>
      </w:r>
    </w:p>
    <w:p>
      <w:pPr>
        <w:rPr>
          <w:noProof/>
        </w:rPr>
      </w:pPr>
    </w:p>
    <w:tbl>
      <w:tblPr>
        <w:tblW w:w="8840" w:type="dxa"/>
        <w:tblInd w:w="118" w:type="dxa"/>
        <w:tblLook w:val="04A0" w:firstRow="1" w:lastRow="0" w:firstColumn="1" w:lastColumn="0" w:noHBand="0" w:noVBand="1"/>
      </w:tblPr>
      <w:tblGrid>
        <w:gridCol w:w="2480"/>
        <w:gridCol w:w="1300"/>
        <w:gridCol w:w="1160"/>
        <w:gridCol w:w="1060"/>
        <w:gridCol w:w="1500"/>
        <w:gridCol w:w="1340"/>
      </w:tblGrid>
      <w:tr>
        <w:trPr>
          <w:trHeight w:val="612"/>
        </w:trPr>
        <w:tc>
          <w:tcPr>
            <w:tcW w:w="2480" w:type="dxa"/>
            <w:tcBorders>
              <w:top w:val="single" w:sz="8" w:space="0" w:color="auto"/>
              <w:left w:val="single" w:sz="8" w:space="0" w:color="auto"/>
              <w:bottom w:val="single" w:sz="4" w:space="0" w:color="auto"/>
              <w:right w:val="single" w:sz="4" w:space="0" w:color="auto"/>
            </w:tcBorders>
            <w:shd w:val="clear" w:color="000000" w:fill="C5D9F1"/>
            <w:noWrap/>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Agricultural TRQs</w:t>
            </w:r>
          </w:p>
        </w:tc>
        <w:tc>
          <w:tcPr>
            <w:tcW w:w="1300" w:type="dxa"/>
            <w:tcBorders>
              <w:top w:val="single" w:sz="8" w:space="0" w:color="auto"/>
              <w:left w:val="nil"/>
              <w:bottom w:val="single" w:sz="4" w:space="0" w:color="auto"/>
              <w:right w:val="single" w:sz="4" w:space="0" w:color="auto"/>
            </w:tcBorders>
            <w:shd w:val="clear" w:color="000000" w:fill="C5D9F1"/>
            <w:hideMark/>
          </w:tcPr>
          <w:p>
            <w:pPr>
              <w:rPr>
                <w:rFonts w:eastAsia="Times New Roman"/>
                <w:b/>
                <w:bCs/>
                <w:i/>
                <w:iCs/>
                <w:noProof/>
                <w:color w:val="000000"/>
                <w:sz w:val="16"/>
                <w:szCs w:val="16"/>
                <w:lang w:val="en-IE" w:eastAsia="en-IE"/>
              </w:rPr>
            </w:pPr>
            <w:r>
              <w:rPr>
                <w:rFonts w:eastAsia="Times New Roman"/>
                <w:b/>
                <w:bCs/>
                <w:i/>
                <w:iCs/>
                <w:noProof/>
                <w:color w:val="000000"/>
                <w:sz w:val="16"/>
                <w:szCs w:val="16"/>
                <w:lang w:val="en-IE" w:eastAsia="en-IE"/>
              </w:rPr>
              <w:t>Product codes</w:t>
            </w:r>
          </w:p>
        </w:tc>
        <w:tc>
          <w:tcPr>
            <w:tcW w:w="2220" w:type="dxa"/>
            <w:gridSpan w:val="2"/>
            <w:tcBorders>
              <w:top w:val="single" w:sz="8" w:space="0" w:color="auto"/>
              <w:left w:val="nil"/>
              <w:bottom w:val="single" w:sz="4" w:space="0" w:color="auto"/>
              <w:right w:val="single" w:sz="4" w:space="0" w:color="auto"/>
            </w:tcBorders>
            <w:shd w:val="clear" w:color="000000" w:fill="C5D9F1"/>
            <w:hideMark/>
          </w:tcPr>
          <w:p>
            <w:pPr>
              <w:jc w:val="center"/>
              <w:rPr>
                <w:rFonts w:eastAsia="Times New Roman"/>
                <w:b/>
                <w:bCs/>
                <w:noProof/>
                <w:color w:val="000000"/>
                <w:sz w:val="16"/>
                <w:szCs w:val="16"/>
                <w:lang w:val="en-IE" w:eastAsia="en-IE"/>
              </w:rPr>
            </w:pPr>
            <w:r>
              <w:rPr>
                <w:rFonts w:eastAsia="Times New Roman"/>
                <w:b/>
                <w:bCs/>
                <w:noProof/>
                <w:color w:val="000000"/>
                <w:sz w:val="16"/>
                <w:szCs w:val="16"/>
                <w:lang w:val="en-IE" w:eastAsia="en-IE"/>
              </w:rPr>
              <w:t>Size of the TRQ (tonnes)</w:t>
            </w:r>
          </w:p>
        </w:tc>
        <w:tc>
          <w:tcPr>
            <w:tcW w:w="1500" w:type="dxa"/>
            <w:tcBorders>
              <w:top w:val="single" w:sz="8" w:space="0" w:color="auto"/>
              <w:left w:val="single" w:sz="8" w:space="0" w:color="auto"/>
              <w:bottom w:val="single" w:sz="4" w:space="0" w:color="auto"/>
              <w:right w:val="single" w:sz="8" w:space="0" w:color="auto"/>
            </w:tcBorders>
            <w:shd w:val="clear" w:color="000000" w:fill="C5D9F1"/>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TRQ usage (2017)</w:t>
            </w:r>
          </w:p>
        </w:tc>
        <w:tc>
          <w:tcPr>
            <w:tcW w:w="1340" w:type="dxa"/>
            <w:tcBorders>
              <w:top w:val="single" w:sz="8" w:space="0" w:color="auto"/>
              <w:left w:val="nil"/>
              <w:bottom w:val="single" w:sz="4" w:space="0" w:color="auto"/>
              <w:right w:val="single" w:sz="8" w:space="0" w:color="auto"/>
            </w:tcBorders>
            <w:shd w:val="clear" w:color="000000" w:fill="C5D9F1"/>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TRQ usage (2018)</w:t>
            </w:r>
          </w:p>
        </w:tc>
      </w:tr>
      <w:tr>
        <w:trPr>
          <w:trHeight w:val="503"/>
        </w:trPr>
        <w:tc>
          <w:tcPr>
            <w:tcW w:w="2480" w:type="dxa"/>
            <w:tcBorders>
              <w:top w:val="nil"/>
              <w:left w:val="single" w:sz="8" w:space="0" w:color="auto"/>
              <w:bottom w:val="single" w:sz="8" w:space="0" w:color="auto"/>
              <w:right w:val="single" w:sz="4" w:space="0" w:color="auto"/>
            </w:tcBorders>
            <w:shd w:val="clear" w:color="000000" w:fill="C5D9F1"/>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single" w:sz="8" w:space="0" w:color="auto"/>
              <w:right w:val="single" w:sz="4" w:space="0" w:color="auto"/>
            </w:tcBorders>
            <w:shd w:val="clear" w:color="000000" w:fill="C5D9F1"/>
            <w:noWrap/>
            <w:vAlign w:val="bottom"/>
            <w:hideMark/>
          </w:tcPr>
          <w:p>
            <w:pPr>
              <w:rPr>
                <w:rFonts w:eastAsia="Times New Roman"/>
                <w:b/>
                <w:bCs/>
                <w:i/>
                <w:iCs/>
                <w:noProof/>
                <w:color w:val="000000"/>
                <w:sz w:val="16"/>
                <w:szCs w:val="16"/>
                <w:lang w:val="en-IE" w:eastAsia="en-IE"/>
              </w:rPr>
            </w:pPr>
            <w:r>
              <w:rPr>
                <w:rFonts w:eastAsia="Times New Roman"/>
                <w:b/>
                <w:bCs/>
                <w:i/>
                <w:iCs/>
                <w:noProof/>
                <w:color w:val="000000"/>
                <w:sz w:val="16"/>
                <w:szCs w:val="16"/>
                <w:lang w:val="en-IE" w:eastAsia="en-IE"/>
              </w:rPr>
              <w:t> </w:t>
            </w:r>
          </w:p>
        </w:tc>
        <w:tc>
          <w:tcPr>
            <w:tcW w:w="1160" w:type="dxa"/>
            <w:tcBorders>
              <w:top w:val="nil"/>
              <w:left w:val="nil"/>
              <w:bottom w:val="single" w:sz="8" w:space="0" w:color="auto"/>
              <w:right w:val="single" w:sz="4" w:space="0" w:color="auto"/>
            </w:tcBorders>
            <w:shd w:val="clear" w:color="000000" w:fill="C5D9F1"/>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As of 1.1.2017</w:t>
            </w:r>
          </w:p>
        </w:tc>
        <w:tc>
          <w:tcPr>
            <w:tcW w:w="1060" w:type="dxa"/>
            <w:tcBorders>
              <w:top w:val="nil"/>
              <w:left w:val="nil"/>
              <w:bottom w:val="single" w:sz="8" w:space="0" w:color="auto"/>
              <w:right w:val="single" w:sz="4" w:space="0" w:color="auto"/>
            </w:tcBorders>
            <w:shd w:val="clear" w:color="000000" w:fill="C5D9F1"/>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As of 1.1.2018</w:t>
            </w:r>
          </w:p>
        </w:tc>
        <w:tc>
          <w:tcPr>
            <w:tcW w:w="1500" w:type="dxa"/>
            <w:tcBorders>
              <w:top w:val="nil"/>
              <w:left w:val="single" w:sz="8" w:space="0" w:color="auto"/>
              <w:bottom w:val="single" w:sz="8" w:space="0" w:color="auto"/>
              <w:right w:val="single" w:sz="8" w:space="0" w:color="auto"/>
            </w:tcBorders>
            <w:shd w:val="clear" w:color="000000" w:fill="C5D9F1"/>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40" w:type="dxa"/>
            <w:tcBorders>
              <w:top w:val="nil"/>
              <w:left w:val="nil"/>
              <w:bottom w:val="single" w:sz="8" w:space="0" w:color="auto"/>
              <w:right w:val="single" w:sz="8" w:space="0" w:color="auto"/>
            </w:tcBorders>
            <w:shd w:val="clear" w:color="000000" w:fill="C5D9F1"/>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r>
      <w:tr>
        <w:trPr>
          <w:trHeight w:val="300"/>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Beef</w:t>
            </w:r>
          </w:p>
        </w:tc>
        <w:tc>
          <w:tcPr>
            <w:tcW w:w="1300" w:type="dxa"/>
            <w:tcBorders>
              <w:top w:val="nil"/>
              <w:left w:val="nil"/>
              <w:bottom w:val="single" w:sz="4" w:space="0" w:color="auto"/>
              <w:right w:val="single" w:sz="4" w:space="0" w:color="auto"/>
            </w:tcBorders>
            <w:shd w:val="clear" w:color="auto" w:fill="auto"/>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0102 10 10</w:t>
            </w:r>
          </w:p>
        </w:tc>
        <w:tc>
          <w:tcPr>
            <w:tcW w:w="1160"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2200</w:t>
            </w:r>
          </w:p>
        </w:tc>
        <w:tc>
          <w:tcPr>
            <w:tcW w:w="1060"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2200</w:t>
            </w:r>
          </w:p>
        </w:tc>
        <w:tc>
          <w:tcPr>
            <w:tcW w:w="1500" w:type="dxa"/>
            <w:tcBorders>
              <w:top w:val="nil"/>
              <w:left w:val="single" w:sz="8" w:space="0" w:color="auto"/>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11%</w:t>
            </w:r>
          </w:p>
        </w:tc>
        <w:tc>
          <w:tcPr>
            <w:tcW w:w="1340" w:type="dxa"/>
            <w:tcBorders>
              <w:top w:val="nil"/>
              <w:left w:val="nil"/>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9%</w:t>
            </w:r>
          </w:p>
        </w:tc>
      </w:tr>
      <w:tr>
        <w:trPr>
          <w:trHeight w:val="300"/>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single" w:sz="4" w:space="0" w:color="auto"/>
              <w:right w:val="single" w:sz="4" w:space="0" w:color="auto"/>
            </w:tcBorders>
            <w:shd w:val="clear" w:color="auto" w:fill="auto"/>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0102 29 61</w:t>
            </w:r>
          </w:p>
        </w:tc>
        <w:tc>
          <w:tcPr>
            <w:tcW w:w="1160"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1935</w:t>
            </w:r>
          </w:p>
        </w:tc>
        <w:tc>
          <w:tcPr>
            <w:tcW w:w="1060"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1935</w:t>
            </w:r>
          </w:p>
        </w:tc>
        <w:tc>
          <w:tcPr>
            <w:tcW w:w="1500" w:type="dxa"/>
            <w:tcBorders>
              <w:top w:val="nil"/>
              <w:left w:val="single" w:sz="8" w:space="0" w:color="auto"/>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51%</w:t>
            </w:r>
          </w:p>
        </w:tc>
        <w:tc>
          <w:tcPr>
            <w:tcW w:w="1340" w:type="dxa"/>
            <w:tcBorders>
              <w:top w:val="nil"/>
              <w:left w:val="nil"/>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33%</w:t>
            </w:r>
          </w:p>
        </w:tc>
      </w:tr>
      <w:tr>
        <w:trPr>
          <w:trHeight w:val="300"/>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single" w:sz="4" w:space="0" w:color="auto"/>
              <w:right w:val="single" w:sz="4" w:space="0" w:color="auto"/>
            </w:tcBorders>
            <w:shd w:val="clear" w:color="auto" w:fill="auto"/>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0102 29 91</w:t>
            </w:r>
          </w:p>
        </w:tc>
        <w:tc>
          <w:tcPr>
            <w:tcW w:w="1160"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190</w:t>
            </w:r>
          </w:p>
        </w:tc>
        <w:tc>
          <w:tcPr>
            <w:tcW w:w="1060"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190</w:t>
            </w:r>
          </w:p>
        </w:tc>
        <w:tc>
          <w:tcPr>
            <w:tcW w:w="1500" w:type="dxa"/>
            <w:tcBorders>
              <w:top w:val="nil"/>
              <w:left w:val="single" w:sz="8" w:space="0" w:color="auto"/>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15%</w:t>
            </w:r>
          </w:p>
        </w:tc>
        <w:tc>
          <w:tcPr>
            <w:tcW w:w="1340" w:type="dxa"/>
            <w:tcBorders>
              <w:top w:val="nil"/>
              <w:left w:val="nil"/>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21%</w:t>
            </w:r>
          </w:p>
        </w:tc>
      </w:tr>
      <w:tr>
        <w:trPr>
          <w:trHeight w:val="300"/>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single" w:sz="4" w:space="0" w:color="auto"/>
              <w:right w:val="single" w:sz="4" w:space="0" w:color="auto"/>
            </w:tcBorders>
            <w:shd w:val="clear" w:color="auto" w:fill="auto"/>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0102 90 49</w:t>
            </w:r>
          </w:p>
        </w:tc>
        <w:tc>
          <w:tcPr>
            <w:tcW w:w="1160"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2600</w:t>
            </w:r>
          </w:p>
        </w:tc>
        <w:tc>
          <w:tcPr>
            <w:tcW w:w="1060"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2600</w:t>
            </w:r>
          </w:p>
        </w:tc>
        <w:tc>
          <w:tcPr>
            <w:tcW w:w="1500" w:type="dxa"/>
            <w:tcBorders>
              <w:top w:val="nil"/>
              <w:left w:val="single" w:sz="8" w:space="0" w:color="auto"/>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8%</w:t>
            </w:r>
          </w:p>
        </w:tc>
        <w:tc>
          <w:tcPr>
            <w:tcW w:w="1340" w:type="dxa"/>
            <w:tcBorders>
              <w:top w:val="nil"/>
              <w:left w:val="nil"/>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32%</w:t>
            </w:r>
          </w:p>
        </w:tc>
      </w:tr>
      <w:tr>
        <w:trPr>
          <w:trHeight w:val="315"/>
        </w:trPr>
        <w:tc>
          <w:tcPr>
            <w:tcW w:w="2480" w:type="dxa"/>
            <w:tcBorders>
              <w:top w:val="nil"/>
              <w:left w:val="single" w:sz="8" w:space="0" w:color="auto"/>
              <w:bottom w:val="single" w:sz="8" w:space="0" w:color="auto"/>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single" w:sz="8" w:space="0" w:color="auto"/>
              <w:right w:val="single" w:sz="4" w:space="0" w:color="auto"/>
            </w:tcBorders>
            <w:shd w:val="clear" w:color="auto" w:fill="auto"/>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0202 30 90</w:t>
            </w:r>
          </w:p>
        </w:tc>
        <w:tc>
          <w:tcPr>
            <w:tcW w:w="1160" w:type="dxa"/>
            <w:tcBorders>
              <w:top w:val="nil"/>
              <w:left w:val="nil"/>
              <w:bottom w:val="single" w:sz="8" w:space="0" w:color="auto"/>
              <w:right w:val="single" w:sz="4"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4000</w:t>
            </w:r>
          </w:p>
        </w:tc>
        <w:tc>
          <w:tcPr>
            <w:tcW w:w="1060" w:type="dxa"/>
            <w:tcBorders>
              <w:top w:val="nil"/>
              <w:left w:val="nil"/>
              <w:bottom w:val="single" w:sz="8" w:space="0" w:color="auto"/>
              <w:right w:val="single" w:sz="4"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4000</w:t>
            </w:r>
          </w:p>
        </w:tc>
        <w:tc>
          <w:tcPr>
            <w:tcW w:w="1500" w:type="dxa"/>
            <w:tcBorders>
              <w:top w:val="nil"/>
              <w:left w:val="single" w:sz="8" w:space="0" w:color="auto"/>
              <w:bottom w:val="single" w:sz="8"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56%</w:t>
            </w:r>
          </w:p>
        </w:tc>
        <w:tc>
          <w:tcPr>
            <w:tcW w:w="1340" w:type="dxa"/>
            <w:tcBorders>
              <w:top w:val="nil"/>
              <w:left w:val="nil"/>
              <w:bottom w:val="single" w:sz="8"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51%</w:t>
            </w:r>
          </w:p>
        </w:tc>
      </w:tr>
      <w:tr>
        <w:trPr>
          <w:trHeight w:val="300"/>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Pork</w:t>
            </w:r>
          </w:p>
        </w:tc>
        <w:tc>
          <w:tcPr>
            <w:tcW w:w="1300" w:type="dxa"/>
            <w:tcBorders>
              <w:top w:val="nil"/>
              <w:left w:val="nil"/>
              <w:bottom w:val="single" w:sz="4" w:space="0" w:color="auto"/>
              <w:right w:val="single" w:sz="4" w:space="0" w:color="auto"/>
            </w:tcBorders>
            <w:shd w:val="clear" w:color="auto" w:fill="auto"/>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0103 91 90</w:t>
            </w:r>
          </w:p>
        </w:tc>
        <w:tc>
          <w:tcPr>
            <w:tcW w:w="1160"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700</w:t>
            </w:r>
          </w:p>
        </w:tc>
        <w:tc>
          <w:tcPr>
            <w:tcW w:w="1060"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700</w:t>
            </w:r>
          </w:p>
        </w:tc>
        <w:tc>
          <w:tcPr>
            <w:tcW w:w="1500" w:type="dxa"/>
            <w:tcBorders>
              <w:top w:val="nil"/>
              <w:left w:val="single" w:sz="8" w:space="0" w:color="auto"/>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90%</w:t>
            </w:r>
          </w:p>
        </w:tc>
        <w:tc>
          <w:tcPr>
            <w:tcW w:w="1340" w:type="dxa"/>
            <w:tcBorders>
              <w:top w:val="nil"/>
              <w:left w:val="nil"/>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91%</w:t>
            </w:r>
          </w:p>
        </w:tc>
      </w:tr>
      <w:tr>
        <w:trPr>
          <w:trHeight w:val="300"/>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single" w:sz="4" w:space="0" w:color="auto"/>
              <w:right w:val="single" w:sz="4" w:space="0" w:color="auto"/>
            </w:tcBorders>
            <w:shd w:val="clear" w:color="auto" w:fill="auto"/>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0103 92 11</w:t>
            </w:r>
          </w:p>
        </w:tc>
        <w:tc>
          <w:tcPr>
            <w:tcW w:w="1160"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575</w:t>
            </w:r>
          </w:p>
        </w:tc>
        <w:tc>
          <w:tcPr>
            <w:tcW w:w="1060"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575</w:t>
            </w:r>
          </w:p>
        </w:tc>
        <w:tc>
          <w:tcPr>
            <w:tcW w:w="1500" w:type="dxa"/>
            <w:tcBorders>
              <w:top w:val="nil"/>
              <w:left w:val="single" w:sz="8" w:space="0" w:color="auto"/>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0%</w:t>
            </w:r>
          </w:p>
        </w:tc>
        <w:tc>
          <w:tcPr>
            <w:tcW w:w="1340" w:type="dxa"/>
            <w:tcBorders>
              <w:top w:val="nil"/>
              <w:left w:val="nil"/>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300"/>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single" w:sz="4" w:space="0" w:color="auto"/>
              <w:right w:val="single" w:sz="4" w:space="0" w:color="auto"/>
            </w:tcBorders>
            <w:shd w:val="clear" w:color="auto" w:fill="auto"/>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0103 92 19</w:t>
            </w:r>
          </w:p>
        </w:tc>
        <w:tc>
          <w:tcPr>
            <w:tcW w:w="1160"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1755</w:t>
            </w:r>
          </w:p>
        </w:tc>
        <w:tc>
          <w:tcPr>
            <w:tcW w:w="1060"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1755</w:t>
            </w:r>
          </w:p>
        </w:tc>
        <w:tc>
          <w:tcPr>
            <w:tcW w:w="1500" w:type="dxa"/>
            <w:tcBorders>
              <w:top w:val="nil"/>
              <w:left w:val="single" w:sz="8" w:space="0" w:color="auto"/>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20%</w:t>
            </w:r>
          </w:p>
        </w:tc>
        <w:tc>
          <w:tcPr>
            <w:tcW w:w="1340" w:type="dxa"/>
            <w:tcBorders>
              <w:top w:val="nil"/>
              <w:left w:val="nil"/>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33%</w:t>
            </w:r>
          </w:p>
        </w:tc>
      </w:tr>
      <w:tr>
        <w:trPr>
          <w:trHeight w:val="300"/>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single" w:sz="4" w:space="0" w:color="auto"/>
              <w:right w:val="single" w:sz="4" w:space="0" w:color="auto"/>
            </w:tcBorders>
            <w:shd w:val="clear" w:color="auto" w:fill="auto"/>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0103 92 90</w:t>
            </w:r>
          </w:p>
        </w:tc>
        <w:tc>
          <w:tcPr>
            <w:tcW w:w="1160"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195</w:t>
            </w:r>
          </w:p>
        </w:tc>
        <w:tc>
          <w:tcPr>
            <w:tcW w:w="1060"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195</w:t>
            </w:r>
          </w:p>
        </w:tc>
        <w:tc>
          <w:tcPr>
            <w:tcW w:w="1500" w:type="dxa"/>
            <w:tcBorders>
              <w:top w:val="nil"/>
              <w:left w:val="single" w:sz="8" w:space="0" w:color="auto"/>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29%</w:t>
            </w:r>
          </w:p>
        </w:tc>
        <w:tc>
          <w:tcPr>
            <w:tcW w:w="1340" w:type="dxa"/>
            <w:tcBorders>
              <w:top w:val="nil"/>
              <w:left w:val="nil"/>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0%</w:t>
            </w:r>
          </w:p>
        </w:tc>
      </w:tr>
      <w:tr>
        <w:trPr>
          <w:trHeight w:val="300"/>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single" w:sz="4" w:space="0" w:color="auto"/>
              <w:right w:val="single" w:sz="4" w:space="0" w:color="auto"/>
            </w:tcBorders>
            <w:shd w:val="clear" w:color="auto" w:fill="auto"/>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0203 19 15</w:t>
            </w:r>
          </w:p>
        </w:tc>
        <w:tc>
          <w:tcPr>
            <w:tcW w:w="1160"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1200</w:t>
            </w:r>
          </w:p>
        </w:tc>
        <w:tc>
          <w:tcPr>
            <w:tcW w:w="1060"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1200</w:t>
            </w:r>
          </w:p>
        </w:tc>
        <w:tc>
          <w:tcPr>
            <w:tcW w:w="1500" w:type="dxa"/>
            <w:tcBorders>
              <w:top w:val="nil"/>
              <w:left w:val="single" w:sz="8" w:space="0" w:color="auto"/>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56%</w:t>
            </w:r>
          </w:p>
        </w:tc>
        <w:tc>
          <w:tcPr>
            <w:tcW w:w="1340" w:type="dxa"/>
            <w:tcBorders>
              <w:top w:val="nil"/>
              <w:left w:val="nil"/>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73%</w:t>
            </w:r>
          </w:p>
        </w:tc>
      </w:tr>
      <w:tr>
        <w:trPr>
          <w:trHeight w:val="300"/>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single" w:sz="4" w:space="0" w:color="auto"/>
              <w:right w:val="single" w:sz="4" w:space="0" w:color="auto"/>
            </w:tcBorders>
            <w:shd w:val="clear" w:color="auto" w:fill="auto"/>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0203 22 11</w:t>
            </w:r>
          </w:p>
        </w:tc>
        <w:tc>
          <w:tcPr>
            <w:tcW w:w="1160"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300</w:t>
            </w:r>
          </w:p>
        </w:tc>
        <w:tc>
          <w:tcPr>
            <w:tcW w:w="1060"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300</w:t>
            </w:r>
          </w:p>
        </w:tc>
        <w:tc>
          <w:tcPr>
            <w:tcW w:w="1500" w:type="dxa"/>
            <w:tcBorders>
              <w:top w:val="nil"/>
              <w:left w:val="single" w:sz="8" w:space="0" w:color="auto"/>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0%</w:t>
            </w:r>
          </w:p>
        </w:tc>
        <w:tc>
          <w:tcPr>
            <w:tcW w:w="1340" w:type="dxa"/>
            <w:tcBorders>
              <w:top w:val="nil"/>
              <w:left w:val="nil"/>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0%</w:t>
            </w:r>
          </w:p>
        </w:tc>
      </w:tr>
      <w:tr>
        <w:trPr>
          <w:trHeight w:val="300"/>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single" w:sz="4" w:space="0" w:color="auto"/>
              <w:right w:val="single" w:sz="4" w:space="0" w:color="auto"/>
            </w:tcBorders>
            <w:shd w:val="clear" w:color="auto" w:fill="auto"/>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0203 29 55</w:t>
            </w:r>
          </w:p>
        </w:tc>
        <w:tc>
          <w:tcPr>
            <w:tcW w:w="1160"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2000</w:t>
            </w:r>
          </w:p>
        </w:tc>
        <w:tc>
          <w:tcPr>
            <w:tcW w:w="1060"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2000</w:t>
            </w:r>
          </w:p>
        </w:tc>
        <w:tc>
          <w:tcPr>
            <w:tcW w:w="1500" w:type="dxa"/>
            <w:tcBorders>
              <w:top w:val="nil"/>
              <w:left w:val="single" w:sz="8" w:space="0" w:color="auto"/>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80%</w:t>
            </w:r>
          </w:p>
        </w:tc>
        <w:tc>
          <w:tcPr>
            <w:tcW w:w="1340" w:type="dxa"/>
            <w:tcBorders>
              <w:top w:val="nil"/>
              <w:left w:val="nil"/>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80%</w:t>
            </w:r>
          </w:p>
        </w:tc>
      </w:tr>
      <w:tr>
        <w:trPr>
          <w:trHeight w:val="300"/>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single" w:sz="4" w:space="0" w:color="auto"/>
              <w:right w:val="single" w:sz="4" w:space="0" w:color="auto"/>
            </w:tcBorders>
            <w:shd w:val="clear" w:color="auto" w:fill="auto"/>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0209 00 11</w:t>
            </w:r>
          </w:p>
        </w:tc>
        <w:tc>
          <w:tcPr>
            <w:tcW w:w="1160"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100</w:t>
            </w:r>
          </w:p>
        </w:tc>
        <w:tc>
          <w:tcPr>
            <w:tcW w:w="1060"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100</w:t>
            </w:r>
          </w:p>
        </w:tc>
        <w:tc>
          <w:tcPr>
            <w:tcW w:w="1500" w:type="dxa"/>
            <w:tcBorders>
              <w:top w:val="nil"/>
              <w:left w:val="single" w:sz="8" w:space="0" w:color="auto"/>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82%</w:t>
            </w:r>
          </w:p>
        </w:tc>
        <w:tc>
          <w:tcPr>
            <w:tcW w:w="1340" w:type="dxa"/>
            <w:tcBorders>
              <w:top w:val="nil"/>
              <w:left w:val="nil"/>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71%</w:t>
            </w:r>
          </w:p>
        </w:tc>
      </w:tr>
      <w:tr>
        <w:trPr>
          <w:trHeight w:val="315"/>
        </w:trPr>
        <w:tc>
          <w:tcPr>
            <w:tcW w:w="2480" w:type="dxa"/>
            <w:tcBorders>
              <w:top w:val="nil"/>
              <w:left w:val="single" w:sz="8" w:space="0" w:color="auto"/>
              <w:bottom w:val="single" w:sz="8" w:space="0" w:color="auto"/>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single" w:sz="8" w:space="0" w:color="auto"/>
              <w:right w:val="single" w:sz="4" w:space="0" w:color="auto"/>
            </w:tcBorders>
            <w:shd w:val="clear" w:color="auto" w:fill="auto"/>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0210 19 81</w:t>
            </w:r>
          </w:p>
        </w:tc>
        <w:tc>
          <w:tcPr>
            <w:tcW w:w="1160" w:type="dxa"/>
            <w:tcBorders>
              <w:top w:val="nil"/>
              <w:left w:val="nil"/>
              <w:bottom w:val="single" w:sz="8" w:space="0" w:color="auto"/>
              <w:right w:val="single" w:sz="4"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600</w:t>
            </w:r>
          </w:p>
        </w:tc>
        <w:tc>
          <w:tcPr>
            <w:tcW w:w="1060" w:type="dxa"/>
            <w:tcBorders>
              <w:top w:val="nil"/>
              <w:left w:val="nil"/>
              <w:bottom w:val="single" w:sz="8" w:space="0" w:color="auto"/>
              <w:right w:val="single" w:sz="4"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600</w:t>
            </w:r>
          </w:p>
        </w:tc>
        <w:tc>
          <w:tcPr>
            <w:tcW w:w="1500" w:type="dxa"/>
            <w:tcBorders>
              <w:top w:val="nil"/>
              <w:left w:val="single" w:sz="8" w:space="0" w:color="auto"/>
              <w:bottom w:val="single" w:sz="8"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68%</w:t>
            </w:r>
          </w:p>
        </w:tc>
        <w:tc>
          <w:tcPr>
            <w:tcW w:w="1340" w:type="dxa"/>
            <w:tcBorders>
              <w:top w:val="nil"/>
              <w:left w:val="nil"/>
              <w:bottom w:val="single" w:sz="8"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71%</w:t>
            </w:r>
          </w:p>
        </w:tc>
      </w:tr>
      <w:tr>
        <w:trPr>
          <w:trHeight w:val="383"/>
        </w:trPr>
        <w:tc>
          <w:tcPr>
            <w:tcW w:w="2480" w:type="dxa"/>
            <w:tcBorders>
              <w:top w:val="nil"/>
              <w:left w:val="single" w:sz="8" w:space="0" w:color="auto"/>
              <w:bottom w:val="single" w:sz="8" w:space="0" w:color="auto"/>
              <w:right w:val="single" w:sz="4" w:space="0" w:color="auto"/>
            </w:tcBorders>
            <w:shd w:val="clear" w:color="auto" w:fill="auto"/>
            <w:noWrap/>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Lamb</w:t>
            </w:r>
          </w:p>
        </w:tc>
        <w:tc>
          <w:tcPr>
            <w:tcW w:w="1300" w:type="dxa"/>
            <w:tcBorders>
              <w:top w:val="nil"/>
              <w:left w:val="nil"/>
              <w:bottom w:val="single" w:sz="8" w:space="0" w:color="auto"/>
              <w:right w:val="single" w:sz="4" w:space="0" w:color="auto"/>
            </w:tcBorders>
            <w:shd w:val="clear" w:color="auto" w:fill="auto"/>
            <w:noWrap/>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0104 10 30</w:t>
            </w:r>
          </w:p>
        </w:tc>
        <w:tc>
          <w:tcPr>
            <w:tcW w:w="1160" w:type="dxa"/>
            <w:tcBorders>
              <w:top w:val="nil"/>
              <w:left w:val="nil"/>
              <w:bottom w:val="single" w:sz="8" w:space="0" w:color="auto"/>
              <w:right w:val="single" w:sz="4" w:space="0" w:color="auto"/>
            </w:tcBorders>
            <w:shd w:val="clear" w:color="auto" w:fill="auto"/>
            <w:noWrap/>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450</w:t>
            </w:r>
          </w:p>
        </w:tc>
        <w:tc>
          <w:tcPr>
            <w:tcW w:w="1060" w:type="dxa"/>
            <w:tcBorders>
              <w:top w:val="nil"/>
              <w:left w:val="nil"/>
              <w:bottom w:val="single" w:sz="8" w:space="0" w:color="auto"/>
              <w:right w:val="single" w:sz="4" w:space="0" w:color="auto"/>
            </w:tcBorders>
            <w:shd w:val="clear" w:color="auto" w:fill="auto"/>
            <w:noWrap/>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450</w:t>
            </w:r>
          </w:p>
        </w:tc>
        <w:tc>
          <w:tcPr>
            <w:tcW w:w="1500" w:type="dxa"/>
            <w:tcBorders>
              <w:top w:val="nil"/>
              <w:left w:val="single" w:sz="8" w:space="0" w:color="auto"/>
              <w:bottom w:val="single" w:sz="8" w:space="0" w:color="auto"/>
              <w:right w:val="single" w:sz="8" w:space="0" w:color="auto"/>
            </w:tcBorders>
            <w:shd w:val="clear" w:color="auto" w:fill="auto"/>
            <w:noWrap/>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110%</w:t>
            </w:r>
          </w:p>
        </w:tc>
        <w:tc>
          <w:tcPr>
            <w:tcW w:w="1340" w:type="dxa"/>
            <w:tcBorders>
              <w:top w:val="nil"/>
              <w:left w:val="nil"/>
              <w:bottom w:val="single" w:sz="8"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300"/>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Poultry</w:t>
            </w:r>
          </w:p>
        </w:tc>
        <w:tc>
          <w:tcPr>
            <w:tcW w:w="1300" w:type="dxa"/>
            <w:tcBorders>
              <w:top w:val="nil"/>
              <w:left w:val="nil"/>
              <w:bottom w:val="single" w:sz="4" w:space="0" w:color="auto"/>
              <w:right w:val="single" w:sz="4" w:space="0" w:color="auto"/>
            </w:tcBorders>
            <w:shd w:val="clear" w:color="auto" w:fill="auto"/>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0105 94 00</w:t>
            </w:r>
          </w:p>
        </w:tc>
        <w:tc>
          <w:tcPr>
            <w:tcW w:w="1160"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1455</w:t>
            </w:r>
          </w:p>
        </w:tc>
        <w:tc>
          <w:tcPr>
            <w:tcW w:w="1060"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1455</w:t>
            </w:r>
          </w:p>
        </w:tc>
        <w:tc>
          <w:tcPr>
            <w:tcW w:w="1500" w:type="dxa"/>
            <w:tcBorders>
              <w:top w:val="nil"/>
              <w:left w:val="single" w:sz="8" w:space="0" w:color="auto"/>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0%</w:t>
            </w:r>
          </w:p>
        </w:tc>
        <w:tc>
          <w:tcPr>
            <w:tcW w:w="1340" w:type="dxa"/>
            <w:tcBorders>
              <w:top w:val="nil"/>
              <w:left w:val="nil"/>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300"/>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single" w:sz="4" w:space="0" w:color="auto"/>
              <w:right w:val="single" w:sz="4" w:space="0" w:color="auto"/>
            </w:tcBorders>
            <w:shd w:val="clear" w:color="auto" w:fill="auto"/>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0207 12 90</w:t>
            </w:r>
          </w:p>
        </w:tc>
        <w:tc>
          <w:tcPr>
            <w:tcW w:w="1160"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80</w:t>
            </w:r>
          </w:p>
        </w:tc>
        <w:tc>
          <w:tcPr>
            <w:tcW w:w="1060"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80</w:t>
            </w:r>
          </w:p>
        </w:tc>
        <w:tc>
          <w:tcPr>
            <w:tcW w:w="1500" w:type="dxa"/>
            <w:tcBorders>
              <w:top w:val="nil"/>
              <w:left w:val="single" w:sz="8" w:space="0" w:color="auto"/>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10%</w:t>
            </w:r>
          </w:p>
        </w:tc>
        <w:tc>
          <w:tcPr>
            <w:tcW w:w="1340" w:type="dxa"/>
            <w:tcBorders>
              <w:top w:val="nil"/>
              <w:left w:val="nil"/>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300"/>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single" w:sz="4" w:space="0" w:color="auto"/>
              <w:right w:val="single" w:sz="4" w:space="0" w:color="auto"/>
            </w:tcBorders>
            <w:shd w:val="clear" w:color="auto" w:fill="auto"/>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0207 13 10</w:t>
            </w:r>
          </w:p>
        </w:tc>
        <w:tc>
          <w:tcPr>
            <w:tcW w:w="1160"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90</w:t>
            </w:r>
          </w:p>
        </w:tc>
        <w:tc>
          <w:tcPr>
            <w:tcW w:w="1060"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90</w:t>
            </w:r>
          </w:p>
        </w:tc>
        <w:tc>
          <w:tcPr>
            <w:tcW w:w="1500" w:type="dxa"/>
            <w:tcBorders>
              <w:top w:val="nil"/>
              <w:left w:val="single" w:sz="8" w:space="0" w:color="auto"/>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0%</w:t>
            </w:r>
          </w:p>
        </w:tc>
        <w:tc>
          <w:tcPr>
            <w:tcW w:w="1340" w:type="dxa"/>
            <w:tcBorders>
              <w:top w:val="nil"/>
              <w:left w:val="nil"/>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300"/>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single" w:sz="4" w:space="0" w:color="auto"/>
              <w:right w:val="single" w:sz="4" w:space="0" w:color="auto"/>
            </w:tcBorders>
            <w:shd w:val="clear" w:color="auto" w:fill="auto"/>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0207 13 30</w:t>
            </w:r>
          </w:p>
        </w:tc>
        <w:tc>
          <w:tcPr>
            <w:tcW w:w="1160"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55</w:t>
            </w:r>
          </w:p>
        </w:tc>
        <w:tc>
          <w:tcPr>
            <w:tcW w:w="1060"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55</w:t>
            </w:r>
          </w:p>
        </w:tc>
        <w:tc>
          <w:tcPr>
            <w:tcW w:w="1500" w:type="dxa"/>
            <w:tcBorders>
              <w:top w:val="nil"/>
              <w:left w:val="single" w:sz="8" w:space="0" w:color="auto"/>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0%</w:t>
            </w:r>
          </w:p>
        </w:tc>
        <w:tc>
          <w:tcPr>
            <w:tcW w:w="1340" w:type="dxa"/>
            <w:tcBorders>
              <w:top w:val="nil"/>
              <w:left w:val="nil"/>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300"/>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single" w:sz="4" w:space="0" w:color="auto"/>
              <w:right w:val="single" w:sz="4" w:space="0" w:color="auto"/>
            </w:tcBorders>
            <w:shd w:val="clear" w:color="auto" w:fill="auto"/>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0207 13 60</w:t>
            </w:r>
          </w:p>
        </w:tc>
        <w:tc>
          <w:tcPr>
            <w:tcW w:w="1160"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320</w:t>
            </w:r>
          </w:p>
        </w:tc>
        <w:tc>
          <w:tcPr>
            <w:tcW w:w="1060"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320</w:t>
            </w:r>
          </w:p>
        </w:tc>
        <w:tc>
          <w:tcPr>
            <w:tcW w:w="1500" w:type="dxa"/>
            <w:tcBorders>
              <w:top w:val="nil"/>
              <w:left w:val="single" w:sz="8" w:space="0" w:color="auto"/>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0%</w:t>
            </w:r>
          </w:p>
        </w:tc>
        <w:tc>
          <w:tcPr>
            <w:tcW w:w="1340" w:type="dxa"/>
            <w:tcBorders>
              <w:top w:val="nil"/>
              <w:left w:val="nil"/>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300"/>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single" w:sz="4" w:space="0" w:color="auto"/>
              <w:right w:val="single" w:sz="4" w:space="0" w:color="auto"/>
            </w:tcBorders>
            <w:shd w:val="clear" w:color="auto" w:fill="auto"/>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0207 13 99</w:t>
            </w:r>
          </w:p>
        </w:tc>
        <w:tc>
          <w:tcPr>
            <w:tcW w:w="1160"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25</w:t>
            </w:r>
          </w:p>
        </w:tc>
        <w:tc>
          <w:tcPr>
            <w:tcW w:w="1060"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25</w:t>
            </w:r>
          </w:p>
        </w:tc>
        <w:tc>
          <w:tcPr>
            <w:tcW w:w="1500" w:type="dxa"/>
            <w:tcBorders>
              <w:top w:val="nil"/>
              <w:left w:val="single" w:sz="8" w:space="0" w:color="auto"/>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0%</w:t>
            </w:r>
          </w:p>
        </w:tc>
        <w:tc>
          <w:tcPr>
            <w:tcW w:w="1340" w:type="dxa"/>
            <w:tcBorders>
              <w:top w:val="nil"/>
              <w:left w:val="nil"/>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300"/>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single" w:sz="4" w:space="0" w:color="auto"/>
              <w:right w:val="single" w:sz="4" w:space="0" w:color="auto"/>
            </w:tcBorders>
            <w:shd w:val="clear" w:color="auto" w:fill="auto"/>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0207 14 20</w:t>
            </w:r>
          </w:p>
        </w:tc>
        <w:tc>
          <w:tcPr>
            <w:tcW w:w="1160"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30</w:t>
            </w:r>
          </w:p>
        </w:tc>
        <w:tc>
          <w:tcPr>
            <w:tcW w:w="1060"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30</w:t>
            </w:r>
          </w:p>
        </w:tc>
        <w:tc>
          <w:tcPr>
            <w:tcW w:w="1500" w:type="dxa"/>
            <w:tcBorders>
              <w:top w:val="nil"/>
              <w:left w:val="single" w:sz="8" w:space="0" w:color="auto"/>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0%</w:t>
            </w:r>
          </w:p>
        </w:tc>
        <w:tc>
          <w:tcPr>
            <w:tcW w:w="1340" w:type="dxa"/>
            <w:tcBorders>
              <w:top w:val="nil"/>
              <w:left w:val="nil"/>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157%</w:t>
            </w:r>
          </w:p>
        </w:tc>
      </w:tr>
      <w:tr>
        <w:trPr>
          <w:trHeight w:val="300"/>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single" w:sz="4" w:space="0" w:color="auto"/>
              <w:right w:val="single" w:sz="4" w:space="0" w:color="auto"/>
            </w:tcBorders>
            <w:shd w:val="clear" w:color="auto" w:fill="auto"/>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ex 0207 14 10</w:t>
            </w:r>
          </w:p>
        </w:tc>
        <w:tc>
          <w:tcPr>
            <w:tcW w:w="1160"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6000</w:t>
            </w:r>
          </w:p>
        </w:tc>
        <w:tc>
          <w:tcPr>
            <w:tcW w:w="1060"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6000</w:t>
            </w:r>
          </w:p>
        </w:tc>
        <w:tc>
          <w:tcPr>
            <w:tcW w:w="1500" w:type="dxa"/>
            <w:tcBorders>
              <w:top w:val="nil"/>
              <w:left w:val="single" w:sz="8" w:space="0" w:color="auto"/>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78%</w:t>
            </w:r>
          </w:p>
        </w:tc>
        <w:tc>
          <w:tcPr>
            <w:tcW w:w="1340" w:type="dxa"/>
            <w:tcBorders>
              <w:top w:val="nil"/>
              <w:left w:val="nil"/>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72%</w:t>
            </w:r>
          </w:p>
        </w:tc>
      </w:tr>
      <w:tr>
        <w:trPr>
          <w:trHeight w:val="300"/>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single" w:sz="4" w:space="0" w:color="auto"/>
              <w:right w:val="single" w:sz="4" w:space="0" w:color="auto"/>
            </w:tcBorders>
            <w:shd w:val="clear" w:color="auto" w:fill="auto"/>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0207 14 60</w:t>
            </w:r>
          </w:p>
        </w:tc>
        <w:tc>
          <w:tcPr>
            <w:tcW w:w="1160"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130</w:t>
            </w:r>
          </w:p>
        </w:tc>
        <w:tc>
          <w:tcPr>
            <w:tcW w:w="1060" w:type="dxa"/>
            <w:tcBorders>
              <w:top w:val="nil"/>
              <w:left w:val="nil"/>
              <w:bottom w:val="single" w:sz="4" w:space="0" w:color="auto"/>
              <w:right w:val="single" w:sz="4"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130</w:t>
            </w:r>
          </w:p>
        </w:tc>
        <w:tc>
          <w:tcPr>
            <w:tcW w:w="1500" w:type="dxa"/>
            <w:tcBorders>
              <w:top w:val="nil"/>
              <w:left w:val="single" w:sz="8" w:space="0" w:color="auto"/>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0%</w:t>
            </w:r>
          </w:p>
        </w:tc>
        <w:tc>
          <w:tcPr>
            <w:tcW w:w="1340" w:type="dxa"/>
            <w:tcBorders>
              <w:top w:val="nil"/>
              <w:left w:val="nil"/>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315"/>
        </w:trPr>
        <w:tc>
          <w:tcPr>
            <w:tcW w:w="2480" w:type="dxa"/>
            <w:tcBorders>
              <w:top w:val="nil"/>
              <w:left w:val="single" w:sz="8" w:space="0" w:color="auto"/>
              <w:bottom w:val="single" w:sz="8" w:space="0" w:color="auto"/>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single" w:sz="8" w:space="0" w:color="auto"/>
              <w:right w:val="single" w:sz="4" w:space="0" w:color="auto"/>
            </w:tcBorders>
            <w:shd w:val="clear" w:color="auto" w:fill="auto"/>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0207 14 99</w:t>
            </w:r>
          </w:p>
        </w:tc>
        <w:tc>
          <w:tcPr>
            <w:tcW w:w="1160" w:type="dxa"/>
            <w:tcBorders>
              <w:top w:val="nil"/>
              <w:left w:val="nil"/>
              <w:bottom w:val="single" w:sz="8" w:space="0" w:color="auto"/>
              <w:right w:val="single" w:sz="4"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50</w:t>
            </w:r>
          </w:p>
        </w:tc>
        <w:tc>
          <w:tcPr>
            <w:tcW w:w="1060" w:type="dxa"/>
            <w:tcBorders>
              <w:top w:val="nil"/>
              <w:left w:val="nil"/>
              <w:bottom w:val="single" w:sz="8" w:space="0" w:color="auto"/>
              <w:right w:val="single" w:sz="4"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50</w:t>
            </w:r>
          </w:p>
        </w:tc>
        <w:tc>
          <w:tcPr>
            <w:tcW w:w="1500" w:type="dxa"/>
            <w:tcBorders>
              <w:top w:val="nil"/>
              <w:left w:val="single" w:sz="8" w:space="0" w:color="auto"/>
              <w:bottom w:val="single" w:sz="8"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58%</w:t>
            </w:r>
          </w:p>
        </w:tc>
        <w:tc>
          <w:tcPr>
            <w:tcW w:w="1340" w:type="dxa"/>
            <w:tcBorders>
              <w:top w:val="nil"/>
              <w:left w:val="nil"/>
              <w:bottom w:val="single" w:sz="8"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52%</w:t>
            </w:r>
          </w:p>
        </w:tc>
      </w:tr>
      <w:tr>
        <w:trPr>
          <w:trHeight w:val="315"/>
        </w:trPr>
        <w:tc>
          <w:tcPr>
            <w:tcW w:w="2480" w:type="dxa"/>
            <w:tcBorders>
              <w:top w:val="nil"/>
              <w:left w:val="single" w:sz="8" w:space="0" w:color="auto"/>
              <w:bottom w:val="single" w:sz="8" w:space="0" w:color="auto"/>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xml:space="preserve">Fish </w:t>
            </w:r>
          </w:p>
        </w:tc>
        <w:tc>
          <w:tcPr>
            <w:tcW w:w="1300" w:type="dxa"/>
            <w:tcBorders>
              <w:top w:val="nil"/>
              <w:left w:val="nil"/>
              <w:bottom w:val="single" w:sz="8" w:space="0" w:color="auto"/>
              <w:right w:val="single" w:sz="4" w:space="0" w:color="auto"/>
            </w:tcBorders>
            <w:shd w:val="clear" w:color="auto" w:fill="auto"/>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0301 93 00</w:t>
            </w:r>
          </w:p>
        </w:tc>
        <w:tc>
          <w:tcPr>
            <w:tcW w:w="1160" w:type="dxa"/>
            <w:tcBorders>
              <w:top w:val="nil"/>
              <w:left w:val="nil"/>
              <w:bottom w:val="single" w:sz="8" w:space="0" w:color="auto"/>
              <w:right w:val="single" w:sz="4"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75</w:t>
            </w:r>
          </w:p>
        </w:tc>
        <w:tc>
          <w:tcPr>
            <w:tcW w:w="1060" w:type="dxa"/>
            <w:tcBorders>
              <w:top w:val="nil"/>
              <w:left w:val="nil"/>
              <w:bottom w:val="single" w:sz="8" w:space="0" w:color="auto"/>
              <w:right w:val="single" w:sz="4"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75</w:t>
            </w:r>
          </w:p>
        </w:tc>
        <w:tc>
          <w:tcPr>
            <w:tcW w:w="1500" w:type="dxa"/>
            <w:tcBorders>
              <w:top w:val="nil"/>
              <w:left w:val="single" w:sz="8" w:space="0" w:color="auto"/>
              <w:bottom w:val="single" w:sz="8"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1340" w:type="dxa"/>
            <w:tcBorders>
              <w:top w:val="nil"/>
              <w:left w:val="nil"/>
              <w:bottom w:val="single" w:sz="8"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100%</w:t>
            </w:r>
          </w:p>
        </w:tc>
      </w:tr>
      <w:tr>
        <w:trPr>
          <w:trHeight w:val="300"/>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Milk and cream</w:t>
            </w:r>
          </w:p>
        </w:tc>
        <w:tc>
          <w:tcPr>
            <w:tcW w:w="1300" w:type="dxa"/>
            <w:tcBorders>
              <w:top w:val="nil"/>
              <w:left w:val="nil"/>
              <w:bottom w:val="single" w:sz="4" w:space="0" w:color="auto"/>
              <w:right w:val="single" w:sz="4" w:space="0" w:color="auto"/>
            </w:tcBorders>
            <w:shd w:val="clear" w:color="000000" w:fill="FFFFFF"/>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0401 20 11</w:t>
            </w:r>
          </w:p>
        </w:tc>
        <w:tc>
          <w:tcPr>
            <w:tcW w:w="11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5432</w:t>
            </w:r>
          </w:p>
        </w:tc>
        <w:tc>
          <w:tcPr>
            <w:tcW w:w="10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9506</w:t>
            </w:r>
          </w:p>
        </w:tc>
        <w:tc>
          <w:tcPr>
            <w:tcW w:w="1500" w:type="dxa"/>
            <w:tcBorders>
              <w:top w:val="nil"/>
              <w:left w:val="single" w:sz="8" w:space="0" w:color="auto"/>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65%</w:t>
            </w:r>
          </w:p>
        </w:tc>
        <w:tc>
          <w:tcPr>
            <w:tcW w:w="1340" w:type="dxa"/>
            <w:tcBorders>
              <w:top w:val="nil"/>
              <w:left w:val="nil"/>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51%</w:t>
            </w:r>
          </w:p>
        </w:tc>
      </w:tr>
      <w:tr>
        <w:trPr>
          <w:trHeight w:val="300"/>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single" w:sz="4" w:space="0" w:color="auto"/>
              <w:right w:val="single" w:sz="4" w:space="0" w:color="auto"/>
            </w:tcBorders>
            <w:shd w:val="clear" w:color="000000" w:fill="FFFFFF"/>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0401 20 91</w:t>
            </w:r>
          </w:p>
        </w:tc>
        <w:tc>
          <w:tcPr>
            <w:tcW w:w="11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720</w:t>
            </w:r>
          </w:p>
        </w:tc>
        <w:tc>
          <w:tcPr>
            <w:tcW w:w="10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1440</w:t>
            </w:r>
          </w:p>
        </w:tc>
        <w:tc>
          <w:tcPr>
            <w:tcW w:w="1500" w:type="dxa"/>
            <w:tcBorders>
              <w:top w:val="nil"/>
              <w:left w:val="single" w:sz="8" w:space="0" w:color="auto"/>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26%</w:t>
            </w:r>
          </w:p>
        </w:tc>
        <w:tc>
          <w:tcPr>
            <w:tcW w:w="1340" w:type="dxa"/>
            <w:tcBorders>
              <w:top w:val="nil"/>
              <w:left w:val="nil"/>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18%</w:t>
            </w:r>
          </w:p>
        </w:tc>
      </w:tr>
      <w:tr>
        <w:trPr>
          <w:trHeight w:val="300"/>
        </w:trPr>
        <w:tc>
          <w:tcPr>
            <w:tcW w:w="2480" w:type="dxa"/>
            <w:tcBorders>
              <w:top w:val="nil"/>
              <w:left w:val="single" w:sz="8" w:space="0" w:color="auto"/>
              <w:bottom w:val="nil"/>
              <w:right w:val="nil"/>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1300" w:type="dxa"/>
            <w:tcBorders>
              <w:top w:val="nil"/>
              <w:left w:val="single" w:sz="4" w:space="0" w:color="auto"/>
              <w:bottom w:val="single" w:sz="4" w:space="0" w:color="auto"/>
              <w:right w:val="single" w:sz="4" w:space="0" w:color="auto"/>
            </w:tcBorders>
            <w:shd w:val="clear" w:color="000000" w:fill="FFFFFF"/>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0401 40 10</w:t>
            </w:r>
          </w:p>
        </w:tc>
        <w:tc>
          <w:tcPr>
            <w:tcW w:w="11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80</w:t>
            </w:r>
          </w:p>
        </w:tc>
        <w:tc>
          <w:tcPr>
            <w:tcW w:w="10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80</w:t>
            </w:r>
          </w:p>
        </w:tc>
        <w:tc>
          <w:tcPr>
            <w:tcW w:w="1500" w:type="dxa"/>
            <w:tcBorders>
              <w:top w:val="nil"/>
              <w:left w:val="single" w:sz="8" w:space="0" w:color="auto"/>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220%</w:t>
            </w:r>
          </w:p>
        </w:tc>
        <w:tc>
          <w:tcPr>
            <w:tcW w:w="1340" w:type="dxa"/>
            <w:tcBorders>
              <w:top w:val="nil"/>
              <w:left w:val="nil"/>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100%</w:t>
            </w:r>
          </w:p>
        </w:tc>
      </w:tr>
      <w:tr>
        <w:trPr>
          <w:trHeight w:val="300"/>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single" w:sz="4" w:space="0" w:color="auto"/>
              <w:right w:val="single" w:sz="4" w:space="0" w:color="auto"/>
            </w:tcBorders>
            <w:shd w:val="clear" w:color="000000" w:fill="FFFFFF"/>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0401 50 11</w:t>
            </w:r>
          </w:p>
        </w:tc>
        <w:tc>
          <w:tcPr>
            <w:tcW w:w="11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30</w:t>
            </w:r>
          </w:p>
        </w:tc>
        <w:tc>
          <w:tcPr>
            <w:tcW w:w="10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30</w:t>
            </w:r>
          </w:p>
        </w:tc>
        <w:tc>
          <w:tcPr>
            <w:tcW w:w="1500" w:type="dxa"/>
            <w:tcBorders>
              <w:top w:val="nil"/>
              <w:left w:val="single" w:sz="8" w:space="0" w:color="auto"/>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347%</w:t>
            </w:r>
          </w:p>
        </w:tc>
        <w:tc>
          <w:tcPr>
            <w:tcW w:w="1340" w:type="dxa"/>
            <w:tcBorders>
              <w:top w:val="nil"/>
              <w:left w:val="nil"/>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100%</w:t>
            </w:r>
          </w:p>
        </w:tc>
      </w:tr>
      <w:tr>
        <w:trPr>
          <w:trHeight w:val="300"/>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single" w:sz="4" w:space="0" w:color="auto"/>
              <w:right w:val="single" w:sz="4" w:space="0" w:color="auto"/>
            </w:tcBorders>
            <w:shd w:val="clear" w:color="000000" w:fill="FFFFFF"/>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0402 21 18</w:t>
            </w:r>
          </w:p>
        </w:tc>
        <w:tc>
          <w:tcPr>
            <w:tcW w:w="11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25</w:t>
            </w:r>
          </w:p>
        </w:tc>
        <w:tc>
          <w:tcPr>
            <w:tcW w:w="10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25</w:t>
            </w:r>
          </w:p>
        </w:tc>
        <w:tc>
          <w:tcPr>
            <w:tcW w:w="1500" w:type="dxa"/>
            <w:tcBorders>
              <w:top w:val="nil"/>
              <w:left w:val="single" w:sz="8" w:space="0" w:color="auto"/>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40%</w:t>
            </w:r>
          </w:p>
        </w:tc>
        <w:tc>
          <w:tcPr>
            <w:tcW w:w="1340" w:type="dxa"/>
            <w:tcBorders>
              <w:top w:val="nil"/>
              <w:left w:val="nil"/>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30%</w:t>
            </w:r>
          </w:p>
        </w:tc>
      </w:tr>
      <w:tr>
        <w:trPr>
          <w:trHeight w:val="300"/>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single" w:sz="4" w:space="0" w:color="auto"/>
              <w:right w:val="single" w:sz="4" w:space="0" w:color="auto"/>
            </w:tcBorders>
            <w:shd w:val="clear" w:color="000000" w:fill="FFFFFF"/>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0403 10 11</w:t>
            </w:r>
          </w:p>
        </w:tc>
        <w:tc>
          <w:tcPr>
            <w:tcW w:w="11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1515</w:t>
            </w:r>
          </w:p>
        </w:tc>
        <w:tc>
          <w:tcPr>
            <w:tcW w:w="10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3030</w:t>
            </w:r>
          </w:p>
        </w:tc>
        <w:tc>
          <w:tcPr>
            <w:tcW w:w="1500" w:type="dxa"/>
            <w:tcBorders>
              <w:top w:val="nil"/>
              <w:left w:val="single" w:sz="8" w:space="0" w:color="auto"/>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134%</w:t>
            </w:r>
          </w:p>
        </w:tc>
        <w:tc>
          <w:tcPr>
            <w:tcW w:w="1340" w:type="dxa"/>
            <w:tcBorders>
              <w:top w:val="nil"/>
              <w:left w:val="nil"/>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70%</w:t>
            </w:r>
          </w:p>
        </w:tc>
      </w:tr>
      <w:tr>
        <w:trPr>
          <w:trHeight w:val="300"/>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single" w:sz="4" w:space="0" w:color="auto"/>
              <w:right w:val="single" w:sz="4" w:space="0" w:color="auto"/>
            </w:tcBorders>
            <w:shd w:val="clear" w:color="000000" w:fill="FFFFFF"/>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0403 10 13</w:t>
            </w:r>
          </w:p>
        </w:tc>
        <w:tc>
          <w:tcPr>
            <w:tcW w:w="11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1520</w:t>
            </w:r>
          </w:p>
        </w:tc>
        <w:tc>
          <w:tcPr>
            <w:tcW w:w="10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3040</w:t>
            </w:r>
          </w:p>
        </w:tc>
        <w:tc>
          <w:tcPr>
            <w:tcW w:w="1500" w:type="dxa"/>
            <w:tcBorders>
              <w:top w:val="nil"/>
              <w:left w:val="single" w:sz="8" w:space="0" w:color="auto"/>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28%</w:t>
            </w:r>
          </w:p>
        </w:tc>
        <w:tc>
          <w:tcPr>
            <w:tcW w:w="1340" w:type="dxa"/>
            <w:tcBorders>
              <w:top w:val="nil"/>
              <w:left w:val="nil"/>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15%</w:t>
            </w:r>
          </w:p>
        </w:tc>
      </w:tr>
      <w:tr>
        <w:trPr>
          <w:trHeight w:val="300"/>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single" w:sz="4" w:space="0" w:color="auto"/>
              <w:right w:val="single" w:sz="4" w:space="0" w:color="auto"/>
            </w:tcBorders>
            <w:shd w:val="clear" w:color="000000" w:fill="FFFFFF"/>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0403 10 91</w:t>
            </w:r>
          </w:p>
        </w:tc>
        <w:tc>
          <w:tcPr>
            <w:tcW w:w="11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480</w:t>
            </w:r>
          </w:p>
        </w:tc>
        <w:tc>
          <w:tcPr>
            <w:tcW w:w="10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480</w:t>
            </w:r>
          </w:p>
        </w:tc>
        <w:tc>
          <w:tcPr>
            <w:tcW w:w="1500" w:type="dxa"/>
            <w:tcBorders>
              <w:top w:val="nil"/>
              <w:left w:val="single" w:sz="8" w:space="0" w:color="auto"/>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176%</w:t>
            </w:r>
          </w:p>
        </w:tc>
        <w:tc>
          <w:tcPr>
            <w:tcW w:w="1340" w:type="dxa"/>
            <w:tcBorders>
              <w:top w:val="nil"/>
              <w:left w:val="nil"/>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71%</w:t>
            </w:r>
          </w:p>
        </w:tc>
      </w:tr>
      <w:tr>
        <w:trPr>
          <w:trHeight w:val="300"/>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single" w:sz="4" w:space="0" w:color="auto"/>
              <w:right w:val="single" w:sz="4" w:space="0" w:color="auto"/>
            </w:tcBorders>
            <w:shd w:val="clear" w:color="000000" w:fill="FFFFFF"/>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0403 10 93</w:t>
            </w:r>
          </w:p>
        </w:tc>
        <w:tc>
          <w:tcPr>
            <w:tcW w:w="11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130</w:t>
            </w:r>
          </w:p>
        </w:tc>
        <w:tc>
          <w:tcPr>
            <w:tcW w:w="10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130</w:t>
            </w:r>
          </w:p>
        </w:tc>
        <w:tc>
          <w:tcPr>
            <w:tcW w:w="1500" w:type="dxa"/>
            <w:tcBorders>
              <w:top w:val="nil"/>
              <w:left w:val="single" w:sz="8" w:space="0" w:color="auto"/>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98%</w:t>
            </w:r>
          </w:p>
        </w:tc>
        <w:tc>
          <w:tcPr>
            <w:tcW w:w="1340" w:type="dxa"/>
            <w:tcBorders>
              <w:top w:val="nil"/>
              <w:left w:val="nil"/>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76%</w:t>
            </w:r>
          </w:p>
        </w:tc>
      </w:tr>
      <w:tr>
        <w:trPr>
          <w:trHeight w:val="300"/>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single" w:sz="4" w:space="0" w:color="auto"/>
              <w:right w:val="single" w:sz="4" w:space="0" w:color="auto"/>
            </w:tcBorders>
            <w:shd w:val="clear" w:color="000000" w:fill="FFFFFF"/>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0403 10 99</w:t>
            </w:r>
          </w:p>
        </w:tc>
        <w:tc>
          <w:tcPr>
            <w:tcW w:w="11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25</w:t>
            </w:r>
          </w:p>
        </w:tc>
        <w:tc>
          <w:tcPr>
            <w:tcW w:w="10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25</w:t>
            </w:r>
          </w:p>
        </w:tc>
        <w:tc>
          <w:tcPr>
            <w:tcW w:w="1500" w:type="dxa"/>
            <w:tcBorders>
              <w:top w:val="nil"/>
              <w:left w:val="single" w:sz="8" w:space="0" w:color="auto"/>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124%</w:t>
            </w:r>
          </w:p>
        </w:tc>
        <w:tc>
          <w:tcPr>
            <w:tcW w:w="1340" w:type="dxa"/>
            <w:tcBorders>
              <w:top w:val="nil"/>
              <w:left w:val="nil"/>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61%</w:t>
            </w:r>
          </w:p>
        </w:tc>
      </w:tr>
      <w:tr>
        <w:trPr>
          <w:trHeight w:val="300"/>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single" w:sz="4" w:space="0" w:color="auto"/>
              <w:right w:val="single" w:sz="4" w:space="0" w:color="auto"/>
            </w:tcBorders>
            <w:shd w:val="clear" w:color="000000" w:fill="FFFFFF"/>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0403 90 51</w:t>
            </w:r>
          </w:p>
        </w:tc>
        <w:tc>
          <w:tcPr>
            <w:tcW w:w="11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500</w:t>
            </w:r>
          </w:p>
        </w:tc>
        <w:tc>
          <w:tcPr>
            <w:tcW w:w="10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500</w:t>
            </w:r>
          </w:p>
        </w:tc>
        <w:tc>
          <w:tcPr>
            <w:tcW w:w="1500" w:type="dxa"/>
            <w:tcBorders>
              <w:top w:val="nil"/>
              <w:left w:val="single" w:sz="8" w:space="0" w:color="auto"/>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41%</w:t>
            </w:r>
          </w:p>
        </w:tc>
        <w:tc>
          <w:tcPr>
            <w:tcW w:w="1340" w:type="dxa"/>
            <w:tcBorders>
              <w:top w:val="nil"/>
              <w:left w:val="nil"/>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48%</w:t>
            </w:r>
          </w:p>
        </w:tc>
      </w:tr>
      <w:tr>
        <w:trPr>
          <w:trHeight w:val="300"/>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single" w:sz="4" w:space="0" w:color="auto"/>
              <w:right w:val="single" w:sz="4" w:space="0" w:color="auto"/>
            </w:tcBorders>
            <w:shd w:val="clear" w:color="000000" w:fill="FFFFFF"/>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0403 90 53</w:t>
            </w:r>
          </w:p>
        </w:tc>
        <w:tc>
          <w:tcPr>
            <w:tcW w:w="11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290</w:t>
            </w:r>
          </w:p>
        </w:tc>
        <w:tc>
          <w:tcPr>
            <w:tcW w:w="10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290</w:t>
            </w:r>
          </w:p>
        </w:tc>
        <w:tc>
          <w:tcPr>
            <w:tcW w:w="1500" w:type="dxa"/>
            <w:tcBorders>
              <w:top w:val="nil"/>
              <w:left w:val="single" w:sz="8" w:space="0" w:color="auto"/>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264%</w:t>
            </w:r>
          </w:p>
        </w:tc>
        <w:tc>
          <w:tcPr>
            <w:tcW w:w="1340" w:type="dxa"/>
            <w:tcBorders>
              <w:top w:val="nil"/>
              <w:left w:val="nil"/>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100%</w:t>
            </w:r>
          </w:p>
        </w:tc>
      </w:tr>
      <w:tr>
        <w:trPr>
          <w:trHeight w:val="300"/>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single" w:sz="4" w:space="0" w:color="auto"/>
              <w:right w:val="single" w:sz="4" w:space="0" w:color="auto"/>
            </w:tcBorders>
            <w:shd w:val="clear" w:color="000000" w:fill="FFFFFF"/>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0403 90 59</w:t>
            </w:r>
          </w:p>
        </w:tc>
        <w:tc>
          <w:tcPr>
            <w:tcW w:w="11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1762,5</w:t>
            </w:r>
          </w:p>
        </w:tc>
        <w:tc>
          <w:tcPr>
            <w:tcW w:w="10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3525</w:t>
            </w:r>
          </w:p>
        </w:tc>
        <w:tc>
          <w:tcPr>
            <w:tcW w:w="1500" w:type="dxa"/>
            <w:tcBorders>
              <w:top w:val="nil"/>
              <w:left w:val="single" w:sz="8" w:space="0" w:color="auto"/>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97%</w:t>
            </w:r>
          </w:p>
        </w:tc>
        <w:tc>
          <w:tcPr>
            <w:tcW w:w="1340" w:type="dxa"/>
            <w:tcBorders>
              <w:top w:val="nil"/>
              <w:left w:val="nil"/>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39%</w:t>
            </w:r>
          </w:p>
        </w:tc>
      </w:tr>
      <w:tr>
        <w:trPr>
          <w:trHeight w:val="300"/>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single" w:sz="4" w:space="0" w:color="auto"/>
              <w:right w:val="single" w:sz="4" w:space="0" w:color="auto"/>
            </w:tcBorders>
            <w:shd w:val="clear" w:color="000000" w:fill="FFFFFF"/>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0403 90 91</w:t>
            </w:r>
          </w:p>
        </w:tc>
        <w:tc>
          <w:tcPr>
            <w:tcW w:w="11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530</w:t>
            </w:r>
          </w:p>
        </w:tc>
        <w:tc>
          <w:tcPr>
            <w:tcW w:w="10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530</w:t>
            </w:r>
          </w:p>
        </w:tc>
        <w:tc>
          <w:tcPr>
            <w:tcW w:w="1500" w:type="dxa"/>
            <w:tcBorders>
              <w:top w:val="nil"/>
              <w:left w:val="single" w:sz="8" w:space="0" w:color="auto"/>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254%</w:t>
            </w:r>
          </w:p>
        </w:tc>
        <w:tc>
          <w:tcPr>
            <w:tcW w:w="1340" w:type="dxa"/>
            <w:tcBorders>
              <w:top w:val="nil"/>
              <w:left w:val="nil"/>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71%</w:t>
            </w:r>
          </w:p>
        </w:tc>
      </w:tr>
      <w:tr>
        <w:trPr>
          <w:trHeight w:val="315"/>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single" w:sz="8" w:space="0" w:color="auto"/>
              <w:right w:val="single" w:sz="4" w:space="0" w:color="auto"/>
            </w:tcBorders>
            <w:shd w:val="clear" w:color="000000" w:fill="FFFFFF"/>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0403 90 93</w:t>
            </w:r>
          </w:p>
        </w:tc>
        <w:tc>
          <w:tcPr>
            <w:tcW w:w="1160" w:type="dxa"/>
            <w:tcBorders>
              <w:top w:val="nil"/>
              <w:left w:val="nil"/>
              <w:bottom w:val="single" w:sz="8"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55</w:t>
            </w:r>
          </w:p>
        </w:tc>
        <w:tc>
          <w:tcPr>
            <w:tcW w:w="1060" w:type="dxa"/>
            <w:tcBorders>
              <w:top w:val="nil"/>
              <w:left w:val="nil"/>
              <w:bottom w:val="single" w:sz="8"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55</w:t>
            </w:r>
          </w:p>
        </w:tc>
        <w:tc>
          <w:tcPr>
            <w:tcW w:w="1500" w:type="dxa"/>
            <w:tcBorders>
              <w:top w:val="nil"/>
              <w:left w:val="single" w:sz="8" w:space="0" w:color="auto"/>
              <w:bottom w:val="single" w:sz="8"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172%</w:t>
            </w:r>
          </w:p>
        </w:tc>
        <w:tc>
          <w:tcPr>
            <w:tcW w:w="1340" w:type="dxa"/>
            <w:tcBorders>
              <w:top w:val="nil"/>
              <w:left w:val="nil"/>
              <w:bottom w:val="single" w:sz="8"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88%</w:t>
            </w:r>
          </w:p>
        </w:tc>
      </w:tr>
      <w:tr>
        <w:trPr>
          <w:trHeight w:val="300"/>
        </w:trPr>
        <w:tc>
          <w:tcPr>
            <w:tcW w:w="2480" w:type="dxa"/>
            <w:tcBorders>
              <w:top w:val="single" w:sz="8" w:space="0" w:color="auto"/>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Butter</w:t>
            </w:r>
          </w:p>
        </w:tc>
        <w:tc>
          <w:tcPr>
            <w:tcW w:w="1300" w:type="dxa"/>
            <w:tcBorders>
              <w:top w:val="nil"/>
              <w:left w:val="nil"/>
              <w:bottom w:val="single" w:sz="4" w:space="0" w:color="auto"/>
              <w:right w:val="single" w:sz="4" w:space="0" w:color="auto"/>
            </w:tcBorders>
            <w:shd w:val="clear" w:color="000000" w:fill="FFFFFF"/>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0405 10 11</w:t>
            </w:r>
          </w:p>
        </w:tc>
        <w:tc>
          <w:tcPr>
            <w:tcW w:w="11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160</w:t>
            </w:r>
          </w:p>
        </w:tc>
        <w:tc>
          <w:tcPr>
            <w:tcW w:w="10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160</w:t>
            </w:r>
          </w:p>
        </w:tc>
        <w:tc>
          <w:tcPr>
            <w:tcW w:w="1500" w:type="dxa"/>
            <w:tcBorders>
              <w:top w:val="nil"/>
              <w:left w:val="single" w:sz="8" w:space="0" w:color="auto"/>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494%</w:t>
            </w:r>
          </w:p>
        </w:tc>
        <w:tc>
          <w:tcPr>
            <w:tcW w:w="1340" w:type="dxa"/>
            <w:tcBorders>
              <w:top w:val="nil"/>
              <w:left w:val="nil"/>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88%</w:t>
            </w:r>
          </w:p>
        </w:tc>
      </w:tr>
      <w:tr>
        <w:trPr>
          <w:trHeight w:val="315"/>
        </w:trPr>
        <w:tc>
          <w:tcPr>
            <w:tcW w:w="2480" w:type="dxa"/>
            <w:tcBorders>
              <w:top w:val="nil"/>
              <w:left w:val="single" w:sz="8" w:space="0" w:color="auto"/>
              <w:bottom w:val="single" w:sz="8" w:space="0" w:color="auto"/>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single" w:sz="8" w:space="0" w:color="auto"/>
              <w:right w:val="single" w:sz="4" w:space="0" w:color="auto"/>
            </w:tcBorders>
            <w:shd w:val="clear" w:color="000000" w:fill="FFFFFF"/>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0405 10 19</w:t>
            </w:r>
          </w:p>
        </w:tc>
        <w:tc>
          <w:tcPr>
            <w:tcW w:w="1160" w:type="dxa"/>
            <w:tcBorders>
              <w:top w:val="nil"/>
              <w:left w:val="nil"/>
              <w:bottom w:val="single" w:sz="8"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200</w:t>
            </w:r>
          </w:p>
        </w:tc>
        <w:tc>
          <w:tcPr>
            <w:tcW w:w="1060" w:type="dxa"/>
            <w:tcBorders>
              <w:top w:val="nil"/>
              <w:left w:val="nil"/>
              <w:bottom w:val="single" w:sz="8"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200</w:t>
            </w:r>
          </w:p>
        </w:tc>
        <w:tc>
          <w:tcPr>
            <w:tcW w:w="1500" w:type="dxa"/>
            <w:tcBorders>
              <w:top w:val="nil"/>
              <w:left w:val="single" w:sz="8" w:space="0" w:color="auto"/>
              <w:bottom w:val="single" w:sz="8"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24%</w:t>
            </w:r>
          </w:p>
        </w:tc>
        <w:tc>
          <w:tcPr>
            <w:tcW w:w="1340" w:type="dxa"/>
            <w:tcBorders>
              <w:top w:val="nil"/>
              <w:left w:val="nil"/>
              <w:bottom w:val="single" w:sz="8"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45%</w:t>
            </w:r>
          </w:p>
        </w:tc>
      </w:tr>
      <w:tr>
        <w:trPr>
          <w:trHeight w:val="300"/>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Cheese</w:t>
            </w:r>
          </w:p>
        </w:tc>
        <w:tc>
          <w:tcPr>
            <w:tcW w:w="1300" w:type="dxa"/>
            <w:tcBorders>
              <w:top w:val="nil"/>
              <w:left w:val="nil"/>
              <w:bottom w:val="nil"/>
              <w:right w:val="single" w:sz="4" w:space="0" w:color="auto"/>
            </w:tcBorders>
            <w:shd w:val="clear" w:color="000000" w:fill="FFFFFF"/>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0406 10 30</w:t>
            </w:r>
          </w:p>
        </w:tc>
        <w:tc>
          <w:tcPr>
            <w:tcW w:w="1160" w:type="dxa"/>
            <w:vMerge w:val="restart"/>
            <w:tcBorders>
              <w:top w:val="nil"/>
              <w:left w:val="single" w:sz="4" w:space="0" w:color="auto"/>
              <w:bottom w:val="nil"/>
              <w:right w:val="single" w:sz="4" w:space="0" w:color="auto"/>
            </w:tcBorders>
            <w:shd w:val="clear" w:color="000000" w:fill="FFFFFF"/>
            <w:noWrap/>
            <w:vAlign w:val="center"/>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355</w:t>
            </w:r>
          </w:p>
        </w:tc>
        <w:tc>
          <w:tcPr>
            <w:tcW w:w="1060" w:type="dxa"/>
            <w:vMerge w:val="restart"/>
            <w:tcBorders>
              <w:top w:val="nil"/>
              <w:left w:val="single" w:sz="4" w:space="0" w:color="auto"/>
              <w:bottom w:val="nil"/>
              <w:right w:val="single" w:sz="4" w:space="0" w:color="auto"/>
            </w:tcBorders>
            <w:shd w:val="clear" w:color="000000" w:fill="FFFFFF"/>
            <w:noWrap/>
            <w:vAlign w:val="center"/>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355</w:t>
            </w:r>
          </w:p>
        </w:tc>
        <w:tc>
          <w:tcPr>
            <w:tcW w:w="1500" w:type="dxa"/>
            <w:vMerge w:val="restart"/>
            <w:tcBorders>
              <w:top w:val="nil"/>
              <w:left w:val="single" w:sz="8" w:space="0" w:color="auto"/>
              <w:bottom w:val="single" w:sz="8" w:space="0" w:color="000000"/>
              <w:right w:val="single" w:sz="8" w:space="0" w:color="auto"/>
            </w:tcBorders>
            <w:shd w:val="clear" w:color="auto" w:fill="auto"/>
            <w:noWrap/>
            <w:vAlign w:val="center"/>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347%</w:t>
            </w:r>
          </w:p>
        </w:tc>
        <w:tc>
          <w:tcPr>
            <w:tcW w:w="1340" w:type="dxa"/>
            <w:tcBorders>
              <w:top w:val="nil"/>
              <w:left w:val="nil"/>
              <w:bottom w:val="nil"/>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94%</w:t>
            </w:r>
          </w:p>
        </w:tc>
      </w:tr>
      <w:tr>
        <w:trPr>
          <w:trHeight w:val="315"/>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nil"/>
              <w:right w:val="single" w:sz="4" w:space="0" w:color="auto"/>
            </w:tcBorders>
            <w:shd w:val="clear" w:color="000000" w:fill="FFFFFF"/>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0406 10 50</w:t>
            </w:r>
          </w:p>
        </w:tc>
        <w:tc>
          <w:tcPr>
            <w:tcW w:w="1160" w:type="dxa"/>
            <w:vMerge/>
            <w:tcBorders>
              <w:top w:val="nil"/>
              <w:left w:val="single" w:sz="4" w:space="0" w:color="auto"/>
              <w:bottom w:val="nil"/>
              <w:right w:val="single" w:sz="4" w:space="0" w:color="auto"/>
            </w:tcBorders>
            <w:vAlign w:val="center"/>
            <w:hideMark/>
          </w:tcPr>
          <w:p>
            <w:pPr>
              <w:rPr>
                <w:rFonts w:eastAsia="Times New Roman"/>
                <w:noProof/>
                <w:color w:val="000000"/>
                <w:sz w:val="16"/>
                <w:szCs w:val="16"/>
                <w:lang w:val="en-IE" w:eastAsia="en-IE"/>
              </w:rPr>
            </w:pPr>
          </w:p>
        </w:tc>
        <w:tc>
          <w:tcPr>
            <w:tcW w:w="1060" w:type="dxa"/>
            <w:vMerge/>
            <w:tcBorders>
              <w:top w:val="nil"/>
              <w:left w:val="single" w:sz="4" w:space="0" w:color="auto"/>
              <w:bottom w:val="nil"/>
              <w:right w:val="single" w:sz="4" w:space="0" w:color="auto"/>
            </w:tcBorders>
            <w:vAlign w:val="center"/>
            <w:hideMark/>
          </w:tcPr>
          <w:p>
            <w:pPr>
              <w:rPr>
                <w:rFonts w:eastAsia="Times New Roman"/>
                <w:noProof/>
                <w:color w:val="000000"/>
                <w:sz w:val="16"/>
                <w:szCs w:val="16"/>
                <w:lang w:val="en-IE" w:eastAsia="en-IE"/>
              </w:rPr>
            </w:pPr>
          </w:p>
        </w:tc>
        <w:tc>
          <w:tcPr>
            <w:tcW w:w="1500" w:type="dxa"/>
            <w:vMerge/>
            <w:tcBorders>
              <w:top w:val="nil"/>
              <w:left w:val="single" w:sz="8" w:space="0" w:color="auto"/>
              <w:bottom w:val="single" w:sz="8" w:space="0" w:color="000000"/>
              <w:right w:val="single" w:sz="8" w:space="0" w:color="auto"/>
            </w:tcBorders>
            <w:vAlign w:val="center"/>
            <w:hideMark/>
          </w:tcPr>
          <w:p>
            <w:pPr>
              <w:rPr>
                <w:rFonts w:eastAsia="Times New Roman"/>
                <w:noProof/>
                <w:color w:val="000000"/>
                <w:sz w:val="16"/>
                <w:szCs w:val="16"/>
                <w:lang w:val="en-IE" w:eastAsia="en-IE"/>
              </w:rPr>
            </w:pPr>
          </w:p>
        </w:tc>
        <w:tc>
          <w:tcPr>
            <w:tcW w:w="1340" w:type="dxa"/>
            <w:tcBorders>
              <w:top w:val="nil"/>
              <w:left w:val="nil"/>
              <w:bottom w:val="single" w:sz="8"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315"/>
        </w:trPr>
        <w:tc>
          <w:tcPr>
            <w:tcW w:w="24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single" w:sz="8" w:space="0" w:color="auto"/>
              <w:left w:val="nil"/>
              <w:bottom w:val="single" w:sz="8" w:space="0" w:color="auto"/>
              <w:right w:val="single" w:sz="4" w:space="0" w:color="auto"/>
            </w:tcBorders>
            <w:shd w:val="clear" w:color="000000" w:fill="FFFFFF"/>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0406 10 80</w:t>
            </w:r>
          </w:p>
        </w:tc>
        <w:tc>
          <w:tcPr>
            <w:tcW w:w="1160" w:type="dxa"/>
            <w:tcBorders>
              <w:top w:val="single" w:sz="8" w:space="0" w:color="auto"/>
              <w:left w:val="nil"/>
              <w:bottom w:val="single" w:sz="8" w:space="0" w:color="auto"/>
              <w:right w:val="single" w:sz="4" w:space="0" w:color="auto"/>
            </w:tcBorders>
            <w:shd w:val="clear" w:color="000000" w:fill="FFFFFF"/>
            <w:noWrap/>
            <w:vAlign w:val="center"/>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165</w:t>
            </w:r>
          </w:p>
        </w:tc>
        <w:tc>
          <w:tcPr>
            <w:tcW w:w="1060" w:type="dxa"/>
            <w:tcBorders>
              <w:top w:val="single" w:sz="8" w:space="0" w:color="auto"/>
              <w:left w:val="nil"/>
              <w:bottom w:val="single" w:sz="8" w:space="0" w:color="auto"/>
              <w:right w:val="single" w:sz="4" w:space="0" w:color="auto"/>
            </w:tcBorders>
            <w:shd w:val="clear" w:color="000000" w:fill="FFFFFF"/>
            <w:noWrap/>
            <w:vAlign w:val="center"/>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165</w:t>
            </w:r>
          </w:p>
        </w:tc>
        <w:tc>
          <w:tcPr>
            <w:tcW w:w="1500" w:type="dxa"/>
            <w:tcBorders>
              <w:top w:val="nil"/>
              <w:left w:val="single" w:sz="8" w:space="0" w:color="auto"/>
              <w:bottom w:val="single" w:sz="8"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85%</w:t>
            </w:r>
          </w:p>
        </w:tc>
        <w:tc>
          <w:tcPr>
            <w:tcW w:w="1340" w:type="dxa"/>
            <w:tcBorders>
              <w:top w:val="nil"/>
              <w:left w:val="nil"/>
              <w:bottom w:val="single" w:sz="8"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53%</w:t>
            </w:r>
          </w:p>
        </w:tc>
      </w:tr>
      <w:tr>
        <w:trPr>
          <w:trHeight w:val="315"/>
        </w:trPr>
        <w:tc>
          <w:tcPr>
            <w:tcW w:w="2480" w:type="dxa"/>
            <w:tcBorders>
              <w:top w:val="nil"/>
              <w:left w:val="single" w:sz="8" w:space="0" w:color="auto"/>
              <w:bottom w:val="single" w:sz="8" w:space="0" w:color="auto"/>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Honey</w:t>
            </w:r>
          </w:p>
        </w:tc>
        <w:tc>
          <w:tcPr>
            <w:tcW w:w="1300" w:type="dxa"/>
            <w:tcBorders>
              <w:top w:val="nil"/>
              <w:left w:val="nil"/>
              <w:bottom w:val="single" w:sz="8" w:space="0" w:color="auto"/>
              <w:right w:val="single" w:sz="4" w:space="0" w:color="auto"/>
            </w:tcBorders>
            <w:shd w:val="clear" w:color="000000" w:fill="FFFFFF"/>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0409 00 00</w:t>
            </w:r>
          </w:p>
        </w:tc>
        <w:tc>
          <w:tcPr>
            <w:tcW w:w="1160" w:type="dxa"/>
            <w:tcBorders>
              <w:top w:val="nil"/>
              <w:left w:val="nil"/>
              <w:bottom w:val="single" w:sz="8"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165</w:t>
            </w:r>
          </w:p>
        </w:tc>
        <w:tc>
          <w:tcPr>
            <w:tcW w:w="1060" w:type="dxa"/>
            <w:tcBorders>
              <w:top w:val="nil"/>
              <w:left w:val="nil"/>
              <w:bottom w:val="single" w:sz="8"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165</w:t>
            </w:r>
          </w:p>
        </w:tc>
        <w:tc>
          <w:tcPr>
            <w:tcW w:w="1500" w:type="dxa"/>
            <w:tcBorders>
              <w:top w:val="nil"/>
              <w:left w:val="single" w:sz="8" w:space="0" w:color="auto"/>
              <w:bottom w:val="single" w:sz="8"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71%</w:t>
            </w:r>
          </w:p>
        </w:tc>
        <w:tc>
          <w:tcPr>
            <w:tcW w:w="1340" w:type="dxa"/>
            <w:tcBorders>
              <w:top w:val="nil"/>
              <w:left w:val="nil"/>
              <w:bottom w:val="single" w:sz="8"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50%</w:t>
            </w:r>
          </w:p>
        </w:tc>
      </w:tr>
      <w:tr>
        <w:trPr>
          <w:trHeight w:val="300"/>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Potatoes</w:t>
            </w:r>
          </w:p>
        </w:tc>
        <w:tc>
          <w:tcPr>
            <w:tcW w:w="1300" w:type="dxa"/>
            <w:tcBorders>
              <w:top w:val="nil"/>
              <w:left w:val="nil"/>
              <w:bottom w:val="single" w:sz="4" w:space="0" w:color="auto"/>
              <w:right w:val="single" w:sz="4" w:space="0" w:color="auto"/>
            </w:tcBorders>
            <w:shd w:val="clear" w:color="000000" w:fill="FFFFFF"/>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0701 90 50</w:t>
            </w:r>
          </w:p>
        </w:tc>
        <w:tc>
          <w:tcPr>
            <w:tcW w:w="11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50</w:t>
            </w:r>
          </w:p>
        </w:tc>
        <w:tc>
          <w:tcPr>
            <w:tcW w:w="10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50</w:t>
            </w:r>
          </w:p>
        </w:tc>
        <w:tc>
          <w:tcPr>
            <w:tcW w:w="1500" w:type="dxa"/>
            <w:tcBorders>
              <w:top w:val="nil"/>
              <w:left w:val="single" w:sz="8" w:space="0" w:color="auto"/>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1300%</w:t>
            </w:r>
          </w:p>
        </w:tc>
        <w:tc>
          <w:tcPr>
            <w:tcW w:w="1340" w:type="dxa"/>
            <w:tcBorders>
              <w:top w:val="nil"/>
              <w:left w:val="nil"/>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0%</w:t>
            </w:r>
          </w:p>
        </w:tc>
      </w:tr>
      <w:tr>
        <w:trPr>
          <w:trHeight w:val="315"/>
        </w:trPr>
        <w:tc>
          <w:tcPr>
            <w:tcW w:w="2480" w:type="dxa"/>
            <w:tcBorders>
              <w:top w:val="nil"/>
              <w:left w:val="single" w:sz="8" w:space="0" w:color="auto"/>
              <w:bottom w:val="single" w:sz="8" w:space="0" w:color="auto"/>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single" w:sz="8" w:space="0" w:color="auto"/>
              <w:right w:val="single" w:sz="4" w:space="0" w:color="auto"/>
            </w:tcBorders>
            <w:shd w:val="clear" w:color="000000" w:fill="FFFFFF"/>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0701 90 90</w:t>
            </w:r>
          </w:p>
        </w:tc>
        <w:tc>
          <w:tcPr>
            <w:tcW w:w="1160" w:type="dxa"/>
            <w:tcBorders>
              <w:top w:val="nil"/>
              <w:left w:val="nil"/>
              <w:bottom w:val="single" w:sz="8"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1265</w:t>
            </w:r>
          </w:p>
        </w:tc>
        <w:tc>
          <w:tcPr>
            <w:tcW w:w="1060" w:type="dxa"/>
            <w:tcBorders>
              <w:top w:val="nil"/>
              <w:left w:val="nil"/>
              <w:bottom w:val="single" w:sz="8"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1265</w:t>
            </w:r>
          </w:p>
        </w:tc>
        <w:tc>
          <w:tcPr>
            <w:tcW w:w="1500" w:type="dxa"/>
            <w:tcBorders>
              <w:top w:val="nil"/>
              <w:left w:val="single" w:sz="8" w:space="0" w:color="auto"/>
              <w:bottom w:val="single" w:sz="8"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75%</w:t>
            </w:r>
          </w:p>
        </w:tc>
        <w:tc>
          <w:tcPr>
            <w:tcW w:w="1340" w:type="dxa"/>
            <w:tcBorders>
              <w:top w:val="nil"/>
              <w:left w:val="nil"/>
              <w:bottom w:val="single" w:sz="8"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56%</w:t>
            </w:r>
          </w:p>
        </w:tc>
      </w:tr>
      <w:tr>
        <w:trPr>
          <w:trHeight w:val="315"/>
        </w:trPr>
        <w:tc>
          <w:tcPr>
            <w:tcW w:w="2480" w:type="dxa"/>
            <w:tcBorders>
              <w:top w:val="nil"/>
              <w:left w:val="single" w:sz="8" w:space="0" w:color="auto"/>
              <w:bottom w:val="single" w:sz="8" w:space="0" w:color="auto"/>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Cabbage</w:t>
            </w:r>
          </w:p>
        </w:tc>
        <w:tc>
          <w:tcPr>
            <w:tcW w:w="1300" w:type="dxa"/>
            <w:tcBorders>
              <w:top w:val="nil"/>
              <w:left w:val="nil"/>
              <w:bottom w:val="single" w:sz="8" w:space="0" w:color="auto"/>
              <w:right w:val="single" w:sz="4" w:space="0" w:color="auto"/>
            </w:tcBorders>
            <w:shd w:val="clear" w:color="000000" w:fill="FFFFFF"/>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0704 90 10</w:t>
            </w:r>
          </w:p>
        </w:tc>
        <w:tc>
          <w:tcPr>
            <w:tcW w:w="1160" w:type="dxa"/>
            <w:tcBorders>
              <w:top w:val="nil"/>
              <w:left w:val="nil"/>
              <w:bottom w:val="single" w:sz="8"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280</w:t>
            </w:r>
          </w:p>
        </w:tc>
        <w:tc>
          <w:tcPr>
            <w:tcW w:w="1060" w:type="dxa"/>
            <w:tcBorders>
              <w:top w:val="nil"/>
              <w:left w:val="nil"/>
              <w:bottom w:val="single" w:sz="8"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280</w:t>
            </w:r>
          </w:p>
        </w:tc>
        <w:tc>
          <w:tcPr>
            <w:tcW w:w="1500" w:type="dxa"/>
            <w:tcBorders>
              <w:top w:val="nil"/>
              <w:left w:val="single" w:sz="8" w:space="0" w:color="auto"/>
              <w:bottom w:val="single" w:sz="8"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26%</w:t>
            </w:r>
          </w:p>
        </w:tc>
        <w:tc>
          <w:tcPr>
            <w:tcW w:w="1340" w:type="dxa"/>
            <w:tcBorders>
              <w:top w:val="nil"/>
              <w:left w:val="nil"/>
              <w:bottom w:val="single" w:sz="8"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0%</w:t>
            </w:r>
          </w:p>
        </w:tc>
      </w:tr>
      <w:tr>
        <w:trPr>
          <w:trHeight w:val="315"/>
        </w:trPr>
        <w:tc>
          <w:tcPr>
            <w:tcW w:w="2480" w:type="dxa"/>
            <w:tcBorders>
              <w:top w:val="nil"/>
              <w:left w:val="single" w:sz="8" w:space="0" w:color="auto"/>
              <w:bottom w:val="single" w:sz="8" w:space="0" w:color="auto"/>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Carrots and turnips</w:t>
            </w:r>
          </w:p>
        </w:tc>
        <w:tc>
          <w:tcPr>
            <w:tcW w:w="1300" w:type="dxa"/>
            <w:tcBorders>
              <w:top w:val="nil"/>
              <w:left w:val="nil"/>
              <w:bottom w:val="single" w:sz="8" w:space="0" w:color="auto"/>
              <w:right w:val="single" w:sz="4" w:space="0" w:color="auto"/>
            </w:tcBorders>
            <w:shd w:val="clear" w:color="000000" w:fill="FFFFFF"/>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0706 10 00</w:t>
            </w:r>
          </w:p>
        </w:tc>
        <w:tc>
          <w:tcPr>
            <w:tcW w:w="1160" w:type="dxa"/>
            <w:tcBorders>
              <w:top w:val="nil"/>
              <w:left w:val="nil"/>
              <w:bottom w:val="single" w:sz="8"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50</w:t>
            </w:r>
          </w:p>
        </w:tc>
        <w:tc>
          <w:tcPr>
            <w:tcW w:w="1060" w:type="dxa"/>
            <w:tcBorders>
              <w:top w:val="nil"/>
              <w:left w:val="nil"/>
              <w:bottom w:val="single" w:sz="8"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50</w:t>
            </w:r>
          </w:p>
        </w:tc>
        <w:tc>
          <w:tcPr>
            <w:tcW w:w="1500" w:type="dxa"/>
            <w:tcBorders>
              <w:top w:val="nil"/>
              <w:left w:val="single" w:sz="8" w:space="0" w:color="auto"/>
              <w:bottom w:val="single" w:sz="8"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542%</w:t>
            </w:r>
          </w:p>
        </w:tc>
        <w:tc>
          <w:tcPr>
            <w:tcW w:w="1340" w:type="dxa"/>
            <w:tcBorders>
              <w:top w:val="nil"/>
              <w:left w:val="nil"/>
              <w:bottom w:val="single" w:sz="8"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0%</w:t>
            </w:r>
          </w:p>
        </w:tc>
      </w:tr>
      <w:tr>
        <w:trPr>
          <w:trHeight w:val="315"/>
        </w:trPr>
        <w:tc>
          <w:tcPr>
            <w:tcW w:w="2480" w:type="dxa"/>
            <w:tcBorders>
              <w:top w:val="nil"/>
              <w:left w:val="single" w:sz="8" w:space="0" w:color="auto"/>
              <w:bottom w:val="single" w:sz="8" w:space="0" w:color="auto"/>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Grapes</w:t>
            </w:r>
          </w:p>
        </w:tc>
        <w:tc>
          <w:tcPr>
            <w:tcW w:w="1300" w:type="dxa"/>
            <w:tcBorders>
              <w:top w:val="nil"/>
              <w:left w:val="nil"/>
              <w:bottom w:val="single" w:sz="8" w:space="0" w:color="auto"/>
              <w:right w:val="single" w:sz="4" w:space="0" w:color="auto"/>
            </w:tcBorders>
            <w:shd w:val="clear" w:color="000000" w:fill="FFFFFF"/>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0806 10 10</w:t>
            </w:r>
          </w:p>
        </w:tc>
        <w:tc>
          <w:tcPr>
            <w:tcW w:w="1160" w:type="dxa"/>
            <w:tcBorders>
              <w:top w:val="nil"/>
              <w:left w:val="nil"/>
              <w:bottom w:val="single" w:sz="8"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45</w:t>
            </w:r>
          </w:p>
        </w:tc>
        <w:tc>
          <w:tcPr>
            <w:tcW w:w="1060" w:type="dxa"/>
            <w:tcBorders>
              <w:top w:val="nil"/>
              <w:left w:val="nil"/>
              <w:bottom w:val="single" w:sz="8"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45</w:t>
            </w:r>
          </w:p>
        </w:tc>
        <w:tc>
          <w:tcPr>
            <w:tcW w:w="1500" w:type="dxa"/>
            <w:tcBorders>
              <w:top w:val="nil"/>
              <w:left w:val="single" w:sz="8" w:space="0" w:color="auto"/>
              <w:bottom w:val="single" w:sz="8"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4637%</w:t>
            </w:r>
          </w:p>
        </w:tc>
        <w:tc>
          <w:tcPr>
            <w:tcW w:w="1340" w:type="dxa"/>
            <w:tcBorders>
              <w:top w:val="nil"/>
              <w:left w:val="nil"/>
              <w:bottom w:val="single" w:sz="8"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15%</w:t>
            </w:r>
          </w:p>
        </w:tc>
      </w:tr>
      <w:tr>
        <w:trPr>
          <w:trHeight w:val="300"/>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Cherries</w:t>
            </w:r>
          </w:p>
        </w:tc>
        <w:tc>
          <w:tcPr>
            <w:tcW w:w="1300" w:type="dxa"/>
            <w:tcBorders>
              <w:top w:val="nil"/>
              <w:left w:val="nil"/>
              <w:bottom w:val="single" w:sz="4" w:space="0" w:color="auto"/>
              <w:right w:val="single" w:sz="4" w:space="0" w:color="auto"/>
            </w:tcBorders>
            <w:shd w:val="clear" w:color="000000" w:fill="FFFFFF"/>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0809 21 00</w:t>
            </w:r>
          </w:p>
        </w:tc>
        <w:tc>
          <w:tcPr>
            <w:tcW w:w="11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410</w:t>
            </w:r>
          </w:p>
        </w:tc>
        <w:tc>
          <w:tcPr>
            <w:tcW w:w="10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410</w:t>
            </w:r>
          </w:p>
        </w:tc>
        <w:tc>
          <w:tcPr>
            <w:tcW w:w="1500" w:type="dxa"/>
            <w:tcBorders>
              <w:top w:val="nil"/>
              <w:left w:val="single" w:sz="8" w:space="0" w:color="auto"/>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10%</w:t>
            </w:r>
          </w:p>
        </w:tc>
        <w:tc>
          <w:tcPr>
            <w:tcW w:w="1340" w:type="dxa"/>
            <w:tcBorders>
              <w:top w:val="nil"/>
              <w:left w:val="nil"/>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67%</w:t>
            </w:r>
          </w:p>
        </w:tc>
      </w:tr>
      <w:tr>
        <w:trPr>
          <w:trHeight w:val="315"/>
        </w:trPr>
        <w:tc>
          <w:tcPr>
            <w:tcW w:w="2480" w:type="dxa"/>
            <w:tcBorders>
              <w:top w:val="nil"/>
              <w:left w:val="single" w:sz="8" w:space="0" w:color="auto"/>
              <w:bottom w:val="single" w:sz="8" w:space="0" w:color="auto"/>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single" w:sz="8" w:space="0" w:color="auto"/>
              <w:right w:val="single" w:sz="4" w:space="0" w:color="auto"/>
            </w:tcBorders>
            <w:shd w:val="clear" w:color="000000" w:fill="FFFFFF"/>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0811 90 75</w:t>
            </w:r>
          </w:p>
        </w:tc>
        <w:tc>
          <w:tcPr>
            <w:tcW w:w="1160" w:type="dxa"/>
            <w:tcBorders>
              <w:top w:val="nil"/>
              <w:left w:val="nil"/>
              <w:bottom w:val="single" w:sz="8"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70</w:t>
            </w:r>
          </w:p>
        </w:tc>
        <w:tc>
          <w:tcPr>
            <w:tcW w:w="1060" w:type="dxa"/>
            <w:tcBorders>
              <w:top w:val="nil"/>
              <w:left w:val="nil"/>
              <w:bottom w:val="single" w:sz="8"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70</w:t>
            </w:r>
          </w:p>
        </w:tc>
        <w:tc>
          <w:tcPr>
            <w:tcW w:w="1500" w:type="dxa"/>
            <w:tcBorders>
              <w:top w:val="nil"/>
              <w:left w:val="single" w:sz="8" w:space="0" w:color="auto"/>
              <w:bottom w:val="single" w:sz="8"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141%</w:t>
            </w:r>
          </w:p>
        </w:tc>
        <w:tc>
          <w:tcPr>
            <w:tcW w:w="1340" w:type="dxa"/>
            <w:tcBorders>
              <w:top w:val="nil"/>
              <w:left w:val="nil"/>
              <w:bottom w:val="single" w:sz="8"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100%</w:t>
            </w:r>
          </w:p>
        </w:tc>
      </w:tr>
      <w:tr>
        <w:trPr>
          <w:trHeight w:val="300"/>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Sausages</w:t>
            </w:r>
          </w:p>
        </w:tc>
        <w:tc>
          <w:tcPr>
            <w:tcW w:w="1300" w:type="dxa"/>
            <w:tcBorders>
              <w:top w:val="nil"/>
              <w:left w:val="nil"/>
              <w:bottom w:val="single" w:sz="4" w:space="0" w:color="auto"/>
              <w:right w:val="single" w:sz="4" w:space="0" w:color="auto"/>
            </w:tcBorders>
            <w:shd w:val="clear" w:color="000000" w:fill="FFFFFF"/>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1601 00 91</w:t>
            </w:r>
          </w:p>
        </w:tc>
        <w:tc>
          <w:tcPr>
            <w:tcW w:w="11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285</w:t>
            </w:r>
          </w:p>
        </w:tc>
        <w:tc>
          <w:tcPr>
            <w:tcW w:w="10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285</w:t>
            </w:r>
          </w:p>
        </w:tc>
        <w:tc>
          <w:tcPr>
            <w:tcW w:w="1500" w:type="dxa"/>
            <w:tcBorders>
              <w:top w:val="nil"/>
              <w:left w:val="single" w:sz="8" w:space="0" w:color="auto"/>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107%</w:t>
            </w:r>
          </w:p>
        </w:tc>
        <w:tc>
          <w:tcPr>
            <w:tcW w:w="1340" w:type="dxa"/>
            <w:tcBorders>
              <w:top w:val="nil"/>
              <w:left w:val="nil"/>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74%</w:t>
            </w:r>
          </w:p>
        </w:tc>
      </w:tr>
      <w:tr>
        <w:trPr>
          <w:trHeight w:val="300"/>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single" w:sz="4" w:space="0" w:color="auto"/>
              <w:right w:val="single" w:sz="4" w:space="0" w:color="auto"/>
            </w:tcBorders>
            <w:shd w:val="clear" w:color="000000" w:fill="FFFFFF"/>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1601 00 99</w:t>
            </w:r>
          </w:p>
        </w:tc>
        <w:tc>
          <w:tcPr>
            <w:tcW w:w="11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1692,5</w:t>
            </w:r>
          </w:p>
        </w:tc>
        <w:tc>
          <w:tcPr>
            <w:tcW w:w="10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3385</w:t>
            </w:r>
          </w:p>
        </w:tc>
        <w:tc>
          <w:tcPr>
            <w:tcW w:w="1500" w:type="dxa"/>
            <w:tcBorders>
              <w:top w:val="nil"/>
              <w:left w:val="single" w:sz="8" w:space="0" w:color="auto"/>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61%</w:t>
            </w:r>
          </w:p>
        </w:tc>
        <w:tc>
          <w:tcPr>
            <w:tcW w:w="1340" w:type="dxa"/>
            <w:tcBorders>
              <w:top w:val="nil"/>
              <w:left w:val="nil"/>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41%</w:t>
            </w:r>
          </w:p>
        </w:tc>
      </w:tr>
      <w:tr>
        <w:trPr>
          <w:trHeight w:val="300"/>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single" w:sz="4" w:space="0" w:color="auto"/>
              <w:right w:val="single" w:sz="4" w:space="0" w:color="auto"/>
            </w:tcBorders>
            <w:shd w:val="clear" w:color="000000" w:fill="FFFFFF"/>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1602 10 10</w:t>
            </w:r>
          </w:p>
        </w:tc>
        <w:tc>
          <w:tcPr>
            <w:tcW w:w="11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75</w:t>
            </w:r>
          </w:p>
        </w:tc>
        <w:tc>
          <w:tcPr>
            <w:tcW w:w="10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75</w:t>
            </w:r>
          </w:p>
        </w:tc>
        <w:tc>
          <w:tcPr>
            <w:tcW w:w="1500" w:type="dxa"/>
            <w:tcBorders>
              <w:top w:val="nil"/>
              <w:left w:val="single" w:sz="8" w:space="0" w:color="auto"/>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7%</w:t>
            </w:r>
          </w:p>
        </w:tc>
        <w:tc>
          <w:tcPr>
            <w:tcW w:w="1340" w:type="dxa"/>
            <w:tcBorders>
              <w:top w:val="nil"/>
              <w:left w:val="nil"/>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0%</w:t>
            </w:r>
          </w:p>
        </w:tc>
      </w:tr>
      <w:tr>
        <w:trPr>
          <w:trHeight w:val="300"/>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single" w:sz="4" w:space="0" w:color="auto"/>
              <w:right w:val="single" w:sz="4" w:space="0" w:color="auto"/>
            </w:tcBorders>
            <w:shd w:val="clear" w:color="000000" w:fill="FFFFFF"/>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1602 20 90</w:t>
            </w:r>
          </w:p>
        </w:tc>
        <w:tc>
          <w:tcPr>
            <w:tcW w:w="11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140</w:t>
            </w:r>
          </w:p>
        </w:tc>
        <w:tc>
          <w:tcPr>
            <w:tcW w:w="10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140</w:t>
            </w:r>
          </w:p>
        </w:tc>
        <w:tc>
          <w:tcPr>
            <w:tcW w:w="1500" w:type="dxa"/>
            <w:tcBorders>
              <w:top w:val="nil"/>
              <w:left w:val="single" w:sz="8" w:space="0" w:color="auto"/>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86%</w:t>
            </w:r>
          </w:p>
        </w:tc>
        <w:tc>
          <w:tcPr>
            <w:tcW w:w="1340" w:type="dxa"/>
            <w:tcBorders>
              <w:top w:val="nil"/>
              <w:left w:val="nil"/>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59%</w:t>
            </w:r>
          </w:p>
        </w:tc>
      </w:tr>
      <w:tr>
        <w:trPr>
          <w:trHeight w:val="300"/>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single" w:sz="4" w:space="0" w:color="auto"/>
              <w:right w:val="single" w:sz="4" w:space="0" w:color="auto"/>
            </w:tcBorders>
            <w:shd w:val="clear" w:color="000000" w:fill="FFFFFF"/>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1602 31 19</w:t>
            </w:r>
          </w:p>
        </w:tc>
        <w:tc>
          <w:tcPr>
            <w:tcW w:w="11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40</w:t>
            </w:r>
          </w:p>
        </w:tc>
        <w:tc>
          <w:tcPr>
            <w:tcW w:w="10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40</w:t>
            </w:r>
          </w:p>
        </w:tc>
        <w:tc>
          <w:tcPr>
            <w:tcW w:w="1500" w:type="dxa"/>
            <w:tcBorders>
              <w:top w:val="nil"/>
              <w:left w:val="single" w:sz="8" w:space="0" w:color="auto"/>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8%</w:t>
            </w:r>
          </w:p>
        </w:tc>
        <w:tc>
          <w:tcPr>
            <w:tcW w:w="1340" w:type="dxa"/>
            <w:tcBorders>
              <w:top w:val="nil"/>
              <w:left w:val="nil"/>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37%</w:t>
            </w:r>
          </w:p>
        </w:tc>
      </w:tr>
      <w:tr>
        <w:trPr>
          <w:trHeight w:val="300"/>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single" w:sz="4" w:space="0" w:color="auto"/>
              <w:right w:val="single" w:sz="4" w:space="0" w:color="auto"/>
            </w:tcBorders>
            <w:shd w:val="clear" w:color="000000" w:fill="FFFFFF"/>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1602 32 11</w:t>
            </w:r>
          </w:p>
        </w:tc>
        <w:tc>
          <w:tcPr>
            <w:tcW w:w="11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130</w:t>
            </w:r>
          </w:p>
        </w:tc>
        <w:tc>
          <w:tcPr>
            <w:tcW w:w="10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130</w:t>
            </w:r>
          </w:p>
        </w:tc>
        <w:tc>
          <w:tcPr>
            <w:tcW w:w="1500" w:type="dxa"/>
            <w:tcBorders>
              <w:top w:val="nil"/>
              <w:left w:val="single" w:sz="8" w:space="0" w:color="auto"/>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0%</w:t>
            </w:r>
          </w:p>
        </w:tc>
        <w:tc>
          <w:tcPr>
            <w:tcW w:w="1340" w:type="dxa"/>
            <w:tcBorders>
              <w:top w:val="nil"/>
              <w:left w:val="nil"/>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300"/>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single" w:sz="4" w:space="0" w:color="auto"/>
              <w:right w:val="single" w:sz="4" w:space="0" w:color="auto"/>
            </w:tcBorders>
            <w:shd w:val="clear" w:color="000000" w:fill="FFFFFF"/>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1602 32 19</w:t>
            </w:r>
          </w:p>
        </w:tc>
        <w:tc>
          <w:tcPr>
            <w:tcW w:w="11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30</w:t>
            </w:r>
          </w:p>
        </w:tc>
        <w:tc>
          <w:tcPr>
            <w:tcW w:w="10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30</w:t>
            </w:r>
          </w:p>
        </w:tc>
        <w:tc>
          <w:tcPr>
            <w:tcW w:w="1500" w:type="dxa"/>
            <w:tcBorders>
              <w:top w:val="nil"/>
              <w:left w:val="single" w:sz="8" w:space="0" w:color="auto"/>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303%</w:t>
            </w:r>
          </w:p>
        </w:tc>
        <w:tc>
          <w:tcPr>
            <w:tcW w:w="1340" w:type="dxa"/>
            <w:tcBorders>
              <w:top w:val="nil"/>
              <w:left w:val="nil"/>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83%</w:t>
            </w:r>
          </w:p>
        </w:tc>
      </w:tr>
      <w:tr>
        <w:trPr>
          <w:trHeight w:val="300"/>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single" w:sz="4" w:space="0" w:color="auto"/>
              <w:right w:val="single" w:sz="4" w:space="0" w:color="auto"/>
            </w:tcBorders>
            <w:shd w:val="clear" w:color="000000" w:fill="FFFFFF"/>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1602 32 30</w:t>
            </w:r>
          </w:p>
        </w:tc>
        <w:tc>
          <w:tcPr>
            <w:tcW w:w="11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170</w:t>
            </w:r>
          </w:p>
        </w:tc>
        <w:tc>
          <w:tcPr>
            <w:tcW w:w="10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170</w:t>
            </w:r>
          </w:p>
        </w:tc>
        <w:tc>
          <w:tcPr>
            <w:tcW w:w="1500" w:type="dxa"/>
            <w:tcBorders>
              <w:top w:val="nil"/>
              <w:left w:val="single" w:sz="8" w:space="0" w:color="auto"/>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78%</w:t>
            </w:r>
          </w:p>
        </w:tc>
        <w:tc>
          <w:tcPr>
            <w:tcW w:w="1340" w:type="dxa"/>
            <w:tcBorders>
              <w:top w:val="nil"/>
              <w:left w:val="nil"/>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41%</w:t>
            </w:r>
          </w:p>
        </w:tc>
      </w:tr>
      <w:tr>
        <w:trPr>
          <w:trHeight w:val="289"/>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single" w:sz="4" w:space="0" w:color="auto"/>
              <w:right w:val="single" w:sz="4" w:space="0" w:color="auto"/>
            </w:tcBorders>
            <w:shd w:val="clear" w:color="000000" w:fill="FFFFFF"/>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1602 32 90</w:t>
            </w:r>
          </w:p>
        </w:tc>
        <w:tc>
          <w:tcPr>
            <w:tcW w:w="11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230</w:t>
            </w:r>
          </w:p>
        </w:tc>
        <w:tc>
          <w:tcPr>
            <w:tcW w:w="10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230</w:t>
            </w:r>
          </w:p>
        </w:tc>
        <w:tc>
          <w:tcPr>
            <w:tcW w:w="1500" w:type="dxa"/>
            <w:tcBorders>
              <w:top w:val="nil"/>
              <w:left w:val="single" w:sz="8" w:space="0" w:color="auto"/>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2%</w:t>
            </w:r>
          </w:p>
        </w:tc>
        <w:tc>
          <w:tcPr>
            <w:tcW w:w="1340" w:type="dxa"/>
            <w:tcBorders>
              <w:top w:val="nil"/>
              <w:left w:val="nil"/>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0%</w:t>
            </w:r>
          </w:p>
        </w:tc>
      </w:tr>
      <w:tr>
        <w:trPr>
          <w:trHeight w:val="300"/>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single" w:sz="4" w:space="0" w:color="auto"/>
              <w:right w:val="single" w:sz="4" w:space="0" w:color="auto"/>
            </w:tcBorders>
            <w:shd w:val="clear" w:color="000000" w:fill="FFFFFF"/>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1602 41 10</w:t>
            </w:r>
          </w:p>
        </w:tc>
        <w:tc>
          <w:tcPr>
            <w:tcW w:w="11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360</w:t>
            </w:r>
          </w:p>
        </w:tc>
        <w:tc>
          <w:tcPr>
            <w:tcW w:w="10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360</w:t>
            </w:r>
          </w:p>
        </w:tc>
        <w:tc>
          <w:tcPr>
            <w:tcW w:w="1500" w:type="dxa"/>
            <w:tcBorders>
              <w:top w:val="nil"/>
              <w:left w:val="single" w:sz="8" w:space="0" w:color="auto"/>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21%</w:t>
            </w:r>
          </w:p>
        </w:tc>
        <w:tc>
          <w:tcPr>
            <w:tcW w:w="1340" w:type="dxa"/>
            <w:tcBorders>
              <w:top w:val="nil"/>
              <w:left w:val="nil"/>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13%</w:t>
            </w:r>
          </w:p>
        </w:tc>
      </w:tr>
      <w:tr>
        <w:trPr>
          <w:trHeight w:val="300"/>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single" w:sz="4" w:space="0" w:color="auto"/>
              <w:right w:val="single" w:sz="4" w:space="0" w:color="auto"/>
            </w:tcBorders>
            <w:shd w:val="clear" w:color="000000" w:fill="FFFFFF"/>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1602 49 15</w:t>
            </w:r>
          </w:p>
        </w:tc>
        <w:tc>
          <w:tcPr>
            <w:tcW w:w="11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150</w:t>
            </w:r>
          </w:p>
        </w:tc>
        <w:tc>
          <w:tcPr>
            <w:tcW w:w="10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150</w:t>
            </w:r>
          </w:p>
        </w:tc>
        <w:tc>
          <w:tcPr>
            <w:tcW w:w="1500" w:type="dxa"/>
            <w:tcBorders>
              <w:top w:val="nil"/>
              <w:left w:val="single" w:sz="8" w:space="0" w:color="auto"/>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0%</w:t>
            </w:r>
          </w:p>
        </w:tc>
        <w:tc>
          <w:tcPr>
            <w:tcW w:w="1340" w:type="dxa"/>
            <w:tcBorders>
              <w:top w:val="nil"/>
              <w:left w:val="nil"/>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0%</w:t>
            </w:r>
          </w:p>
        </w:tc>
      </w:tr>
      <w:tr>
        <w:trPr>
          <w:trHeight w:val="300"/>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single" w:sz="4" w:space="0" w:color="auto"/>
              <w:right w:val="single" w:sz="4" w:space="0" w:color="auto"/>
            </w:tcBorders>
            <w:shd w:val="clear" w:color="000000" w:fill="FFFFFF"/>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1602 49 30</w:t>
            </w:r>
          </w:p>
        </w:tc>
        <w:tc>
          <w:tcPr>
            <w:tcW w:w="11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445</w:t>
            </w:r>
          </w:p>
        </w:tc>
        <w:tc>
          <w:tcPr>
            <w:tcW w:w="10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445</w:t>
            </w:r>
          </w:p>
        </w:tc>
        <w:tc>
          <w:tcPr>
            <w:tcW w:w="1500" w:type="dxa"/>
            <w:tcBorders>
              <w:top w:val="nil"/>
              <w:left w:val="single" w:sz="8" w:space="0" w:color="auto"/>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93%</w:t>
            </w:r>
          </w:p>
        </w:tc>
        <w:tc>
          <w:tcPr>
            <w:tcW w:w="1340" w:type="dxa"/>
            <w:tcBorders>
              <w:top w:val="nil"/>
              <w:left w:val="nil"/>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66%</w:t>
            </w:r>
          </w:p>
        </w:tc>
      </w:tr>
      <w:tr>
        <w:trPr>
          <w:trHeight w:val="300"/>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single" w:sz="4" w:space="0" w:color="auto"/>
              <w:right w:val="single" w:sz="4" w:space="0" w:color="auto"/>
            </w:tcBorders>
            <w:shd w:val="clear" w:color="000000" w:fill="FFFFFF"/>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1602 49 50</w:t>
            </w:r>
          </w:p>
        </w:tc>
        <w:tc>
          <w:tcPr>
            <w:tcW w:w="11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60</w:t>
            </w:r>
          </w:p>
        </w:tc>
        <w:tc>
          <w:tcPr>
            <w:tcW w:w="10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60</w:t>
            </w:r>
          </w:p>
        </w:tc>
        <w:tc>
          <w:tcPr>
            <w:tcW w:w="1500" w:type="dxa"/>
            <w:tcBorders>
              <w:top w:val="nil"/>
              <w:left w:val="single" w:sz="8" w:space="0" w:color="auto"/>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0%</w:t>
            </w:r>
          </w:p>
        </w:tc>
        <w:tc>
          <w:tcPr>
            <w:tcW w:w="1340" w:type="dxa"/>
            <w:tcBorders>
              <w:top w:val="nil"/>
              <w:left w:val="nil"/>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300"/>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single" w:sz="4" w:space="0" w:color="auto"/>
              <w:right w:val="single" w:sz="4" w:space="0" w:color="auto"/>
            </w:tcBorders>
            <w:shd w:val="clear" w:color="000000" w:fill="FFFFFF"/>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1602 50 31</w:t>
            </w:r>
          </w:p>
        </w:tc>
        <w:tc>
          <w:tcPr>
            <w:tcW w:w="11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70</w:t>
            </w:r>
          </w:p>
        </w:tc>
        <w:tc>
          <w:tcPr>
            <w:tcW w:w="10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70</w:t>
            </w:r>
          </w:p>
        </w:tc>
        <w:tc>
          <w:tcPr>
            <w:tcW w:w="1500" w:type="dxa"/>
            <w:tcBorders>
              <w:top w:val="nil"/>
              <w:left w:val="single" w:sz="8" w:space="0" w:color="auto"/>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21%</w:t>
            </w:r>
          </w:p>
        </w:tc>
        <w:tc>
          <w:tcPr>
            <w:tcW w:w="1340" w:type="dxa"/>
            <w:tcBorders>
              <w:top w:val="nil"/>
              <w:left w:val="nil"/>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28%</w:t>
            </w:r>
          </w:p>
        </w:tc>
      </w:tr>
      <w:tr>
        <w:trPr>
          <w:trHeight w:val="315"/>
        </w:trPr>
        <w:tc>
          <w:tcPr>
            <w:tcW w:w="2480" w:type="dxa"/>
            <w:tcBorders>
              <w:top w:val="nil"/>
              <w:left w:val="single" w:sz="8" w:space="0" w:color="auto"/>
              <w:bottom w:val="single" w:sz="8" w:space="0" w:color="auto"/>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single" w:sz="8" w:space="0" w:color="auto"/>
              <w:right w:val="single" w:sz="4" w:space="0" w:color="auto"/>
            </w:tcBorders>
            <w:shd w:val="clear" w:color="000000" w:fill="FFFFFF"/>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1602 50 95</w:t>
            </w:r>
          </w:p>
        </w:tc>
        <w:tc>
          <w:tcPr>
            <w:tcW w:w="1160" w:type="dxa"/>
            <w:tcBorders>
              <w:top w:val="nil"/>
              <w:left w:val="nil"/>
              <w:bottom w:val="single" w:sz="8"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295</w:t>
            </w:r>
          </w:p>
        </w:tc>
        <w:tc>
          <w:tcPr>
            <w:tcW w:w="1060" w:type="dxa"/>
            <w:tcBorders>
              <w:top w:val="nil"/>
              <w:left w:val="nil"/>
              <w:bottom w:val="single" w:sz="8"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295</w:t>
            </w:r>
          </w:p>
        </w:tc>
        <w:tc>
          <w:tcPr>
            <w:tcW w:w="1500" w:type="dxa"/>
            <w:tcBorders>
              <w:top w:val="nil"/>
              <w:left w:val="single" w:sz="8" w:space="0" w:color="auto"/>
              <w:bottom w:val="single" w:sz="8"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56%</w:t>
            </w:r>
          </w:p>
        </w:tc>
        <w:tc>
          <w:tcPr>
            <w:tcW w:w="1340" w:type="dxa"/>
            <w:tcBorders>
              <w:top w:val="nil"/>
              <w:left w:val="nil"/>
              <w:bottom w:val="single" w:sz="8"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24%</w:t>
            </w:r>
          </w:p>
        </w:tc>
      </w:tr>
      <w:tr>
        <w:trPr>
          <w:trHeight w:val="300"/>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Sugar</w:t>
            </w:r>
          </w:p>
        </w:tc>
        <w:tc>
          <w:tcPr>
            <w:tcW w:w="1300" w:type="dxa"/>
            <w:tcBorders>
              <w:top w:val="single" w:sz="4" w:space="0" w:color="auto"/>
              <w:left w:val="nil"/>
              <w:bottom w:val="single" w:sz="4" w:space="0" w:color="auto"/>
              <w:right w:val="single" w:sz="4" w:space="0" w:color="auto"/>
            </w:tcBorders>
            <w:shd w:val="clear" w:color="000000" w:fill="FFFFFF"/>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1701 91 00</w:t>
            </w:r>
          </w:p>
        </w:tc>
        <w:tc>
          <w:tcPr>
            <w:tcW w:w="1160" w:type="dxa"/>
            <w:tcBorders>
              <w:top w:val="single" w:sz="4" w:space="0" w:color="auto"/>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55</w:t>
            </w:r>
          </w:p>
        </w:tc>
        <w:tc>
          <w:tcPr>
            <w:tcW w:w="1060" w:type="dxa"/>
            <w:tcBorders>
              <w:top w:val="single" w:sz="4" w:space="0" w:color="auto"/>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55</w:t>
            </w:r>
          </w:p>
        </w:tc>
        <w:tc>
          <w:tcPr>
            <w:tcW w:w="150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360%</w:t>
            </w:r>
          </w:p>
        </w:tc>
        <w:tc>
          <w:tcPr>
            <w:tcW w:w="1340" w:type="dxa"/>
            <w:tcBorders>
              <w:top w:val="nil"/>
              <w:left w:val="nil"/>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94%</w:t>
            </w:r>
          </w:p>
        </w:tc>
      </w:tr>
      <w:tr>
        <w:trPr>
          <w:trHeight w:val="315"/>
        </w:trPr>
        <w:tc>
          <w:tcPr>
            <w:tcW w:w="2480" w:type="dxa"/>
            <w:tcBorders>
              <w:top w:val="nil"/>
              <w:left w:val="single" w:sz="8" w:space="0" w:color="auto"/>
              <w:bottom w:val="single" w:sz="8" w:space="0" w:color="auto"/>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single" w:sz="8" w:space="0" w:color="auto"/>
              <w:right w:val="single" w:sz="4" w:space="0" w:color="auto"/>
            </w:tcBorders>
            <w:shd w:val="clear" w:color="000000" w:fill="FFFFFF"/>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1701 99 10</w:t>
            </w:r>
          </w:p>
        </w:tc>
        <w:tc>
          <w:tcPr>
            <w:tcW w:w="1160" w:type="dxa"/>
            <w:tcBorders>
              <w:top w:val="nil"/>
              <w:left w:val="nil"/>
              <w:bottom w:val="single" w:sz="8"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3470</w:t>
            </w:r>
          </w:p>
        </w:tc>
        <w:tc>
          <w:tcPr>
            <w:tcW w:w="1060" w:type="dxa"/>
            <w:tcBorders>
              <w:top w:val="nil"/>
              <w:left w:val="nil"/>
              <w:bottom w:val="single" w:sz="8"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3470</w:t>
            </w:r>
          </w:p>
        </w:tc>
        <w:tc>
          <w:tcPr>
            <w:tcW w:w="1500" w:type="dxa"/>
            <w:tcBorders>
              <w:top w:val="nil"/>
              <w:left w:val="single" w:sz="8" w:space="0" w:color="auto"/>
              <w:bottom w:val="single" w:sz="8"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56%</w:t>
            </w:r>
          </w:p>
        </w:tc>
        <w:tc>
          <w:tcPr>
            <w:tcW w:w="1340" w:type="dxa"/>
            <w:tcBorders>
              <w:top w:val="nil"/>
              <w:left w:val="nil"/>
              <w:bottom w:val="single" w:sz="8"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74%</w:t>
            </w:r>
          </w:p>
        </w:tc>
      </w:tr>
      <w:tr>
        <w:trPr>
          <w:trHeight w:val="300"/>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Biscuits</w:t>
            </w:r>
          </w:p>
        </w:tc>
        <w:tc>
          <w:tcPr>
            <w:tcW w:w="1300" w:type="dxa"/>
            <w:tcBorders>
              <w:top w:val="nil"/>
              <w:left w:val="nil"/>
              <w:bottom w:val="single" w:sz="4" w:space="0" w:color="auto"/>
              <w:right w:val="single" w:sz="4" w:space="0" w:color="auto"/>
            </w:tcBorders>
            <w:shd w:val="clear" w:color="000000" w:fill="FFFFFF"/>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1905 31 19</w:t>
            </w:r>
          </w:p>
        </w:tc>
        <w:tc>
          <w:tcPr>
            <w:tcW w:w="11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365</w:t>
            </w:r>
          </w:p>
        </w:tc>
        <w:tc>
          <w:tcPr>
            <w:tcW w:w="10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365</w:t>
            </w:r>
          </w:p>
        </w:tc>
        <w:tc>
          <w:tcPr>
            <w:tcW w:w="1500" w:type="dxa"/>
            <w:tcBorders>
              <w:top w:val="nil"/>
              <w:left w:val="single" w:sz="8" w:space="0" w:color="auto"/>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92%</w:t>
            </w:r>
          </w:p>
        </w:tc>
        <w:tc>
          <w:tcPr>
            <w:tcW w:w="1340" w:type="dxa"/>
            <w:tcBorders>
              <w:top w:val="nil"/>
              <w:left w:val="nil"/>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18%</w:t>
            </w:r>
          </w:p>
        </w:tc>
      </w:tr>
      <w:tr>
        <w:trPr>
          <w:trHeight w:val="300"/>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single" w:sz="4" w:space="0" w:color="auto"/>
              <w:right w:val="single" w:sz="4" w:space="0" w:color="auto"/>
            </w:tcBorders>
            <w:shd w:val="clear" w:color="000000" w:fill="FFFFFF"/>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1905 31 99</w:t>
            </w:r>
          </w:p>
        </w:tc>
        <w:tc>
          <w:tcPr>
            <w:tcW w:w="11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600</w:t>
            </w:r>
          </w:p>
        </w:tc>
        <w:tc>
          <w:tcPr>
            <w:tcW w:w="10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600</w:t>
            </w:r>
          </w:p>
        </w:tc>
        <w:tc>
          <w:tcPr>
            <w:tcW w:w="1500" w:type="dxa"/>
            <w:tcBorders>
              <w:top w:val="nil"/>
              <w:left w:val="single" w:sz="8" w:space="0" w:color="auto"/>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73%</w:t>
            </w:r>
          </w:p>
        </w:tc>
        <w:tc>
          <w:tcPr>
            <w:tcW w:w="1340" w:type="dxa"/>
            <w:tcBorders>
              <w:top w:val="nil"/>
              <w:left w:val="nil"/>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46%</w:t>
            </w:r>
          </w:p>
        </w:tc>
      </w:tr>
      <w:tr>
        <w:trPr>
          <w:trHeight w:val="300"/>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single" w:sz="4" w:space="0" w:color="auto"/>
              <w:right w:val="single" w:sz="4" w:space="0" w:color="auto"/>
            </w:tcBorders>
            <w:shd w:val="clear" w:color="000000" w:fill="FFFFFF"/>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1905 32 19</w:t>
            </w:r>
          </w:p>
        </w:tc>
        <w:tc>
          <w:tcPr>
            <w:tcW w:w="11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300</w:t>
            </w:r>
          </w:p>
        </w:tc>
        <w:tc>
          <w:tcPr>
            <w:tcW w:w="10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300</w:t>
            </w:r>
          </w:p>
        </w:tc>
        <w:tc>
          <w:tcPr>
            <w:tcW w:w="1500" w:type="dxa"/>
            <w:tcBorders>
              <w:top w:val="nil"/>
              <w:left w:val="single" w:sz="8" w:space="0" w:color="auto"/>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49%</w:t>
            </w:r>
          </w:p>
        </w:tc>
        <w:tc>
          <w:tcPr>
            <w:tcW w:w="1340" w:type="dxa"/>
            <w:tcBorders>
              <w:top w:val="nil"/>
              <w:left w:val="nil"/>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47%</w:t>
            </w:r>
          </w:p>
        </w:tc>
      </w:tr>
      <w:tr>
        <w:trPr>
          <w:trHeight w:val="315"/>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single" w:sz="8" w:space="0" w:color="auto"/>
              <w:right w:val="single" w:sz="4" w:space="0" w:color="auto"/>
            </w:tcBorders>
            <w:shd w:val="clear" w:color="000000" w:fill="FFFFFF"/>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1905 90 45</w:t>
            </w:r>
          </w:p>
        </w:tc>
        <w:tc>
          <w:tcPr>
            <w:tcW w:w="1160" w:type="dxa"/>
            <w:tcBorders>
              <w:top w:val="nil"/>
              <w:left w:val="nil"/>
              <w:bottom w:val="single" w:sz="8"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35</w:t>
            </w:r>
          </w:p>
        </w:tc>
        <w:tc>
          <w:tcPr>
            <w:tcW w:w="1060" w:type="dxa"/>
            <w:tcBorders>
              <w:top w:val="nil"/>
              <w:left w:val="nil"/>
              <w:bottom w:val="single" w:sz="8"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35</w:t>
            </w:r>
          </w:p>
        </w:tc>
        <w:tc>
          <w:tcPr>
            <w:tcW w:w="1500" w:type="dxa"/>
            <w:tcBorders>
              <w:top w:val="nil"/>
              <w:left w:val="single" w:sz="8" w:space="0" w:color="auto"/>
              <w:bottom w:val="single" w:sz="8"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811%</w:t>
            </w:r>
          </w:p>
        </w:tc>
        <w:tc>
          <w:tcPr>
            <w:tcW w:w="1340" w:type="dxa"/>
            <w:tcBorders>
              <w:top w:val="nil"/>
              <w:left w:val="nil"/>
              <w:bottom w:val="single" w:sz="8"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59%</w:t>
            </w:r>
          </w:p>
        </w:tc>
      </w:tr>
      <w:tr>
        <w:trPr>
          <w:trHeight w:val="300"/>
        </w:trPr>
        <w:tc>
          <w:tcPr>
            <w:tcW w:w="2480" w:type="dxa"/>
            <w:tcBorders>
              <w:top w:val="single" w:sz="8" w:space="0" w:color="auto"/>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Vegetables, fruits and nuts</w:t>
            </w:r>
          </w:p>
        </w:tc>
        <w:tc>
          <w:tcPr>
            <w:tcW w:w="1300" w:type="dxa"/>
            <w:tcBorders>
              <w:top w:val="nil"/>
              <w:left w:val="nil"/>
              <w:bottom w:val="single" w:sz="4" w:space="0" w:color="auto"/>
              <w:right w:val="single" w:sz="4" w:space="0" w:color="auto"/>
            </w:tcBorders>
            <w:shd w:val="clear" w:color="000000" w:fill="FFFFFF"/>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2001 10 00</w:t>
            </w:r>
          </w:p>
        </w:tc>
        <w:tc>
          <w:tcPr>
            <w:tcW w:w="11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265</w:t>
            </w:r>
          </w:p>
        </w:tc>
        <w:tc>
          <w:tcPr>
            <w:tcW w:w="10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265</w:t>
            </w:r>
          </w:p>
        </w:tc>
        <w:tc>
          <w:tcPr>
            <w:tcW w:w="1500" w:type="dxa"/>
            <w:tcBorders>
              <w:top w:val="nil"/>
              <w:left w:val="single" w:sz="8" w:space="0" w:color="auto"/>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9%</w:t>
            </w:r>
          </w:p>
        </w:tc>
        <w:tc>
          <w:tcPr>
            <w:tcW w:w="1340" w:type="dxa"/>
            <w:tcBorders>
              <w:top w:val="nil"/>
              <w:left w:val="nil"/>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19%</w:t>
            </w:r>
          </w:p>
        </w:tc>
      </w:tr>
      <w:tr>
        <w:trPr>
          <w:trHeight w:val="300"/>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single" w:sz="4" w:space="0" w:color="auto"/>
              <w:right w:val="single" w:sz="4" w:space="0" w:color="auto"/>
            </w:tcBorders>
            <w:shd w:val="clear" w:color="000000" w:fill="FFFFFF"/>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2001 90 70</w:t>
            </w:r>
          </w:p>
        </w:tc>
        <w:tc>
          <w:tcPr>
            <w:tcW w:w="11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70</w:t>
            </w:r>
          </w:p>
        </w:tc>
        <w:tc>
          <w:tcPr>
            <w:tcW w:w="10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70</w:t>
            </w:r>
          </w:p>
        </w:tc>
        <w:tc>
          <w:tcPr>
            <w:tcW w:w="1500" w:type="dxa"/>
            <w:tcBorders>
              <w:top w:val="nil"/>
              <w:left w:val="single" w:sz="8" w:space="0" w:color="auto"/>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w:t>
            </w:r>
          </w:p>
        </w:tc>
        <w:tc>
          <w:tcPr>
            <w:tcW w:w="1340" w:type="dxa"/>
            <w:tcBorders>
              <w:top w:val="nil"/>
              <w:left w:val="nil"/>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6%</w:t>
            </w:r>
          </w:p>
        </w:tc>
      </w:tr>
      <w:tr>
        <w:trPr>
          <w:trHeight w:val="300"/>
        </w:trPr>
        <w:tc>
          <w:tcPr>
            <w:tcW w:w="2480" w:type="dxa"/>
            <w:tcBorders>
              <w:top w:val="nil"/>
              <w:left w:val="single" w:sz="8" w:space="0" w:color="auto"/>
              <w:bottom w:val="nil"/>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single" w:sz="4" w:space="0" w:color="auto"/>
              <w:right w:val="single" w:sz="4" w:space="0" w:color="auto"/>
            </w:tcBorders>
            <w:shd w:val="clear" w:color="000000" w:fill="FFFFFF"/>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2005 99 50</w:t>
            </w:r>
          </w:p>
        </w:tc>
        <w:tc>
          <w:tcPr>
            <w:tcW w:w="11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245</w:t>
            </w:r>
          </w:p>
        </w:tc>
        <w:tc>
          <w:tcPr>
            <w:tcW w:w="1060" w:type="dxa"/>
            <w:tcBorders>
              <w:top w:val="nil"/>
              <w:left w:val="nil"/>
              <w:bottom w:val="single" w:sz="4"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245</w:t>
            </w:r>
          </w:p>
        </w:tc>
        <w:tc>
          <w:tcPr>
            <w:tcW w:w="1500" w:type="dxa"/>
            <w:tcBorders>
              <w:top w:val="nil"/>
              <w:left w:val="single" w:sz="8" w:space="0" w:color="auto"/>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52%</w:t>
            </w:r>
          </w:p>
        </w:tc>
        <w:tc>
          <w:tcPr>
            <w:tcW w:w="1340" w:type="dxa"/>
            <w:tcBorders>
              <w:top w:val="nil"/>
              <w:left w:val="nil"/>
              <w:bottom w:val="single" w:sz="4"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30%</w:t>
            </w:r>
          </w:p>
        </w:tc>
      </w:tr>
      <w:tr>
        <w:trPr>
          <w:trHeight w:val="315"/>
        </w:trPr>
        <w:tc>
          <w:tcPr>
            <w:tcW w:w="2480" w:type="dxa"/>
            <w:tcBorders>
              <w:top w:val="nil"/>
              <w:left w:val="single" w:sz="8" w:space="0" w:color="auto"/>
              <w:bottom w:val="single" w:sz="8" w:space="0" w:color="auto"/>
              <w:right w:val="single" w:sz="4" w:space="0" w:color="auto"/>
            </w:tcBorders>
            <w:shd w:val="clear" w:color="auto" w:fill="auto"/>
            <w:noWrap/>
            <w:vAlign w:val="bottom"/>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single" w:sz="8" w:space="0" w:color="auto"/>
              <w:right w:val="single" w:sz="4" w:space="0" w:color="auto"/>
            </w:tcBorders>
            <w:shd w:val="clear" w:color="000000" w:fill="FFFFFF"/>
            <w:noWrap/>
            <w:vAlign w:val="bottom"/>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2005 99 60</w:t>
            </w:r>
          </w:p>
        </w:tc>
        <w:tc>
          <w:tcPr>
            <w:tcW w:w="1160" w:type="dxa"/>
            <w:tcBorders>
              <w:top w:val="nil"/>
              <w:left w:val="nil"/>
              <w:bottom w:val="single" w:sz="8"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40</w:t>
            </w:r>
          </w:p>
        </w:tc>
        <w:tc>
          <w:tcPr>
            <w:tcW w:w="1060" w:type="dxa"/>
            <w:tcBorders>
              <w:top w:val="nil"/>
              <w:left w:val="nil"/>
              <w:bottom w:val="single" w:sz="8" w:space="0" w:color="auto"/>
              <w:right w:val="single" w:sz="4" w:space="0" w:color="auto"/>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40</w:t>
            </w:r>
          </w:p>
        </w:tc>
        <w:tc>
          <w:tcPr>
            <w:tcW w:w="1500" w:type="dxa"/>
            <w:tcBorders>
              <w:top w:val="nil"/>
              <w:left w:val="single" w:sz="8" w:space="0" w:color="auto"/>
              <w:bottom w:val="single" w:sz="8"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98%</w:t>
            </w:r>
          </w:p>
        </w:tc>
        <w:tc>
          <w:tcPr>
            <w:tcW w:w="1340" w:type="dxa"/>
            <w:tcBorders>
              <w:top w:val="nil"/>
              <w:left w:val="nil"/>
              <w:bottom w:val="single" w:sz="8"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5%</w:t>
            </w:r>
          </w:p>
        </w:tc>
      </w:tr>
      <w:tr>
        <w:trPr>
          <w:trHeight w:val="289"/>
        </w:trPr>
        <w:tc>
          <w:tcPr>
            <w:tcW w:w="2480" w:type="dxa"/>
            <w:tcBorders>
              <w:top w:val="nil"/>
              <w:left w:val="single" w:sz="8" w:space="0" w:color="auto"/>
              <w:bottom w:val="nil"/>
              <w:right w:val="single" w:sz="4" w:space="0" w:color="auto"/>
            </w:tcBorders>
            <w:shd w:val="clear" w:color="auto" w:fill="auto"/>
            <w:noWrap/>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Wine (hl)</w:t>
            </w:r>
          </w:p>
        </w:tc>
        <w:tc>
          <w:tcPr>
            <w:tcW w:w="1300" w:type="dxa"/>
            <w:tcBorders>
              <w:top w:val="nil"/>
              <w:left w:val="nil"/>
              <w:bottom w:val="nil"/>
              <w:right w:val="single" w:sz="4" w:space="0" w:color="auto"/>
            </w:tcBorders>
            <w:shd w:val="clear" w:color="000000" w:fill="FFFFFF"/>
            <w:noWrap/>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ex 2204 10</w:t>
            </w:r>
          </w:p>
        </w:tc>
        <w:tc>
          <w:tcPr>
            <w:tcW w:w="1160"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13765</w:t>
            </w:r>
          </w:p>
        </w:tc>
        <w:tc>
          <w:tcPr>
            <w:tcW w:w="1060"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19530</w:t>
            </w:r>
          </w:p>
        </w:tc>
        <w:tc>
          <w:tcPr>
            <w:tcW w:w="1500" w:type="dxa"/>
            <w:vMerge w:val="restart"/>
            <w:tcBorders>
              <w:top w:val="nil"/>
              <w:left w:val="single" w:sz="8" w:space="0" w:color="auto"/>
              <w:bottom w:val="single" w:sz="8" w:space="0" w:color="000000"/>
              <w:right w:val="single" w:sz="8" w:space="0" w:color="auto"/>
            </w:tcBorders>
            <w:shd w:val="clear" w:color="auto" w:fill="auto"/>
            <w:noWrap/>
            <w:vAlign w:val="center"/>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110%</w:t>
            </w:r>
          </w:p>
        </w:tc>
        <w:tc>
          <w:tcPr>
            <w:tcW w:w="1340" w:type="dxa"/>
            <w:tcBorders>
              <w:top w:val="nil"/>
              <w:left w:val="nil"/>
              <w:bottom w:val="nil"/>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89"/>
        </w:trPr>
        <w:tc>
          <w:tcPr>
            <w:tcW w:w="2480" w:type="dxa"/>
            <w:tcBorders>
              <w:top w:val="nil"/>
              <w:left w:val="single" w:sz="8" w:space="0" w:color="auto"/>
              <w:bottom w:val="nil"/>
              <w:right w:val="single" w:sz="4" w:space="0" w:color="auto"/>
            </w:tcBorders>
            <w:shd w:val="clear" w:color="auto" w:fill="auto"/>
            <w:noWrap/>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 </w:t>
            </w:r>
          </w:p>
        </w:tc>
        <w:tc>
          <w:tcPr>
            <w:tcW w:w="1300" w:type="dxa"/>
            <w:tcBorders>
              <w:top w:val="nil"/>
              <w:left w:val="nil"/>
              <w:bottom w:val="nil"/>
              <w:right w:val="single" w:sz="4" w:space="0" w:color="auto"/>
            </w:tcBorders>
            <w:shd w:val="clear" w:color="000000" w:fill="FFFFFF"/>
            <w:noWrap/>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ex 2204 21</w:t>
            </w:r>
          </w:p>
        </w:tc>
        <w:tc>
          <w:tcPr>
            <w:tcW w:w="1160" w:type="dxa"/>
            <w:vMerge/>
            <w:tcBorders>
              <w:top w:val="nil"/>
              <w:left w:val="single" w:sz="4" w:space="0" w:color="auto"/>
              <w:bottom w:val="single" w:sz="8" w:space="0" w:color="000000"/>
              <w:right w:val="single" w:sz="4" w:space="0" w:color="auto"/>
            </w:tcBorders>
            <w:vAlign w:val="center"/>
            <w:hideMark/>
          </w:tcPr>
          <w:p>
            <w:pPr>
              <w:rPr>
                <w:rFonts w:eastAsia="Times New Roman"/>
                <w:noProof/>
                <w:color w:val="000000"/>
                <w:sz w:val="16"/>
                <w:szCs w:val="16"/>
                <w:lang w:val="en-IE" w:eastAsia="en-IE"/>
              </w:rPr>
            </w:pPr>
          </w:p>
        </w:tc>
        <w:tc>
          <w:tcPr>
            <w:tcW w:w="1060" w:type="dxa"/>
            <w:vMerge/>
            <w:tcBorders>
              <w:top w:val="nil"/>
              <w:left w:val="single" w:sz="4" w:space="0" w:color="auto"/>
              <w:bottom w:val="single" w:sz="8" w:space="0" w:color="000000"/>
              <w:right w:val="single" w:sz="4" w:space="0" w:color="auto"/>
            </w:tcBorders>
            <w:vAlign w:val="center"/>
            <w:hideMark/>
          </w:tcPr>
          <w:p>
            <w:pPr>
              <w:rPr>
                <w:rFonts w:eastAsia="Times New Roman"/>
                <w:noProof/>
                <w:color w:val="000000"/>
                <w:sz w:val="16"/>
                <w:szCs w:val="16"/>
                <w:lang w:val="en-IE" w:eastAsia="en-IE"/>
              </w:rPr>
            </w:pPr>
          </w:p>
        </w:tc>
        <w:tc>
          <w:tcPr>
            <w:tcW w:w="1500" w:type="dxa"/>
            <w:vMerge/>
            <w:tcBorders>
              <w:top w:val="nil"/>
              <w:left w:val="single" w:sz="8" w:space="0" w:color="auto"/>
              <w:bottom w:val="single" w:sz="8" w:space="0" w:color="000000"/>
              <w:right w:val="single" w:sz="8" w:space="0" w:color="auto"/>
            </w:tcBorders>
            <w:vAlign w:val="center"/>
            <w:hideMark/>
          </w:tcPr>
          <w:p>
            <w:pPr>
              <w:rPr>
                <w:rFonts w:eastAsia="Times New Roman"/>
                <w:noProof/>
                <w:color w:val="000000"/>
                <w:sz w:val="16"/>
                <w:szCs w:val="16"/>
                <w:lang w:val="en-IE" w:eastAsia="en-IE"/>
              </w:rPr>
            </w:pPr>
          </w:p>
        </w:tc>
        <w:tc>
          <w:tcPr>
            <w:tcW w:w="1340" w:type="dxa"/>
            <w:tcBorders>
              <w:top w:val="nil"/>
              <w:left w:val="nil"/>
              <w:bottom w:val="single" w:sz="8" w:space="0" w:color="auto"/>
              <w:right w:val="single" w:sz="8" w:space="0" w:color="auto"/>
            </w:tcBorders>
            <w:shd w:val="clear" w:color="auto" w:fill="auto"/>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85%</w:t>
            </w:r>
          </w:p>
        </w:tc>
      </w:tr>
      <w:tr>
        <w:trPr>
          <w:trHeight w:val="398"/>
        </w:trPr>
        <w:tc>
          <w:tcPr>
            <w:tcW w:w="2480" w:type="dxa"/>
            <w:tcBorders>
              <w:top w:val="single" w:sz="8" w:space="0" w:color="auto"/>
              <w:left w:val="single" w:sz="8" w:space="0" w:color="auto"/>
              <w:bottom w:val="single" w:sz="8" w:space="0" w:color="auto"/>
              <w:right w:val="single" w:sz="4" w:space="0" w:color="auto"/>
            </w:tcBorders>
            <w:shd w:val="clear" w:color="auto" w:fill="auto"/>
            <w:noWrap/>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Spirits</w:t>
            </w:r>
          </w:p>
        </w:tc>
        <w:tc>
          <w:tcPr>
            <w:tcW w:w="1300" w:type="dxa"/>
            <w:tcBorders>
              <w:top w:val="single" w:sz="8" w:space="0" w:color="auto"/>
              <w:left w:val="nil"/>
              <w:bottom w:val="single" w:sz="8" w:space="0" w:color="auto"/>
              <w:right w:val="single" w:sz="4" w:space="0" w:color="auto"/>
            </w:tcBorders>
            <w:shd w:val="clear" w:color="000000" w:fill="FFFFFF"/>
            <w:noWrap/>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ex 2208 20 29</w:t>
            </w:r>
          </w:p>
        </w:tc>
        <w:tc>
          <w:tcPr>
            <w:tcW w:w="1160" w:type="dxa"/>
            <w:tcBorders>
              <w:top w:val="nil"/>
              <w:left w:val="nil"/>
              <w:bottom w:val="single" w:sz="8" w:space="0" w:color="auto"/>
              <w:right w:val="single" w:sz="4" w:space="0" w:color="auto"/>
            </w:tcBorders>
            <w:shd w:val="clear" w:color="000000" w:fill="FFFFFF"/>
            <w:noWrap/>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85</w:t>
            </w:r>
          </w:p>
        </w:tc>
        <w:tc>
          <w:tcPr>
            <w:tcW w:w="1060" w:type="dxa"/>
            <w:tcBorders>
              <w:top w:val="nil"/>
              <w:left w:val="nil"/>
              <w:bottom w:val="single" w:sz="8" w:space="0" w:color="auto"/>
              <w:right w:val="single" w:sz="4" w:space="0" w:color="auto"/>
            </w:tcBorders>
            <w:shd w:val="clear" w:color="000000" w:fill="FFFFFF"/>
            <w:noWrap/>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85</w:t>
            </w:r>
          </w:p>
        </w:tc>
        <w:tc>
          <w:tcPr>
            <w:tcW w:w="1500" w:type="dxa"/>
            <w:tcBorders>
              <w:top w:val="nil"/>
              <w:left w:val="single" w:sz="8" w:space="0" w:color="auto"/>
              <w:bottom w:val="single" w:sz="8" w:space="0" w:color="auto"/>
              <w:right w:val="single" w:sz="8" w:space="0" w:color="auto"/>
            </w:tcBorders>
            <w:shd w:val="clear" w:color="auto" w:fill="auto"/>
            <w:noWrap/>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6%</w:t>
            </w:r>
          </w:p>
        </w:tc>
        <w:tc>
          <w:tcPr>
            <w:tcW w:w="1340" w:type="dxa"/>
            <w:tcBorders>
              <w:top w:val="nil"/>
              <w:left w:val="nil"/>
              <w:bottom w:val="single" w:sz="8" w:space="0" w:color="auto"/>
              <w:right w:val="single" w:sz="8" w:space="0" w:color="auto"/>
            </w:tcBorders>
            <w:shd w:val="clear" w:color="auto" w:fill="auto"/>
            <w:noWrap/>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409"/>
        </w:trPr>
        <w:tc>
          <w:tcPr>
            <w:tcW w:w="2480" w:type="dxa"/>
            <w:tcBorders>
              <w:top w:val="nil"/>
              <w:left w:val="single" w:sz="8" w:space="0" w:color="auto"/>
              <w:bottom w:val="single" w:sz="8" w:space="0" w:color="auto"/>
              <w:right w:val="single" w:sz="4" w:space="0" w:color="auto"/>
            </w:tcBorders>
            <w:shd w:val="clear" w:color="auto" w:fill="auto"/>
            <w:noWrap/>
            <w:hideMark/>
          </w:tcPr>
          <w:p>
            <w:pPr>
              <w:rPr>
                <w:rFonts w:eastAsia="Times New Roman"/>
                <w:b/>
                <w:bCs/>
                <w:noProof/>
                <w:color w:val="000000"/>
                <w:sz w:val="16"/>
                <w:szCs w:val="16"/>
                <w:lang w:val="en-IE" w:eastAsia="en-IE"/>
              </w:rPr>
            </w:pPr>
            <w:r>
              <w:rPr>
                <w:rFonts w:eastAsia="Times New Roman"/>
                <w:b/>
                <w:bCs/>
                <w:noProof/>
                <w:color w:val="000000"/>
                <w:sz w:val="16"/>
                <w:szCs w:val="16"/>
                <w:lang w:val="en-IE" w:eastAsia="en-IE"/>
              </w:rPr>
              <w:t>Tobacco</w:t>
            </w:r>
          </w:p>
        </w:tc>
        <w:tc>
          <w:tcPr>
            <w:tcW w:w="1300" w:type="dxa"/>
            <w:tcBorders>
              <w:top w:val="nil"/>
              <w:left w:val="nil"/>
              <w:bottom w:val="single" w:sz="8" w:space="0" w:color="auto"/>
              <w:right w:val="single" w:sz="4" w:space="0" w:color="auto"/>
            </w:tcBorders>
            <w:shd w:val="clear" w:color="auto" w:fill="auto"/>
            <w:noWrap/>
            <w:hideMark/>
          </w:tcPr>
          <w:p>
            <w:pPr>
              <w:rPr>
                <w:rFonts w:eastAsia="Times New Roman"/>
                <w:i/>
                <w:iCs/>
                <w:noProof/>
                <w:color w:val="000000"/>
                <w:sz w:val="16"/>
                <w:szCs w:val="16"/>
                <w:lang w:val="en-IE" w:eastAsia="en-IE"/>
              </w:rPr>
            </w:pPr>
            <w:r>
              <w:rPr>
                <w:rFonts w:eastAsia="Times New Roman"/>
                <w:i/>
                <w:iCs/>
                <w:noProof/>
                <w:color w:val="000000"/>
                <w:sz w:val="16"/>
                <w:szCs w:val="16"/>
                <w:lang w:val="en-IE" w:eastAsia="en-IE"/>
              </w:rPr>
              <w:t>2402 20 90</w:t>
            </w:r>
          </w:p>
        </w:tc>
        <w:tc>
          <w:tcPr>
            <w:tcW w:w="1160" w:type="dxa"/>
            <w:tcBorders>
              <w:top w:val="nil"/>
              <w:left w:val="nil"/>
              <w:bottom w:val="single" w:sz="8" w:space="0" w:color="auto"/>
              <w:right w:val="single" w:sz="4" w:space="0" w:color="auto"/>
            </w:tcBorders>
            <w:shd w:val="clear" w:color="auto" w:fill="auto"/>
            <w:noWrap/>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3200</w:t>
            </w:r>
          </w:p>
        </w:tc>
        <w:tc>
          <w:tcPr>
            <w:tcW w:w="1060" w:type="dxa"/>
            <w:tcBorders>
              <w:top w:val="nil"/>
              <w:left w:val="nil"/>
              <w:bottom w:val="single" w:sz="8" w:space="0" w:color="auto"/>
              <w:right w:val="single" w:sz="4" w:space="0" w:color="auto"/>
            </w:tcBorders>
            <w:shd w:val="clear" w:color="auto" w:fill="auto"/>
            <w:noWrap/>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3200</w:t>
            </w:r>
          </w:p>
        </w:tc>
        <w:tc>
          <w:tcPr>
            <w:tcW w:w="1500" w:type="dxa"/>
            <w:tcBorders>
              <w:top w:val="nil"/>
              <w:left w:val="single" w:sz="8" w:space="0" w:color="auto"/>
              <w:bottom w:val="single" w:sz="8" w:space="0" w:color="auto"/>
              <w:right w:val="single" w:sz="8" w:space="0" w:color="auto"/>
            </w:tcBorders>
            <w:shd w:val="clear" w:color="auto" w:fill="auto"/>
            <w:noWrap/>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30%</w:t>
            </w:r>
          </w:p>
        </w:tc>
        <w:tc>
          <w:tcPr>
            <w:tcW w:w="1340" w:type="dxa"/>
            <w:tcBorders>
              <w:top w:val="nil"/>
              <w:left w:val="nil"/>
              <w:bottom w:val="single" w:sz="8" w:space="0" w:color="auto"/>
              <w:right w:val="single" w:sz="8" w:space="0" w:color="auto"/>
            </w:tcBorders>
            <w:shd w:val="clear" w:color="auto" w:fill="auto"/>
            <w:noWrap/>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24%</w:t>
            </w:r>
          </w:p>
        </w:tc>
      </w:tr>
    </w:tbl>
    <w:p>
      <w:pPr>
        <w:rPr>
          <w:i/>
          <w:noProof/>
          <w:sz w:val="22"/>
          <w:szCs w:val="22"/>
        </w:rPr>
      </w:pPr>
      <w:r>
        <w:rPr>
          <w:i/>
          <w:noProof/>
          <w:sz w:val="22"/>
          <w:szCs w:val="22"/>
        </w:rPr>
        <w:t>Source: Bosnia and Herzegovina authorities</w:t>
      </w:r>
    </w:p>
    <w:p>
      <w:pPr>
        <w:spacing w:after="200" w:line="276" w:lineRule="auto"/>
        <w:rPr>
          <w:noProof/>
        </w:rPr>
      </w:pPr>
      <w:r>
        <w:rPr>
          <w:noProof/>
        </w:rPr>
        <w:br w:type="page"/>
      </w:r>
    </w:p>
    <w:p>
      <w:pPr>
        <w:pStyle w:val="ChapterHead"/>
        <w:jc w:val="both"/>
        <w:rPr>
          <w:b/>
          <w:noProof/>
        </w:rPr>
      </w:pPr>
      <w:bookmarkStart w:id="2930" w:name="_Toc8833698"/>
      <w:bookmarkStart w:id="2931" w:name="_Toc8835525"/>
      <w:bookmarkStart w:id="2932" w:name="_Toc8834155"/>
      <w:bookmarkStart w:id="2933" w:name="_Toc8909618"/>
      <w:bookmarkStart w:id="2934" w:name="_Toc8910830"/>
      <w:bookmarkStart w:id="2935" w:name="_Toc8911867"/>
      <w:bookmarkStart w:id="2936" w:name="_Toc8974688"/>
      <w:bookmarkStart w:id="2937" w:name="_Toc9008341"/>
      <w:bookmarkStart w:id="2938" w:name="_Toc9008744"/>
      <w:bookmarkStart w:id="2939" w:name="_Toc9348740"/>
      <w:bookmarkStart w:id="2940" w:name="_Toc9608191"/>
      <w:bookmarkStart w:id="2941" w:name="_Toc16000756"/>
      <w:r>
        <w:rPr>
          <w:b/>
          <w:noProof/>
        </w:rPr>
        <w:t>ANNUAL INFO SHEET ON THE IMPLEMENTATION OF THE TRADE PILLAR OF THE STABILISATION AND ASSOCIATION AGREEMENT BETWEEN THE EU AND NORTH MACEDONIA</w:t>
      </w:r>
      <w:bookmarkEnd w:id="2930"/>
      <w:bookmarkEnd w:id="2931"/>
      <w:bookmarkEnd w:id="2932"/>
      <w:bookmarkEnd w:id="2933"/>
      <w:bookmarkEnd w:id="2934"/>
      <w:bookmarkEnd w:id="2935"/>
      <w:bookmarkEnd w:id="2936"/>
      <w:bookmarkEnd w:id="2937"/>
      <w:bookmarkEnd w:id="2938"/>
      <w:bookmarkEnd w:id="2939"/>
      <w:bookmarkEnd w:id="2940"/>
      <w:bookmarkEnd w:id="2941"/>
    </w:p>
    <w:p>
      <w:pPr>
        <w:pStyle w:val="ManualHeading1"/>
      </w:pPr>
      <w:bookmarkStart w:id="2942" w:name="_Toc8833699"/>
      <w:bookmarkStart w:id="2943" w:name="_Toc8835526"/>
      <w:bookmarkStart w:id="2944" w:name="_Toc8834156"/>
      <w:bookmarkStart w:id="2945" w:name="_Toc8909619"/>
      <w:bookmarkStart w:id="2946" w:name="_Toc8910831"/>
      <w:bookmarkStart w:id="2947" w:name="_Toc8911868"/>
      <w:bookmarkStart w:id="2948" w:name="_Toc8974689"/>
      <w:bookmarkStart w:id="2949" w:name="_Toc9008342"/>
      <w:bookmarkStart w:id="2950" w:name="_Toc9008745"/>
      <w:bookmarkStart w:id="2951" w:name="_Toc9348741"/>
      <w:bookmarkStart w:id="2952" w:name="_Toc9608192"/>
      <w:bookmarkStart w:id="2953" w:name="_Toc16000757"/>
      <w:r>
        <w:t>1.</w:t>
      </w:r>
      <w:r>
        <w:tab/>
        <w:t>Introduction</w:t>
      </w:r>
      <w:bookmarkEnd w:id="2942"/>
      <w:bookmarkEnd w:id="2943"/>
      <w:bookmarkEnd w:id="2944"/>
      <w:bookmarkEnd w:id="2945"/>
      <w:bookmarkEnd w:id="2946"/>
      <w:bookmarkEnd w:id="2947"/>
      <w:bookmarkEnd w:id="2948"/>
      <w:bookmarkEnd w:id="2949"/>
      <w:bookmarkEnd w:id="2950"/>
      <w:bookmarkEnd w:id="2951"/>
      <w:bookmarkEnd w:id="2952"/>
      <w:bookmarkEnd w:id="2953"/>
    </w:p>
    <w:p>
      <w:pPr>
        <w:jc w:val="both"/>
        <w:rPr>
          <w:noProof/>
        </w:rPr>
      </w:pPr>
      <w:r>
        <w:rPr>
          <w:noProof/>
        </w:rPr>
        <w:t xml:space="preserve">On 9 April 2001, the EU and North Macedonia signed a Stabilisation and Association Agreement (SAA). The SAA is the prime instrument of the EU’s overall policy towards the Western Balkan countries’ Stabilisation and Association process. Under this process, all Western Balkans countries have a common future as EU Member States.  </w:t>
      </w:r>
    </w:p>
    <w:p>
      <w:pPr>
        <w:jc w:val="both"/>
        <w:rPr>
          <w:noProof/>
        </w:rPr>
      </w:pPr>
    </w:p>
    <w:p>
      <w:pPr>
        <w:jc w:val="both"/>
        <w:rPr>
          <w:noProof/>
        </w:rPr>
      </w:pPr>
      <w:r>
        <w:rPr>
          <w:noProof/>
        </w:rPr>
        <w:t xml:space="preserve">The SAA entered into force on 1 April 2004, however, the trade-related part of the SAA already entered into force through an Interim Agreement on 1 June 2001. Trade liberalisation between the EU and North Macedonia was completed over a period of ten years. The Agreement covers products in all Chapters of the Harmonised System.  </w:t>
      </w:r>
    </w:p>
    <w:p>
      <w:pPr>
        <w:jc w:val="both"/>
        <w:rPr>
          <w:noProof/>
        </w:rPr>
      </w:pPr>
    </w:p>
    <w:p>
      <w:pPr>
        <w:jc w:val="both"/>
        <w:rPr>
          <w:noProof/>
        </w:rPr>
      </w:pPr>
      <w:r>
        <w:rPr>
          <w:noProof/>
        </w:rPr>
        <w:t xml:space="preserve">Regarding agricultural products the agreement is largely asymmetrical. EU agricultural imports from North Macedonia are almost completely liberalized (with very few exceptions). On the other hand, EU agricultural exports to North Macedonia are subject to tariffs and Tariff Rate Quotas (TRQs). </w:t>
      </w:r>
    </w:p>
    <w:p>
      <w:pPr>
        <w:jc w:val="both"/>
        <w:rPr>
          <w:noProof/>
        </w:rPr>
      </w:pPr>
    </w:p>
    <w:p>
      <w:pPr>
        <w:jc w:val="both"/>
        <w:rPr>
          <w:noProof/>
        </w:rPr>
      </w:pPr>
      <w:r>
        <w:rPr>
          <w:noProof/>
        </w:rPr>
        <w:t>The Agreement also includes provisions concerning competition matters, investment and related payments, a high level of protection of intellectual property rights and strengthened co-operation in customs matters. Since the full entry into force of SAA, a number of additional disciplines are being implemented concerning, notably, government procurement, legislative approximation in many areas including standardisation, as well as provisions regarding services and establishment.</w:t>
      </w:r>
    </w:p>
    <w:p>
      <w:pPr>
        <w:pStyle w:val="ManualHeading1"/>
      </w:pPr>
      <w:bookmarkStart w:id="2954" w:name="_Toc8833700"/>
      <w:bookmarkStart w:id="2955" w:name="_Toc8835527"/>
      <w:bookmarkStart w:id="2956" w:name="_Toc8834157"/>
      <w:bookmarkStart w:id="2957" w:name="_Toc8909620"/>
      <w:bookmarkStart w:id="2958" w:name="_Toc8910832"/>
      <w:bookmarkStart w:id="2959" w:name="_Toc8911869"/>
      <w:bookmarkStart w:id="2960" w:name="_Toc8974690"/>
      <w:bookmarkStart w:id="2961" w:name="_Toc9008343"/>
      <w:bookmarkStart w:id="2962" w:name="_Toc9008746"/>
      <w:bookmarkStart w:id="2963" w:name="_Toc9348742"/>
      <w:bookmarkStart w:id="2964" w:name="_Toc9608193"/>
      <w:bookmarkStart w:id="2965" w:name="_Toc16000758"/>
      <w:r>
        <w:t>2.</w:t>
      </w:r>
      <w:r>
        <w:tab/>
        <w:t>Evolution of trade</w:t>
      </w:r>
      <w:bookmarkEnd w:id="2954"/>
      <w:bookmarkEnd w:id="2955"/>
      <w:bookmarkEnd w:id="2956"/>
      <w:bookmarkEnd w:id="2957"/>
      <w:bookmarkEnd w:id="2958"/>
      <w:bookmarkEnd w:id="2959"/>
      <w:bookmarkEnd w:id="2960"/>
      <w:bookmarkEnd w:id="2961"/>
      <w:bookmarkEnd w:id="2962"/>
      <w:bookmarkEnd w:id="2963"/>
      <w:bookmarkEnd w:id="2964"/>
      <w:bookmarkEnd w:id="2965"/>
    </w:p>
    <w:p>
      <w:pPr>
        <w:pStyle w:val="Heading2"/>
        <w:ind w:left="0" w:firstLine="0"/>
      </w:pPr>
      <w:bookmarkStart w:id="2966" w:name="_Toc8833701"/>
      <w:bookmarkStart w:id="2967" w:name="_Toc8835528"/>
      <w:bookmarkStart w:id="2968" w:name="_Toc8834158"/>
      <w:bookmarkStart w:id="2969" w:name="_Toc8909621"/>
      <w:bookmarkStart w:id="2970" w:name="_Toc8910833"/>
      <w:bookmarkStart w:id="2971" w:name="_Toc8911870"/>
      <w:bookmarkStart w:id="2972" w:name="_Toc8974691"/>
      <w:bookmarkStart w:id="2973" w:name="_Toc9008344"/>
      <w:bookmarkStart w:id="2974" w:name="_Toc9008747"/>
      <w:bookmarkStart w:id="2975" w:name="_Toc9348743"/>
      <w:bookmarkStart w:id="2976" w:name="_Toc9608194"/>
      <w:bookmarkStart w:id="2977" w:name="_Toc16000759"/>
      <w:r>
        <w:t>2.1 Trade in Goods</w:t>
      </w:r>
      <w:bookmarkEnd w:id="2966"/>
      <w:bookmarkEnd w:id="2967"/>
      <w:bookmarkEnd w:id="2968"/>
      <w:bookmarkEnd w:id="2969"/>
      <w:bookmarkEnd w:id="2970"/>
      <w:bookmarkEnd w:id="2971"/>
      <w:bookmarkEnd w:id="2972"/>
      <w:bookmarkEnd w:id="2973"/>
      <w:bookmarkEnd w:id="2974"/>
      <w:bookmarkEnd w:id="2975"/>
      <w:bookmarkEnd w:id="2976"/>
      <w:bookmarkEnd w:id="2977"/>
    </w:p>
    <w:p>
      <w:pPr>
        <w:jc w:val="both"/>
        <w:rPr>
          <w:noProof/>
          <w:lang w:eastAsia="en-GB"/>
        </w:rPr>
      </w:pPr>
      <w:r>
        <w:rPr>
          <w:noProof/>
          <w:lang w:eastAsia="en-GB"/>
        </w:rPr>
        <w:t xml:space="preserve">Total bilateral trade between the EU and North Macedonia increased by 14% between 2017 and 2018 reaching a total amount of </w:t>
      </w:r>
      <w:r>
        <w:rPr>
          <w:b/>
          <w:bCs/>
          <w:noProof/>
          <w:lang w:eastAsia="en-GB"/>
        </w:rPr>
        <w:t>€10.5 billion</w:t>
      </w:r>
      <w:r>
        <w:rPr>
          <w:noProof/>
          <w:lang w:eastAsia="en-GB"/>
        </w:rPr>
        <w:t>. This represents a significant increase of 128% in the last ten years. The EU remains North Macedonia’s first trading partner accounting for 82% of total exports and 62% of total imports of goods. More specifically, Bulgaria, Germany, Greece and Hungary are responsible for 71% of the EU’s imports from North Macedonia and for 51% of the EU’s exports to North Macedonia. The United Kingdom accounts for less than 2% of the EU’s imports from North Macedonia but makes up 17% of total EU exports to the country, behind Germany (22%). The main imported products from North Macedonia are machinery and appliances; products of the chemical or allied industries and mineral products. The EU mainly exports machinery and appliances; pearls, precious metals and articles thereof and mineral products. The overall trade balance is in favour of the EU, however, it is gradually decreasing: from a peak of €1.3 billion in 2012 it is now around €0.6 billion.</w:t>
      </w:r>
    </w:p>
    <w:p>
      <w:pPr>
        <w:pStyle w:val="Heading2"/>
        <w:ind w:left="0" w:firstLine="0"/>
      </w:pPr>
      <w:bookmarkStart w:id="2978" w:name="_Toc8833702"/>
      <w:bookmarkStart w:id="2979" w:name="_Toc8835529"/>
      <w:bookmarkStart w:id="2980" w:name="_Toc8834159"/>
      <w:bookmarkStart w:id="2981" w:name="_Toc8909622"/>
      <w:bookmarkStart w:id="2982" w:name="_Toc8910834"/>
      <w:bookmarkStart w:id="2983" w:name="_Toc8911871"/>
      <w:bookmarkStart w:id="2984" w:name="_Toc8974692"/>
      <w:bookmarkStart w:id="2985" w:name="_Toc9008345"/>
      <w:bookmarkStart w:id="2986" w:name="_Toc9008748"/>
      <w:bookmarkStart w:id="2987" w:name="_Toc9348744"/>
      <w:bookmarkStart w:id="2988" w:name="_Toc9608195"/>
      <w:bookmarkStart w:id="2989" w:name="_Toc16000760"/>
      <w:r>
        <w:t>2.2 Trade in agricultural goods</w:t>
      </w:r>
      <w:bookmarkEnd w:id="2978"/>
      <w:bookmarkEnd w:id="2979"/>
      <w:bookmarkEnd w:id="2980"/>
      <w:bookmarkEnd w:id="2981"/>
      <w:bookmarkEnd w:id="2982"/>
      <w:bookmarkEnd w:id="2983"/>
      <w:bookmarkEnd w:id="2984"/>
      <w:bookmarkEnd w:id="2985"/>
      <w:bookmarkEnd w:id="2986"/>
      <w:bookmarkEnd w:id="2987"/>
      <w:bookmarkEnd w:id="2988"/>
      <w:bookmarkEnd w:id="2989"/>
    </w:p>
    <w:p>
      <w:pPr>
        <w:jc w:val="both"/>
        <w:rPr>
          <w:noProof/>
          <w:lang w:eastAsia="en-GB"/>
        </w:rPr>
      </w:pPr>
      <w:r>
        <w:rPr>
          <w:noProof/>
          <w:lang w:eastAsia="en-GB"/>
        </w:rPr>
        <w:t xml:space="preserve">In 2018, trade in agricultural products increased by 5% reaching a total of </w:t>
      </w:r>
      <w:r>
        <w:rPr>
          <w:b/>
          <w:bCs/>
          <w:noProof/>
          <w:lang w:eastAsia="en-GB"/>
        </w:rPr>
        <w:t>€700 million</w:t>
      </w:r>
      <w:r>
        <w:rPr>
          <w:noProof/>
          <w:lang w:eastAsia="en-GB"/>
        </w:rPr>
        <w:t>, representing 6% of the total bilateral trade. Trade in agricultural products has gradually decreased since the application of the trade agreement when it represented nearly 12% of the total bilateral trade. The individual share of agricultural exports over total exports in 2018 was about 6% on both sides. Tobacco, vegetables, wine and preparations of cereals, flour, starch were the EU's key import products. The EU exported primarily meat followed by food preparations to North Macedonia.</w:t>
      </w:r>
    </w:p>
    <w:p>
      <w:pPr>
        <w:jc w:val="both"/>
        <w:rPr>
          <w:noProof/>
          <w:lang w:eastAsia="en-GB"/>
        </w:rPr>
      </w:pPr>
    </w:p>
    <w:p>
      <w:pPr>
        <w:jc w:val="both"/>
        <w:rPr>
          <w:noProof/>
          <w:lang w:eastAsia="en-GB"/>
        </w:rPr>
      </w:pPr>
      <w:r>
        <w:rPr>
          <w:noProof/>
          <w:lang w:eastAsia="en-GB"/>
        </w:rPr>
        <w:t>For a number of agricultural products, EU exports to North Macedonia are subject to Tariff rate quotas (TRQs), either duty-free or at a reduced customs duty rate. No information was provided by North Macedonia on the use of the quotas. The EU grants three agricultural TRQs to North Macedonia (wine, beef and sugar) which were almost fully used for wine but unused for sugar and beef by exporters from North Macedonia in 2018.</w:t>
      </w:r>
    </w:p>
    <w:p>
      <w:pPr>
        <w:pStyle w:val="Heading2"/>
        <w:ind w:left="0" w:firstLine="0"/>
      </w:pPr>
      <w:bookmarkStart w:id="2990" w:name="_Toc8833704"/>
      <w:bookmarkStart w:id="2991" w:name="_Toc8835531"/>
      <w:bookmarkStart w:id="2992" w:name="_Toc8834161"/>
      <w:bookmarkStart w:id="2993" w:name="_Toc8909624"/>
      <w:bookmarkStart w:id="2994" w:name="_Toc8910836"/>
      <w:bookmarkStart w:id="2995" w:name="_Toc8911873"/>
      <w:bookmarkStart w:id="2996" w:name="_Toc8974694"/>
      <w:bookmarkStart w:id="2997" w:name="_Toc9008347"/>
      <w:bookmarkStart w:id="2998" w:name="_Toc9008750"/>
      <w:bookmarkStart w:id="2999" w:name="_Toc9348746"/>
      <w:bookmarkStart w:id="3000" w:name="_Toc9608197"/>
      <w:bookmarkStart w:id="3001" w:name="_Toc16000761"/>
      <w:r>
        <w:t>2.3 Trade in Services and FDI</w:t>
      </w:r>
      <w:bookmarkEnd w:id="2990"/>
      <w:bookmarkEnd w:id="2991"/>
      <w:bookmarkEnd w:id="2992"/>
      <w:bookmarkEnd w:id="2993"/>
      <w:bookmarkEnd w:id="2994"/>
      <w:bookmarkEnd w:id="2995"/>
      <w:bookmarkEnd w:id="2996"/>
      <w:bookmarkEnd w:id="2997"/>
      <w:bookmarkEnd w:id="2998"/>
      <w:bookmarkEnd w:id="2999"/>
      <w:bookmarkEnd w:id="3000"/>
      <w:bookmarkEnd w:id="3001"/>
    </w:p>
    <w:p>
      <w:pPr>
        <w:jc w:val="both"/>
        <w:rPr>
          <w:noProof/>
          <w:lang w:eastAsia="en-GB"/>
        </w:rPr>
      </w:pPr>
      <w:r>
        <w:rPr>
          <w:noProof/>
          <w:lang w:eastAsia="en-GB"/>
        </w:rPr>
        <w:t xml:space="preserve">In 2017, total bilateral trade in services dropped by 8% from €2.1 billion to </w:t>
      </w:r>
      <w:r>
        <w:rPr>
          <w:b/>
          <w:bCs/>
          <w:noProof/>
          <w:lang w:eastAsia="en-GB"/>
        </w:rPr>
        <w:t>€1.9 billion</w:t>
      </w:r>
      <w:r>
        <w:rPr>
          <w:noProof/>
          <w:lang w:eastAsia="en-GB"/>
        </w:rPr>
        <w:t>.  While the services sector accounts for over half of the country’s employment and over 60% of GDP, it only represents 13% of the value of North Macedonia’s export basket to the EU and has remained stable over the past two years at around €750 million. The main services sectors exported by North Macedonia are tourism and transport, followed by services to manufacturing companies, telecommunications and computer and other information services.  On the other hand, in 2017, the EU’s exports of services to North Macedonia contracted by more than 12% levelling at €1.2 billion, which represents 18% of the EU’s total trade in goods and services with the country.</w:t>
      </w:r>
    </w:p>
    <w:p>
      <w:pPr>
        <w:jc w:val="both"/>
        <w:rPr>
          <w:noProof/>
          <w:lang w:eastAsia="en-GB"/>
        </w:rPr>
      </w:pPr>
    </w:p>
    <w:p>
      <w:pPr>
        <w:jc w:val="both"/>
        <w:rPr>
          <w:noProof/>
          <w:lang w:eastAsia="en-GB"/>
        </w:rPr>
      </w:pPr>
      <w:r>
        <w:rPr>
          <w:noProof/>
          <w:lang w:eastAsia="en-GB"/>
        </w:rPr>
        <w:t xml:space="preserve">In the past two years, EU firms increased their share in the country's stock of foreign investment from 79% in 2016 to 82% in 2017 reaching a combined total stock of </w:t>
      </w:r>
      <w:r>
        <w:rPr>
          <w:b/>
          <w:bCs/>
          <w:noProof/>
          <w:lang w:eastAsia="en-GB"/>
        </w:rPr>
        <w:t>€2.5 billion</w:t>
      </w:r>
      <w:r>
        <w:rPr>
          <w:noProof/>
          <w:lang w:eastAsia="en-GB"/>
        </w:rPr>
        <w:t xml:space="preserve">. However, in 2017, the country experienced a slump in investment spending (-€2 million) impacted by a decline in confidence, resulting from the prolonged political crisis. The large informal economy and challenges in the labour market, including insufficiently high managerial skills negatively affect private investment behaviour.  </w:t>
      </w:r>
    </w:p>
    <w:p>
      <w:pPr>
        <w:pStyle w:val="ManualHeading1"/>
      </w:pPr>
      <w:bookmarkStart w:id="3002" w:name="_Toc8833705"/>
      <w:bookmarkStart w:id="3003" w:name="_Toc8835532"/>
      <w:bookmarkStart w:id="3004" w:name="_Toc8834162"/>
      <w:bookmarkStart w:id="3005" w:name="_Toc8909625"/>
      <w:bookmarkStart w:id="3006" w:name="_Toc8910837"/>
      <w:bookmarkStart w:id="3007" w:name="_Toc8911874"/>
      <w:bookmarkStart w:id="3008" w:name="_Toc8974695"/>
      <w:bookmarkStart w:id="3009" w:name="_Toc9008348"/>
      <w:bookmarkStart w:id="3010" w:name="_Toc9008751"/>
      <w:bookmarkStart w:id="3011" w:name="_Toc9348747"/>
      <w:bookmarkStart w:id="3012" w:name="_Toc9608198"/>
      <w:bookmarkStart w:id="3013" w:name="_Toc16000762"/>
      <w:r>
        <w:t>3.</w:t>
      </w:r>
      <w:r>
        <w:tab/>
        <w:t>Issues addressed in the annual Committee meetings</w:t>
      </w:r>
      <w:bookmarkEnd w:id="3002"/>
      <w:bookmarkEnd w:id="3003"/>
      <w:bookmarkEnd w:id="3004"/>
      <w:bookmarkEnd w:id="3005"/>
      <w:bookmarkEnd w:id="3006"/>
      <w:bookmarkEnd w:id="3007"/>
      <w:bookmarkEnd w:id="3008"/>
      <w:bookmarkEnd w:id="3009"/>
      <w:bookmarkEnd w:id="3010"/>
      <w:bookmarkEnd w:id="3011"/>
      <w:bookmarkEnd w:id="3012"/>
      <w:bookmarkEnd w:id="3013"/>
    </w:p>
    <w:p>
      <w:pPr>
        <w:jc w:val="both"/>
        <w:rPr>
          <w:noProof/>
        </w:rPr>
      </w:pPr>
      <w:r>
        <w:rPr>
          <w:noProof/>
        </w:rPr>
        <w:t xml:space="preserve">Commercial issues are discussed on an annual basis in the context of the Sub-committee on Trade, Industry, Customs and Taxation. The last meeting took place on 13 November 2018, during which the continuing growth of the bilateral trade was positively noted as well as the very high level of utilisation of quotas. Information was exchanged on the legislative alignment to the external trade acquis, on the administrative capacity for various trade competencies and on relevant WTO matters. The country’s overall smooth implementation of the trade agreement was again welcome as well as its good co-operation in the context of WTO-related activities.  </w:t>
      </w:r>
    </w:p>
    <w:p>
      <w:pPr>
        <w:jc w:val="both"/>
        <w:rPr>
          <w:noProof/>
        </w:rPr>
      </w:pPr>
    </w:p>
    <w:p>
      <w:pPr>
        <w:jc w:val="both"/>
        <w:rPr>
          <w:noProof/>
        </w:rPr>
      </w:pPr>
      <w:r>
        <w:rPr>
          <w:noProof/>
        </w:rPr>
        <w:t xml:space="preserve">Commission took note of North Macedonia’s concerns regarding the EU steel provisional safeguard measures and reiterated that the key objective was to avoid any disruption of the traditional trade flows. It indicated that bilateral consultations in the framework of the SAA would be held before the end of 2018. </w:t>
      </w:r>
    </w:p>
    <w:p>
      <w:pPr>
        <w:pStyle w:val="ManualHeading1"/>
      </w:pPr>
      <w:bookmarkStart w:id="3014" w:name="_Toc8833706"/>
      <w:bookmarkStart w:id="3015" w:name="_Toc8835533"/>
      <w:bookmarkStart w:id="3016" w:name="_Toc8834163"/>
      <w:bookmarkStart w:id="3017" w:name="_Toc8909626"/>
      <w:bookmarkStart w:id="3018" w:name="_Toc8910838"/>
      <w:bookmarkStart w:id="3019" w:name="_Toc8911875"/>
      <w:bookmarkStart w:id="3020" w:name="_Toc8974696"/>
      <w:bookmarkStart w:id="3021" w:name="_Toc9008349"/>
      <w:bookmarkStart w:id="3022" w:name="_Toc9008752"/>
      <w:bookmarkStart w:id="3023" w:name="_Toc9348748"/>
      <w:bookmarkStart w:id="3024" w:name="_Toc9608199"/>
      <w:bookmarkStart w:id="3025" w:name="_Toc16000763"/>
      <w:r>
        <w:t>4.</w:t>
      </w:r>
      <w:r>
        <w:tab/>
        <w:t>Specific areas of importance</w:t>
      </w:r>
      <w:bookmarkEnd w:id="3014"/>
      <w:bookmarkEnd w:id="3015"/>
      <w:bookmarkEnd w:id="3016"/>
      <w:bookmarkEnd w:id="3017"/>
      <w:bookmarkEnd w:id="3018"/>
      <w:bookmarkEnd w:id="3019"/>
      <w:bookmarkEnd w:id="3020"/>
      <w:bookmarkEnd w:id="3021"/>
      <w:bookmarkEnd w:id="3022"/>
      <w:bookmarkEnd w:id="3023"/>
      <w:bookmarkEnd w:id="3024"/>
      <w:bookmarkEnd w:id="3025"/>
    </w:p>
    <w:p>
      <w:pPr>
        <w:jc w:val="both"/>
        <w:rPr>
          <w:noProof/>
        </w:rPr>
      </w:pPr>
      <w:r>
        <w:rPr>
          <w:noProof/>
        </w:rPr>
        <w:t xml:space="preserve">The business environment is a key area of importance. Challenges for doing business in North Macedonia include frequent legal changes to the regulatory framework, a lack of transparency of public procurement procedures, a lack of systematic, efficient and transparent law enforcement including in inspections and commercial dispute settlement, and many para-fiscal charges at different administrative levels. In addition, the size of the informal economy, -estimated at about 17% of total output in 2016- which creates unfair competition from unregistered companies and the entrenched corruption are defined by companies as major obstacles to doing business.  </w:t>
      </w:r>
    </w:p>
    <w:p>
      <w:pPr>
        <w:pStyle w:val="ManualHeading1"/>
      </w:pPr>
      <w:bookmarkStart w:id="3026" w:name="_Toc8833707"/>
      <w:bookmarkStart w:id="3027" w:name="_Toc8835534"/>
      <w:bookmarkStart w:id="3028" w:name="_Toc8834164"/>
      <w:bookmarkStart w:id="3029" w:name="_Toc8909627"/>
      <w:bookmarkStart w:id="3030" w:name="_Toc8910839"/>
      <w:bookmarkStart w:id="3031" w:name="_Toc8911876"/>
      <w:bookmarkStart w:id="3032" w:name="_Toc8974697"/>
      <w:bookmarkStart w:id="3033" w:name="_Toc9008350"/>
      <w:bookmarkStart w:id="3034" w:name="_Toc9008753"/>
      <w:bookmarkStart w:id="3035" w:name="_Toc9348749"/>
      <w:bookmarkStart w:id="3036" w:name="_Toc9608200"/>
      <w:bookmarkStart w:id="3037" w:name="_Toc16000764"/>
      <w:r>
        <w:t>5.</w:t>
      </w:r>
      <w:r>
        <w:tab/>
        <w:t>Main open issues and follow-up actions</w:t>
      </w:r>
      <w:bookmarkEnd w:id="3026"/>
      <w:bookmarkEnd w:id="3027"/>
      <w:bookmarkEnd w:id="3028"/>
      <w:bookmarkEnd w:id="3029"/>
      <w:bookmarkEnd w:id="3030"/>
      <w:bookmarkEnd w:id="3031"/>
      <w:bookmarkEnd w:id="3032"/>
      <w:bookmarkEnd w:id="3033"/>
      <w:bookmarkEnd w:id="3034"/>
      <w:bookmarkEnd w:id="3035"/>
      <w:bookmarkEnd w:id="3036"/>
      <w:bookmarkEnd w:id="3037"/>
    </w:p>
    <w:p>
      <w:pPr>
        <w:jc w:val="both"/>
        <w:rPr>
          <w:noProof/>
        </w:rPr>
      </w:pPr>
      <w:r>
        <w:rPr>
          <w:noProof/>
        </w:rPr>
        <w:t>The main open issues are linked to non-tariff barriers, including technical standards and administrative obstacles. Barriers also include relatively high logistical and customs costs. In its 2019-2021 Economic Reform Programme, the government rolled over the measure on trade facilitation aimed at simplifying inspections and clearance procedures, which has the potential to improve competitiveness. Actions include the speeding up of all trade that requires veterinary and phytosanitary certificates issued through the EU Trade Control and Expert System (TRACES). The resulting improved data exchange between customs authorities would lead to faster and cheaper trade flows.</w:t>
      </w:r>
    </w:p>
    <w:p>
      <w:pPr>
        <w:jc w:val="both"/>
        <w:rPr>
          <w:noProof/>
        </w:rPr>
      </w:pPr>
    </w:p>
    <w:p>
      <w:pPr>
        <w:jc w:val="both"/>
        <w:rPr>
          <w:noProof/>
        </w:rPr>
      </w:pPr>
      <w:r>
        <w:rPr>
          <w:noProof/>
        </w:rPr>
        <w:t>In addition, the new Public Procurement Law, enacted early 2019, is expected to increase transparency and predictability on the market. By publishing public procurement plans electronically and in advance, the number of bidders per tender is expected to rise allowing for better quality and increasing competition. Finally, e</w:t>
      </w:r>
      <w:r>
        <w:rPr>
          <w:rFonts w:eastAsia="Times New Roman"/>
          <w:noProof/>
        </w:rPr>
        <w:t xml:space="preserve">nforcement of competition </w:t>
      </w:r>
      <w:r>
        <w:rPr>
          <w:rFonts w:eastAsia="Times New Roman"/>
          <w:noProof/>
          <w:szCs w:val="20"/>
          <w:lang w:eastAsia="en-GB"/>
        </w:rPr>
        <w:t>rules needs to be enhanced, and significant efforts are needed with regards to adoption of legislation and enforcement in the field of state aid control, including transparency of aid granted</w:t>
      </w:r>
      <w:r>
        <w:rPr>
          <w:noProof/>
        </w:rPr>
        <w:t>.</w:t>
      </w:r>
    </w:p>
    <w:p>
      <w:pPr>
        <w:pStyle w:val="ManualHeading1"/>
      </w:pPr>
      <w:bookmarkStart w:id="3038" w:name="_Toc8833708"/>
      <w:bookmarkStart w:id="3039" w:name="_Toc8835535"/>
      <w:bookmarkStart w:id="3040" w:name="_Toc8834165"/>
      <w:bookmarkStart w:id="3041" w:name="_Toc8909628"/>
      <w:bookmarkStart w:id="3042" w:name="_Toc8910840"/>
      <w:bookmarkStart w:id="3043" w:name="_Toc8911877"/>
      <w:bookmarkStart w:id="3044" w:name="_Toc8974698"/>
      <w:bookmarkStart w:id="3045" w:name="_Toc9008351"/>
      <w:bookmarkStart w:id="3046" w:name="_Toc9008754"/>
      <w:bookmarkStart w:id="3047" w:name="_Toc9348750"/>
      <w:bookmarkStart w:id="3048" w:name="_Toc9608201"/>
      <w:bookmarkStart w:id="3049" w:name="_Toc16000765"/>
      <w:r>
        <w:t>6.</w:t>
      </w:r>
      <w:r>
        <w:tab/>
        <w:t>Conclusions</w:t>
      </w:r>
      <w:bookmarkEnd w:id="3038"/>
      <w:bookmarkEnd w:id="3039"/>
      <w:bookmarkEnd w:id="3040"/>
      <w:bookmarkEnd w:id="3041"/>
      <w:bookmarkEnd w:id="3042"/>
      <w:bookmarkEnd w:id="3043"/>
      <w:bookmarkEnd w:id="3044"/>
      <w:bookmarkEnd w:id="3045"/>
      <w:bookmarkEnd w:id="3046"/>
      <w:bookmarkEnd w:id="3047"/>
      <w:bookmarkEnd w:id="3048"/>
      <w:bookmarkEnd w:id="3049"/>
    </w:p>
    <w:p>
      <w:pPr>
        <w:jc w:val="both"/>
        <w:rPr>
          <w:noProof/>
        </w:rPr>
      </w:pPr>
      <w:r>
        <w:rPr>
          <w:noProof/>
        </w:rPr>
        <w:t>North Macedonia and the EU are very close and growing trade partners having more than doubled their total trade in the last ten years. The EU is the country’s main trading partner, accounting for 82% of its total exports and 62% of its total imports of goods. While the trade agreement is generally implemented smoothly by North Macedonia, the business climate is negatively affected by the large size of its informal economy and shortcomings in the rule of law, which are a strong deterrent to investments. On the other hand, the renewed momentum of the European integration process, and the possible opening of EU accession negotiations in the summer 2019, are expected to give further impetus to major reforms and consequently have a positive impact on the investment and business climate in North Macedonia in the coming period. Similarly, the development of a Regional Economic Area based on EU rules and standards, to which all Western Balkan economies have committed to, has the potential to generate untapped growth. A big milestone was in fact reached on 4 April 2019 when Ministers of Telecommunications from the Western Balkans signed a Regional Roaming Agreement that envisages a roaming-free region across the Western Balkans in 2021, also paving the way for further reductions of the roaming costs between the Western Balkans economies and the European Union.</w:t>
      </w:r>
    </w:p>
    <w:p>
      <w:pPr>
        <w:pStyle w:val="ManualHeading1"/>
      </w:pPr>
      <w:bookmarkStart w:id="3050" w:name="_Toc8833709"/>
      <w:bookmarkStart w:id="3051" w:name="_Toc8835536"/>
      <w:bookmarkStart w:id="3052" w:name="_Toc8834166"/>
      <w:bookmarkStart w:id="3053" w:name="_Toc8909629"/>
      <w:bookmarkStart w:id="3054" w:name="_Toc8910841"/>
      <w:bookmarkStart w:id="3055" w:name="_Toc8911878"/>
      <w:bookmarkStart w:id="3056" w:name="_Toc8974699"/>
      <w:bookmarkStart w:id="3057" w:name="_Toc9008352"/>
      <w:bookmarkStart w:id="3058" w:name="_Toc9008755"/>
      <w:bookmarkStart w:id="3059" w:name="_Toc9348751"/>
      <w:bookmarkStart w:id="3060" w:name="_Toc9608202"/>
      <w:bookmarkStart w:id="3061" w:name="_Toc16000766"/>
      <w:r>
        <w:t>7.</w:t>
      </w:r>
      <w:r>
        <w:tab/>
        <w:t>Statistics</w:t>
      </w:r>
      <w:bookmarkEnd w:id="3050"/>
      <w:bookmarkEnd w:id="3051"/>
      <w:bookmarkEnd w:id="3052"/>
      <w:bookmarkEnd w:id="3053"/>
      <w:bookmarkEnd w:id="3054"/>
      <w:bookmarkEnd w:id="3055"/>
      <w:bookmarkEnd w:id="3056"/>
      <w:bookmarkEnd w:id="3057"/>
      <w:bookmarkEnd w:id="3058"/>
      <w:bookmarkEnd w:id="3059"/>
      <w:bookmarkEnd w:id="3060"/>
      <w:bookmarkEnd w:id="3061"/>
    </w:p>
    <w:tbl>
      <w:tblPr>
        <w:tblW w:w="8751" w:type="dxa"/>
        <w:tblInd w:w="108" w:type="dxa"/>
        <w:tblLook w:val="04A0" w:firstRow="1" w:lastRow="0" w:firstColumn="1" w:lastColumn="0" w:noHBand="0" w:noVBand="1"/>
      </w:tblPr>
      <w:tblGrid>
        <w:gridCol w:w="4391"/>
        <w:gridCol w:w="856"/>
        <w:gridCol w:w="856"/>
        <w:gridCol w:w="936"/>
        <w:gridCol w:w="856"/>
        <w:gridCol w:w="856"/>
      </w:tblGrid>
      <w:tr>
        <w:trPr>
          <w:trHeight w:val="210"/>
        </w:trPr>
        <w:tc>
          <w:tcPr>
            <w:tcW w:w="4391"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93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10"/>
        </w:trPr>
        <w:tc>
          <w:tcPr>
            <w:tcW w:w="8751"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Merchandise trade EU28 2014-2018</w:t>
            </w:r>
          </w:p>
        </w:tc>
      </w:tr>
      <w:tr>
        <w:trPr>
          <w:trHeight w:val="210"/>
        </w:trPr>
        <w:tc>
          <w:tcPr>
            <w:tcW w:w="4391" w:type="dxa"/>
            <w:tcBorders>
              <w:top w:val="single" w:sz="4" w:space="0" w:color="auto"/>
              <w:left w:val="nil"/>
              <w:bottom w:val="single" w:sz="4" w:space="0" w:color="auto"/>
              <w:right w:val="nil"/>
            </w:tcBorders>
            <w:shd w:val="clear" w:color="000000" w:fill="FFFFFF"/>
            <w:noWrap/>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 </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93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r>
      <w:tr>
        <w:trPr>
          <w:trHeight w:val="210"/>
        </w:trPr>
        <w:tc>
          <w:tcPr>
            <w:tcW w:w="4391" w:type="dxa"/>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EU28 trade with North Macedonia (mio €)</w:t>
            </w:r>
          </w:p>
        </w:tc>
        <w:tc>
          <w:tcPr>
            <w:tcW w:w="856"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n-IE" w:eastAsia="en-IE"/>
              </w:rPr>
            </w:pP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93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r>
      <w:tr>
        <w:trPr>
          <w:trHeight w:val="210"/>
        </w:trPr>
        <w:tc>
          <w:tcPr>
            <w:tcW w:w="439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3.019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3.365</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3.722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4.251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4.928</w:t>
            </w:r>
          </w:p>
        </w:tc>
      </w:tr>
      <w:tr>
        <w:trPr>
          <w:trHeight w:val="210"/>
        </w:trPr>
        <w:tc>
          <w:tcPr>
            <w:tcW w:w="439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3.818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4.114</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4.450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4.970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5.564</w:t>
            </w:r>
          </w:p>
        </w:tc>
      </w:tr>
      <w:tr>
        <w:trPr>
          <w:trHeight w:val="210"/>
        </w:trPr>
        <w:tc>
          <w:tcPr>
            <w:tcW w:w="439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800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749</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727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719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635</w:t>
            </w:r>
          </w:p>
        </w:tc>
      </w:tr>
      <w:tr>
        <w:trPr>
          <w:trHeight w:val="210"/>
        </w:trPr>
        <w:tc>
          <w:tcPr>
            <w:tcW w:w="4391" w:type="dxa"/>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Share North Macedonia in EU28 trade with Extra-EU28</w:t>
            </w:r>
          </w:p>
        </w:tc>
        <w:tc>
          <w:tcPr>
            <w:tcW w:w="856"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n-IE" w:eastAsia="en-IE"/>
              </w:rPr>
            </w:pP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93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r>
      <w:tr>
        <w:trPr>
          <w:trHeight w:val="210"/>
        </w:trPr>
        <w:tc>
          <w:tcPr>
            <w:tcW w:w="439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r>
      <w:tr>
        <w:trPr>
          <w:trHeight w:val="210"/>
        </w:trPr>
        <w:tc>
          <w:tcPr>
            <w:tcW w:w="439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0,3%</w:t>
            </w:r>
          </w:p>
        </w:tc>
      </w:tr>
      <w:tr>
        <w:trPr>
          <w:trHeight w:val="210"/>
        </w:trPr>
        <w:tc>
          <w:tcPr>
            <w:tcW w:w="439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0,3%</w:t>
            </w:r>
          </w:p>
        </w:tc>
      </w:tr>
      <w:tr>
        <w:trPr>
          <w:trHeight w:val="210"/>
        </w:trPr>
        <w:tc>
          <w:tcPr>
            <w:tcW w:w="8751"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Share EU28 in trade North Macedonia with world</w:t>
            </w:r>
          </w:p>
        </w:tc>
      </w:tr>
      <w:tr>
        <w:trPr>
          <w:trHeight w:val="210"/>
        </w:trPr>
        <w:tc>
          <w:tcPr>
            <w:tcW w:w="439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63,1%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61,7%</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62,0%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62,9%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62,4%</w:t>
            </w:r>
          </w:p>
        </w:tc>
      </w:tr>
      <w:tr>
        <w:trPr>
          <w:trHeight w:val="210"/>
        </w:trPr>
        <w:tc>
          <w:tcPr>
            <w:tcW w:w="439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75,5%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75,7%</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79,9%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81,2%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82,3%</w:t>
            </w:r>
          </w:p>
        </w:tc>
      </w:tr>
      <w:tr>
        <w:trPr>
          <w:trHeight w:val="210"/>
        </w:trPr>
        <w:tc>
          <w:tcPr>
            <w:tcW w:w="439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68,1%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67,5%</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69,4%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70,6%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71,0%</w:t>
            </w:r>
          </w:p>
        </w:tc>
      </w:tr>
      <w:tr>
        <w:trPr>
          <w:trHeight w:val="225"/>
        </w:trPr>
        <w:tc>
          <w:tcPr>
            <w:tcW w:w="6103" w:type="dxa"/>
            <w:gridSpan w:val="3"/>
            <w:tcBorders>
              <w:top w:val="single" w:sz="4" w:space="0" w:color="auto"/>
              <w:left w:val="nil"/>
              <w:bottom w:val="nil"/>
              <w:right w:val="nil"/>
            </w:tcBorders>
            <w:shd w:val="clear" w:color="000000" w:fill="FFFFFF"/>
            <w:noWrap/>
            <w:vAlign w:val="bottom"/>
            <w:hideMark/>
          </w:tcPr>
          <w:p>
            <w:pPr>
              <w:rPr>
                <w:rFonts w:eastAsia="Times New Roman"/>
                <w:noProof/>
                <w:sz w:val="12"/>
                <w:szCs w:val="12"/>
                <w:lang w:val="en-IE" w:eastAsia="en-IE"/>
              </w:rPr>
            </w:pPr>
            <w:r>
              <w:rPr>
                <w:rFonts w:eastAsia="Times New Roman"/>
                <w:noProof/>
                <w:sz w:val="12"/>
                <w:szCs w:val="12"/>
                <w:lang w:val="en-IE" w:eastAsia="en-IE"/>
              </w:rPr>
              <w:t xml:space="preserve">Source Trade G2 Statistics/ISDB </w:t>
            </w:r>
          </w:p>
        </w:tc>
        <w:tc>
          <w:tcPr>
            <w:tcW w:w="936"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single" w:sz="4" w:space="0" w:color="auto"/>
              <w:left w:val="nil"/>
              <w:bottom w:val="nil"/>
              <w:right w:val="nil"/>
            </w:tcBorders>
            <w:shd w:val="clear" w:color="000000" w:fill="FFFFFF"/>
            <w:noWrap/>
            <w:hideMark/>
          </w:tcPr>
          <w:p>
            <w:pPr>
              <w:jc w:val="right"/>
              <w:rPr>
                <w:rFonts w:eastAsia="Times New Roman"/>
                <w:noProof/>
                <w:sz w:val="12"/>
                <w:szCs w:val="12"/>
                <w:lang w:val="en-IE" w:eastAsia="en-IE"/>
              </w:rPr>
            </w:pPr>
            <w:r>
              <w:rPr>
                <w:rFonts w:eastAsia="Times New Roman"/>
                <w:noProof/>
                <w:sz w:val="12"/>
                <w:szCs w:val="12"/>
                <w:lang w:val="en-IE" w:eastAsia="en-IE"/>
              </w:rPr>
              <w:t>25-mars-19</w:t>
            </w:r>
          </w:p>
        </w:tc>
      </w:tr>
      <w:tr>
        <w:trPr>
          <w:trHeight w:val="210"/>
        </w:trPr>
        <w:tc>
          <w:tcPr>
            <w:tcW w:w="7895" w:type="dxa"/>
            <w:gridSpan w:val="5"/>
            <w:tcBorders>
              <w:top w:val="nil"/>
              <w:left w:val="nil"/>
              <w:bottom w:val="nil"/>
              <w:right w:val="nil"/>
            </w:tcBorders>
            <w:shd w:val="clear" w:color="000000" w:fill="FFFFFF"/>
            <w:noWrap/>
            <w:hideMark/>
          </w:tcPr>
          <w:p>
            <w:pPr>
              <w:rPr>
                <w:rFonts w:eastAsia="Times New Roman"/>
                <w:noProof/>
                <w:color w:val="000000"/>
                <w:sz w:val="12"/>
                <w:szCs w:val="12"/>
                <w:lang w:val="en-IE" w:eastAsia="en-IE"/>
              </w:rPr>
            </w:pPr>
            <w:r>
              <w:rPr>
                <w:rFonts w:eastAsia="Times New Roman"/>
                <w:noProof/>
                <w:color w:val="000000"/>
                <w:sz w:val="12"/>
                <w:szCs w:val="12"/>
                <w:lang w:val="en-IE" w:eastAsia="en-IE"/>
              </w:rPr>
              <w:t>Trade EU28: Eurostat COMEXT;  Trade North Macedonia: IMF Dots</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10"/>
        </w:trPr>
        <w:tc>
          <w:tcPr>
            <w:tcW w:w="4391"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93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25"/>
        </w:trPr>
        <w:tc>
          <w:tcPr>
            <w:tcW w:w="8751"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Total merchandise trade EU28 with North Macedonia (mio €)</w:t>
            </w:r>
          </w:p>
        </w:tc>
      </w:tr>
      <w:tr>
        <w:trPr>
          <w:trHeight w:val="225"/>
        </w:trPr>
        <w:tc>
          <w:tcPr>
            <w:tcW w:w="5247"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North Macedonia</w:t>
            </w:r>
          </w:p>
        </w:tc>
        <w:tc>
          <w:tcPr>
            <w:tcW w:w="85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93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71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5247"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93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439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4.251</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4.928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677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15,9%</w:t>
            </w:r>
          </w:p>
        </w:tc>
      </w:tr>
      <w:tr>
        <w:trPr>
          <w:trHeight w:val="225"/>
        </w:trPr>
        <w:tc>
          <w:tcPr>
            <w:tcW w:w="439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4.970</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5.564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594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11,9%</w:t>
            </w:r>
          </w:p>
        </w:tc>
      </w:tr>
      <w:tr>
        <w:trPr>
          <w:trHeight w:val="225"/>
        </w:trPr>
        <w:tc>
          <w:tcPr>
            <w:tcW w:w="439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719</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635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-83</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4391"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9.221</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10.492</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1.271</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13,8%</w:t>
            </w:r>
          </w:p>
        </w:tc>
      </w:tr>
      <w:tr>
        <w:trPr>
          <w:trHeight w:val="240"/>
        </w:trPr>
        <w:tc>
          <w:tcPr>
            <w:tcW w:w="7039"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8751"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Agrifood trade EU28 with North Macedonia (mio €)</w:t>
            </w:r>
          </w:p>
        </w:tc>
      </w:tr>
      <w:tr>
        <w:trPr>
          <w:trHeight w:val="255"/>
        </w:trPr>
        <w:tc>
          <w:tcPr>
            <w:tcW w:w="5247"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North Macedonia</w:t>
            </w:r>
          </w:p>
        </w:tc>
        <w:tc>
          <w:tcPr>
            <w:tcW w:w="85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93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71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5247"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93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439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276</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284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2,9%</w:t>
            </w:r>
          </w:p>
        </w:tc>
      </w:tr>
      <w:tr>
        <w:trPr>
          <w:trHeight w:val="225"/>
        </w:trPr>
        <w:tc>
          <w:tcPr>
            <w:tcW w:w="439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369</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395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7,1%</w:t>
            </w:r>
          </w:p>
        </w:tc>
      </w:tr>
      <w:tr>
        <w:trPr>
          <w:trHeight w:val="225"/>
        </w:trPr>
        <w:tc>
          <w:tcPr>
            <w:tcW w:w="439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93</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4391"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645</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679</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34</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5,3%</w:t>
            </w:r>
          </w:p>
        </w:tc>
      </w:tr>
      <w:tr>
        <w:trPr>
          <w:trHeight w:val="240"/>
        </w:trPr>
        <w:tc>
          <w:tcPr>
            <w:tcW w:w="7039"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8751"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NAMA trade EU28 with North Macedonia (mio €)</w:t>
            </w:r>
          </w:p>
        </w:tc>
      </w:tr>
      <w:tr>
        <w:trPr>
          <w:trHeight w:val="225"/>
        </w:trPr>
        <w:tc>
          <w:tcPr>
            <w:tcW w:w="5247"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North Macedonia</w:t>
            </w:r>
          </w:p>
        </w:tc>
        <w:tc>
          <w:tcPr>
            <w:tcW w:w="85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93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71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5247"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93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5247"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3.975</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4.644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669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16,8%</w:t>
            </w:r>
          </w:p>
        </w:tc>
      </w:tr>
      <w:tr>
        <w:trPr>
          <w:trHeight w:val="225"/>
        </w:trPr>
        <w:tc>
          <w:tcPr>
            <w:tcW w:w="5247"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4.601</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5.168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567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12,3%</w:t>
            </w:r>
          </w:p>
        </w:tc>
      </w:tr>
      <w:tr>
        <w:trPr>
          <w:trHeight w:val="225"/>
        </w:trPr>
        <w:tc>
          <w:tcPr>
            <w:tcW w:w="439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625</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524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-102</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439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8.576</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9.813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1.236</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14,4%</w:t>
            </w:r>
          </w:p>
        </w:tc>
      </w:tr>
      <w:tr>
        <w:trPr>
          <w:trHeight w:val="240"/>
        </w:trPr>
        <w:tc>
          <w:tcPr>
            <w:tcW w:w="7039"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856" w:type="dxa"/>
            <w:tcBorders>
              <w:top w:val="single" w:sz="4" w:space="0" w:color="auto"/>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7039" w:type="dxa"/>
            <w:gridSpan w:val="4"/>
            <w:tcBorders>
              <w:top w:val="nil"/>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Services trade EU28 with North Macedonia (mio €)</w:t>
            </w:r>
          </w:p>
        </w:tc>
        <w:tc>
          <w:tcPr>
            <w:tcW w:w="856" w:type="dxa"/>
            <w:tcBorders>
              <w:top w:val="nil"/>
              <w:left w:val="nil"/>
              <w:bottom w:val="nil"/>
              <w:right w:val="nil"/>
            </w:tcBorders>
            <w:shd w:val="clear" w:color="000000" w:fill="FFFFFF"/>
            <w:noWrap/>
            <w:vAlign w:val="center"/>
            <w:hideMark/>
          </w:tcPr>
          <w:p>
            <w:pPr>
              <w:rPr>
                <w:rFonts w:eastAsia="Times New Roman"/>
                <w:b/>
                <w:bCs/>
                <w:noProof/>
                <w:sz w:val="16"/>
                <w:szCs w:val="16"/>
                <w:lang w:val="en-IE" w:eastAsia="en-IE"/>
              </w:rPr>
            </w:pPr>
            <w:r>
              <w:rPr>
                <w:rFonts w:eastAsia="Times New Roman"/>
                <w:b/>
                <w:bCs/>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bCs/>
                <w:noProof/>
                <w:sz w:val="16"/>
                <w:szCs w:val="16"/>
                <w:lang w:val="en-IE" w:eastAsia="en-IE"/>
              </w:rPr>
            </w:pPr>
            <w:r>
              <w:rPr>
                <w:rFonts w:eastAsia="Times New Roman"/>
                <w:b/>
                <w:bCs/>
                <w:noProof/>
                <w:sz w:val="16"/>
                <w:szCs w:val="16"/>
                <w:lang w:val="en-IE" w:eastAsia="en-IE"/>
              </w:rPr>
              <w:t> </w:t>
            </w:r>
          </w:p>
        </w:tc>
      </w:tr>
      <w:tr>
        <w:trPr>
          <w:trHeight w:val="225"/>
        </w:trPr>
        <w:tc>
          <w:tcPr>
            <w:tcW w:w="5247"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North Macedonia</w:t>
            </w:r>
          </w:p>
        </w:tc>
        <w:tc>
          <w:tcPr>
            <w:tcW w:w="856"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936"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171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5247"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936"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439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754</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747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-0,8%</w:t>
            </w:r>
          </w:p>
        </w:tc>
      </w:tr>
      <w:tr>
        <w:trPr>
          <w:trHeight w:val="225"/>
        </w:trPr>
        <w:tc>
          <w:tcPr>
            <w:tcW w:w="439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1.353</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1.186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-12,4%</w:t>
            </w:r>
          </w:p>
        </w:tc>
      </w:tr>
      <w:tr>
        <w:trPr>
          <w:trHeight w:val="225"/>
        </w:trPr>
        <w:tc>
          <w:tcPr>
            <w:tcW w:w="439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599</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438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-161</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4391"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2.107</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1.933</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-174</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-8,2%</w:t>
            </w:r>
          </w:p>
        </w:tc>
      </w:tr>
      <w:tr>
        <w:trPr>
          <w:trHeight w:val="240"/>
        </w:trPr>
        <w:tc>
          <w:tcPr>
            <w:tcW w:w="7895" w:type="dxa"/>
            <w:gridSpan w:val="5"/>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40"/>
        </w:trPr>
        <w:tc>
          <w:tcPr>
            <w:tcW w:w="8751"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Services trade EU28 with North Macedonia (mio €)</w:t>
            </w:r>
          </w:p>
        </w:tc>
      </w:tr>
      <w:tr>
        <w:trPr>
          <w:trHeight w:val="225"/>
        </w:trPr>
        <w:tc>
          <w:tcPr>
            <w:tcW w:w="4391"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93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439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507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567</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608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754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747</w:t>
            </w:r>
          </w:p>
        </w:tc>
      </w:tr>
      <w:tr>
        <w:trPr>
          <w:trHeight w:val="225"/>
        </w:trPr>
        <w:tc>
          <w:tcPr>
            <w:tcW w:w="439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739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857</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1.008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1.353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1.186</w:t>
            </w:r>
          </w:p>
        </w:tc>
      </w:tr>
      <w:tr>
        <w:trPr>
          <w:trHeight w:val="225"/>
        </w:trPr>
        <w:tc>
          <w:tcPr>
            <w:tcW w:w="439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290</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400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599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438</w:t>
            </w:r>
          </w:p>
        </w:tc>
      </w:tr>
      <w:tr>
        <w:trPr>
          <w:trHeight w:val="225"/>
        </w:trPr>
        <w:tc>
          <w:tcPr>
            <w:tcW w:w="4391"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1.246</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1.424</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1.616</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2.107</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1.933</w:t>
            </w:r>
          </w:p>
        </w:tc>
      </w:tr>
      <w:tr>
        <w:trPr>
          <w:trHeight w:val="225"/>
        </w:trPr>
        <w:tc>
          <w:tcPr>
            <w:tcW w:w="4391"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856"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93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8751"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FDI EU28 with North Macedonia (mio €)</w:t>
            </w:r>
          </w:p>
        </w:tc>
      </w:tr>
      <w:tr>
        <w:trPr>
          <w:trHeight w:val="225"/>
        </w:trPr>
        <w:tc>
          <w:tcPr>
            <w:tcW w:w="4391"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93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8751"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Stocks</w:t>
            </w:r>
          </w:p>
        </w:tc>
      </w:tr>
      <w:tr>
        <w:trPr>
          <w:trHeight w:val="225"/>
        </w:trPr>
        <w:tc>
          <w:tcPr>
            <w:tcW w:w="439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-51</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-40</w:t>
            </w:r>
          </w:p>
        </w:tc>
      </w:tr>
      <w:tr>
        <w:trPr>
          <w:trHeight w:val="225"/>
        </w:trPr>
        <w:tc>
          <w:tcPr>
            <w:tcW w:w="439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1.967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2.050</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2.636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2.468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2.449</w:t>
            </w:r>
          </w:p>
        </w:tc>
      </w:tr>
      <w:tr>
        <w:trPr>
          <w:trHeight w:val="225"/>
        </w:trPr>
        <w:tc>
          <w:tcPr>
            <w:tcW w:w="8751"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Flows</w:t>
            </w:r>
          </w:p>
        </w:tc>
      </w:tr>
      <w:tr>
        <w:trPr>
          <w:trHeight w:val="225"/>
        </w:trPr>
        <w:tc>
          <w:tcPr>
            <w:tcW w:w="439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92</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w:t>
            </w:r>
          </w:p>
        </w:tc>
      </w:tr>
      <w:tr>
        <w:trPr>
          <w:trHeight w:val="225"/>
        </w:trPr>
        <w:tc>
          <w:tcPr>
            <w:tcW w:w="439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232</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112</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110</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206</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w:t>
            </w:r>
          </w:p>
        </w:tc>
      </w:tr>
      <w:tr>
        <w:trPr>
          <w:trHeight w:val="225"/>
        </w:trPr>
        <w:tc>
          <w:tcPr>
            <w:tcW w:w="4391" w:type="dxa"/>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856"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93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bl>
    <w:p>
      <w:pPr>
        <w:rPr>
          <w:noProof/>
        </w:rPr>
      </w:pPr>
    </w:p>
    <w:p>
      <w:pPr>
        <w:spacing w:after="200" w:line="276" w:lineRule="auto"/>
        <w:rPr>
          <w:noProof/>
        </w:rPr>
      </w:pPr>
      <w:r>
        <w:rPr>
          <w:noProof/>
        </w:rPr>
        <w:br w:type="page"/>
      </w:r>
    </w:p>
    <w:p>
      <w:pPr>
        <w:pStyle w:val="ChapterHead"/>
        <w:rPr>
          <w:b/>
          <w:noProof/>
        </w:rPr>
      </w:pPr>
      <w:bookmarkStart w:id="3062" w:name="_Toc8833710"/>
      <w:bookmarkStart w:id="3063" w:name="_Toc8835537"/>
      <w:bookmarkStart w:id="3064" w:name="_Toc8834167"/>
      <w:bookmarkStart w:id="3065" w:name="_Toc8909630"/>
      <w:bookmarkStart w:id="3066" w:name="_Toc8910842"/>
      <w:bookmarkStart w:id="3067" w:name="_Toc8911879"/>
      <w:bookmarkStart w:id="3068" w:name="_Toc8974700"/>
      <w:bookmarkStart w:id="3069" w:name="_Toc9008353"/>
      <w:bookmarkStart w:id="3070" w:name="_Toc9008756"/>
      <w:bookmarkStart w:id="3071" w:name="_Toc9348752"/>
      <w:bookmarkStart w:id="3072" w:name="_Toc9608203"/>
      <w:bookmarkStart w:id="3073" w:name="_Toc16000767"/>
      <w:r>
        <w:rPr>
          <w:b/>
          <w:noProof/>
        </w:rPr>
        <w:t>ANNUAL INFO SHEET ON THE IMPLEMENTATION OF THE TRADE PILLAR OF THE EU-KOSOVO</w:t>
      </w:r>
      <w:r>
        <w:rPr>
          <w:rStyle w:val="FootnoteReference"/>
          <w:b/>
          <w:noProof/>
        </w:rPr>
        <w:footnoteReference w:id="80"/>
      </w:r>
      <w:r>
        <w:rPr>
          <w:b/>
          <w:noProof/>
        </w:rPr>
        <w:t xml:space="preserve"> STABILISATION AND ASSOCIATION AGREEMENT</w:t>
      </w:r>
      <w:bookmarkEnd w:id="3062"/>
      <w:bookmarkEnd w:id="3063"/>
      <w:bookmarkEnd w:id="3064"/>
      <w:bookmarkEnd w:id="3065"/>
      <w:bookmarkEnd w:id="3066"/>
      <w:bookmarkEnd w:id="3067"/>
      <w:bookmarkEnd w:id="3068"/>
      <w:bookmarkEnd w:id="3069"/>
      <w:bookmarkEnd w:id="3070"/>
      <w:bookmarkEnd w:id="3071"/>
      <w:bookmarkEnd w:id="3072"/>
      <w:bookmarkEnd w:id="3073"/>
    </w:p>
    <w:p>
      <w:pPr>
        <w:pStyle w:val="ManualHeading1"/>
      </w:pPr>
      <w:bookmarkStart w:id="3074" w:name="_Toc8833711"/>
      <w:bookmarkStart w:id="3075" w:name="_Toc8835538"/>
      <w:bookmarkStart w:id="3076" w:name="_Toc8834168"/>
      <w:bookmarkStart w:id="3077" w:name="_Toc8909631"/>
      <w:bookmarkStart w:id="3078" w:name="_Toc8910843"/>
      <w:bookmarkStart w:id="3079" w:name="_Toc8911880"/>
      <w:bookmarkStart w:id="3080" w:name="_Toc8974701"/>
      <w:bookmarkStart w:id="3081" w:name="_Toc9008354"/>
      <w:bookmarkStart w:id="3082" w:name="_Toc9008757"/>
      <w:bookmarkStart w:id="3083" w:name="_Toc9348753"/>
      <w:bookmarkStart w:id="3084" w:name="_Toc9608204"/>
      <w:bookmarkStart w:id="3085" w:name="_Toc16000768"/>
      <w:r>
        <w:t>1.</w:t>
      </w:r>
      <w:r>
        <w:tab/>
        <w:t>Introduction</w:t>
      </w:r>
      <w:bookmarkEnd w:id="3074"/>
      <w:bookmarkEnd w:id="3075"/>
      <w:bookmarkEnd w:id="3076"/>
      <w:bookmarkEnd w:id="3077"/>
      <w:bookmarkEnd w:id="3078"/>
      <w:bookmarkEnd w:id="3079"/>
      <w:bookmarkEnd w:id="3080"/>
      <w:bookmarkEnd w:id="3081"/>
      <w:bookmarkEnd w:id="3082"/>
      <w:bookmarkEnd w:id="3083"/>
      <w:bookmarkEnd w:id="3084"/>
      <w:bookmarkEnd w:id="3085"/>
    </w:p>
    <w:p>
      <w:pPr>
        <w:jc w:val="both"/>
        <w:rPr>
          <w:noProof/>
        </w:rPr>
      </w:pPr>
      <w:r>
        <w:rPr>
          <w:noProof/>
        </w:rPr>
        <w:t xml:space="preserve">On 27 October 2015, the EU and Kosovo signed a Stabilisation and Association Agreement (SAA). The SAA is the prime instrument of the EU’s overall policy towards the Western Balkan countries’ Stabilisation and Association process. Under this process, all Western Balkans partners, including Kosovo, have a European perspective. </w:t>
      </w:r>
    </w:p>
    <w:p>
      <w:pPr>
        <w:jc w:val="both"/>
        <w:rPr>
          <w:noProof/>
        </w:rPr>
      </w:pPr>
    </w:p>
    <w:p>
      <w:pPr>
        <w:jc w:val="both"/>
        <w:rPr>
          <w:noProof/>
        </w:rPr>
      </w:pPr>
      <w:r>
        <w:rPr>
          <w:noProof/>
        </w:rPr>
        <w:t xml:space="preserve">The SAA - including the trade-related part - entered into force on 1 April 2016 and foresees: </w:t>
      </w:r>
    </w:p>
    <w:p>
      <w:pPr>
        <w:pStyle w:val="ListParagraph"/>
        <w:numPr>
          <w:ilvl w:val="0"/>
          <w:numId w:val="30"/>
        </w:numPr>
        <w:spacing w:after="120"/>
        <w:ind w:left="714"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Upgrading the existing trade relations by gradual establishment of a free trade area over a period lasting a maximum of 10 years. </w:t>
      </w:r>
    </w:p>
    <w:p>
      <w:pPr>
        <w:pStyle w:val="ListParagraph"/>
        <w:numPr>
          <w:ilvl w:val="0"/>
          <w:numId w:val="30"/>
        </w:numPr>
        <w:spacing w:after="120"/>
        <w:ind w:left="714" w:hanging="357"/>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Almost unrestricted market access to the EU for Kosovo products: the EU has abolished all customs duties with Kosovo upon entry into force of the SAA with exception of a few product lines in the agricultural sector, which are subject to specific duties or tariff-quotas. </w:t>
      </w:r>
    </w:p>
    <w:p>
      <w:pPr>
        <w:pStyle w:val="ListParagraph"/>
        <w:numPr>
          <w:ilvl w:val="0"/>
          <w:numId w:val="30"/>
        </w:numPr>
        <w:jc w:val="both"/>
        <w:rPr>
          <w:rFonts w:ascii="Times New Roman" w:hAnsi="Times New Roman" w:cs="Times New Roman"/>
          <w:noProof/>
          <w:sz w:val="24"/>
          <w:szCs w:val="24"/>
        </w:rPr>
      </w:pPr>
      <w:r>
        <w:rPr>
          <w:rFonts w:ascii="Times New Roman" w:hAnsi="Times New Roman" w:cs="Times New Roman"/>
          <w:noProof/>
          <w:sz w:val="24"/>
          <w:szCs w:val="24"/>
        </w:rPr>
        <w:t xml:space="preserve">Kosovo has abolished the customs duties on a number of tariff lines (industrial, agricultural and fishery products) while for the rest it will reduce the duties progressively over 10 years. </w:t>
      </w:r>
    </w:p>
    <w:p>
      <w:pPr>
        <w:jc w:val="both"/>
        <w:rPr>
          <w:noProof/>
        </w:rPr>
      </w:pPr>
      <w:r>
        <w:rPr>
          <w:noProof/>
        </w:rPr>
        <w:t>The SAA also includes Kosovo’s commitment to ensure the gradual approximation of its laws with EU acquis in a number of important areas, such as public procurement, standardisation, consumer protection, working conditions and equal opportunities. It also provides for a gradual liberalisation in the areas of rights of establishment, supply of services and movement of capital; and it includes provisions on competition matters, state aid, and intellectual property rights.</w:t>
      </w:r>
    </w:p>
    <w:p>
      <w:pPr>
        <w:pStyle w:val="ManualHeading1"/>
      </w:pPr>
      <w:bookmarkStart w:id="3086" w:name="_Toc8833712"/>
      <w:bookmarkStart w:id="3087" w:name="_Toc8835539"/>
      <w:bookmarkStart w:id="3088" w:name="_Toc8834169"/>
      <w:bookmarkStart w:id="3089" w:name="_Toc8909632"/>
      <w:bookmarkStart w:id="3090" w:name="_Toc8910844"/>
      <w:bookmarkStart w:id="3091" w:name="_Toc8911881"/>
      <w:bookmarkStart w:id="3092" w:name="_Toc8974702"/>
      <w:bookmarkStart w:id="3093" w:name="_Toc9008355"/>
      <w:bookmarkStart w:id="3094" w:name="_Toc9008758"/>
      <w:bookmarkStart w:id="3095" w:name="_Toc9348754"/>
      <w:bookmarkStart w:id="3096" w:name="_Toc9608205"/>
      <w:bookmarkStart w:id="3097" w:name="_Toc16000769"/>
      <w:r>
        <w:t>2.</w:t>
      </w:r>
      <w:r>
        <w:tab/>
        <w:t>Evolution of trade</w:t>
      </w:r>
      <w:bookmarkEnd w:id="3086"/>
      <w:bookmarkEnd w:id="3087"/>
      <w:bookmarkEnd w:id="3088"/>
      <w:bookmarkEnd w:id="3089"/>
      <w:bookmarkEnd w:id="3090"/>
      <w:bookmarkEnd w:id="3091"/>
      <w:bookmarkEnd w:id="3092"/>
      <w:bookmarkEnd w:id="3093"/>
      <w:bookmarkEnd w:id="3094"/>
      <w:bookmarkEnd w:id="3095"/>
      <w:bookmarkEnd w:id="3096"/>
      <w:bookmarkEnd w:id="3097"/>
    </w:p>
    <w:p>
      <w:pPr>
        <w:pStyle w:val="Heading2"/>
        <w:ind w:left="0" w:firstLine="0"/>
      </w:pPr>
      <w:bookmarkStart w:id="3098" w:name="_Toc8833713"/>
      <w:bookmarkStart w:id="3099" w:name="_Toc8835540"/>
      <w:bookmarkStart w:id="3100" w:name="_Toc8834170"/>
      <w:bookmarkStart w:id="3101" w:name="_Toc8909633"/>
      <w:bookmarkStart w:id="3102" w:name="_Toc8910845"/>
      <w:bookmarkStart w:id="3103" w:name="_Toc8911882"/>
      <w:bookmarkStart w:id="3104" w:name="_Toc8974703"/>
      <w:bookmarkStart w:id="3105" w:name="_Toc9008356"/>
      <w:bookmarkStart w:id="3106" w:name="_Toc9008759"/>
      <w:bookmarkStart w:id="3107" w:name="_Toc9348755"/>
      <w:bookmarkStart w:id="3108" w:name="_Toc9608206"/>
      <w:bookmarkStart w:id="3109" w:name="_Toc16000770"/>
      <w:r>
        <w:t>2.1 Trade in Goods</w:t>
      </w:r>
      <w:bookmarkEnd w:id="3098"/>
      <w:bookmarkEnd w:id="3099"/>
      <w:bookmarkEnd w:id="3100"/>
      <w:bookmarkEnd w:id="3101"/>
      <w:bookmarkEnd w:id="3102"/>
      <w:bookmarkEnd w:id="3103"/>
      <w:bookmarkEnd w:id="3104"/>
      <w:bookmarkEnd w:id="3105"/>
      <w:bookmarkEnd w:id="3106"/>
      <w:bookmarkEnd w:id="3107"/>
      <w:bookmarkEnd w:id="3108"/>
      <w:bookmarkEnd w:id="3109"/>
    </w:p>
    <w:p>
      <w:pPr>
        <w:jc w:val="both"/>
        <w:rPr>
          <w:noProof/>
          <w:lang w:eastAsia="en-GB"/>
        </w:rPr>
      </w:pPr>
      <w:r>
        <w:rPr>
          <w:noProof/>
          <w:lang w:eastAsia="en-GB"/>
        </w:rPr>
        <w:t xml:space="preserve">Total bilateral trade between the EU and Kosovo increased by 15% between 2017 and 2018 reaching a total amount of </w:t>
      </w:r>
      <w:r>
        <w:rPr>
          <w:b/>
          <w:bCs/>
          <w:noProof/>
          <w:lang w:eastAsia="en-GB"/>
        </w:rPr>
        <w:t>€1.1 billion</w:t>
      </w:r>
      <w:r>
        <w:rPr>
          <w:noProof/>
          <w:lang w:eastAsia="en-GB"/>
        </w:rPr>
        <w:t>. Since the implementation of the trade agreement in 2016, total bilateral trade has increased by 32% but only to the advantage of the EU as Kosovo’s trade with the EU was lower in 2018 (€101 million) than in 2015 (€104 million).  The EU is Kosovo’s first trading partner accounting for 31% of total exports and 43% of total imports of goods. More specifically, Germany, the Netherlands and Poland absorb 53% of the EU’s imports from Kosovo while Germany, Slovenia, Italy and Croatia are responsible for 54% of the EU’s exports to Kosovo. The main imported products from Kosovo are plastics, rubber and articles thereof; vegetable products and mineral products. The EU mainly exports machinery and appliances; foodstuffs, beverages, tobacco and transport equipment. The overall trade balance is overwhelmingly in favour of the EU, and further increasing from €0.8 billion in 2016 to €0.9 billion in 2018.</w:t>
      </w:r>
    </w:p>
    <w:p>
      <w:pPr>
        <w:pStyle w:val="Heading2"/>
        <w:ind w:left="0" w:firstLine="0"/>
      </w:pPr>
      <w:bookmarkStart w:id="3110" w:name="_Toc8833714"/>
      <w:bookmarkStart w:id="3111" w:name="_Toc8835541"/>
      <w:bookmarkStart w:id="3112" w:name="_Toc8834171"/>
      <w:bookmarkStart w:id="3113" w:name="_Toc8909634"/>
      <w:bookmarkStart w:id="3114" w:name="_Toc8910846"/>
      <w:bookmarkStart w:id="3115" w:name="_Toc8911883"/>
      <w:bookmarkStart w:id="3116" w:name="_Toc8974704"/>
      <w:bookmarkStart w:id="3117" w:name="_Toc9008357"/>
      <w:bookmarkStart w:id="3118" w:name="_Toc9008760"/>
      <w:bookmarkStart w:id="3119" w:name="_Toc9348756"/>
      <w:bookmarkStart w:id="3120" w:name="_Toc9608207"/>
      <w:bookmarkStart w:id="3121" w:name="_Toc16000771"/>
      <w:r>
        <w:t>2.2 Trade in agricultural goods</w:t>
      </w:r>
      <w:bookmarkEnd w:id="3110"/>
      <w:bookmarkEnd w:id="3111"/>
      <w:bookmarkEnd w:id="3112"/>
      <w:bookmarkEnd w:id="3113"/>
      <w:bookmarkEnd w:id="3114"/>
      <w:bookmarkEnd w:id="3115"/>
      <w:bookmarkEnd w:id="3116"/>
      <w:bookmarkEnd w:id="3117"/>
      <w:bookmarkEnd w:id="3118"/>
      <w:bookmarkEnd w:id="3119"/>
      <w:bookmarkEnd w:id="3120"/>
      <w:bookmarkEnd w:id="3121"/>
    </w:p>
    <w:p>
      <w:pPr>
        <w:jc w:val="both"/>
        <w:rPr>
          <w:noProof/>
          <w:lang w:eastAsia="en-GB"/>
        </w:rPr>
      </w:pPr>
      <w:r>
        <w:rPr>
          <w:noProof/>
          <w:lang w:eastAsia="en-GB"/>
        </w:rPr>
        <w:t>In 2018, 25% of all EU’s imports from Kosovo were agricultural products versus 24% of all EU’s exports to Kosovo. While the EU exports increased by 9%, imports from Kosovo remained unchanged from the previous year. Fruits and non-edible products such as raw hides, skins and fur-skins were the EU’s key import products from Kosovo, on the other hand the EU exported primarily meat and meat preparations, dairy products, cigarettes and beverages.</w:t>
      </w:r>
    </w:p>
    <w:p>
      <w:pPr>
        <w:jc w:val="both"/>
        <w:rPr>
          <w:noProof/>
          <w:lang w:eastAsia="en-GB"/>
        </w:rPr>
      </w:pPr>
    </w:p>
    <w:p>
      <w:pPr>
        <w:jc w:val="both"/>
        <w:rPr>
          <w:noProof/>
          <w:lang w:eastAsia="en-GB"/>
        </w:rPr>
      </w:pPr>
      <w:r>
        <w:rPr>
          <w:noProof/>
          <w:lang w:eastAsia="en-GB"/>
        </w:rPr>
        <w:t>The EU grants two tariff rate quotas (TRQs) to Kosovo (wine and beef) which in the case of beef was not used by Kosovo's exporters as the country is not yet authorised to export beef to the EU for SPS reasons; while in the wine quota was taken up by 57% for still wine but almost unused for sparkling wine.</w:t>
      </w:r>
    </w:p>
    <w:p>
      <w:pPr>
        <w:pStyle w:val="Heading2"/>
        <w:ind w:left="0" w:firstLine="0"/>
      </w:pPr>
      <w:bookmarkStart w:id="3122" w:name="_Toc8833716"/>
      <w:bookmarkStart w:id="3123" w:name="_Toc8835543"/>
      <w:bookmarkStart w:id="3124" w:name="_Toc8834173"/>
      <w:bookmarkStart w:id="3125" w:name="_Toc8909636"/>
      <w:bookmarkStart w:id="3126" w:name="_Toc8910848"/>
      <w:bookmarkStart w:id="3127" w:name="_Toc8911885"/>
      <w:bookmarkStart w:id="3128" w:name="_Toc8974706"/>
      <w:bookmarkStart w:id="3129" w:name="_Toc9008359"/>
      <w:bookmarkStart w:id="3130" w:name="_Toc9008762"/>
      <w:bookmarkStart w:id="3131" w:name="_Toc9348758"/>
      <w:bookmarkStart w:id="3132" w:name="_Toc9608209"/>
      <w:bookmarkStart w:id="3133" w:name="_Toc16000772"/>
      <w:r>
        <w:t>2.4 Trade in Services and Foreign Direct investment (FDIs)</w:t>
      </w:r>
      <w:bookmarkEnd w:id="3122"/>
      <w:bookmarkEnd w:id="3123"/>
      <w:bookmarkEnd w:id="3124"/>
      <w:bookmarkEnd w:id="3125"/>
      <w:bookmarkEnd w:id="3126"/>
      <w:bookmarkEnd w:id="3127"/>
      <w:bookmarkEnd w:id="3128"/>
      <w:bookmarkEnd w:id="3129"/>
      <w:bookmarkEnd w:id="3130"/>
      <w:bookmarkEnd w:id="3131"/>
      <w:bookmarkEnd w:id="3132"/>
      <w:bookmarkEnd w:id="3133"/>
    </w:p>
    <w:p>
      <w:pPr>
        <w:jc w:val="both"/>
        <w:rPr>
          <w:noProof/>
          <w:lang w:eastAsia="en-GB"/>
        </w:rPr>
      </w:pPr>
      <w:r>
        <w:rPr>
          <w:noProof/>
          <w:lang w:eastAsia="en-GB"/>
        </w:rPr>
        <w:t>The service sector continues to dominate the economy in terms of GDP and it is the fastest growing export sector for Kosovo. Export of services are dominated by travel services to diaspora, but the role of IT and other business services increased, reaching almost 10% of total service exports in 2018.</w:t>
      </w:r>
    </w:p>
    <w:p>
      <w:pPr>
        <w:jc w:val="both"/>
        <w:rPr>
          <w:noProof/>
          <w:lang w:eastAsia="en-GB"/>
        </w:rPr>
      </w:pPr>
    </w:p>
    <w:p>
      <w:pPr>
        <w:jc w:val="both"/>
        <w:rPr>
          <w:noProof/>
          <w:lang w:eastAsia="en-GB"/>
        </w:rPr>
      </w:pPr>
      <w:r>
        <w:rPr>
          <w:noProof/>
          <w:lang w:eastAsia="en-GB"/>
        </w:rPr>
        <w:t>The EU remains the main investor in Kosovo. The EU share stood at 36% of net FDI stock in the third quarter of 2018. Germany, which has a large Kosovar diaspora - accounted for 11% of the total. In terms of FDI flows, the share of the EU was at 47% of the total inflow in 2018, followed by 30% from Switzerland.</w:t>
      </w:r>
    </w:p>
    <w:p>
      <w:pPr>
        <w:pStyle w:val="ManualHeading1"/>
      </w:pPr>
      <w:bookmarkStart w:id="3134" w:name="_Toc8833717"/>
      <w:bookmarkStart w:id="3135" w:name="_Toc8835544"/>
      <w:bookmarkStart w:id="3136" w:name="_Toc8834174"/>
      <w:bookmarkStart w:id="3137" w:name="_Toc8909637"/>
      <w:bookmarkStart w:id="3138" w:name="_Toc8910849"/>
      <w:bookmarkStart w:id="3139" w:name="_Toc8911886"/>
      <w:bookmarkStart w:id="3140" w:name="_Toc8974707"/>
      <w:bookmarkStart w:id="3141" w:name="_Toc9008360"/>
      <w:bookmarkStart w:id="3142" w:name="_Toc9008763"/>
      <w:bookmarkStart w:id="3143" w:name="_Toc9348759"/>
      <w:bookmarkStart w:id="3144" w:name="_Toc9608210"/>
      <w:bookmarkStart w:id="3145" w:name="_Toc16000773"/>
      <w:r>
        <w:t>3.</w:t>
      </w:r>
      <w:r>
        <w:tab/>
        <w:t>Issues addressed in the annual Committee meetings</w:t>
      </w:r>
      <w:bookmarkEnd w:id="3134"/>
      <w:bookmarkEnd w:id="3135"/>
      <w:bookmarkEnd w:id="3136"/>
      <w:bookmarkEnd w:id="3137"/>
      <w:bookmarkEnd w:id="3138"/>
      <w:bookmarkEnd w:id="3139"/>
      <w:bookmarkEnd w:id="3140"/>
      <w:bookmarkEnd w:id="3141"/>
      <w:bookmarkEnd w:id="3142"/>
      <w:bookmarkEnd w:id="3143"/>
      <w:bookmarkEnd w:id="3144"/>
      <w:bookmarkEnd w:id="3145"/>
    </w:p>
    <w:p>
      <w:pPr>
        <w:jc w:val="both"/>
        <w:rPr>
          <w:noProof/>
        </w:rPr>
      </w:pPr>
      <w:r>
        <w:rPr>
          <w:noProof/>
        </w:rPr>
        <w:t xml:space="preserve">Commercial issues are discussed on an annual basis in the context of the Sub-committee on Trade, Industry, Customs and Taxation. The last meeting took place on 14 June 2018, during which trading trends were discussed as well specific issues such as the need for Kosovo to adopt legislation taking into account losses during the transportation of goods, in particular related to the evaporation of petroleum.  </w:t>
      </w:r>
    </w:p>
    <w:p>
      <w:pPr>
        <w:pStyle w:val="ManualHeading1"/>
      </w:pPr>
      <w:bookmarkStart w:id="3146" w:name="_Toc8833718"/>
      <w:bookmarkStart w:id="3147" w:name="_Toc8835545"/>
      <w:bookmarkStart w:id="3148" w:name="_Toc8834175"/>
      <w:bookmarkStart w:id="3149" w:name="_Toc8909638"/>
      <w:bookmarkStart w:id="3150" w:name="_Toc8910850"/>
      <w:bookmarkStart w:id="3151" w:name="_Toc8911887"/>
      <w:bookmarkStart w:id="3152" w:name="_Toc8974708"/>
      <w:bookmarkStart w:id="3153" w:name="_Toc9008361"/>
      <w:bookmarkStart w:id="3154" w:name="_Toc9008764"/>
      <w:bookmarkStart w:id="3155" w:name="_Toc9348760"/>
      <w:bookmarkStart w:id="3156" w:name="_Toc9608211"/>
      <w:bookmarkStart w:id="3157" w:name="_Toc16000774"/>
      <w:r>
        <w:t>4.</w:t>
      </w:r>
      <w:r>
        <w:tab/>
        <w:t>Specific areas of importance</w:t>
      </w:r>
      <w:bookmarkEnd w:id="3146"/>
      <w:bookmarkEnd w:id="3147"/>
      <w:bookmarkEnd w:id="3148"/>
      <w:bookmarkEnd w:id="3149"/>
      <w:bookmarkEnd w:id="3150"/>
      <w:bookmarkEnd w:id="3151"/>
      <w:bookmarkEnd w:id="3152"/>
      <w:bookmarkEnd w:id="3153"/>
      <w:bookmarkEnd w:id="3154"/>
      <w:bookmarkEnd w:id="3155"/>
      <w:bookmarkEnd w:id="3156"/>
      <w:bookmarkEnd w:id="3157"/>
    </w:p>
    <w:p>
      <w:pPr>
        <w:jc w:val="both"/>
        <w:rPr>
          <w:noProof/>
        </w:rPr>
      </w:pPr>
      <w:r>
        <w:rPr>
          <w:noProof/>
        </w:rPr>
        <w:t>The business environment is struggling with a weak rule of law and corruption, a lack of transparency of public procurement procedures, slow and inconsistent contract enforcement, and a widespread informal economy.</w:t>
      </w:r>
    </w:p>
    <w:p>
      <w:pPr>
        <w:pStyle w:val="ManualHeading1"/>
      </w:pPr>
      <w:bookmarkStart w:id="3158" w:name="_Toc8833719"/>
      <w:bookmarkStart w:id="3159" w:name="_Toc8835546"/>
      <w:bookmarkStart w:id="3160" w:name="_Toc8834176"/>
      <w:bookmarkStart w:id="3161" w:name="_Toc8909639"/>
      <w:bookmarkStart w:id="3162" w:name="_Toc8910851"/>
      <w:bookmarkStart w:id="3163" w:name="_Toc8911888"/>
      <w:bookmarkStart w:id="3164" w:name="_Toc8974709"/>
      <w:bookmarkStart w:id="3165" w:name="_Toc9008362"/>
      <w:bookmarkStart w:id="3166" w:name="_Toc9008765"/>
      <w:bookmarkStart w:id="3167" w:name="_Toc9348761"/>
      <w:bookmarkStart w:id="3168" w:name="_Toc9608212"/>
      <w:bookmarkStart w:id="3169" w:name="_Toc16000775"/>
      <w:r>
        <w:t>5.</w:t>
      </w:r>
      <w:r>
        <w:tab/>
        <w:t>Main open issues and follow-up actions</w:t>
      </w:r>
      <w:bookmarkEnd w:id="3158"/>
      <w:bookmarkEnd w:id="3159"/>
      <w:bookmarkEnd w:id="3160"/>
      <w:bookmarkEnd w:id="3161"/>
      <w:bookmarkEnd w:id="3162"/>
      <w:bookmarkEnd w:id="3163"/>
      <w:bookmarkEnd w:id="3164"/>
      <w:bookmarkEnd w:id="3165"/>
      <w:bookmarkEnd w:id="3166"/>
      <w:bookmarkEnd w:id="3167"/>
      <w:bookmarkEnd w:id="3168"/>
      <w:bookmarkEnd w:id="3169"/>
    </w:p>
    <w:p>
      <w:pPr>
        <w:jc w:val="both"/>
        <w:rPr>
          <w:noProof/>
        </w:rPr>
      </w:pPr>
      <w:r>
        <w:rPr>
          <w:noProof/>
        </w:rPr>
        <w:t xml:space="preserve">The 21 November 2018 decision by Kosovo to impose </w:t>
      </w:r>
      <w:r>
        <w:rPr>
          <w:b/>
          <w:bCs/>
          <w:noProof/>
        </w:rPr>
        <w:t xml:space="preserve">100% import tariffs </w:t>
      </w:r>
      <w:r>
        <w:rPr>
          <w:noProof/>
        </w:rPr>
        <w:t xml:space="preserve">for goods originating in Serbia and Bosnia and Herzegovina is indirectly affecting EU businesses established in these two countries and trading with Kosovo. These tariffs are in violation of the Central European Free Trade Agreement (CEFTA) and of the spirit of the Stabilisation and Association Agreement between the European Union and Kosovo. The EU has been calling on Kosovo to urgently lift these measures, while also proposing its support to mediate in the resolution of the regional trade issues.  </w:t>
      </w:r>
    </w:p>
    <w:p>
      <w:pPr>
        <w:jc w:val="both"/>
        <w:rPr>
          <w:noProof/>
        </w:rPr>
      </w:pPr>
      <w:r>
        <w:rPr>
          <w:noProof/>
        </w:rPr>
        <w:t xml:space="preserve">On 9 October 2018, Kosovo government adopted a decision, which introduced a </w:t>
      </w:r>
      <w:r>
        <w:rPr>
          <w:b/>
          <w:bCs/>
          <w:noProof/>
        </w:rPr>
        <w:t>double excise tax regime for cigarettes</w:t>
      </w:r>
      <w:r>
        <w:rPr>
          <w:noProof/>
        </w:rPr>
        <w:t>, differentiating between domestically produced and imported products. This new excise regime is in clear violation of Article 39 of the SAA prohibiting fiscal discrimination and is being addressed in the different SAA subcommittee structures with a call on Kosovo to bring the legislation in line with the SAA.</w:t>
      </w:r>
    </w:p>
    <w:p>
      <w:pPr>
        <w:jc w:val="both"/>
        <w:rPr>
          <w:noProof/>
        </w:rPr>
      </w:pPr>
    </w:p>
    <w:p>
      <w:pPr>
        <w:jc w:val="both"/>
        <w:rPr>
          <w:noProof/>
        </w:rPr>
      </w:pPr>
      <w:r>
        <w:rPr>
          <w:rFonts w:eastAsia="Times New Roman"/>
          <w:noProof/>
        </w:rPr>
        <w:t xml:space="preserve">Enforcement of competition </w:t>
      </w:r>
      <w:r>
        <w:rPr>
          <w:rFonts w:eastAsia="Times New Roman"/>
          <w:noProof/>
          <w:szCs w:val="20"/>
          <w:lang w:eastAsia="en-GB"/>
        </w:rPr>
        <w:t>rules also needs to be enhanced, and significant efforts are needed with regards to adoption of legislation and enforcement in the field of state aid control.</w:t>
      </w:r>
    </w:p>
    <w:p>
      <w:pPr>
        <w:jc w:val="both"/>
        <w:rPr>
          <w:noProof/>
        </w:rPr>
      </w:pPr>
    </w:p>
    <w:p>
      <w:pPr>
        <w:jc w:val="both"/>
        <w:rPr>
          <w:noProof/>
        </w:rPr>
      </w:pPr>
      <w:r>
        <w:rPr>
          <w:noProof/>
        </w:rPr>
        <w:t xml:space="preserve">Finally, the high administrative costs linked to procedural, quality, logistical and </w:t>
      </w:r>
      <w:r>
        <w:rPr>
          <w:b/>
          <w:bCs/>
          <w:noProof/>
        </w:rPr>
        <w:t>border barriers</w:t>
      </w:r>
      <w:r>
        <w:rPr>
          <w:noProof/>
        </w:rPr>
        <w:t xml:space="preserve"> are affecting EU businesses doing business in Kosovo and are closely monitored and followed up through the SAA multidisciplinary subcommittee structures.</w:t>
      </w:r>
    </w:p>
    <w:p>
      <w:pPr>
        <w:pStyle w:val="ManualHeading1"/>
      </w:pPr>
      <w:bookmarkStart w:id="3170" w:name="_Toc8833720"/>
      <w:bookmarkStart w:id="3171" w:name="_Toc8835547"/>
      <w:bookmarkStart w:id="3172" w:name="_Toc8834177"/>
      <w:bookmarkStart w:id="3173" w:name="_Toc8909640"/>
      <w:bookmarkStart w:id="3174" w:name="_Toc8910852"/>
      <w:bookmarkStart w:id="3175" w:name="_Toc8911889"/>
      <w:bookmarkStart w:id="3176" w:name="_Toc8974710"/>
      <w:bookmarkStart w:id="3177" w:name="_Toc9008363"/>
      <w:bookmarkStart w:id="3178" w:name="_Toc9008766"/>
      <w:bookmarkStart w:id="3179" w:name="_Toc9348762"/>
      <w:bookmarkStart w:id="3180" w:name="_Toc9608213"/>
      <w:bookmarkStart w:id="3181" w:name="_Toc16000776"/>
      <w:r>
        <w:t>6.</w:t>
      </w:r>
      <w:r>
        <w:tab/>
        <w:t>Conclusions</w:t>
      </w:r>
      <w:bookmarkEnd w:id="3170"/>
      <w:bookmarkEnd w:id="3171"/>
      <w:bookmarkEnd w:id="3172"/>
      <w:bookmarkEnd w:id="3173"/>
      <w:bookmarkEnd w:id="3174"/>
      <w:bookmarkEnd w:id="3175"/>
      <w:bookmarkEnd w:id="3176"/>
      <w:bookmarkEnd w:id="3177"/>
      <w:bookmarkEnd w:id="3178"/>
      <w:bookmarkEnd w:id="3179"/>
      <w:bookmarkEnd w:id="3180"/>
      <w:bookmarkEnd w:id="3181"/>
    </w:p>
    <w:p>
      <w:pPr>
        <w:jc w:val="both"/>
        <w:rPr>
          <w:noProof/>
        </w:rPr>
      </w:pPr>
      <w:r>
        <w:rPr>
          <w:noProof/>
        </w:rPr>
        <w:t>Even though Kosovo is yet to reap the full benefits of its trade liberalisation with the EU, the EU remains its main trading partner, accounting for 30% of total exports and 43% of total imports of goods. Kosovo’s business environment is hampered by the large informal economy which results in unfair competition from unregistered companies. However, it is expected that the renewed momentum of the European integration process will give further impetus to major reforms and consequently have a positive impact on the investment and business climate in the coming period. Similarly, the development of a Regional Economic Area based on EU rules and standards, to which all Western Balkan economies have committed, has the potential to generate untapped growth. Despite the 100% tariffs imposed by Kosovo, which have recently undermined regional cooperation efforts, a big milestone was reached on 4 April 2019 when Ministers of Telecommunications from the Western Balkans signed a Regional Roaming Agreement. This Agreement envisages a roaming-free region across the Western Balkans in 2021, also paving the way for further reductions of the roaming costs between the Western Balkans economies and the European Union.</w:t>
      </w:r>
    </w:p>
    <w:p>
      <w:pPr>
        <w:pStyle w:val="ManualHeading1"/>
      </w:pPr>
      <w:bookmarkStart w:id="3182" w:name="_Toc8833721"/>
      <w:bookmarkStart w:id="3183" w:name="_Toc8835548"/>
      <w:bookmarkStart w:id="3184" w:name="_Toc8834178"/>
      <w:bookmarkStart w:id="3185" w:name="_Toc8909641"/>
      <w:bookmarkStart w:id="3186" w:name="_Toc8910853"/>
      <w:bookmarkStart w:id="3187" w:name="_Toc8911890"/>
      <w:bookmarkStart w:id="3188" w:name="_Toc8974711"/>
      <w:bookmarkStart w:id="3189" w:name="_Toc9008364"/>
      <w:bookmarkStart w:id="3190" w:name="_Toc9008767"/>
      <w:bookmarkStart w:id="3191" w:name="_Toc9348763"/>
      <w:bookmarkStart w:id="3192" w:name="_Toc9608214"/>
      <w:bookmarkStart w:id="3193" w:name="_Toc16000777"/>
      <w:r>
        <w:t>7.</w:t>
      </w:r>
      <w:r>
        <w:tab/>
        <w:t>Statistics</w:t>
      </w:r>
      <w:bookmarkEnd w:id="3182"/>
      <w:bookmarkEnd w:id="3183"/>
      <w:bookmarkEnd w:id="3184"/>
      <w:bookmarkEnd w:id="3185"/>
      <w:bookmarkEnd w:id="3186"/>
      <w:bookmarkEnd w:id="3187"/>
      <w:bookmarkEnd w:id="3188"/>
      <w:bookmarkEnd w:id="3189"/>
      <w:bookmarkEnd w:id="3190"/>
      <w:bookmarkEnd w:id="3191"/>
      <w:bookmarkEnd w:id="3192"/>
      <w:bookmarkEnd w:id="3193"/>
    </w:p>
    <w:tbl>
      <w:tblPr>
        <w:tblW w:w="7962" w:type="dxa"/>
        <w:tblInd w:w="108" w:type="dxa"/>
        <w:tblLook w:val="04A0" w:firstRow="1" w:lastRow="0" w:firstColumn="1" w:lastColumn="0" w:noHBand="0" w:noVBand="1"/>
      </w:tblPr>
      <w:tblGrid>
        <w:gridCol w:w="3602"/>
        <w:gridCol w:w="856"/>
        <w:gridCol w:w="856"/>
        <w:gridCol w:w="936"/>
        <w:gridCol w:w="856"/>
        <w:gridCol w:w="856"/>
      </w:tblGrid>
      <w:tr>
        <w:trPr>
          <w:trHeight w:val="210"/>
        </w:trPr>
        <w:tc>
          <w:tcPr>
            <w:tcW w:w="3602"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93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10"/>
        </w:trPr>
        <w:tc>
          <w:tcPr>
            <w:tcW w:w="7962"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Merchandise trade EU28 2014-2018</w:t>
            </w:r>
          </w:p>
        </w:tc>
      </w:tr>
      <w:tr>
        <w:trPr>
          <w:trHeight w:val="210"/>
        </w:trPr>
        <w:tc>
          <w:tcPr>
            <w:tcW w:w="3602" w:type="dxa"/>
            <w:tcBorders>
              <w:top w:val="single" w:sz="4" w:space="0" w:color="auto"/>
              <w:left w:val="nil"/>
              <w:bottom w:val="single" w:sz="4" w:space="0" w:color="auto"/>
              <w:right w:val="nil"/>
            </w:tcBorders>
            <w:shd w:val="clear" w:color="000000" w:fill="FFFFFF"/>
            <w:noWrap/>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 </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93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r>
      <w:tr>
        <w:trPr>
          <w:trHeight w:val="210"/>
        </w:trPr>
        <w:tc>
          <w:tcPr>
            <w:tcW w:w="3602" w:type="dxa"/>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EU28 trade with Kosovo (mio €)</w:t>
            </w:r>
          </w:p>
        </w:tc>
        <w:tc>
          <w:tcPr>
            <w:tcW w:w="856"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n-IE" w:eastAsia="en-IE"/>
              </w:rPr>
            </w:pP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93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r>
      <w:tr>
        <w:trPr>
          <w:trHeight w:val="210"/>
        </w:trPr>
        <w:tc>
          <w:tcPr>
            <w:tcW w:w="360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104</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101</w:t>
            </w:r>
          </w:p>
        </w:tc>
      </w:tr>
      <w:tr>
        <w:trPr>
          <w:trHeight w:val="210"/>
        </w:trPr>
        <w:tc>
          <w:tcPr>
            <w:tcW w:w="360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728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764</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854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906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1.044</w:t>
            </w:r>
          </w:p>
        </w:tc>
      </w:tr>
      <w:tr>
        <w:trPr>
          <w:trHeight w:val="210"/>
        </w:trPr>
        <w:tc>
          <w:tcPr>
            <w:tcW w:w="360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632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660</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782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818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944</w:t>
            </w:r>
          </w:p>
        </w:tc>
      </w:tr>
      <w:tr>
        <w:trPr>
          <w:trHeight w:val="210"/>
        </w:trPr>
        <w:tc>
          <w:tcPr>
            <w:tcW w:w="3602" w:type="dxa"/>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Share Kosovo in EU28 trade with Extra-EU28</w:t>
            </w:r>
          </w:p>
        </w:tc>
        <w:tc>
          <w:tcPr>
            <w:tcW w:w="856"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n-IE" w:eastAsia="en-IE"/>
              </w:rPr>
            </w:pP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93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r>
      <w:tr>
        <w:trPr>
          <w:trHeight w:val="210"/>
        </w:trPr>
        <w:tc>
          <w:tcPr>
            <w:tcW w:w="360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r>
      <w:tr>
        <w:trPr>
          <w:trHeight w:val="210"/>
        </w:trPr>
        <w:tc>
          <w:tcPr>
            <w:tcW w:w="360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r>
      <w:tr>
        <w:trPr>
          <w:trHeight w:val="210"/>
        </w:trPr>
        <w:tc>
          <w:tcPr>
            <w:tcW w:w="360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r>
      <w:tr>
        <w:trPr>
          <w:trHeight w:val="210"/>
        </w:trPr>
        <w:tc>
          <w:tcPr>
            <w:tcW w:w="7962"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Share EU28 in trade Kosovo with world</w:t>
            </w:r>
          </w:p>
        </w:tc>
      </w:tr>
      <w:tr>
        <w:trPr>
          <w:trHeight w:val="210"/>
        </w:trPr>
        <w:tc>
          <w:tcPr>
            <w:tcW w:w="360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43,4%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43,5%</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43,1%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43,1%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43,0%</w:t>
            </w:r>
          </w:p>
        </w:tc>
      </w:tr>
      <w:tr>
        <w:trPr>
          <w:trHeight w:val="210"/>
        </w:trPr>
        <w:tc>
          <w:tcPr>
            <w:tcW w:w="360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24,8%</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30,6%</w:t>
            </w:r>
          </w:p>
        </w:tc>
      </w:tr>
      <w:tr>
        <w:trPr>
          <w:trHeight w:val="210"/>
        </w:trPr>
        <w:tc>
          <w:tcPr>
            <w:tcW w:w="360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41,3%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41,4%</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41,0%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41,1%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41,8%</w:t>
            </w:r>
          </w:p>
        </w:tc>
      </w:tr>
      <w:tr>
        <w:trPr>
          <w:trHeight w:val="225"/>
        </w:trPr>
        <w:tc>
          <w:tcPr>
            <w:tcW w:w="5314" w:type="dxa"/>
            <w:gridSpan w:val="3"/>
            <w:tcBorders>
              <w:top w:val="single" w:sz="4" w:space="0" w:color="auto"/>
              <w:left w:val="nil"/>
              <w:bottom w:val="nil"/>
              <w:right w:val="nil"/>
            </w:tcBorders>
            <w:shd w:val="clear" w:color="000000" w:fill="FFFFFF"/>
            <w:noWrap/>
            <w:vAlign w:val="bottom"/>
            <w:hideMark/>
          </w:tcPr>
          <w:p>
            <w:pPr>
              <w:rPr>
                <w:rFonts w:eastAsia="Times New Roman"/>
                <w:noProof/>
                <w:sz w:val="12"/>
                <w:szCs w:val="12"/>
                <w:lang w:val="en-IE" w:eastAsia="en-IE"/>
              </w:rPr>
            </w:pPr>
            <w:r>
              <w:rPr>
                <w:rFonts w:eastAsia="Times New Roman"/>
                <w:noProof/>
                <w:sz w:val="12"/>
                <w:szCs w:val="12"/>
                <w:lang w:val="en-IE" w:eastAsia="en-IE"/>
              </w:rPr>
              <w:t xml:space="preserve">Source Trade G2 Statistics/ISDB </w:t>
            </w:r>
          </w:p>
        </w:tc>
        <w:tc>
          <w:tcPr>
            <w:tcW w:w="936"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single" w:sz="4" w:space="0" w:color="auto"/>
              <w:left w:val="nil"/>
              <w:bottom w:val="nil"/>
              <w:right w:val="nil"/>
            </w:tcBorders>
            <w:shd w:val="clear" w:color="000000" w:fill="FFFFFF"/>
            <w:noWrap/>
            <w:hideMark/>
          </w:tcPr>
          <w:p>
            <w:pPr>
              <w:jc w:val="right"/>
              <w:rPr>
                <w:rFonts w:eastAsia="Times New Roman"/>
                <w:noProof/>
                <w:sz w:val="12"/>
                <w:szCs w:val="12"/>
                <w:lang w:val="en-IE" w:eastAsia="en-IE"/>
              </w:rPr>
            </w:pPr>
            <w:r>
              <w:rPr>
                <w:rFonts w:eastAsia="Times New Roman"/>
                <w:noProof/>
                <w:sz w:val="12"/>
                <w:szCs w:val="12"/>
                <w:lang w:val="en-IE" w:eastAsia="en-IE"/>
              </w:rPr>
              <w:t>25-mars-19</w:t>
            </w:r>
          </w:p>
        </w:tc>
      </w:tr>
      <w:tr>
        <w:trPr>
          <w:trHeight w:val="210"/>
        </w:trPr>
        <w:tc>
          <w:tcPr>
            <w:tcW w:w="6250" w:type="dxa"/>
            <w:gridSpan w:val="4"/>
            <w:tcBorders>
              <w:top w:val="nil"/>
              <w:left w:val="nil"/>
              <w:bottom w:val="nil"/>
              <w:right w:val="nil"/>
            </w:tcBorders>
            <w:shd w:val="clear" w:color="000000" w:fill="FFFFFF"/>
            <w:noWrap/>
            <w:hideMark/>
          </w:tcPr>
          <w:p>
            <w:pPr>
              <w:rPr>
                <w:rFonts w:eastAsia="Times New Roman"/>
                <w:noProof/>
                <w:color w:val="000000"/>
                <w:sz w:val="12"/>
                <w:szCs w:val="12"/>
                <w:lang w:val="en-IE" w:eastAsia="en-IE"/>
              </w:rPr>
            </w:pPr>
            <w:r>
              <w:rPr>
                <w:rFonts w:eastAsia="Times New Roman"/>
                <w:noProof/>
                <w:color w:val="000000"/>
                <w:sz w:val="12"/>
                <w:szCs w:val="12"/>
                <w:lang w:val="en-IE" w:eastAsia="en-IE"/>
              </w:rPr>
              <w:t>Trade EU28: Eurostat COMEXT;  Trade Kosovo: IMF Dots</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10"/>
        </w:trPr>
        <w:tc>
          <w:tcPr>
            <w:tcW w:w="3602"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93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25"/>
        </w:trPr>
        <w:tc>
          <w:tcPr>
            <w:tcW w:w="7962"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Total merchandise trade EU28 with Kosovo (mio €)</w:t>
            </w:r>
          </w:p>
        </w:tc>
      </w:tr>
      <w:tr>
        <w:trPr>
          <w:trHeight w:val="225"/>
        </w:trPr>
        <w:tc>
          <w:tcPr>
            <w:tcW w:w="4458"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Kosovo</w:t>
            </w:r>
          </w:p>
        </w:tc>
        <w:tc>
          <w:tcPr>
            <w:tcW w:w="85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93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71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458"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93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60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89</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13,0%</w:t>
            </w:r>
          </w:p>
        </w:tc>
      </w:tr>
      <w:tr>
        <w:trPr>
          <w:trHeight w:val="225"/>
        </w:trPr>
        <w:tc>
          <w:tcPr>
            <w:tcW w:w="360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906</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1.044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15,2%</w:t>
            </w:r>
          </w:p>
        </w:tc>
      </w:tr>
      <w:tr>
        <w:trPr>
          <w:trHeight w:val="225"/>
        </w:trPr>
        <w:tc>
          <w:tcPr>
            <w:tcW w:w="360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818</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944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126</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602"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995</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1.145</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149</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15,0%</w:t>
            </w:r>
          </w:p>
        </w:tc>
      </w:tr>
      <w:tr>
        <w:trPr>
          <w:trHeight w:val="240"/>
        </w:trPr>
        <w:tc>
          <w:tcPr>
            <w:tcW w:w="6250"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7962"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Agrifood trade EU28 with Kosovo (mio €)</w:t>
            </w:r>
          </w:p>
        </w:tc>
      </w:tr>
      <w:tr>
        <w:trPr>
          <w:trHeight w:val="255"/>
        </w:trPr>
        <w:tc>
          <w:tcPr>
            <w:tcW w:w="4458"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Kosovo</w:t>
            </w:r>
          </w:p>
        </w:tc>
        <w:tc>
          <w:tcPr>
            <w:tcW w:w="85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93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71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458"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93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60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-0,8%</w:t>
            </w:r>
          </w:p>
        </w:tc>
      </w:tr>
      <w:tr>
        <w:trPr>
          <w:trHeight w:val="225"/>
        </w:trPr>
        <w:tc>
          <w:tcPr>
            <w:tcW w:w="360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233</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9,2%</w:t>
            </w:r>
          </w:p>
        </w:tc>
      </w:tr>
      <w:tr>
        <w:trPr>
          <w:trHeight w:val="225"/>
        </w:trPr>
        <w:tc>
          <w:tcPr>
            <w:tcW w:w="360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207</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602"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258</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279</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8,2%</w:t>
            </w:r>
          </w:p>
        </w:tc>
      </w:tr>
      <w:tr>
        <w:trPr>
          <w:trHeight w:val="240"/>
        </w:trPr>
        <w:tc>
          <w:tcPr>
            <w:tcW w:w="6250"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7962"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it-IT" w:eastAsia="en-IE"/>
              </w:rPr>
            </w:pPr>
            <w:r>
              <w:rPr>
                <w:rFonts w:eastAsia="Times New Roman"/>
                <w:b/>
                <w:bCs/>
                <w:noProof/>
                <w:sz w:val="16"/>
                <w:szCs w:val="16"/>
                <w:lang w:val="it-IT" w:eastAsia="en-IE"/>
              </w:rPr>
              <w:t>NAMA trade EU28 with Kosovo (mio €)</w:t>
            </w:r>
          </w:p>
        </w:tc>
      </w:tr>
      <w:tr>
        <w:trPr>
          <w:trHeight w:val="225"/>
        </w:trPr>
        <w:tc>
          <w:tcPr>
            <w:tcW w:w="4458"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Kosovo</w:t>
            </w:r>
          </w:p>
        </w:tc>
        <w:tc>
          <w:tcPr>
            <w:tcW w:w="85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93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71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458"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93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4458"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63</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18,6%</w:t>
            </w:r>
          </w:p>
        </w:tc>
      </w:tr>
      <w:tr>
        <w:trPr>
          <w:trHeight w:val="225"/>
        </w:trPr>
        <w:tc>
          <w:tcPr>
            <w:tcW w:w="4458"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674</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790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17,3%</w:t>
            </w:r>
          </w:p>
        </w:tc>
      </w:tr>
      <w:tr>
        <w:trPr>
          <w:trHeight w:val="225"/>
        </w:trPr>
        <w:tc>
          <w:tcPr>
            <w:tcW w:w="360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610</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715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104</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60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737</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865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128</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17,4%</w:t>
            </w:r>
          </w:p>
        </w:tc>
      </w:tr>
      <w:tr>
        <w:trPr>
          <w:trHeight w:val="240"/>
        </w:trPr>
        <w:tc>
          <w:tcPr>
            <w:tcW w:w="6250"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856" w:type="dxa"/>
            <w:tcBorders>
              <w:top w:val="single" w:sz="4" w:space="0" w:color="auto"/>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6250" w:type="dxa"/>
            <w:gridSpan w:val="4"/>
            <w:tcBorders>
              <w:top w:val="nil"/>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Services trade EU28 with Kosovo (mio €)</w:t>
            </w:r>
          </w:p>
        </w:tc>
        <w:tc>
          <w:tcPr>
            <w:tcW w:w="856" w:type="dxa"/>
            <w:tcBorders>
              <w:top w:val="nil"/>
              <w:left w:val="nil"/>
              <w:bottom w:val="nil"/>
              <w:right w:val="nil"/>
            </w:tcBorders>
            <w:shd w:val="clear" w:color="000000" w:fill="FFFFFF"/>
            <w:noWrap/>
            <w:vAlign w:val="center"/>
            <w:hideMark/>
          </w:tcPr>
          <w:p>
            <w:pPr>
              <w:rPr>
                <w:rFonts w:eastAsia="Times New Roman"/>
                <w:b/>
                <w:bCs/>
                <w:noProof/>
                <w:sz w:val="16"/>
                <w:szCs w:val="16"/>
                <w:lang w:val="en-IE" w:eastAsia="en-IE"/>
              </w:rPr>
            </w:pPr>
            <w:r>
              <w:rPr>
                <w:rFonts w:eastAsia="Times New Roman"/>
                <w:b/>
                <w:bCs/>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bCs/>
                <w:noProof/>
                <w:sz w:val="16"/>
                <w:szCs w:val="16"/>
                <w:lang w:val="en-IE" w:eastAsia="en-IE"/>
              </w:rPr>
            </w:pPr>
            <w:r>
              <w:rPr>
                <w:rFonts w:eastAsia="Times New Roman"/>
                <w:b/>
                <w:bCs/>
                <w:noProof/>
                <w:sz w:val="16"/>
                <w:szCs w:val="16"/>
                <w:lang w:val="en-IE" w:eastAsia="en-IE"/>
              </w:rPr>
              <w:t> </w:t>
            </w:r>
          </w:p>
        </w:tc>
      </w:tr>
      <w:tr>
        <w:trPr>
          <w:trHeight w:val="225"/>
        </w:trPr>
        <w:tc>
          <w:tcPr>
            <w:tcW w:w="4458"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Kosovo</w:t>
            </w:r>
          </w:p>
        </w:tc>
        <w:tc>
          <w:tcPr>
            <w:tcW w:w="856"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936"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171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458"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936"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60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93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center"/>
              <w:rPr>
                <w:rFonts w:eastAsia="Times New Roman"/>
                <w:noProof/>
                <w:sz w:val="16"/>
                <w:szCs w:val="16"/>
                <w:lang w:val="en-IE" w:eastAsia="en-IE"/>
              </w:rPr>
            </w:pPr>
            <w:r>
              <w:rPr>
                <w:rFonts w:eastAsia="Times New Roman"/>
                <w:noProof/>
                <w:sz w:val="16"/>
                <w:szCs w:val="16"/>
                <w:lang w:val="en-IE" w:eastAsia="en-IE"/>
              </w:rPr>
              <w:t>#DIV/0!</w:t>
            </w:r>
          </w:p>
        </w:tc>
      </w:tr>
      <w:tr>
        <w:trPr>
          <w:trHeight w:val="225"/>
        </w:trPr>
        <w:tc>
          <w:tcPr>
            <w:tcW w:w="360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93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center"/>
              <w:rPr>
                <w:rFonts w:eastAsia="Times New Roman"/>
                <w:noProof/>
                <w:sz w:val="16"/>
                <w:szCs w:val="16"/>
                <w:lang w:val="en-IE" w:eastAsia="en-IE"/>
              </w:rPr>
            </w:pPr>
            <w:r>
              <w:rPr>
                <w:rFonts w:eastAsia="Times New Roman"/>
                <w:noProof/>
                <w:sz w:val="16"/>
                <w:szCs w:val="16"/>
                <w:lang w:val="en-IE" w:eastAsia="en-IE"/>
              </w:rPr>
              <w:t>#DIV/0!</w:t>
            </w:r>
          </w:p>
        </w:tc>
      </w:tr>
      <w:tr>
        <w:trPr>
          <w:trHeight w:val="225"/>
        </w:trPr>
        <w:tc>
          <w:tcPr>
            <w:tcW w:w="360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93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602"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93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noProof/>
                <w:sz w:val="16"/>
                <w:szCs w:val="16"/>
                <w:lang w:val="en-IE" w:eastAsia="en-IE"/>
              </w:rPr>
            </w:pPr>
            <w:r>
              <w:rPr>
                <w:rFonts w:eastAsia="Times New Roman"/>
                <w:noProof/>
                <w:sz w:val="16"/>
                <w:szCs w:val="16"/>
                <w:lang w:val="en-IE" w:eastAsia="en-IE"/>
              </w:rPr>
              <w:t>#DIV/0!</w:t>
            </w:r>
          </w:p>
        </w:tc>
      </w:tr>
      <w:tr>
        <w:trPr>
          <w:trHeight w:val="240"/>
        </w:trPr>
        <w:tc>
          <w:tcPr>
            <w:tcW w:w="7106" w:type="dxa"/>
            <w:gridSpan w:val="5"/>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40"/>
        </w:trPr>
        <w:tc>
          <w:tcPr>
            <w:tcW w:w="7962"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Services trade EU28 with Kosovo (mio €)</w:t>
            </w:r>
          </w:p>
        </w:tc>
      </w:tr>
      <w:tr>
        <w:trPr>
          <w:trHeight w:val="225"/>
        </w:trPr>
        <w:tc>
          <w:tcPr>
            <w:tcW w:w="3602"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93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360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93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60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93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60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93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602"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93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602"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856"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93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7962"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it-IT" w:eastAsia="en-IE"/>
              </w:rPr>
            </w:pPr>
            <w:r>
              <w:rPr>
                <w:rFonts w:eastAsia="Times New Roman"/>
                <w:b/>
                <w:bCs/>
                <w:noProof/>
                <w:sz w:val="16"/>
                <w:szCs w:val="16"/>
                <w:lang w:val="it-IT" w:eastAsia="en-IE"/>
              </w:rPr>
              <w:t>FDI EU28 with Kosovo (mio €)</w:t>
            </w:r>
          </w:p>
        </w:tc>
      </w:tr>
      <w:tr>
        <w:trPr>
          <w:trHeight w:val="225"/>
        </w:trPr>
        <w:tc>
          <w:tcPr>
            <w:tcW w:w="3602"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val="it-IT" w:eastAsia="en-IE"/>
              </w:rPr>
            </w:pPr>
            <w:r>
              <w:rPr>
                <w:rFonts w:eastAsia="Times New Roman"/>
                <w:noProof/>
                <w:sz w:val="16"/>
                <w:szCs w:val="16"/>
                <w:lang w:val="it-IT" w:eastAsia="en-IE"/>
              </w:rPr>
              <w:t> </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93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7962"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Stocks</w:t>
            </w:r>
          </w:p>
        </w:tc>
      </w:tr>
      <w:tr>
        <w:trPr>
          <w:trHeight w:val="225"/>
        </w:trPr>
        <w:tc>
          <w:tcPr>
            <w:tcW w:w="360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w:t>
            </w:r>
          </w:p>
        </w:tc>
      </w:tr>
      <w:tr>
        <w:trPr>
          <w:trHeight w:val="225"/>
        </w:trPr>
        <w:tc>
          <w:tcPr>
            <w:tcW w:w="360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341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519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492</w:t>
            </w:r>
          </w:p>
        </w:tc>
      </w:tr>
      <w:tr>
        <w:trPr>
          <w:trHeight w:val="225"/>
        </w:trPr>
        <w:tc>
          <w:tcPr>
            <w:tcW w:w="7962"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Flows</w:t>
            </w:r>
          </w:p>
        </w:tc>
      </w:tr>
      <w:tr>
        <w:trPr>
          <w:trHeight w:val="225"/>
        </w:trPr>
        <w:tc>
          <w:tcPr>
            <w:tcW w:w="360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w:t>
            </w:r>
          </w:p>
        </w:tc>
      </w:tr>
      <w:tr>
        <w:trPr>
          <w:trHeight w:val="225"/>
        </w:trPr>
        <w:tc>
          <w:tcPr>
            <w:tcW w:w="360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w:t>
            </w:r>
          </w:p>
        </w:tc>
      </w:tr>
      <w:tr>
        <w:trPr>
          <w:trHeight w:val="225"/>
        </w:trPr>
        <w:tc>
          <w:tcPr>
            <w:tcW w:w="3602" w:type="dxa"/>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856"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93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bl>
    <w:p>
      <w:pPr>
        <w:spacing w:after="200" w:line="276" w:lineRule="auto"/>
        <w:rPr>
          <w:noProof/>
        </w:rPr>
      </w:pPr>
    </w:p>
    <w:p>
      <w:pPr>
        <w:spacing w:after="200" w:line="276" w:lineRule="auto"/>
        <w:rPr>
          <w:noProof/>
        </w:rPr>
      </w:pPr>
      <w:r>
        <w:rPr>
          <w:noProof/>
        </w:rPr>
        <w:br w:type="page"/>
      </w:r>
    </w:p>
    <w:p>
      <w:pPr>
        <w:pStyle w:val="ChapterHead"/>
        <w:jc w:val="both"/>
        <w:rPr>
          <w:b/>
          <w:noProof/>
        </w:rPr>
      </w:pPr>
      <w:bookmarkStart w:id="3194" w:name="_Toc8833722"/>
      <w:bookmarkStart w:id="3195" w:name="_Toc8835549"/>
      <w:bookmarkStart w:id="3196" w:name="_Toc8834179"/>
      <w:bookmarkStart w:id="3197" w:name="_Toc8909642"/>
      <w:bookmarkStart w:id="3198" w:name="_Toc8910854"/>
      <w:bookmarkStart w:id="3199" w:name="_Toc8911891"/>
      <w:bookmarkStart w:id="3200" w:name="_Toc8974712"/>
      <w:bookmarkStart w:id="3201" w:name="_Toc9008365"/>
      <w:bookmarkStart w:id="3202" w:name="_Toc9008768"/>
      <w:bookmarkStart w:id="3203" w:name="_Toc9348764"/>
      <w:bookmarkStart w:id="3204" w:name="_Toc9608215"/>
      <w:bookmarkStart w:id="3205" w:name="_Toc16000778"/>
      <w:r>
        <w:rPr>
          <w:b/>
          <w:noProof/>
        </w:rPr>
        <w:t xml:space="preserve">ANNUAL INFO SHEET ON the IMPLEMENTATION OF </w:t>
      </w:r>
      <w:r>
        <w:rPr>
          <w:b/>
          <w:caps/>
          <w:noProof/>
        </w:rPr>
        <w:t>the trade pillar of the</w:t>
      </w:r>
      <w:r>
        <w:rPr>
          <w:b/>
          <w:noProof/>
        </w:rPr>
        <w:t xml:space="preserve"> EU-MONTENEGRO STABILISATION AND ASSOCIATION AGREEMENT</w:t>
      </w:r>
      <w:bookmarkEnd w:id="3194"/>
      <w:bookmarkEnd w:id="3195"/>
      <w:bookmarkEnd w:id="3196"/>
      <w:bookmarkEnd w:id="3197"/>
      <w:bookmarkEnd w:id="3198"/>
      <w:bookmarkEnd w:id="3199"/>
      <w:bookmarkEnd w:id="3200"/>
      <w:bookmarkEnd w:id="3201"/>
      <w:bookmarkEnd w:id="3202"/>
      <w:bookmarkEnd w:id="3203"/>
      <w:bookmarkEnd w:id="3204"/>
      <w:bookmarkEnd w:id="3205"/>
    </w:p>
    <w:p>
      <w:pPr>
        <w:pStyle w:val="ManualHeading1"/>
      </w:pPr>
      <w:bookmarkStart w:id="3206" w:name="_Toc8833723"/>
      <w:bookmarkStart w:id="3207" w:name="_Toc8835550"/>
      <w:bookmarkStart w:id="3208" w:name="_Toc8834180"/>
      <w:bookmarkStart w:id="3209" w:name="_Toc8909643"/>
      <w:bookmarkStart w:id="3210" w:name="_Toc8910855"/>
      <w:bookmarkStart w:id="3211" w:name="_Toc8911892"/>
      <w:bookmarkStart w:id="3212" w:name="_Toc8974713"/>
      <w:bookmarkStart w:id="3213" w:name="_Toc9008366"/>
      <w:bookmarkStart w:id="3214" w:name="_Toc9008769"/>
      <w:bookmarkStart w:id="3215" w:name="_Toc9348765"/>
      <w:bookmarkStart w:id="3216" w:name="_Toc9608216"/>
      <w:bookmarkStart w:id="3217" w:name="_Toc16000779"/>
      <w:r>
        <w:t>1.</w:t>
      </w:r>
      <w:r>
        <w:tab/>
        <w:t>Introduction</w:t>
      </w:r>
      <w:bookmarkEnd w:id="3206"/>
      <w:bookmarkEnd w:id="3207"/>
      <w:bookmarkEnd w:id="3208"/>
      <w:bookmarkEnd w:id="3209"/>
      <w:bookmarkEnd w:id="3210"/>
      <w:bookmarkEnd w:id="3211"/>
      <w:bookmarkEnd w:id="3212"/>
      <w:bookmarkEnd w:id="3213"/>
      <w:bookmarkEnd w:id="3214"/>
      <w:bookmarkEnd w:id="3215"/>
      <w:bookmarkEnd w:id="3216"/>
      <w:bookmarkEnd w:id="3217"/>
    </w:p>
    <w:p>
      <w:pPr>
        <w:jc w:val="both"/>
        <w:rPr>
          <w:noProof/>
        </w:rPr>
      </w:pPr>
      <w:r>
        <w:rPr>
          <w:noProof/>
        </w:rPr>
        <w:t>On 15 October 2007, the EU and Montenegro signed a Stabilisation and Association Agreement (SAA). The SAA is the prime instrument of the EU’s overall policy towards the Western Balkan countries’ Stabilisation and Association process. Under this process, all Western Balkans countries, including Montenegro, have a common future as EU Member States.</w:t>
      </w:r>
    </w:p>
    <w:p>
      <w:pPr>
        <w:jc w:val="both"/>
        <w:rPr>
          <w:noProof/>
        </w:rPr>
      </w:pPr>
    </w:p>
    <w:p>
      <w:pPr>
        <w:jc w:val="both"/>
        <w:rPr>
          <w:noProof/>
        </w:rPr>
      </w:pPr>
      <w:r>
        <w:rPr>
          <w:noProof/>
        </w:rPr>
        <w:t xml:space="preserve">The SAA entered into force on 1 May 2010, however, the trade-related part of the SAA already entered into force through an Interim Agreement on 1 January 2008. This Agreement established a free-trade area over a transitional period of five years. From the date of the Interim Agreement, the EU granted permanent liberalisation of 97.3% of tariff lines, representing almost duty free treatment to all imports from Montenegro. By 2013, Montenegro liberalised 95% of its tariff lines, representing 99% of EU imports during the three preceding years of the entry into force of the agreement. The Agreement covers products in all Chapters of the Harmonised System. Only a few agricultural and fishery products are not fully liberalised and subject to preferential quantitative concessions (TRQs).  </w:t>
      </w:r>
    </w:p>
    <w:p>
      <w:pPr>
        <w:jc w:val="both"/>
        <w:rPr>
          <w:noProof/>
        </w:rPr>
      </w:pPr>
    </w:p>
    <w:p>
      <w:pPr>
        <w:jc w:val="both"/>
        <w:rPr>
          <w:noProof/>
        </w:rPr>
      </w:pPr>
      <w:r>
        <w:rPr>
          <w:noProof/>
        </w:rPr>
        <w:t>The Agreement also includes provisions concerning competition matters, investment and related payments, a high level of protection of intellectual property rights and strengthened co-operation in customs matters. Since the entry into force of the full SAA on 1 May 2010, a number of additional disciplines are being implemented concerning, notably, government procurement, legislative approximation in many areas including standardisation, as well as provisions regarding services and establishment.</w:t>
      </w:r>
    </w:p>
    <w:p>
      <w:pPr>
        <w:pStyle w:val="ManualHeading1"/>
      </w:pPr>
      <w:bookmarkStart w:id="3218" w:name="_Toc8833724"/>
      <w:bookmarkStart w:id="3219" w:name="_Toc8835551"/>
      <w:bookmarkStart w:id="3220" w:name="_Toc8834181"/>
      <w:bookmarkStart w:id="3221" w:name="_Toc8909644"/>
      <w:bookmarkStart w:id="3222" w:name="_Toc8910856"/>
      <w:bookmarkStart w:id="3223" w:name="_Toc8911893"/>
      <w:bookmarkStart w:id="3224" w:name="_Toc8974714"/>
      <w:bookmarkStart w:id="3225" w:name="_Toc9008367"/>
      <w:bookmarkStart w:id="3226" w:name="_Toc9008770"/>
      <w:bookmarkStart w:id="3227" w:name="_Toc9348766"/>
      <w:bookmarkStart w:id="3228" w:name="_Toc9608217"/>
      <w:bookmarkStart w:id="3229" w:name="_Toc16000780"/>
      <w:r>
        <w:t>2.</w:t>
      </w:r>
      <w:r>
        <w:tab/>
        <w:t>Evolution of trade</w:t>
      </w:r>
      <w:bookmarkEnd w:id="3218"/>
      <w:bookmarkEnd w:id="3219"/>
      <w:bookmarkEnd w:id="3220"/>
      <w:bookmarkEnd w:id="3221"/>
      <w:bookmarkEnd w:id="3222"/>
      <w:bookmarkEnd w:id="3223"/>
      <w:bookmarkEnd w:id="3224"/>
      <w:bookmarkEnd w:id="3225"/>
      <w:bookmarkEnd w:id="3226"/>
      <w:bookmarkEnd w:id="3227"/>
      <w:bookmarkEnd w:id="3228"/>
      <w:bookmarkEnd w:id="3229"/>
    </w:p>
    <w:p>
      <w:pPr>
        <w:pStyle w:val="Heading2"/>
        <w:ind w:left="0" w:firstLine="0"/>
      </w:pPr>
      <w:bookmarkStart w:id="3230" w:name="_Toc8833725"/>
      <w:bookmarkStart w:id="3231" w:name="_Toc8835552"/>
      <w:bookmarkStart w:id="3232" w:name="_Toc8834182"/>
      <w:bookmarkStart w:id="3233" w:name="_Toc8909645"/>
      <w:bookmarkStart w:id="3234" w:name="_Toc8910857"/>
      <w:bookmarkStart w:id="3235" w:name="_Toc8911894"/>
      <w:bookmarkStart w:id="3236" w:name="_Toc8974715"/>
      <w:bookmarkStart w:id="3237" w:name="_Toc9008368"/>
      <w:bookmarkStart w:id="3238" w:name="_Toc9008771"/>
      <w:bookmarkStart w:id="3239" w:name="_Toc9348767"/>
      <w:bookmarkStart w:id="3240" w:name="_Toc9608218"/>
      <w:bookmarkStart w:id="3241" w:name="_Toc16000781"/>
      <w:r>
        <w:t>2.1 Trade in Goods</w:t>
      </w:r>
      <w:bookmarkEnd w:id="3230"/>
      <w:bookmarkEnd w:id="3231"/>
      <w:bookmarkEnd w:id="3232"/>
      <w:bookmarkEnd w:id="3233"/>
      <w:bookmarkEnd w:id="3234"/>
      <w:bookmarkEnd w:id="3235"/>
      <w:bookmarkEnd w:id="3236"/>
      <w:bookmarkEnd w:id="3237"/>
      <w:bookmarkEnd w:id="3238"/>
      <w:bookmarkEnd w:id="3239"/>
      <w:bookmarkEnd w:id="3240"/>
      <w:bookmarkEnd w:id="3241"/>
    </w:p>
    <w:p>
      <w:pPr>
        <w:jc w:val="both"/>
        <w:rPr>
          <w:noProof/>
          <w:lang w:eastAsia="en-GB"/>
        </w:rPr>
      </w:pPr>
      <w:r>
        <w:rPr>
          <w:noProof/>
          <w:lang w:eastAsia="en-GB"/>
        </w:rPr>
        <w:t xml:space="preserve">In 2018, total bilateral trade between the EU and Montenegro increased by 13% reaching a total amount of nearly </w:t>
      </w:r>
      <w:r>
        <w:rPr>
          <w:b/>
          <w:bCs/>
          <w:noProof/>
          <w:lang w:eastAsia="en-GB"/>
        </w:rPr>
        <w:t>€1.4 billion</w:t>
      </w:r>
      <w:r>
        <w:rPr>
          <w:noProof/>
          <w:lang w:eastAsia="en-GB"/>
        </w:rPr>
        <w:t xml:space="preserve">, for the first time matching the total trade pre-dating the trade agreement in 2008. The overall stagnation of the bilateral trade can be partially explained by the fact that the structure of Montenegrin exports in the last ten years has substantially changed in favour of exports of services, which increased to over 70% of total exports of goods and services in 2017. </w:t>
      </w:r>
    </w:p>
    <w:p>
      <w:pPr>
        <w:jc w:val="both"/>
        <w:rPr>
          <w:noProof/>
          <w:lang w:eastAsia="en-GB"/>
        </w:rPr>
      </w:pPr>
    </w:p>
    <w:p>
      <w:pPr>
        <w:jc w:val="both"/>
        <w:rPr>
          <w:noProof/>
          <w:lang w:eastAsia="en-GB"/>
        </w:rPr>
      </w:pPr>
      <w:r>
        <w:rPr>
          <w:noProof/>
          <w:lang w:eastAsia="en-GB"/>
        </w:rPr>
        <w:t>The EU is Montenegro’s main trading partner, accounting for 45% of its total exports and 48% of its total imports of goods. More specifically, Belgium, Germany, Hungary, Poland and Slovenia absorb 64% of the EU’s imports from Montenegro while Croatia, Germany, Greece, Italy and Slovenia are also responsible for 64% of the EU’s exports to Montenegro. The main imported products from Montenegro are base metals and articles thereof, transport equipment, mineral products and machinery and appliances. The EU mainly exports mineral products, transport equipment and machinery and appliances. The overall trade balance is overwhelmingly in favour of the EU, exceeding €1 billion in 2018.</w:t>
      </w:r>
    </w:p>
    <w:p>
      <w:pPr>
        <w:pStyle w:val="Heading2"/>
        <w:ind w:left="0" w:firstLine="0"/>
      </w:pPr>
      <w:bookmarkStart w:id="3242" w:name="_Toc8833726"/>
      <w:bookmarkStart w:id="3243" w:name="_Toc8835553"/>
      <w:bookmarkStart w:id="3244" w:name="_Toc8834183"/>
      <w:bookmarkStart w:id="3245" w:name="_Toc8909646"/>
      <w:bookmarkStart w:id="3246" w:name="_Toc8910858"/>
      <w:bookmarkStart w:id="3247" w:name="_Toc8911895"/>
      <w:bookmarkStart w:id="3248" w:name="_Toc8974716"/>
      <w:bookmarkStart w:id="3249" w:name="_Toc9008369"/>
      <w:bookmarkStart w:id="3250" w:name="_Toc9008772"/>
      <w:bookmarkStart w:id="3251" w:name="_Toc9348768"/>
      <w:bookmarkStart w:id="3252" w:name="_Toc9608219"/>
      <w:bookmarkStart w:id="3253" w:name="_Toc16000782"/>
      <w:r>
        <w:t>2.2 Trade in Agricultural Goods</w:t>
      </w:r>
      <w:bookmarkEnd w:id="3242"/>
      <w:bookmarkEnd w:id="3243"/>
      <w:bookmarkEnd w:id="3244"/>
      <w:bookmarkEnd w:id="3245"/>
      <w:bookmarkEnd w:id="3246"/>
      <w:bookmarkEnd w:id="3247"/>
      <w:bookmarkEnd w:id="3248"/>
      <w:bookmarkEnd w:id="3249"/>
      <w:bookmarkEnd w:id="3250"/>
      <w:bookmarkEnd w:id="3251"/>
      <w:bookmarkEnd w:id="3252"/>
      <w:bookmarkEnd w:id="3253"/>
    </w:p>
    <w:p>
      <w:pPr>
        <w:jc w:val="both"/>
        <w:rPr>
          <w:noProof/>
          <w:lang w:eastAsia="en-GB"/>
        </w:rPr>
      </w:pPr>
      <w:r>
        <w:rPr>
          <w:noProof/>
          <w:lang w:eastAsia="en-GB"/>
        </w:rPr>
        <w:t>Trade in agricultural products represents around 15% of the total bilateral trade and has remained stable over the last five years. In 2018, only 4% of all EU’s imports from Montenegro were agricultural products versus 17% of all EU’s exports to Montenegro. The EU imported mainly fruits and vegetables from Montenegro and exported meat and food preparations to Montenegro.</w:t>
      </w:r>
    </w:p>
    <w:p>
      <w:pPr>
        <w:jc w:val="both"/>
        <w:rPr>
          <w:noProof/>
          <w:lang w:eastAsia="en-GB"/>
        </w:rPr>
      </w:pPr>
    </w:p>
    <w:p>
      <w:pPr>
        <w:jc w:val="both"/>
        <w:rPr>
          <w:noProof/>
          <w:lang w:eastAsia="en-GB"/>
        </w:rPr>
      </w:pPr>
      <w:r>
        <w:rPr>
          <w:noProof/>
          <w:lang w:eastAsia="en-GB"/>
        </w:rPr>
        <w:t xml:space="preserve">For a number of agricultural products (poultry, cheese, meat products, waters and wine) EU exports to Montenegro are subject to tariff rate quotas (TRQs), either duty-free or at a reduced customs duty rate.  All of these quotas - except those for certain fish products, namely trout, sea bream as well as prepared or preserved anchovies – were fully or nearly fully used by EU exporters.  The EU also grants two agricultural TRQs to Montenegro (beef and wine).  In 2018, the beef quota was not used by Montenegro's exporters and the wine quota was used at 19%. </w:t>
      </w:r>
    </w:p>
    <w:p>
      <w:pPr>
        <w:pStyle w:val="Heading2"/>
        <w:tabs>
          <w:tab w:val="clear" w:pos="4570"/>
        </w:tabs>
        <w:ind w:left="567"/>
      </w:pPr>
      <w:bookmarkStart w:id="3254" w:name="_Toc8833728"/>
      <w:bookmarkStart w:id="3255" w:name="_Toc8835555"/>
      <w:bookmarkStart w:id="3256" w:name="_Toc8834185"/>
      <w:bookmarkStart w:id="3257" w:name="_Toc8909648"/>
      <w:bookmarkStart w:id="3258" w:name="_Toc8910860"/>
      <w:bookmarkStart w:id="3259" w:name="_Toc8911897"/>
      <w:bookmarkStart w:id="3260" w:name="_Toc8974718"/>
      <w:bookmarkStart w:id="3261" w:name="_Toc9008371"/>
      <w:bookmarkStart w:id="3262" w:name="_Toc9008774"/>
      <w:bookmarkStart w:id="3263" w:name="_Toc9348770"/>
      <w:bookmarkStart w:id="3264" w:name="_Toc9608221"/>
      <w:bookmarkStart w:id="3265" w:name="_Toc16000783"/>
      <w:r>
        <w:t>2.3 Trade in Services and Foreign Direct investment (FDIs)</w:t>
      </w:r>
      <w:bookmarkEnd w:id="3254"/>
      <w:bookmarkEnd w:id="3255"/>
      <w:bookmarkEnd w:id="3256"/>
      <w:bookmarkEnd w:id="3257"/>
      <w:bookmarkEnd w:id="3258"/>
      <w:bookmarkEnd w:id="3259"/>
      <w:bookmarkEnd w:id="3260"/>
      <w:bookmarkEnd w:id="3261"/>
      <w:bookmarkEnd w:id="3262"/>
      <w:bookmarkEnd w:id="3263"/>
      <w:bookmarkEnd w:id="3264"/>
      <w:bookmarkEnd w:id="3265"/>
    </w:p>
    <w:p>
      <w:pPr>
        <w:jc w:val="both"/>
        <w:rPr>
          <w:noProof/>
          <w:lang w:eastAsia="en-GB"/>
        </w:rPr>
      </w:pPr>
      <w:r>
        <w:rPr>
          <w:noProof/>
          <w:lang w:eastAsia="en-GB"/>
        </w:rPr>
        <w:t>In 2017, services represented over 34% of the total bilateral trade of goods and services with a share of 69% for EU imports and a much more modest 19% share for EU exports. This large imbalance allows Montenegro to run a surplus in its services trade with the EU, mainly focussed on the travel and hospitality area.</w:t>
      </w:r>
    </w:p>
    <w:p>
      <w:pPr>
        <w:jc w:val="both"/>
        <w:rPr>
          <w:noProof/>
          <w:lang w:eastAsia="en-GB"/>
        </w:rPr>
      </w:pPr>
    </w:p>
    <w:p>
      <w:pPr>
        <w:jc w:val="both"/>
        <w:rPr>
          <w:noProof/>
          <w:lang w:eastAsia="en-GB"/>
        </w:rPr>
      </w:pPr>
      <w:r>
        <w:rPr>
          <w:noProof/>
          <w:lang w:eastAsia="en-GB"/>
        </w:rPr>
        <w:t>Financial integration with the EU remains substantial, as the EU accounted for 86% of capital in local banks and 46% of total FDI inflows during the first nine months of 2018. The total EU FDI stocks in Montenegro exceeded €1.5 billion by end of 2017.</w:t>
      </w:r>
    </w:p>
    <w:p>
      <w:pPr>
        <w:pStyle w:val="ManualHeading1"/>
      </w:pPr>
      <w:bookmarkStart w:id="3266" w:name="_Toc8833729"/>
      <w:bookmarkStart w:id="3267" w:name="_Toc8835556"/>
      <w:bookmarkStart w:id="3268" w:name="_Toc8834186"/>
      <w:bookmarkStart w:id="3269" w:name="_Toc8909649"/>
      <w:bookmarkStart w:id="3270" w:name="_Toc8910861"/>
      <w:bookmarkStart w:id="3271" w:name="_Toc8911898"/>
      <w:bookmarkStart w:id="3272" w:name="_Toc8974719"/>
      <w:bookmarkStart w:id="3273" w:name="_Toc9008372"/>
      <w:bookmarkStart w:id="3274" w:name="_Toc9008775"/>
      <w:bookmarkStart w:id="3275" w:name="_Toc9348771"/>
      <w:bookmarkStart w:id="3276" w:name="_Toc9608222"/>
      <w:bookmarkStart w:id="3277" w:name="_Toc16000784"/>
      <w:r>
        <w:t>3.</w:t>
      </w:r>
      <w:r>
        <w:tab/>
        <w:t>Issues addressed in the annual Committee meetings</w:t>
      </w:r>
      <w:bookmarkEnd w:id="3266"/>
      <w:bookmarkEnd w:id="3267"/>
      <w:bookmarkEnd w:id="3268"/>
      <w:bookmarkEnd w:id="3269"/>
      <w:bookmarkEnd w:id="3270"/>
      <w:bookmarkEnd w:id="3271"/>
      <w:bookmarkEnd w:id="3272"/>
      <w:bookmarkEnd w:id="3273"/>
      <w:bookmarkEnd w:id="3274"/>
      <w:bookmarkEnd w:id="3275"/>
      <w:bookmarkEnd w:id="3276"/>
      <w:bookmarkEnd w:id="3277"/>
    </w:p>
    <w:p>
      <w:pPr>
        <w:jc w:val="both"/>
        <w:rPr>
          <w:noProof/>
        </w:rPr>
      </w:pPr>
      <w:r>
        <w:rPr>
          <w:noProof/>
        </w:rPr>
        <w:t xml:space="preserve">Commercial issues are discussed on an annual basis in the context of the Sub-committee on Trade, Industry, Customs and Taxation. The last meeting of the Sub-committee on Trade, Industry, Customs and Taxation took place on 23 October 2018, during which the further recovery of the 2017 bilateral trade was positively noted, highlighting the benefits from the national policy with regard to services and sustainable tourism. The Commission welcomed the absence of trade irritants with Montenegro as well as efforts to improve the business environment, in particular its plans to cut border clearance time by 50% and related costs by 20%. </w:t>
      </w:r>
    </w:p>
    <w:p>
      <w:pPr>
        <w:pStyle w:val="ManualHeading1"/>
      </w:pPr>
      <w:bookmarkStart w:id="3278" w:name="_Toc8833730"/>
      <w:bookmarkStart w:id="3279" w:name="_Toc8835557"/>
      <w:bookmarkStart w:id="3280" w:name="_Toc8834187"/>
      <w:bookmarkStart w:id="3281" w:name="_Toc8909650"/>
      <w:bookmarkStart w:id="3282" w:name="_Toc8910862"/>
      <w:bookmarkStart w:id="3283" w:name="_Toc8911899"/>
      <w:bookmarkStart w:id="3284" w:name="_Toc8974720"/>
      <w:bookmarkStart w:id="3285" w:name="_Toc9008373"/>
      <w:bookmarkStart w:id="3286" w:name="_Toc9008776"/>
      <w:bookmarkStart w:id="3287" w:name="_Toc9348772"/>
      <w:bookmarkStart w:id="3288" w:name="_Toc9608223"/>
      <w:bookmarkStart w:id="3289" w:name="_Toc16000785"/>
      <w:r>
        <w:t>4.</w:t>
      </w:r>
      <w:r>
        <w:tab/>
        <w:t>Specific areas of importance</w:t>
      </w:r>
      <w:bookmarkEnd w:id="3278"/>
      <w:bookmarkEnd w:id="3279"/>
      <w:bookmarkEnd w:id="3280"/>
      <w:bookmarkEnd w:id="3281"/>
      <w:bookmarkEnd w:id="3282"/>
      <w:bookmarkEnd w:id="3283"/>
      <w:bookmarkEnd w:id="3284"/>
      <w:bookmarkEnd w:id="3285"/>
      <w:bookmarkEnd w:id="3286"/>
      <w:bookmarkEnd w:id="3287"/>
      <w:bookmarkEnd w:id="3288"/>
      <w:bookmarkEnd w:id="3289"/>
    </w:p>
    <w:p>
      <w:pPr>
        <w:jc w:val="both"/>
        <w:rPr>
          <w:noProof/>
        </w:rPr>
      </w:pPr>
      <w:r>
        <w:rPr>
          <w:noProof/>
        </w:rPr>
        <w:t>The business environment is a key area of importance, in particular unfair competition from the informal economy and deficiencies of the regulatory environment. Businesses are negatively affected by inconsistent and arbitrary law enforcement as well as by inefficiencies and weak capacity in the public administration. In line with SAA obligations, e</w:t>
      </w:r>
      <w:r>
        <w:rPr>
          <w:rFonts w:eastAsia="Times New Roman"/>
          <w:noProof/>
        </w:rPr>
        <w:t xml:space="preserve">nforcement of competition </w:t>
      </w:r>
      <w:r>
        <w:rPr>
          <w:rFonts w:eastAsia="Times New Roman"/>
          <w:noProof/>
          <w:szCs w:val="20"/>
          <w:lang w:eastAsia="en-GB"/>
        </w:rPr>
        <w:t xml:space="preserve">rules needs to be enhanced, and significant efforts are needed with regards to adoption of legislation and enforcement in the field of state aid control, including transparency of aid granted. </w:t>
      </w:r>
      <w:r>
        <w:rPr>
          <w:noProof/>
        </w:rPr>
        <w:t xml:space="preserve">Public procurement is another area of concern. Under the SAA (Article 76) the respective public procurement markets are in principle opened on the basis of non-discrimination and reciprocity (no less favourable treatment). Despite a broad level of alignment with the EU </w:t>
      </w:r>
      <w:r>
        <w:rPr>
          <w:i/>
          <w:iCs/>
          <w:noProof/>
        </w:rPr>
        <w:t>acquis</w:t>
      </w:r>
      <w:r>
        <w:rPr>
          <w:noProof/>
        </w:rPr>
        <w:t xml:space="preserve"> in the area of classical and utilities procurement, Montenegro needs to bring up implementation and enforcement capacities at all levels. </w:t>
      </w:r>
    </w:p>
    <w:p>
      <w:pPr>
        <w:pStyle w:val="ManualHeading1"/>
      </w:pPr>
      <w:bookmarkStart w:id="3290" w:name="_Toc8833731"/>
      <w:bookmarkStart w:id="3291" w:name="_Toc8835558"/>
      <w:bookmarkStart w:id="3292" w:name="_Toc8834188"/>
      <w:bookmarkStart w:id="3293" w:name="_Toc8909651"/>
      <w:bookmarkStart w:id="3294" w:name="_Toc8910863"/>
      <w:bookmarkStart w:id="3295" w:name="_Toc8911900"/>
      <w:bookmarkStart w:id="3296" w:name="_Toc8974721"/>
      <w:bookmarkStart w:id="3297" w:name="_Toc9008374"/>
      <w:bookmarkStart w:id="3298" w:name="_Toc9008777"/>
      <w:bookmarkStart w:id="3299" w:name="_Toc9348773"/>
      <w:bookmarkStart w:id="3300" w:name="_Toc9608224"/>
      <w:bookmarkStart w:id="3301" w:name="_Toc16000786"/>
      <w:r>
        <w:t>5.</w:t>
      </w:r>
      <w:r>
        <w:tab/>
        <w:t>Main open issues and follow-up actions</w:t>
      </w:r>
      <w:bookmarkEnd w:id="3290"/>
      <w:bookmarkEnd w:id="3291"/>
      <w:bookmarkEnd w:id="3292"/>
      <w:bookmarkEnd w:id="3293"/>
      <w:bookmarkEnd w:id="3294"/>
      <w:bookmarkEnd w:id="3295"/>
      <w:bookmarkEnd w:id="3296"/>
      <w:bookmarkEnd w:id="3297"/>
      <w:bookmarkEnd w:id="3298"/>
      <w:bookmarkEnd w:id="3299"/>
      <w:bookmarkEnd w:id="3300"/>
      <w:bookmarkEnd w:id="3301"/>
    </w:p>
    <w:p>
      <w:pPr>
        <w:jc w:val="both"/>
        <w:rPr>
          <w:noProof/>
        </w:rPr>
      </w:pPr>
      <w:r>
        <w:rPr>
          <w:noProof/>
        </w:rPr>
        <w:t>Enhancing transparency and accountability - in particular ensuring the effective, efficient and transparent functioning of the public procurement system- and the fight against corruption are essential issues that affect EU businesses doing business in Montenegro. They are part of the regular follow-up done under the SAA multidisciplinary subcommittee structures.</w:t>
      </w:r>
    </w:p>
    <w:p>
      <w:pPr>
        <w:pStyle w:val="ManualHeading1"/>
      </w:pPr>
      <w:bookmarkStart w:id="3302" w:name="_Toc8833732"/>
      <w:bookmarkStart w:id="3303" w:name="_Toc8835559"/>
      <w:bookmarkStart w:id="3304" w:name="_Toc8834189"/>
      <w:bookmarkStart w:id="3305" w:name="_Toc8909652"/>
      <w:bookmarkStart w:id="3306" w:name="_Toc8910864"/>
      <w:bookmarkStart w:id="3307" w:name="_Toc8911901"/>
      <w:bookmarkStart w:id="3308" w:name="_Toc8974722"/>
      <w:bookmarkStart w:id="3309" w:name="_Toc9008375"/>
      <w:bookmarkStart w:id="3310" w:name="_Toc9008778"/>
      <w:bookmarkStart w:id="3311" w:name="_Toc9348774"/>
      <w:bookmarkStart w:id="3312" w:name="_Toc9608225"/>
      <w:bookmarkStart w:id="3313" w:name="_Toc16000787"/>
      <w:r>
        <w:t>6.</w:t>
      </w:r>
      <w:r>
        <w:tab/>
        <w:t>Conclusions</w:t>
      </w:r>
      <w:bookmarkEnd w:id="3302"/>
      <w:bookmarkEnd w:id="3303"/>
      <w:bookmarkEnd w:id="3304"/>
      <w:bookmarkEnd w:id="3305"/>
      <w:bookmarkEnd w:id="3306"/>
      <w:bookmarkEnd w:id="3307"/>
      <w:bookmarkEnd w:id="3308"/>
      <w:bookmarkEnd w:id="3309"/>
      <w:bookmarkEnd w:id="3310"/>
      <w:bookmarkEnd w:id="3311"/>
      <w:bookmarkEnd w:id="3312"/>
      <w:bookmarkEnd w:id="3313"/>
    </w:p>
    <w:p>
      <w:pPr>
        <w:jc w:val="both"/>
        <w:rPr>
          <w:noProof/>
        </w:rPr>
      </w:pPr>
      <w:r>
        <w:rPr>
          <w:noProof/>
        </w:rPr>
        <w:t>Montenegro and the EU are very close trading partners, even though Montenegro is yet to reap the full benefits of trade liberalisation with the EU. As a small country with an open economy, it needs to diversify and steer its goods-export base away from low value-added sectors, which are exposed to volatile commodity prices, and from competition in low value- added sectors. While the trade agreement is generally implemented smoothly by Montenegro, the business climate is negatively affected by the large size of its informal economy and shortcomings in the rule of law, which are a strong deterrent to investments. However, it is expected that the renewed momentum of the European integration process will give further impetus to major reforms and consequently have a positive impact on the investment and business climate in the coming period. Similarly, the development of a Regional Economic Area based on EU rules and standards, to which all Western Balkan economies have committed, has the potential to generate untapped growth. A big milestone was in fact reached on 4 April 2019 when Ministers of Telecommunications from the Western Balkans signed a Regional Roaming Agreement that envisages a roaming-free region across the Western Balkans in 2021, also paving the way for further reductions of the roaming costs between the Western Balkans economies and the European Union.</w:t>
      </w:r>
    </w:p>
    <w:p>
      <w:pPr>
        <w:pStyle w:val="ManualHeading1"/>
      </w:pPr>
      <w:bookmarkStart w:id="3314" w:name="_Toc8833733"/>
      <w:bookmarkStart w:id="3315" w:name="_Toc8835560"/>
      <w:bookmarkStart w:id="3316" w:name="_Toc8834190"/>
      <w:bookmarkStart w:id="3317" w:name="_Toc8909653"/>
      <w:bookmarkStart w:id="3318" w:name="_Toc8910865"/>
      <w:bookmarkStart w:id="3319" w:name="_Toc8911902"/>
      <w:bookmarkStart w:id="3320" w:name="_Toc8974723"/>
      <w:bookmarkStart w:id="3321" w:name="_Toc9008376"/>
      <w:bookmarkStart w:id="3322" w:name="_Toc9008779"/>
      <w:bookmarkStart w:id="3323" w:name="_Toc9348775"/>
      <w:bookmarkStart w:id="3324" w:name="_Toc9608226"/>
      <w:bookmarkStart w:id="3325" w:name="_Toc16000788"/>
      <w:r>
        <w:t>7.</w:t>
      </w:r>
      <w:r>
        <w:tab/>
        <w:t>Statistics</w:t>
      </w:r>
      <w:bookmarkEnd w:id="3314"/>
      <w:bookmarkEnd w:id="3315"/>
      <w:bookmarkEnd w:id="3316"/>
      <w:bookmarkEnd w:id="3317"/>
      <w:bookmarkEnd w:id="3318"/>
      <w:bookmarkEnd w:id="3319"/>
      <w:bookmarkEnd w:id="3320"/>
      <w:bookmarkEnd w:id="3321"/>
      <w:bookmarkEnd w:id="3322"/>
      <w:bookmarkEnd w:id="3323"/>
      <w:bookmarkEnd w:id="3324"/>
      <w:bookmarkEnd w:id="3325"/>
    </w:p>
    <w:tbl>
      <w:tblPr>
        <w:tblW w:w="8352" w:type="dxa"/>
        <w:tblInd w:w="108" w:type="dxa"/>
        <w:tblLook w:val="04A0" w:firstRow="1" w:lastRow="0" w:firstColumn="1" w:lastColumn="0" w:noHBand="0" w:noVBand="1"/>
      </w:tblPr>
      <w:tblGrid>
        <w:gridCol w:w="3992"/>
        <w:gridCol w:w="856"/>
        <w:gridCol w:w="856"/>
        <w:gridCol w:w="936"/>
        <w:gridCol w:w="856"/>
        <w:gridCol w:w="856"/>
      </w:tblGrid>
      <w:tr>
        <w:trPr>
          <w:trHeight w:val="210"/>
        </w:trPr>
        <w:tc>
          <w:tcPr>
            <w:tcW w:w="3992"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93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10"/>
        </w:trPr>
        <w:tc>
          <w:tcPr>
            <w:tcW w:w="8352"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Merchandise trade EU28 2014-2018</w:t>
            </w:r>
          </w:p>
        </w:tc>
      </w:tr>
      <w:tr>
        <w:trPr>
          <w:trHeight w:val="210"/>
        </w:trPr>
        <w:tc>
          <w:tcPr>
            <w:tcW w:w="3992" w:type="dxa"/>
            <w:tcBorders>
              <w:top w:val="single" w:sz="4" w:space="0" w:color="auto"/>
              <w:left w:val="nil"/>
              <w:bottom w:val="single" w:sz="4" w:space="0" w:color="auto"/>
              <w:right w:val="nil"/>
            </w:tcBorders>
            <w:shd w:val="clear" w:color="000000" w:fill="FFFFFF"/>
            <w:noWrap/>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 </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93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r>
      <w:tr>
        <w:trPr>
          <w:trHeight w:val="210"/>
        </w:trPr>
        <w:tc>
          <w:tcPr>
            <w:tcW w:w="3992" w:type="dxa"/>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EU28 trade with Montenegro (mio €)</w:t>
            </w:r>
          </w:p>
        </w:tc>
        <w:tc>
          <w:tcPr>
            <w:tcW w:w="856"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n-IE" w:eastAsia="en-IE"/>
              </w:rPr>
            </w:pP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93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r>
      <w:tr>
        <w:trPr>
          <w:trHeight w:val="210"/>
        </w:trPr>
        <w:tc>
          <w:tcPr>
            <w:tcW w:w="399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144</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189</w:t>
            </w:r>
          </w:p>
        </w:tc>
      </w:tr>
      <w:tr>
        <w:trPr>
          <w:trHeight w:val="210"/>
        </w:trPr>
        <w:tc>
          <w:tcPr>
            <w:tcW w:w="399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973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877</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994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1.067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1.207</w:t>
            </w:r>
          </w:p>
        </w:tc>
      </w:tr>
      <w:tr>
        <w:trPr>
          <w:trHeight w:val="210"/>
        </w:trPr>
        <w:tc>
          <w:tcPr>
            <w:tcW w:w="399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722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733</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843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902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1.017</w:t>
            </w:r>
          </w:p>
        </w:tc>
      </w:tr>
      <w:tr>
        <w:trPr>
          <w:trHeight w:val="210"/>
        </w:trPr>
        <w:tc>
          <w:tcPr>
            <w:tcW w:w="3992" w:type="dxa"/>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Share Montenegro in EU28 trade with Extra-EU28</w:t>
            </w:r>
          </w:p>
        </w:tc>
        <w:tc>
          <w:tcPr>
            <w:tcW w:w="856"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n-IE" w:eastAsia="en-IE"/>
              </w:rPr>
            </w:pP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93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r>
      <w:tr>
        <w:trPr>
          <w:trHeight w:val="210"/>
        </w:trPr>
        <w:tc>
          <w:tcPr>
            <w:tcW w:w="399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r>
      <w:tr>
        <w:trPr>
          <w:trHeight w:val="210"/>
        </w:trPr>
        <w:tc>
          <w:tcPr>
            <w:tcW w:w="399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r>
      <w:tr>
        <w:trPr>
          <w:trHeight w:val="210"/>
        </w:trPr>
        <w:tc>
          <w:tcPr>
            <w:tcW w:w="399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r>
      <w:tr>
        <w:trPr>
          <w:trHeight w:val="210"/>
        </w:trPr>
        <w:tc>
          <w:tcPr>
            <w:tcW w:w="8352"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Share EU28 in trade Montenegro with world</w:t>
            </w:r>
          </w:p>
        </w:tc>
      </w:tr>
      <w:tr>
        <w:trPr>
          <w:trHeight w:val="210"/>
        </w:trPr>
        <w:tc>
          <w:tcPr>
            <w:tcW w:w="399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46,5%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41,2%</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48,2%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47,4%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48,3%</w:t>
            </w:r>
          </w:p>
        </w:tc>
      </w:tr>
      <w:tr>
        <w:trPr>
          <w:trHeight w:val="210"/>
        </w:trPr>
        <w:tc>
          <w:tcPr>
            <w:tcW w:w="399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36,1%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35,8%</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37,7%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34,5%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44,7%</w:t>
            </w:r>
          </w:p>
        </w:tc>
      </w:tr>
      <w:tr>
        <w:trPr>
          <w:trHeight w:val="210"/>
        </w:trPr>
        <w:tc>
          <w:tcPr>
            <w:tcW w:w="399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44,8%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40,4%</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46,8%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45,6%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47,8%</w:t>
            </w:r>
          </w:p>
        </w:tc>
      </w:tr>
      <w:tr>
        <w:trPr>
          <w:trHeight w:val="225"/>
        </w:trPr>
        <w:tc>
          <w:tcPr>
            <w:tcW w:w="5704" w:type="dxa"/>
            <w:gridSpan w:val="3"/>
            <w:tcBorders>
              <w:top w:val="single" w:sz="4" w:space="0" w:color="auto"/>
              <w:left w:val="nil"/>
              <w:bottom w:val="nil"/>
              <w:right w:val="nil"/>
            </w:tcBorders>
            <w:shd w:val="clear" w:color="000000" w:fill="FFFFFF"/>
            <w:noWrap/>
            <w:vAlign w:val="bottom"/>
            <w:hideMark/>
          </w:tcPr>
          <w:p>
            <w:pPr>
              <w:rPr>
                <w:rFonts w:eastAsia="Times New Roman"/>
                <w:noProof/>
                <w:sz w:val="12"/>
                <w:szCs w:val="12"/>
                <w:lang w:val="en-IE" w:eastAsia="en-IE"/>
              </w:rPr>
            </w:pPr>
            <w:r>
              <w:rPr>
                <w:rFonts w:eastAsia="Times New Roman"/>
                <w:noProof/>
                <w:sz w:val="12"/>
                <w:szCs w:val="12"/>
                <w:lang w:val="en-IE" w:eastAsia="en-IE"/>
              </w:rPr>
              <w:t xml:space="preserve">Source Trade G2 Statistics/ISDB </w:t>
            </w:r>
          </w:p>
        </w:tc>
        <w:tc>
          <w:tcPr>
            <w:tcW w:w="936"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single" w:sz="4" w:space="0" w:color="auto"/>
              <w:left w:val="nil"/>
              <w:bottom w:val="nil"/>
              <w:right w:val="nil"/>
            </w:tcBorders>
            <w:shd w:val="clear" w:color="000000" w:fill="FFFFFF"/>
            <w:noWrap/>
            <w:hideMark/>
          </w:tcPr>
          <w:p>
            <w:pPr>
              <w:jc w:val="right"/>
              <w:rPr>
                <w:rFonts w:eastAsia="Times New Roman"/>
                <w:noProof/>
                <w:sz w:val="12"/>
                <w:szCs w:val="12"/>
                <w:lang w:val="en-IE" w:eastAsia="en-IE"/>
              </w:rPr>
            </w:pPr>
            <w:r>
              <w:rPr>
                <w:rFonts w:eastAsia="Times New Roman"/>
                <w:noProof/>
                <w:sz w:val="12"/>
                <w:szCs w:val="12"/>
                <w:lang w:val="en-IE" w:eastAsia="en-IE"/>
              </w:rPr>
              <w:t>25-mars-19</w:t>
            </w:r>
          </w:p>
        </w:tc>
      </w:tr>
      <w:tr>
        <w:trPr>
          <w:trHeight w:val="210"/>
        </w:trPr>
        <w:tc>
          <w:tcPr>
            <w:tcW w:w="7496" w:type="dxa"/>
            <w:gridSpan w:val="5"/>
            <w:tcBorders>
              <w:top w:val="nil"/>
              <w:left w:val="nil"/>
              <w:bottom w:val="nil"/>
              <w:right w:val="nil"/>
            </w:tcBorders>
            <w:shd w:val="clear" w:color="000000" w:fill="FFFFFF"/>
            <w:noWrap/>
            <w:hideMark/>
          </w:tcPr>
          <w:p>
            <w:pPr>
              <w:rPr>
                <w:rFonts w:eastAsia="Times New Roman"/>
                <w:noProof/>
                <w:color w:val="000000"/>
                <w:sz w:val="12"/>
                <w:szCs w:val="12"/>
                <w:lang w:val="en-IE" w:eastAsia="en-IE"/>
              </w:rPr>
            </w:pPr>
            <w:r>
              <w:rPr>
                <w:rFonts w:eastAsia="Times New Roman"/>
                <w:noProof/>
                <w:color w:val="000000"/>
                <w:sz w:val="12"/>
                <w:szCs w:val="12"/>
                <w:lang w:val="en-IE" w:eastAsia="en-IE"/>
              </w:rPr>
              <w:t>Trade EU28: Eurostat COMEXT;  Trade Montenegro: IMF Dots</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10"/>
        </w:trPr>
        <w:tc>
          <w:tcPr>
            <w:tcW w:w="3992"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93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25"/>
        </w:trPr>
        <w:tc>
          <w:tcPr>
            <w:tcW w:w="8352"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Total merchandise trade EU28 with Montenegro (mio €)</w:t>
            </w:r>
          </w:p>
        </w:tc>
      </w:tr>
      <w:tr>
        <w:trPr>
          <w:trHeight w:val="225"/>
        </w:trPr>
        <w:tc>
          <w:tcPr>
            <w:tcW w:w="4848"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Montenegro</w:t>
            </w:r>
          </w:p>
        </w:tc>
        <w:tc>
          <w:tcPr>
            <w:tcW w:w="85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93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71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848"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93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99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166</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14,4%</w:t>
            </w:r>
          </w:p>
        </w:tc>
      </w:tr>
      <w:tr>
        <w:trPr>
          <w:trHeight w:val="225"/>
        </w:trPr>
        <w:tc>
          <w:tcPr>
            <w:tcW w:w="399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1.067</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1.207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13,1%</w:t>
            </w:r>
          </w:p>
        </w:tc>
      </w:tr>
      <w:tr>
        <w:trPr>
          <w:trHeight w:val="225"/>
        </w:trPr>
        <w:tc>
          <w:tcPr>
            <w:tcW w:w="399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902</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1.017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116</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992"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1.233</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1.396</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163</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13,2%</w:t>
            </w:r>
          </w:p>
        </w:tc>
      </w:tr>
      <w:tr>
        <w:trPr>
          <w:trHeight w:val="240"/>
        </w:trPr>
        <w:tc>
          <w:tcPr>
            <w:tcW w:w="6640"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8352"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Agrifood trade EU28 with Montenegro (mio €)</w:t>
            </w:r>
          </w:p>
        </w:tc>
      </w:tr>
      <w:tr>
        <w:trPr>
          <w:trHeight w:val="255"/>
        </w:trPr>
        <w:tc>
          <w:tcPr>
            <w:tcW w:w="4848"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Montenegro</w:t>
            </w:r>
          </w:p>
        </w:tc>
        <w:tc>
          <w:tcPr>
            <w:tcW w:w="85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93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71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848"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93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99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34,1%</w:t>
            </w:r>
          </w:p>
        </w:tc>
      </w:tr>
      <w:tr>
        <w:trPr>
          <w:trHeight w:val="225"/>
        </w:trPr>
        <w:tc>
          <w:tcPr>
            <w:tcW w:w="399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184</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8,7%</w:t>
            </w:r>
          </w:p>
        </w:tc>
      </w:tr>
      <w:tr>
        <w:trPr>
          <w:trHeight w:val="225"/>
        </w:trPr>
        <w:tc>
          <w:tcPr>
            <w:tcW w:w="399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178</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992"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189</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207</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9,4%</w:t>
            </w:r>
          </w:p>
        </w:tc>
      </w:tr>
      <w:tr>
        <w:trPr>
          <w:trHeight w:val="240"/>
        </w:trPr>
        <w:tc>
          <w:tcPr>
            <w:tcW w:w="6640"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8352"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NAMA trade EU28 with Montenegro (mio €)</w:t>
            </w:r>
          </w:p>
        </w:tc>
      </w:tr>
      <w:tr>
        <w:trPr>
          <w:trHeight w:val="225"/>
        </w:trPr>
        <w:tc>
          <w:tcPr>
            <w:tcW w:w="4848"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Montenegro</w:t>
            </w:r>
          </w:p>
        </w:tc>
        <w:tc>
          <w:tcPr>
            <w:tcW w:w="85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93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71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848"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93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4848"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160</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13,7%</w:t>
            </w:r>
          </w:p>
        </w:tc>
      </w:tr>
      <w:tr>
        <w:trPr>
          <w:trHeight w:val="225"/>
        </w:trPr>
        <w:tc>
          <w:tcPr>
            <w:tcW w:w="4848"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884</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1.007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14,0%</w:t>
            </w:r>
          </w:p>
        </w:tc>
      </w:tr>
      <w:tr>
        <w:trPr>
          <w:trHeight w:val="225"/>
        </w:trPr>
        <w:tc>
          <w:tcPr>
            <w:tcW w:w="399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724</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825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102</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99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1.044</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1.189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145</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13,9%</w:t>
            </w:r>
          </w:p>
        </w:tc>
      </w:tr>
      <w:tr>
        <w:trPr>
          <w:trHeight w:val="240"/>
        </w:trPr>
        <w:tc>
          <w:tcPr>
            <w:tcW w:w="6640"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856" w:type="dxa"/>
            <w:tcBorders>
              <w:top w:val="single" w:sz="4" w:space="0" w:color="auto"/>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6640" w:type="dxa"/>
            <w:gridSpan w:val="4"/>
            <w:tcBorders>
              <w:top w:val="nil"/>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Services trade EU28 with Montenegro (mio €)</w:t>
            </w:r>
          </w:p>
        </w:tc>
        <w:tc>
          <w:tcPr>
            <w:tcW w:w="856" w:type="dxa"/>
            <w:tcBorders>
              <w:top w:val="nil"/>
              <w:left w:val="nil"/>
              <w:bottom w:val="nil"/>
              <w:right w:val="nil"/>
            </w:tcBorders>
            <w:shd w:val="clear" w:color="000000" w:fill="FFFFFF"/>
            <w:noWrap/>
            <w:vAlign w:val="center"/>
            <w:hideMark/>
          </w:tcPr>
          <w:p>
            <w:pPr>
              <w:rPr>
                <w:rFonts w:eastAsia="Times New Roman"/>
                <w:b/>
                <w:bCs/>
                <w:noProof/>
                <w:sz w:val="16"/>
                <w:szCs w:val="16"/>
                <w:lang w:val="en-IE" w:eastAsia="en-IE"/>
              </w:rPr>
            </w:pPr>
            <w:r>
              <w:rPr>
                <w:rFonts w:eastAsia="Times New Roman"/>
                <w:b/>
                <w:bCs/>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bCs/>
                <w:noProof/>
                <w:sz w:val="16"/>
                <w:szCs w:val="16"/>
                <w:lang w:val="en-IE" w:eastAsia="en-IE"/>
              </w:rPr>
            </w:pPr>
            <w:r>
              <w:rPr>
                <w:rFonts w:eastAsia="Times New Roman"/>
                <w:b/>
                <w:bCs/>
                <w:noProof/>
                <w:sz w:val="16"/>
                <w:szCs w:val="16"/>
                <w:lang w:val="en-IE" w:eastAsia="en-IE"/>
              </w:rPr>
              <w:t> </w:t>
            </w:r>
          </w:p>
        </w:tc>
      </w:tr>
      <w:tr>
        <w:trPr>
          <w:trHeight w:val="225"/>
        </w:trPr>
        <w:tc>
          <w:tcPr>
            <w:tcW w:w="4848"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Montenegro</w:t>
            </w:r>
          </w:p>
        </w:tc>
        <w:tc>
          <w:tcPr>
            <w:tcW w:w="856"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936"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171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848"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936"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99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264</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377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42,7%</w:t>
            </w:r>
          </w:p>
        </w:tc>
      </w:tr>
      <w:tr>
        <w:trPr>
          <w:trHeight w:val="225"/>
        </w:trPr>
        <w:tc>
          <w:tcPr>
            <w:tcW w:w="399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214</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19,3%</w:t>
            </w:r>
          </w:p>
        </w:tc>
      </w:tr>
      <w:tr>
        <w:trPr>
          <w:trHeight w:val="225"/>
        </w:trPr>
        <w:tc>
          <w:tcPr>
            <w:tcW w:w="399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-50</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-72</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992"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479</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633</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154</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32,3%</w:t>
            </w:r>
          </w:p>
        </w:tc>
      </w:tr>
      <w:tr>
        <w:trPr>
          <w:trHeight w:val="240"/>
        </w:trPr>
        <w:tc>
          <w:tcPr>
            <w:tcW w:w="7496" w:type="dxa"/>
            <w:gridSpan w:val="5"/>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40"/>
        </w:trPr>
        <w:tc>
          <w:tcPr>
            <w:tcW w:w="8352"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Services trade EU28 with Montenegro (mio €)</w:t>
            </w:r>
          </w:p>
        </w:tc>
      </w:tr>
      <w:tr>
        <w:trPr>
          <w:trHeight w:val="225"/>
        </w:trPr>
        <w:tc>
          <w:tcPr>
            <w:tcW w:w="3992"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93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399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231</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377</w:t>
            </w:r>
          </w:p>
        </w:tc>
      </w:tr>
      <w:tr>
        <w:trPr>
          <w:trHeight w:val="225"/>
        </w:trPr>
        <w:tc>
          <w:tcPr>
            <w:tcW w:w="399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266</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256</w:t>
            </w:r>
          </w:p>
        </w:tc>
      </w:tr>
      <w:tr>
        <w:trPr>
          <w:trHeight w:val="225"/>
        </w:trPr>
        <w:tc>
          <w:tcPr>
            <w:tcW w:w="399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36</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-122</w:t>
            </w:r>
          </w:p>
        </w:tc>
      </w:tr>
      <w:tr>
        <w:trPr>
          <w:trHeight w:val="225"/>
        </w:trPr>
        <w:tc>
          <w:tcPr>
            <w:tcW w:w="3992"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434</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497</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418</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479</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633</w:t>
            </w:r>
          </w:p>
        </w:tc>
      </w:tr>
      <w:tr>
        <w:trPr>
          <w:trHeight w:val="225"/>
        </w:trPr>
        <w:tc>
          <w:tcPr>
            <w:tcW w:w="3992"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856"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93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8352"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FDI EU28 with Montenegro (mio €)</w:t>
            </w:r>
          </w:p>
        </w:tc>
      </w:tr>
      <w:tr>
        <w:trPr>
          <w:trHeight w:val="225"/>
        </w:trPr>
        <w:tc>
          <w:tcPr>
            <w:tcW w:w="3992"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93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8352"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Stocks</w:t>
            </w:r>
          </w:p>
        </w:tc>
      </w:tr>
      <w:tr>
        <w:trPr>
          <w:trHeight w:val="225"/>
        </w:trPr>
        <w:tc>
          <w:tcPr>
            <w:tcW w:w="399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w:t>
            </w:r>
          </w:p>
        </w:tc>
      </w:tr>
      <w:tr>
        <w:trPr>
          <w:trHeight w:val="225"/>
        </w:trPr>
        <w:tc>
          <w:tcPr>
            <w:tcW w:w="399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1.799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1.663</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2.926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1.512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1.544</w:t>
            </w:r>
          </w:p>
        </w:tc>
      </w:tr>
      <w:tr>
        <w:trPr>
          <w:trHeight w:val="225"/>
        </w:trPr>
        <w:tc>
          <w:tcPr>
            <w:tcW w:w="8352"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Flows</w:t>
            </w:r>
          </w:p>
        </w:tc>
      </w:tr>
      <w:tr>
        <w:trPr>
          <w:trHeight w:val="225"/>
        </w:trPr>
        <w:tc>
          <w:tcPr>
            <w:tcW w:w="399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-29</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w:t>
            </w:r>
          </w:p>
        </w:tc>
      </w:tr>
      <w:tr>
        <w:trPr>
          <w:trHeight w:val="225"/>
        </w:trPr>
        <w:tc>
          <w:tcPr>
            <w:tcW w:w="399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196</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128</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129</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160</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188</w:t>
            </w:r>
          </w:p>
        </w:tc>
      </w:tr>
      <w:tr>
        <w:trPr>
          <w:trHeight w:val="225"/>
        </w:trPr>
        <w:tc>
          <w:tcPr>
            <w:tcW w:w="3992" w:type="dxa"/>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856"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93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bl>
    <w:p>
      <w:pPr>
        <w:rPr>
          <w:noProof/>
        </w:rPr>
      </w:pPr>
    </w:p>
    <w:p>
      <w:pPr>
        <w:spacing w:after="200" w:line="276" w:lineRule="auto"/>
        <w:rPr>
          <w:noProof/>
        </w:rPr>
      </w:pPr>
      <w:r>
        <w:rPr>
          <w:noProof/>
        </w:rPr>
        <w:br w:type="page"/>
      </w:r>
    </w:p>
    <w:p>
      <w:pPr>
        <w:pStyle w:val="ChapterHead"/>
        <w:jc w:val="both"/>
        <w:rPr>
          <w:b/>
          <w:caps/>
          <w:noProof/>
        </w:rPr>
      </w:pPr>
      <w:bookmarkStart w:id="3326" w:name="_Toc8833734"/>
      <w:bookmarkStart w:id="3327" w:name="_Toc8835561"/>
      <w:bookmarkStart w:id="3328" w:name="_Toc8834191"/>
      <w:bookmarkStart w:id="3329" w:name="_Toc8909654"/>
      <w:bookmarkStart w:id="3330" w:name="_Toc8910866"/>
      <w:bookmarkStart w:id="3331" w:name="_Toc8911903"/>
      <w:bookmarkStart w:id="3332" w:name="_Toc8974724"/>
      <w:bookmarkStart w:id="3333" w:name="_Toc9008377"/>
      <w:bookmarkStart w:id="3334" w:name="_Toc9008780"/>
      <w:bookmarkStart w:id="3335" w:name="_Toc9348776"/>
      <w:bookmarkStart w:id="3336" w:name="_Toc9608227"/>
      <w:bookmarkStart w:id="3337" w:name="_Toc16000789"/>
      <w:r>
        <w:rPr>
          <w:b/>
          <w:caps/>
          <w:noProof/>
        </w:rPr>
        <w:t>ANNUAL INFO SHEET ON the IMPLEMENTATION OF the TRADE PILLAR OF THE EU-SERBIA STABILISATION AND ASSOCIATION AGREEMENT</w:t>
      </w:r>
      <w:bookmarkEnd w:id="3326"/>
      <w:bookmarkEnd w:id="3327"/>
      <w:bookmarkEnd w:id="3328"/>
      <w:bookmarkEnd w:id="3329"/>
      <w:bookmarkEnd w:id="3330"/>
      <w:bookmarkEnd w:id="3331"/>
      <w:bookmarkEnd w:id="3332"/>
      <w:bookmarkEnd w:id="3333"/>
      <w:bookmarkEnd w:id="3334"/>
      <w:bookmarkEnd w:id="3335"/>
      <w:bookmarkEnd w:id="3336"/>
      <w:bookmarkEnd w:id="3337"/>
    </w:p>
    <w:p>
      <w:pPr>
        <w:pStyle w:val="ManualHeading1"/>
      </w:pPr>
      <w:bookmarkStart w:id="3338" w:name="_Toc8833735"/>
      <w:bookmarkStart w:id="3339" w:name="_Toc8835562"/>
      <w:bookmarkStart w:id="3340" w:name="_Toc8834192"/>
      <w:bookmarkStart w:id="3341" w:name="_Toc8909655"/>
      <w:bookmarkStart w:id="3342" w:name="_Toc8910867"/>
      <w:bookmarkStart w:id="3343" w:name="_Toc8911904"/>
      <w:bookmarkStart w:id="3344" w:name="_Toc8974725"/>
      <w:bookmarkStart w:id="3345" w:name="_Toc9008378"/>
      <w:bookmarkStart w:id="3346" w:name="_Toc9008781"/>
      <w:bookmarkStart w:id="3347" w:name="_Toc9348777"/>
      <w:bookmarkStart w:id="3348" w:name="_Toc9608228"/>
      <w:bookmarkStart w:id="3349" w:name="_Toc16000790"/>
      <w:r>
        <w:t>1.</w:t>
      </w:r>
      <w:r>
        <w:tab/>
        <w:t>Introduction</w:t>
      </w:r>
      <w:bookmarkEnd w:id="3338"/>
      <w:bookmarkEnd w:id="3339"/>
      <w:bookmarkEnd w:id="3340"/>
      <w:bookmarkEnd w:id="3341"/>
      <w:bookmarkEnd w:id="3342"/>
      <w:bookmarkEnd w:id="3343"/>
      <w:bookmarkEnd w:id="3344"/>
      <w:bookmarkEnd w:id="3345"/>
      <w:bookmarkEnd w:id="3346"/>
      <w:bookmarkEnd w:id="3347"/>
      <w:bookmarkEnd w:id="3348"/>
      <w:bookmarkEnd w:id="3349"/>
    </w:p>
    <w:p>
      <w:pPr>
        <w:jc w:val="both"/>
        <w:rPr>
          <w:noProof/>
        </w:rPr>
      </w:pPr>
      <w:r>
        <w:rPr>
          <w:noProof/>
        </w:rPr>
        <w:t xml:space="preserve">On 29 April 2008, the EU and Serbia signed a Stabilisation and Association Agreement (SAA). The SAA is the prime instrument of the EU’s overall policy towards the Western Balkan countries’ Stabilisation and Association process. Under this process, all Western Balkans countries, including Serbia, are granted a clear perspective to become EU Member States.  </w:t>
      </w:r>
    </w:p>
    <w:p>
      <w:pPr>
        <w:jc w:val="both"/>
        <w:rPr>
          <w:noProof/>
        </w:rPr>
      </w:pPr>
    </w:p>
    <w:p>
      <w:pPr>
        <w:jc w:val="both"/>
        <w:rPr>
          <w:noProof/>
        </w:rPr>
      </w:pPr>
      <w:r>
        <w:rPr>
          <w:noProof/>
        </w:rPr>
        <w:t xml:space="preserve">The SAA entered into force on 1 September 2013, however, the trade-related part of the SAA already applied, through an Interim Agreement, as of 1 February 2009 for Serbia, and as of 8 December 2009 for the EU side. This Agreement established a free-trade area over a transitional period of six years. </w:t>
      </w:r>
    </w:p>
    <w:p>
      <w:pPr>
        <w:jc w:val="both"/>
        <w:rPr>
          <w:noProof/>
        </w:rPr>
      </w:pPr>
    </w:p>
    <w:p>
      <w:pPr>
        <w:jc w:val="both"/>
        <w:rPr>
          <w:noProof/>
        </w:rPr>
      </w:pPr>
      <w:r>
        <w:rPr>
          <w:noProof/>
        </w:rPr>
        <w:t xml:space="preserve">The Agreement covers products in all Chapters of the Harmonised System. Only a few exceptions, concerning a limited number of agricultural and fishery products were not fully liberalised and are still subject to preferential quantitative concessions (TRQs).  </w:t>
      </w:r>
    </w:p>
    <w:p>
      <w:pPr>
        <w:jc w:val="both"/>
        <w:rPr>
          <w:noProof/>
        </w:rPr>
      </w:pPr>
    </w:p>
    <w:p>
      <w:pPr>
        <w:jc w:val="both"/>
        <w:rPr>
          <w:noProof/>
        </w:rPr>
      </w:pPr>
      <w:r>
        <w:rPr>
          <w:noProof/>
        </w:rPr>
        <w:t>The Agreement also includes provisions concerning competition and State aid, investment and related payments, a high level of protection of intellectual property rights and strengthened co-operation in customs matters. Since the entry into force of the full SAA in 2013, a number of other legislation approximations with impact on trade were put in place in the fields of public procurement, standardisation and the right of establishment.</w:t>
      </w:r>
    </w:p>
    <w:p>
      <w:pPr>
        <w:pStyle w:val="ManualHeading1"/>
      </w:pPr>
      <w:bookmarkStart w:id="3350" w:name="_Toc8833736"/>
      <w:bookmarkStart w:id="3351" w:name="_Toc8835563"/>
      <w:bookmarkStart w:id="3352" w:name="_Toc8834193"/>
      <w:bookmarkStart w:id="3353" w:name="_Toc8909656"/>
      <w:bookmarkStart w:id="3354" w:name="_Toc8910868"/>
      <w:bookmarkStart w:id="3355" w:name="_Toc8911905"/>
      <w:bookmarkStart w:id="3356" w:name="_Toc8974726"/>
      <w:bookmarkStart w:id="3357" w:name="_Toc9008379"/>
      <w:bookmarkStart w:id="3358" w:name="_Toc9008782"/>
      <w:bookmarkStart w:id="3359" w:name="_Toc9348778"/>
      <w:bookmarkStart w:id="3360" w:name="_Toc9608229"/>
      <w:bookmarkStart w:id="3361" w:name="_Toc16000791"/>
      <w:r>
        <w:t>2.</w:t>
      </w:r>
      <w:r>
        <w:tab/>
        <w:t>Evolution of trade</w:t>
      </w:r>
      <w:bookmarkEnd w:id="3350"/>
      <w:bookmarkEnd w:id="3351"/>
      <w:bookmarkEnd w:id="3352"/>
      <w:bookmarkEnd w:id="3353"/>
      <w:bookmarkEnd w:id="3354"/>
      <w:bookmarkEnd w:id="3355"/>
      <w:bookmarkEnd w:id="3356"/>
      <w:bookmarkEnd w:id="3357"/>
      <w:bookmarkEnd w:id="3358"/>
      <w:bookmarkEnd w:id="3359"/>
      <w:bookmarkEnd w:id="3360"/>
      <w:bookmarkEnd w:id="3361"/>
    </w:p>
    <w:p>
      <w:pPr>
        <w:pStyle w:val="Heading2"/>
        <w:ind w:left="0" w:firstLine="0"/>
      </w:pPr>
      <w:bookmarkStart w:id="3362" w:name="_Toc8833737"/>
      <w:bookmarkStart w:id="3363" w:name="_Toc8835564"/>
      <w:bookmarkStart w:id="3364" w:name="_Toc8834194"/>
      <w:bookmarkStart w:id="3365" w:name="_Toc8909657"/>
      <w:bookmarkStart w:id="3366" w:name="_Toc8910869"/>
      <w:bookmarkStart w:id="3367" w:name="_Toc8911906"/>
      <w:bookmarkStart w:id="3368" w:name="_Toc8974727"/>
      <w:bookmarkStart w:id="3369" w:name="_Toc9008380"/>
      <w:bookmarkStart w:id="3370" w:name="_Toc9008783"/>
      <w:bookmarkStart w:id="3371" w:name="_Toc9348779"/>
      <w:bookmarkStart w:id="3372" w:name="_Toc9608230"/>
      <w:bookmarkStart w:id="3373" w:name="_Toc16000792"/>
      <w:r>
        <w:t>2.1 Trade in Goods</w:t>
      </w:r>
      <w:bookmarkEnd w:id="3362"/>
      <w:bookmarkEnd w:id="3363"/>
      <w:bookmarkEnd w:id="3364"/>
      <w:bookmarkEnd w:id="3365"/>
      <w:bookmarkEnd w:id="3366"/>
      <w:bookmarkEnd w:id="3367"/>
      <w:bookmarkEnd w:id="3368"/>
      <w:bookmarkEnd w:id="3369"/>
      <w:bookmarkEnd w:id="3370"/>
      <w:bookmarkEnd w:id="3371"/>
      <w:bookmarkEnd w:id="3372"/>
      <w:bookmarkEnd w:id="3373"/>
    </w:p>
    <w:p>
      <w:pPr>
        <w:jc w:val="both"/>
        <w:rPr>
          <w:noProof/>
          <w:lang w:eastAsia="en-GB"/>
        </w:rPr>
      </w:pPr>
      <w:r>
        <w:rPr>
          <w:noProof/>
          <w:lang w:eastAsia="en-GB"/>
        </w:rPr>
        <w:t xml:space="preserve">Total bilateral trade between the EU and Serbia increased by 10% between 2017 and 2018 reaching a total amount of </w:t>
      </w:r>
      <w:r>
        <w:rPr>
          <w:b/>
          <w:bCs/>
          <w:noProof/>
          <w:lang w:eastAsia="en-GB"/>
        </w:rPr>
        <w:t>€26 billion</w:t>
      </w:r>
      <w:r>
        <w:rPr>
          <w:noProof/>
          <w:lang w:eastAsia="en-GB"/>
        </w:rPr>
        <w:t>. This represents a significant increase of 110% since the start of implementation of the trade agreement. The EU remains Serbia’s first trading partner accounting for 71% of total exports and 61% of total imports of goods. More specifically, Germany, Hungary, Italy, and Slovenia are responsible for 50% of the EU’s imports and exports from and to Serbia. The main imported products are machinery and appliances; base metals and articles thereof; plastics, rubber and articles thereof; and transport equipment. The EU mainly exports machinery and appliances; products of the chemical or allied industries; base metals and articles thereof; and transport equipment. The overall trade balance is in favour of the EU, it increased by 10% in 2018 reaching €3.7 billion.</w:t>
      </w:r>
    </w:p>
    <w:p>
      <w:pPr>
        <w:pStyle w:val="Heading2"/>
        <w:ind w:left="0" w:firstLine="0"/>
      </w:pPr>
      <w:bookmarkStart w:id="3374" w:name="_Toc8833738"/>
      <w:bookmarkStart w:id="3375" w:name="_Toc8835565"/>
      <w:bookmarkStart w:id="3376" w:name="_Toc8834195"/>
      <w:bookmarkStart w:id="3377" w:name="_Toc8909658"/>
      <w:bookmarkStart w:id="3378" w:name="_Toc8910870"/>
      <w:bookmarkStart w:id="3379" w:name="_Toc8911907"/>
      <w:bookmarkStart w:id="3380" w:name="_Toc8974728"/>
      <w:bookmarkStart w:id="3381" w:name="_Toc9008381"/>
      <w:bookmarkStart w:id="3382" w:name="_Toc9008784"/>
      <w:bookmarkStart w:id="3383" w:name="_Toc9348780"/>
      <w:bookmarkStart w:id="3384" w:name="_Toc9608231"/>
      <w:bookmarkStart w:id="3385" w:name="_Toc16000793"/>
      <w:r>
        <w:t>2.2 Trade in agricultural goods</w:t>
      </w:r>
      <w:bookmarkEnd w:id="3374"/>
      <w:bookmarkEnd w:id="3375"/>
      <w:bookmarkEnd w:id="3376"/>
      <w:bookmarkEnd w:id="3377"/>
      <w:bookmarkEnd w:id="3378"/>
      <w:bookmarkEnd w:id="3379"/>
      <w:bookmarkEnd w:id="3380"/>
      <w:bookmarkEnd w:id="3381"/>
      <w:bookmarkEnd w:id="3382"/>
      <w:bookmarkEnd w:id="3383"/>
      <w:bookmarkEnd w:id="3384"/>
      <w:bookmarkEnd w:id="3385"/>
    </w:p>
    <w:p>
      <w:pPr>
        <w:jc w:val="both"/>
        <w:rPr>
          <w:noProof/>
          <w:lang w:eastAsia="en-GB"/>
        </w:rPr>
      </w:pPr>
      <w:r>
        <w:rPr>
          <w:noProof/>
          <w:lang w:eastAsia="en-GB"/>
        </w:rPr>
        <w:t xml:space="preserve">Serbia has traditionally recorded a surplus in its agricultural trade with the EU, however, in 2018, </w:t>
      </w:r>
      <w:r>
        <w:rPr>
          <w:noProof/>
          <w:color w:val="000000" w:themeColor="text1"/>
        </w:rPr>
        <w:t>due to a bad agricultural season for Serbia in the previous year,</w:t>
      </w:r>
      <w:r>
        <w:rPr>
          <w:noProof/>
          <w:lang w:eastAsia="en-GB"/>
        </w:rPr>
        <w:t xml:space="preserve"> the balance turned in favour of the EU who enjoyed a small surplus of €34 million. Trade in agricultural products represents around 9% of the total bilateral trade. In 2018, Serbia’s agricultural exports to the EU dropped by nearly 5% but still represented over 10% of all its exports to the EU; while the EU’s agricultural exports to Serbia increased by nearly 3% and represented 8% of the EU’s total exports to Serbia. The EU imported mainly fruits &amp; vegetables, cereals and vegetable oils (other than palm and olive oils) from Serbia, while its main export products to Serbia were meat and food preparations.</w:t>
      </w:r>
    </w:p>
    <w:p>
      <w:pPr>
        <w:jc w:val="both"/>
        <w:rPr>
          <w:noProof/>
          <w:lang w:eastAsia="en-GB"/>
        </w:rPr>
      </w:pPr>
    </w:p>
    <w:p>
      <w:pPr>
        <w:jc w:val="both"/>
        <w:rPr>
          <w:noProof/>
          <w:lang w:eastAsia="en-GB"/>
        </w:rPr>
      </w:pPr>
      <w:r>
        <w:rPr>
          <w:noProof/>
          <w:lang w:eastAsia="en-GB"/>
        </w:rPr>
        <w:t>Part of the agricultural trade between the EU and Serbia is subject to TRQs, either duty-free or at a reduced customs duty rate. The majority of agricultural quotas were fully utilised or almost fully utilised (wine quota used at 92%) by EU exporters. Whereas quotas for wheat and cigars were underutilised at 43% and 33% respectively and the maize and fruit juices quotas remained completely unused by EU exporters in 2018.</w:t>
      </w:r>
    </w:p>
    <w:p>
      <w:pPr>
        <w:jc w:val="both"/>
        <w:rPr>
          <w:noProof/>
          <w:lang w:eastAsia="en-GB"/>
        </w:rPr>
      </w:pPr>
    </w:p>
    <w:p>
      <w:pPr>
        <w:jc w:val="both"/>
        <w:rPr>
          <w:noProof/>
          <w:lang w:eastAsia="en-GB"/>
        </w:rPr>
      </w:pPr>
      <w:r>
        <w:rPr>
          <w:noProof/>
          <w:lang w:eastAsia="en-GB"/>
        </w:rPr>
        <w:t>The EU grants tariff quota to Serbia for beef, sugar and wine. Only 16.5% of the sugar quota and 5% of the beef quota were used by Serbian exporters in 2018, while the utilisation rate for sparkling wine was at 6.5% and for fresh wine only over 2%.</w:t>
      </w:r>
    </w:p>
    <w:p>
      <w:pPr>
        <w:pStyle w:val="Heading2"/>
        <w:tabs>
          <w:tab w:val="clear" w:pos="4570"/>
        </w:tabs>
        <w:ind w:left="567"/>
      </w:pPr>
      <w:bookmarkStart w:id="3386" w:name="_Toc8833740"/>
      <w:bookmarkStart w:id="3387" w:name="_Toc8835567"/>
      <w:bookmarkStart w:id="3388" w:name="_Toc8834197"/>
      <w:bookmarkStart w:id="3389" w:name="_Toc8909660"/>
      <w:bookmarkStart w:id="3390" w:name="_Toc8910872"/>
      <w:bookmarkStart w:id="3391" w:name="_Toc8911909"/>
      <w:bookmarkStart w:id="3392" w:name="_Toc8974730"/>
      <w:bookmarkStart w:id="3393" w:name="_Toc9008383"/>
      <w:bookmarkStart w:id="3394" w:name="_Toc9008786"/>
      <w:bookmarkStart w:id="3395" w:name="_Toc9348782"/>
      <w:bookmarkStart w:id="3396" w:name="_Toc9608233"/>
      <w:bookmarkStart w:id="3397" w:name="_Toc16000794"/>
      <w:r>
        <w:t>2.3 Trade in Services and Foreign Direct investment (FDIs)</w:t>
      </w:r>
      <w:bookmarkEnd w:id="3386"/>
      <w:bookmarkEnd w:id="3387"/>
      <w:bookmarkEnd w:id="3388"/>
      <w:bookmarkEnd w:id="3389"/>
      <w:bookmarkEnd w:id="3390"/>
      <w:bookmarkEnd w:id="3391"/>
      <w:bookmarkEnd w:id="3392"/>
      <w:bookmarkEnd w:id="3393"/>
      <w:bookmarkEnd w:id="3394"/>
      <w:bookmarkEnd w:id="3395"/>
      <w:bookmarkEnd w:id="3396"/>
      <w:bookmarkEnd w:id="3397"/>
    </w:p>
    <w:p>
      <w:pPr>
        <w:jc w:val="both"/>
        <w:rPr>
          <w:noProof/>
          <w:lang w:eastAsia="en-GB"/>
        </w:rPr>
      </w:pPr>
      <w:r>
        <w:rPr>
          <w:noProof/>
          <w:lang w:eastAsia="en-GB"/>
        </w:rPr>
        <w:t xml:space="preserve">In 2017, total trade in services represented 16% of the total bilateral trade of goods and services with an equal share between imports and exports. Overall, the EU records a surplus in its trade in services with Serbia, on average around €0.5 billion over the last 5 years. </w:t>
      </w:r>
    </w:p>
    <w:p>
      <w:pPr>
        <w:jc w:val="both"/>
        <w:rPr>
          <w:noProof/>
          <w:lang w:eastAsia="en-GB"/>
        </w:rPr>
      </w:pPr>
    </w:p>
    <w:p>
      <w:pPr>
        <w:jc w:val="both"/>
        <w:rPr>
          <w:noProof/>
          <w:color w:val="000000" w:themeColor="text1"/>
        </w:rPr>
      </w:pPr>
      <w:r>
        <w:rPr>
          <w:noProof/>
          <w:color w:val="000000" w:themeColor="text1"/>
        </w:rPr>
        <w:t xml:space="preserve">Serbia’s financial system is dominated by commercial banks, and banks with majority ownership from EU countries hold more than 70% of all banking system assets. </w:t>
      </w:r>
    </w:p>
    <w:p>
      <w:pPr>
        <w:jc w:val="both"/>
        <w:rPr>
          <w:noProof/>
          <w:color w:val="000000" w:themeColor="text1"/>
        </w:rPr>
      </w:pPr>
    </w:p>
    <w:p>
      <w:pPr>
        <w:jc w:val="both"/>
        <w:rPr>
          <w:noProof/>
          <w:color w:val="000000" w:themeColor="text1"/>
        </w:rPr>
      </w:pPr>
      <w:r>
        <w:rPr>
          <w:noProof/>
          <w:color w:val="000000" w:themeColor="text1"/>
        </w:rPr>
        <w:t xml:space="preserve">The </w:t>
      </w:r>
      <w:r>
        <w:rPr>
          <w:noProof/>
          <w:color w:val="000000" w:themeColor="text1"/>
          <w:lang w:eastAsia="fr-FR" w:bidi="fr-FR"/>
        </w:rPr>
        <w:t xml:space="preserve">EU </w:t>
      </w:r>
      <w:r>
        <w:rPr>
          <w:noProof/>
          <w:color w:val="000000" w:themeColor="text1"/>
        </w:rPr>
        <w:t xml:space="preserve">is also by far Serbia’s biggest investment partner, accounting for more than three quarters of net foreign direct </w:t>
      </w:r>
      <w:r>
        <w:rPr>
          <w:noProof/>
          <w:color w:val="000000" w:themeColor="text1"/>
          <w:lang w:eastAsia="da-DK" w:bidi="da-DK"/>
        </w:rPr>
        <w:t xml:space="preserve">investment </w:t>
      </w:r>
      <w:r>
        <w:rPr>
          <w:noProof/>
          <w:color w:val="000000" w:themeColor="text1"/>
        </w:rPr>
        <w:t>inflows over the past eight years – amounting to over €13 billion in total.</w:t>
      </w:r>
    </w:p>
    <w:p>
      <w:pPr>
        <w:pStyle w:val="ManualHeading1"/>
      </w:pPr>
      <w:bookmarkStart w:id="3398" w:name="_Toc8833741"/>
      <w:bookmarkStart w:id="3399" w:name="_Toc8835568"/>
      <w:bookmarkStart w:id="3400" w:name="_Toc8834198"/>
      <w:bookmarkStart w:id="3401" w:name="_Toc8909661"/>
      <w:bookmarkStart w:id="3402" w:name="_Toc8910873"/>
      <w:bookmarkStart w:id="3403" w:name="_Toc8911910"/>
      <w:bookmarkStart w:id="3404" w:name="_Toc8974731"/>
      <w:bookmarkStart w:id="3405" w:name="_Toc9008384"/>
      <w:bookmarkStart w:id="3406" w:name="_Toc9008787"/>
      <w:bookmarkStart w:id="3407" w:name="_Toc9348783"/>
      <w:bookmarkStart w:id="3408" w:name="_Toc9608234"/>
      <w:bookmarkStart w:id="3409" w:name="_Toc16000795"/>
      <w:r>
        <w:t>3.</w:t>
      </w:r>
      <w:r>
        <w:tab/>
        <w:t>Issues addressed in the annual trade committee meeting</w:t>
      </w:r>
      <w:bookmarkEnd w:id="3398"/>
      <w:bookmarkEnd w:id="3399"/>
      <w:bookmarkEnd w:id="3400"/>
      <w:bookmarkEnd w:id="3401"/>
      <w:bookmarkEnd w:id="3402"/>
      <w:bookmarkEnd w:id="3403"/>
      <w:bookmarkEnd w:id="3404"/>
      <w:bookmarkEnd w:id="3405"/>
      <w:bookmarkEnd w:id="3406"/>
      <w:bookmarkEnd w:id="3407"/>
      <w:bookmarkEnd w:id="3408"/>
      <w:bookmarkEnd w:id="3409"/>
    </w:p>
    <w:p>
      <w:pPr>
        <w:jc w:val="both"/>
        <w:rPr>
          <w:noProof/>
        </w:rPr>
      </w:pPr>
      <w:r>
        <w:rPr>
          <w:noProof/>
        </w:rPr>
        <w:t>Commercial issues are discussed on an annual basis in the context of the Sub-committee on Trade, Industry, Customs and Taxation. The latest meeting took place on 17 October 2018, during which the Commission expressed its satisfaction that in May 2018, after a series of bilateral consultations over several months, Serbia lifted its restrictions on the issuing of export licences for metal waste. In this context, the Commission highlighted the importance of respecting Article 36(2) of the SAA - standstill clause - to ensure the necessary legal predictability for investors in the country.</w:t>
      </w:r>
    </w:p>
    <w:p>
      <w:pPr>
        <w:jc w:val="both"/>
        <w:rPr>
          <w:noProof/>
        </w:rPr>
      </w:pPr>
    </w:p>
    <w:p>
      <w:pPr>
        <w:jc w:val="both"/>
        <w:rPr>
          <w:noProof/>
        </w:rPr>
      </w:pPr>
      <w:r>
        <w:rPr>
          <w:noProof/>
        </w:rPr>
        <w:t xml:space="preserve">During the discussions, the Commission identified as a main obstacle to trade the unpredictable technical and phyto-sanitary controls. It asked Serbia for explanations how these controls are conducted and asked several questions on the draft law on sanitary inspections. </w:t>
      </w:r>
    </w:p>
    <w:p>
      <w:pPr>
        <w:jc w:val="both"/>
        <w:rPr>
          <w:noProof/>
        </w:rPr>
      </w:pPr>
    </w:p>
    <w:p>
      <w:pPr>
        <w:jc w:val="both"/>
        <w:rPr>
          <w:noProof/>
        </w:rPr>
      </w:pPr>
      <w:r>
        <w:rPr>
          <w:noProof/>
        </w:rPr>
        <w:t xml:space="preserve">The Commission also pleaded that more administrative capacity be deployed in the Ministry of trade in view of growing challenges – WTO accession, Regional Economic Area agenda, increasing volumes of trade. In this regard, the Commission expressed concerns about the slow pace of Serbia’s accession negotiations to WTO.  </w:t>
      </w:r>
    </w:p>
    <w:p>
      <w:pPr>
        <w:jc w:val="both"/>
        <w:rPr>
          <w:noProof/>
        </w:rPr>
      </w:pPr>
    </w:p>
    <w:p>
      <w:pPr>
        <w:jc w:val="both"/>
        <w:rPr>
          <w:noProof/>
        </w:rPr>
      </w:pPr>
      <w:r>
        <w:rPr>
          <w:noProof/>
        </w:rPr>
        <w:t xml:space="preserve">Furthermore, it was noted with regret that Serbia continues to apply a discriminatory excise on grain-based spirits, which favours fruit based spirits at the expense of grain-based spirits. Serbia was asked for a date when this excise could be changed. In reply, Serbia announced that it was studying effects of such a change, but did not commit to any date. </w:t>
      </w:r>
    </w:p>
    <w:p>
      <w:pPr>
        <w:jc w:val="both"/>
        <w:rPr>
          <w:noProof/>
        </w:rPr>
      </w:pPr>
    </w:p>
    <w:p>
      <w:pPr>
        <w:jc w:val="both"/>
        <w:rPr>
          <w:noProof/>
        </w:rPr>
      </w:pPr>
      <w:r>
        <w:rPr>
          <w:noProof/>
        </w:rPr>
        <w:t xml:space="preserve">Lastly, on Serbia’s request, the Commission explained the ongoing procedures regarding temporary safeguards on steel and announced that bilateral consultations with Serbia would be organised by the end of 2018 in line with the SAA requirements. </w:t>
      </w:r>
    </w:p>
    <w:p>
      <w:pPr>
        <w:pStyle w:val="ManualHeading1"/>
      </w:pPr>
      <w:bookmarkStart w:id="3410" w:name="_Toc8833742"/>
      <w:bookmarkStart w:id="3411" w:name="_Toc8835569"/>
      <w:bookmarkStart w:id="3412" w:name="_Toc8834199"/>
      <w:bookmarkStart w:id="3413" w:name="_Toc8909662"/>
      <w:bookmarkStart w:id="3414" w:name="_Toc8910874"/>
      <w:bookmarkStart w:id="3415" w:name="_Toc8911911"/>
      <w:bookmarkStart w:id="3416" w:name="_Toc8974732"/>
      <w:bookmarkStart w:id="3417" w:name="_Toc9008385"/>
      <w:bookmarkStart w:id="3418" w:name="_Toc9008788"/>
      <w:bookmarkStart w:id="3419" w:name="_Toc9348784"/>
      <w:bookmarkStart w:id="3420" w:name="_Toc9608235"/>
      <w:bookmarkStart w:id="3421" w:name="_Toc16000796"/>
      <w:r>
        <w:t>4.</w:t>
      </w:r>
      <w:r>
        <w:tab/>
        <w:t>Specific areas of importance</w:t>
      </w:r>
      <w:bookmarkEnd w:id="3410"/>
      <w:bookmarkEnd w:id="3411"/>
      <w:bookmarkEnd w:id="3412"/>
      <w:bookmarkEnd w:id="3413"/>
      <w:bookmarkEnd w:id="3414"/>
      <w:bookmarkEnd w:id="3415"/>
      <w:bookmarkEnd w:id="3416"/>
      <w:bookmarkEnd w:id="3417"/>
      <w:bookmarkEnd w:id="3418"/>
      <w:bookmarkEnd w:id="3419"/>
      <w:bookmarkEnd w:id="3420"/>
      <w:bookmarkEnd w:id="3421"/>
    </w:p>
    <w:p>
      <w:pPr>
        <w:jc w:val="both"/>
        <w:rPr>
          <w:rFonts w:eastAsia="Times New Roman"/>
          <w:noProof/>
        </w:rPr>
      </w:pPr>
      <w:r>
        <w:rPr>
          <w:rFonts w:eastAsia="Times New Roman"/>
          <w:noProof/>
        </w:rPr>
        <w:t xml:space="preserve">Despite an overall improvement of the business environment, which had led </w:t>
      </w:r>
      <w:r>
        <w:rPr>
          <w:noProof/>
          <w:color w:val="000000" w:themeColor="text1"/>
        </w:rPr>
        <w:t xml:space="preserve">Serbia to improve its standing in various international business rankings, further </w:t>
      </w:r>
      <w:r>
        <w:rPr>
          <w:rFonts w:eastAsia="Times New Roman"/>
          <w:noProof/>
        </w:rPr>
        <w:t xml:space="preserve">efforts are required to improve the predictability of the business environment, with the emphasis on involving business more closely into the process of regulation. </w:t>
      </w:r>
      <w:r>
        <w:rPr>
          <w:noProof/>
          <w:color w:val="000000" w:themeColor="text1"/>
        </w:rPr>
        <w:t>The institutional and regulatory environment remains weak.</w:t>
      </w:r>
      <w:r>
        <w:rPr>
          <w:b/>
          <w:bCs/>
          <w:noProof/>
          <w:color w:val="000000" w:themeColor="text1"/>
        </w:rPr>
        <w:t xml:space="preserve"> </w:t>
      </w:r>
      <w:r>
        <w:rPr>
          <w:noProof/>
          <w:color w:val="000000" w:themeColor="text1"/>
        </w:rPr>
        <w:t xml:space="preserve">Business-related laws continue to be adopted under urgent procedure without the necessary consultation of interested groups, reducing predictability and quality of legislation. Delays in the adoption of secondary legislation continue hampering the implementation of adopted laws. In addition, fair competition is negatively affected by the large informal economy. </w:t>
      </w:r>
    </w:p>
    <w:p>
      <w:pPr>
        <w:pStyle w:val="ManualHeading1"/>
      </w:pPr>
      <w:bookmarkStart w:id="3422" w:name="_Toc8833743"/>
      <w:bookmarkStart w:id="3423" w:name="_Toc8835570"/>
      <w:bookmarkStart w:id="3424" w:name="_Toc8834200"/>
      <w:bookmarkStart w:id="3425" w:name="_Toc8909663"/>
      <w:bookmarkStart w:id="3426" w:name="_Toc8910875"/>
      <w:bookmarkStart w:id="3427" w:name="_Toc8911912"/>
      <w:bookmarkStart w:id="3428" w:name="_Toc8974733"/>
      <w:bookmarkStart w:id="3429" w:name="_Toc9008386"/>
      <w:bookmarkStart w:id="3430" w:name="_Toc9008789"/>
      <w:bookmarkStart w:id="3431" w:name="_Toc9348785"/>
      <w:bookmarkStart w:id="3432" w:name="_Toc9608236"/>
      <w:bookmarkStart w:id="3433" w:name="_Toc16000797"/>
      <w:r>
        <w:t>5.</w:t>
      </w:r>
      <w:r>
        <w:tab/>
        <w:t>Main open issues and follow-up actions</w:t>
      </w:r>
      <w:bookmarkEnd w:id="3422"/>
      <w:bookmarkEnd w:id="3423"/>
      <w:bookmarkEnd w:id="3424"/>
      <w:bookmarkEnd w:id="3425"/>
      <w:bookmarkEnd w:id="3426"/>
      <w:bookmarkEnd w:id="3427"/>
      <w:bookmarkEnd w:id="3428"/>
      <w:bookmarkEnd w:id="3429"/>
      <w:bookmarkEnd w:id="3430"/>
      <w:bookmarkEnd w:id="3431"/>
      <w:bookmarkEnd w:id="3432"/>
      <w:bookmarkEnd w:id="3433"/>
    </w:p>
    <w:p>
      <w:pPr>
        <w:jc w:val="both"/>
        <w:rPr>
          <w:rFonts w:eastAsia="Times New Roman"/>
          <w:i/>
          <w:iCs/>
          <w:noProof/>
          <w:color w:val="000000" w:themeColor="text1"/>
          <w:lang w:bidi="en-US"/>
        </w:rPr>
      </w:pPr>
      <w:r>
        <w:rPr>
          <w:rFonts w:eastAsia="Times New Roman"/>
          <w:noProof/>
        </w:rPr>
        <w:t xml:space="preserve">Although Serbia has continued to build a record of accomplishment in implementing the interim agreement and then the SAA provisions since their entry into force, some non-compliance issues remain. These concern mainly fiscal discrimination on alcohol (article 37); restrictions to free movement of capital - in particular restrictions to the acquisition by foreigners, including EU citizens, of agricultural land - (article 63) and the respect for the transparency and non-discrimination principals in public procurement procedures (article 73). </w:t>
      </w:r>
      <w:r>
        <w:rPr>
          <w:noProof/>
        </w:rPr>
        <w:t>In line with SAA obligations, e</w:t>
      </w:r>
      <w:r>
        <w:rPr>
          <w:rFonts w:eastAsia="Times New Roman"/>
          <w:noProof/>
        </w:rPr>
        <w:t xml:space="preserve">nforcement of competition </w:t>
      </w:r>
      <w:r>
        <w:rPr>
          <w:rFonts w:eastAsia="Times New Roman"/>
          <w:noProof/>
          <w:szCs w:val="20"/>
          <w:lang w:eastAsia="en-GB"/>
        </w:rPr>
        <w:t xml:space="preserve">rules needs to be enhanced, and significant efforts are needed with regards to adoption of legislation and enforcement in the field of state aid control, including transparency of aid granted. </w:t>
      </w:r>
      <w:r>
        <w:rPr>
          <w:rFonts w:eastAsia="Times New Roman"/>
          <w:noProof/>
        </w:rPr>
        <w:t xml:space="preserve">In particular, Serbia should </w:t>
      </w:r>
      <w:r>
        <w:rPr>
          <w:rFonts w:eastAsia="Times New Roman"/>
          <w:noProof/>
          <w:color w:val="000000" w:themeColor="text1"/>
          <w:lang w:bidi="en-US"/>
        </w:rPr>
        <w:t xml:space="preserve">ensure that intergovernmental agreements concluded with third countries and their implementation do not unduly restrict competition, comply with the basic principles of public procurement, such as transparency, equal treatment and non-discrimination, and are in line with the EU </w:t>
      </w:r>
      <w:r>
        <w:rPr>
          <w:rFonts w:eastAsia="Times New Roman"/>
          <w:i/>
          <w:iCs/>
          <w:noProof/>
          <w:color w:val="000000" w:themeColor="text1"/>
          <w:lang w:bidi="en-US"/>
        </w:rPr>
        <w:t>acquis.</w:t>
      </w:r>
    </w:p>
    <w:p>
      <w:pPr>
        <w:jc w:val="both"/>
        <w:rPr>
          <w:rFonts w:eastAsia="Times New Roman"/>
          <w:noProof/>
        </w:rPr>
      </w:pPr>
    </w:p>
    <w:p>
      <w:pPr>
        <w:jc w:val="both"/>
        <w:rPr>
          <w:rFonts w:eastAsia="Times New Roman"/>
          <w:noProof/>
        </w:rPr>
      </w:pPr>
      <w:r>
        <w:rPr>
          <w:rFonts w:eastAsia="Times New Roman"/>
          <w:noProof/>
        </w:rPr>
        <w:t>All these pending issues were raised in the relevant EU-Serbia Sub-committee meetings held or planned in 2019.</w:t>
      </w:r>
    </w:p>
    <w:p>
      <w:pPr>
        <w:jc w:val="both"/>
        <w:rPr>
          <w:rFonts w:eastAsia="Times New Roman"/>
          <w:noProof/>
        </w:rPr>
      </w:pPr>
    </w:p>
    <w:p>
      <w:pPr>
        <w:jc w:val="both"/>
        <w:rPr>
          <w:noProof/>
        </w:rPr>
      </w:pPr>
      <w:r>
        <w:rPr>
          <w:noProof/>
        </w:rPr>
        <w:t>Lastly, in November 2018, Kosovo imposed a 100% import tariff for goods originating from Serbia (and Bosnia and Herzegovina), indirectly affecting EU businesses operating in Serbia and trading in the region. These measures are politically motivated and the EU has repeatedly called for their termination.</w:t>
      </w:r>
    </w:p>
    <w:p>
      <w:pPr>
        <w:pStyle w:val="ManualHeading1"/>
      </w:pPr>
      <w:bookmarkStart w:id="3434" w:name="_Toc8833744"/>
      <w:bookmarkStart w:id="3435" w:name="_Toc8835571"/>
      <w:bookmarkStart w:id="3436" w:name="_Toc8834201"/>
      <w:bookmarkStart w:id="3437" w:name="_Toc8909664"/>
      <w:bookmarkStart w:id="3438" w:name="_Toc8910876"/>
      <w:bookmarkStart w:id="3439" w:name="_Toc8911913"/>
      <w:bookmarkStart w:id="3440" w:name="_Toc8974734"/>
      <w:bookmarkStart w:id="3441" w:name="_Toc9008387"/>
      <w:bookmarkStart w:id="3442" w:name="_Toc9008790"/>
      <w:bookmarkStart w:id="3443" w:name="_Toc9348786"/>
      <w:bookmarkStart w:id="3444" w:name="_Toc9608237"/>
      <w:bookmarkStart w:id="3445" w:name="_Toc16000798"/>
      <w:r>
        <w:t>6.</w:t>
      </w:r>
      <w:r>
        <w:tab/>
        <w:t>Conclusions</w:t>
      </w:r>
      <w:bookmarkEnd w:id="3434"/>
      <w:bookmarkEnd w:id="3435"/>
      <w:bookmarkEnd w:id="3436"/>
      <w:bookmarkEnd w:id="3437"/>
      <w:bookmarkEnd w:id="3438"/>
      <w:bookmarkEnd w:id="3439"/>
      <w:bookmarkEnd w:id="3440"/>
      <w:bookmarkEnd w:id="3441"/>
      <w:bookmarkEnd w:id="3442"/>
      <w:bookmarkEnd w:id="3443"/>
      <w:bookmarkEnd w:id="3444"/>
      <w:bookmarkEnd w:id="3445"/>
    </w:p>
    <w:p>
      <w:pPr>
        <w:jc w:val="both"/>
        <w:rPr>
          <w:noProof/>
        </w:rPr>
      </w:pPr>
      <w:r>
        <w:rPr>
          <w:noProof/>
        </w:rPr>
        <w:t xml:space="preserve">Serbia and the EU have a very close and growing trade partnership, which increased their total trade by 110% since the entry into force of the trade agreement end of 2009. The EU </w:t>
      </w:r>
      <w:r>
        <w:rPr>
          <w:noProof/>
          <w:lang w:eastAsia="en-GB"/>
        </w:rPr>
        <w:t>is</w:t>
      </w:r>
      <w:r>
        <w:rPr>
          <w:noProof/>
        </w:rPr>
        <w:t xml:space="preserve"> Serbia’s </w:t>
      </w:r>
      <w:r>
        <w:rPr>
          <w:noProof/>
          <w:lang w:eastAsia="en-GB"/>
        </w:rPr>
        <w:t>first</w:t>
      </w:r>
      <w:r>
        <w:rPr>
          <w:noProof/>
        </w:rPr>
        <w:t xml:space="preserve"> trading partner accounting for </w:t>
      </w:r>
      <w:r>
        <w:rPr>
          <w:noProof/>
          <w:lang w:eastAsia="en-GB"/>
        </w:rPr>
        <w:t>71</w:t>
      </w:r>
      <w:r>
        <w:rPr>
          <w:noProof/>
        </w:rPr>
        <w:t xml:space="preserve">% of its total exports and </w:t>
      </w:r>
      <w:r>
        <w:rPr>
          <w:noProof/>
          <w:lang w:eastAsia="en-GB"/>
        </w:rPr>
        <w:t>61</w:t>
      </w:r>
      <w:r>
        <w:rPr>
          <w:noProof/>
        </w:rPr>
        <w:t xml:space="preserve">% of its total imports of goods. The EU continued to be the main source of foreign investment too, with total FDI flows reaching €1.2 billion in 2017.  </w:t>
      </w:r>
    </w:p>
    <w:p>
      <w:pPr>
        <w:jc w:val="both"/>
        <w:rPr>
          <w:noProof/>
        </w:rPr>
      </w:pPr>
    </w:p>
    <w:p>
      <w:pPr>
        <w:jc w:val="both"/>
        <w:rPr>
          <w:noProof/>
        </w:rPr>
      </w:pPr>
      <w:r>
        <w:rPr>
          <w:noProof/>
        </w:rPr>
        <w:t xml:space="preserve">Despite very good trade and investment dynamics, companies still face a number of challenges, including an unpredictable business environment and issues of non-compliance with the SAA, regarding in particular a lack of transparency of public procurement procedures, restrictions on capital movements, state aid control, fiscal discrimination on imported spirits.  </w:t>
      </w:r>
    </w:p>
    <w:p>
      <w:pPr>
        <w:jc w:val="both"/>
        <w:rPr>
          <w:noProof/>
        </w:rPr>
      </w:pPr>
    </w:p>
    <w:p>
      <w:pPr>
        <w:jc w:val="both"/>
        <w:rPr>
          <w:noProof/>
        </w:rPr>
      </w:pPr>
      <w:r>
        <w:rPr>
          <w:noProof/>
        </w:rPr>
        <w:t>Overall, it is expected that the renewed momentum of the European integration process and progress in accession negotiations will give further impetus to major reforms and consequently have a positive impact on the investment and business climate in Serbia in the coming period. Similarly, the development of a Regional Economic Area in the Western Balkans based on the CEFTA agreement and on the EU rules and standards, to which all regional economies have committed, has the potential to generate untapped growth. Despite the 100% tariffs imposed by Kosovo, which have recently undermined regional cooperation efforts, a big milestone was reached on 4 April 2019 when Ministers of Telecommunications from the Western Balkans signed a Regional Roaming Agreement. This Agreement envisages a roaming-free region across the Western Balkans in 2021, also paving the way for further reductions of the roaming costs between the Western Balkans economies and the European Union.</w:t>
      </w:r>
    </w:p>
    <w:p>
      <w:pPr>
        <w:pStyle w:val="ManualHeading1"/>
      </w:pPr>
      <w:bookmarkStart w:id="3446" w:name="_Toc8833745"/>
      <w:bookmarkStart w:id="3447" w:name="_Toc8835572"/>
      <w:bookmarkStart w:id="3448" w:name="_Toc8834202"/>
      <w:bookmarkStart w:id="3449" w:name="_Toc8909665"/>
      <w:bookmarkStart w:id="3450" w:name="_Toc8910877"/>
      <w:bookmarkStart w:id="3451" w:name="_Toc8911914"/>
      <w:bookmarkStart w:id="3452" w:name="_Toc8974735"/>
      <w:bookmarkStart w:id="3453" w:name="_Toc9008388"/>
      <w:bookmarkStart w:id="3454" w:name="_Toc9008791"/>
      <w:bookmarkStart w:id="3455" w:name="_Toc9348787"/>
      <w:bookmarkStart w:id="3456" w:name="_Toc9608238"/>
      <w:bookmarkStart w:id="3457" w:name="_Toc16000799"/>
      <w:r>
        <w:t>7.</w:t>
      </w:r>
      <w:r>
        <w:tab/>
        <w:t>Statistics</w:t>
      </w:r>
      <w:bookmarkEnd w:id="3446"/>
      <w:bookmarkEnd w:id="3447"/>
      <w:bookmarkEnd w:id="3448"/>
      <w:bookmarkEnd w:id="3449"/>
      <w:bookmarkEnd w:id="3450"/>
      <w:bookmarkEnd w:id="3451"/>
      <w:bookmarkEnd w:id="3452"/>
      <w:bookmarkEnd w:id="3453"/>
      <w:bookmarkEnd w:id="3454"/>
      <w:bookmarkEnd w:id="3455"/>
      <w:bookmarkEnd w:id="3456"/>
      <w:bookmarkEnd w:id="3457"/>
    </w:p>
    <w:tbl>
      <w:tblPr>
        <w:tblW w:w="7891" w:type="dxa"/>
        <w:tblInd w:w="108" w:type="dxa"/>
        <w:tblLook w:val="04A0" w:firstRow="1" w:lastRow="0" w:firstColumn="1" w:lastColumn="0" w:noHBand="0" w:noVBand="1"/>
      </w:tblPr>
      <w:tblGrid>
        <w:gridCol w:w="3531"/>
        <w:gridCol w:w="856"/>
        <w:gridCol w:w="856"/>
        <w:gridCol w:w="936"/>
        <w:gridCol w:w="856"/>
        <w:gridCol w:w="856"/>
      </w:tblGrid>
      <w:tr>
        <w:trPr>
          <w:trHeight w:val="210"/>
        </w:trPr>
        <w:tc>
          <w:tcPr>
            <w:tcW w:w="3531"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93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10"/>
        </w:trPr>
        <w:tc>
          <w:tcPr>
            <w:tcW w:w="7891"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Merchandise trade EU28 2014-2018</w:t>
            </w:r>
          </w:p>
        </w:tc>
      </w:tr>
      <w:tr>
        <w:trPr>
          <w:trHeight w:val="210"/>
        </w:trPr>
        <w:tc>
          <w:tcPr>
            <w:tcW w:w="3531" w:type="dxa"/>
            <w:tcBorders>
              <w:top w:val="single" w:sz="4" w:space="0" w:color="auto"/>
              <w:left w:val="nil"/>
              <w:bottom w:val="single" w:sz="4" w:space="0" w:color="auto"/>
              <w:right w:val="nil"/>
            </w:tcBorders>
            <w:shd w:val="clear" w:color="000000" w:fill="FFFFFF"/>
            <w:noWrap/>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 </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93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r>
      <w:tr>
        <w:trPr>
          <w:trHeight w:val="210"/>
        </w:trPr>
        <w:tc>
          <w:tcPr>
            <w:tcW w:w="3531" w:type="dxa"/>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EU28 trade with Serbia (mio €)</w:t>
            </w:r>
          </w:p>
        </w:tc>
        <w:tc>
          <w:tcPr>
            <w:tcW w:w="856"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n-IE" w:eastAsia="en-IE"/>
              </w:rPr>
            </w:pP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93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r>
      <w:tr>
        <w:trPr>
          <w:trHeight w:val="210"/>
        </w:trPr>
        <w:tc>
          <w:tcPr>
            <w:tcW w:w="353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7.109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7.880</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8.721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9.998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11.007</w:t>
            </w:r>
          </w:p>
        </w:tc>
      </w:tr>
      <w:tr>
        <w:trPr>
          <w:trHeight w:val="210"/>
        </w:trPr>
        <w:tc>
          <w:tcPr>
            <w:tcW w:w="353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10.357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11.145</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11.668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13.390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14.742</w:t>
            </w:r>
          </w:p>
        </w:tc>
      </w:tr>
      <w:tr>
        <w:trPr>
          <w:trHeight w:val="210"/>
        </w:trPr>
        <w:tc>
          <w:tcPr>
            <w:tcW w:w="353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3.247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3.265</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2.947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3.392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3.735</w:t>
            </w:r>
          </w:p>
        </w:tc>
      </w:tr>
      <w:tr>
        <w:trPr>
          <w:trHeight w:val="210"/>
        </w:trPr>
        <w:tc>
          <w:tcPr>
            <w:tcW w:w="3531" w:type="dxa"/>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Share Serbia in EU28 trade with Extra-EU28</w:t>
            </w:r>
          </w:p>
        </w:tc>
        <w:tc>
          <w:tcPr>
            <w:tcW w:w="856"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n-IE" w:eastAsia="en-IE"/>
              </w:rPr>
            </w:pP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93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r>
      <w:tr>
        <w:trPr>
          <w:trHeight w:val="210"/>
        </w:trPr>
        <w:tc>
          <w:tcPr>
            <w:tcW w:w="353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0,5%</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0,6%</w:t>
            </w:r>
          </w:p>
        </w:tc>
      </w:tr>
      <w:tr>
        <w:trPr>
          <w:trHeight w:val="210"/>
        </w:trPr>
        <w:tc>
          <w:tcPr>
            <w:tcW w:w="353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0,6%</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0,8%</w:t>
            </w:r>
          </w:p>
        </w:tc>
      </w:tr>
      <w:tr>
        <w:trPr>
          <w:trHeight w:val="210"/>
        </w:trPr>
        <w:tc>
          <w:tcPr>
            <w:tcW w:w="353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0,5%</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0,7%</w:t>
            </w:r>
          </w:p>
        </w:tc>
      </w:tr>
      <w:tr>
        <w:trPr>
          <w:trHeight w:val="210"/>
        </w:trPr>
        <w:tc>
          <w:tcPr>
            <w:tcW w:w="7891"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Share EU28 in trade Serbia with world</w:t>
            </w:r>
          </w:p>
        </w:tc>
      </w:tr>
      <w:tr>
        <w:trPr>
          <w:trHeight w:val="210"/>
        </w:trPr>
        <w:tc>
          <w:tcPr>
            <w:tcW w:w="353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63,5%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62,5%</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61,0%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62,3%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60,0%</w:t>
            </w:r>
          </w:p>
        </w:tc>
      </w:tr>
      <w:tr>
        <w:trPr>
          <w:trHeight w:val="210"/>
        </w:trPr>
        <w:tc>
          <w:tcPr>
            <w:tcW w:w="353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64,7%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65,8%</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66,1%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67,6%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67,0%</w:t>
            </w:r>
          </w:p>
        </w:tc>
      </w:tr>
      <w:tr>
        <w:trPr>
          <w:trHeight w:val="210"/>
        </w:trPr>
        <w:tc>
          <w:tcPr>
            <w:tcW w:w="353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64,0%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63,9%</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63,3%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64,5%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63,0%</w:t>
            </w:r>
          </w:p>
        </w:tc>
      </w:tr>
      <w:tr>
        <w:trPr>
          <w:trHeight w:val="225"/>
        </w:trPr>
        <w:tc>
          <w:tcPr>
            <w:tcW w:w="5243" w:type="dxa"/>
            <w:gridSpan w:val="3"/>
            <w:tcBorders>
              <w:top w:val="single" w:sz="4" w:space="0" w:color="auto"/>
              <w:left w:val="nil"/>
              <w:bottom w:val="nil"/>
              <w:right w:val="nil"/>
            </w:tcBorders>
            <w:shd w:val="clear" w:color="000000" w:fill="FFFFFF"/>
            <w:noWrap/>
            <w:vAlign w:val="bottom"/>
            <w:hideMark/>
          </w:tcPr>
          <w:p>
            <w:pPr>
              <w:rPr>
                <w:rFonts w:eastAsia="Times New Roman"/>
                <w:noProof/>
                <w:sz w:val="12"/>
                <w:szCs w:val="12"/>
                <w:lang w:val="en-IE" w:eastAsia="en-IE"/>
              </w:rPr>
            </w:pPr>
            <w:r>
              <w:rPr>
                <w:rFonts w:eastAsia="Times New Roman"/>
                <w:noProof/>
                <w:sz w:val="12"/>
                <w:szCs w:val="12"/>
                <w:lang w:val="en-IE" w:eastAsia="en-IE"/>
              </w:rPr>
              <w:t xml:space="preserve">Source Trade G2 Statistics/ISDB </w:t>
            </w:r>
          </w:p>
        </w:tc>
        <w:tc>
          <w:tcPr>
            <w:tcW w:w="936"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single" w:sz="4" w:space="0" w:color="auto"/>
              <w:left w:val="nil"/>
              <w:bottom w:val="nil"/>
              <w:right w:val="nil"/>
            </w:tcBorders>
            <w:shd w:val="clear" w:color="000000" w:fill="FFFFFF"/>
            <w:noWrap/>
            <w:hideMark/>
          </w:tcPr>
          <w:p>
            <w:pPr>
              <w:jc w:val="right"/>
              <w:rPr>
                <w:rFonts w:eastAsia="Times New Roman"/>
                <w:noProof/>
                <w:sz w:val="12"/>
                <w:szCs w:val="12"/>
                <w:lang w:val="en-IE" w:eastAsia="en-IE"/>
              </w:rPr>
            </w:pPr>
            <w:r>
              <w:rPr>
                <w:rFonts w:eastAsia="Times New Roman"/>
                <w:noProof/>
                <w:sz w:val="12"/>
                <w:szCs w:val="12"/>
                <w:lang w:val="en-IE" w:eastAsia="en-IE"/>
              </w:rPr>
              <w:t>25-mars-19</w:t>
            </w:r>
          </w:p>
        </w:tc>
      </w:tr>
      <w:tr>
        <w:trPr>
          <w:trHeight w:val="210"/>
        </w:trPr>
        <w:tc>
          <w:tcPr>
            <w:tcW w:w="6179" w:type="dxa"/>
            <w:gridSpan w:val="4"/>
            <w:tcBorders>
              <w:top w:val="nil"/>
              <w:left w:val="nil"/>
              <w:bottom w:val="nil"/>
              <w:right w:val="nil"/>
            </w:tcBorders>
            <w:shd w:val="clear" w:color="000000" w:fill="FFFFFF"/>
            <w:noWrap/>
            <w:hideMark/>
          </w:tcPr>
          <w:p>
            <w:pPr>
              <w:rPr>
                <w:rFonts w:eastAsia="Times New Roman"/>
                <w:noProof/>
                <w:color w:val="000000"/>
                <w:sz w:val="12"/>
                <w:szCs w:val="12"/>
                <w:lang w:val="en-IE" w:eastAsia="en-IE"/>
              </w:rPr>
            </w:pPr>
            <w:r>
              <w:rPr>
                <w:rFonts w:eastAsia="Times New Roman"/>
                <w:noProof/>
                <w:color w:val="000000"/>
                <w:sz w:val="12"/>
                <w:szCs w:val="12"/>
                <w:lang w:val="en-IE" w:eastAsia="en-IE"/>
              </w:rPr>
              <w:t>Trade EU28: Eurostat COMEXT;  Trade Serbia: IMF Dots</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10"/>
        </w:trPr>
        <w:tc>
          <w:tcPr>
            <w:tcW w:w="3531"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93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25"/>
        </w:trPr>
        <w:tc>
          <w:tcPr>
            <w:tcW w:w="7891"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Total merchandise trade EU28 with Serbia (mio €)</w:t>
            </w:r>
          </w:p>
        </w:tc>
      </w:tr>
      <w:tr>
        <w:trPr>
          <w:trHeight w:val="225"/>
        </w:trPr>
        <w:tc>
          <w:tcPr>
            <w:tcW w:w="4387"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Serbia</w:t>
            </w:r>
          </w:p>
        </w:tc>
        <w:tc>
          <w:tcPr>
            <w:tcW w:w="85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93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71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387"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93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53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9.998</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11.007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1.008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10,1%</w:t>
            </w:r>
          </w:p>
        </w:tc>
      </w:tr>
      <w:tr>
        <w:trPr>
          <w:trHeight w:val="225"/>
        </w:trPr>
        <w:tc>
          <w:tcPr>
            <w:tcW w:w="353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13.390</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14.742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1.352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10,1%</w:t>
            </w:r>
          </w:p>
        </w:tc>
      </w:tr>
      <w:tr>
        <w:trPr>
          <w:trHeight w:val="225"/>
        </w:trPr>
        <w:tc>
          <w:tcPr>
            <w:tcW w:w="353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3.392</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3.735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343</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531"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23.389</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25.749</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2.360</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10,1%</w:t>
            </w:r>
          </w:p>
        </w:tc>
      </w:tr>
      <w:tr>
        <w:trPr>
          <w:trHeight w:val="240"/>
        </w:trPr>
        <w:tc>
          <w:tcPr>
            <w:tcW w:w="6179"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7891"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Agrifood trade EU28 with Serbia (mio €)</w:t>
            </w:r>
          </w:p>
        </w:tc>
      </w:tr>
      <w:tr>
        <w:trPr>
          <w:trHeight w:val="255"/>
        </w:trPr>
        <w:tc>
          <w:tcPr>
            <w:tcW w:w="4387"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Serbia</w:t>
            </w:r>
          </w:p>
        </w:tc>
        <w:tc>
          <w:tcPr>
            <w:tcW w:w="85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93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71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387"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93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53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1.190</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1.133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-4,8%</w:t>
            </w:r>
          </w:p>
        </w:tc>
      </w:tr>
      <w:tr>
        <w:trPr>
          <w:trHeight w:val="225"/>
        </w:trPr>
        <w:tc>
          <w:tcPr>
            <w:tcW w:w="353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1.138</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1.167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w:t>
            </w:r>
          </w:p>
        </w:tc>
      </w:tr>
      <w:tr>
        <w:trPr>
          <w:trHeight w:val="225"/>
        </w:trPr>
        <w:tc>
          <w:tcPr>
            <w:tcW w:w="353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-53</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87</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531"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2.328</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2.299</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-29</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w:t>
            </w:r>
          </w:p>
        </w:tc>
      </w:tr>
      <w:tr>
        <w:trPr>
          <w:trHeight w:val="240"/>
        </w:trPr>
        <w:tc>
          <w:tcPr>
            <w:tcW w:w="6179"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7891"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NAMA trade EU28 with Serbia (mio €)</w:t>
            </w:r>
          </w:p>
        </w:tc>
      </w:tr>
      <w:tr>
        <w:trPr>
          <w:trHeight w:val="225"/>
        </w:trPr>
        <w:tc>
          <w:tcPr>
            <w:tcW w:w="4387"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Serbia</w:t>
            </w:r>
          </w:p>
        </w:tc>
        <w:tc>
          <w:tcPr>
            <w:tcW w:w="85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93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71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387"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93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4387"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8.808</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9.874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1.066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12,1%</w:t>
            </w:r>
          </w:p>
        </w:tc>
      </w:tr>
      <w:tr>
        <w:trPr>
          <w:trHeight w:val="225"/>
        </w:trPr>
        <w:tc>
          <w:tcPr>
            <w:tcW w:w="4387"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12.253</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13.575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1.322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10,8%</w:t>
            </w:r>
          </w:p>
        </w:tc>
      </w:tr>
      <w:tr>
        <w:trPr>
          <w:trHeight w:val="225"/>
        </w:trPr>
        <w:tc>
          <w:tcPr>
            <w:tcW w:w="353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3.444</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3.701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257</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53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21.061</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23.449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2.388</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11,3%</w:t>
            </w:r>
          </w:p>
        </w:tc>
      </w:tr>
      <w:tr>
        <w:trPr>
          <w:trHeight w:val="240"/>
        </w:trPr>
        <w:tc>
          <w:tcPr>
            <w:tcW w:w="6179"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856" w:type="dxa"/>
            <w:tcBorders>
              <w:top w:val="single" w:sz="4" w:space="0" w:color="auto"/>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6179" w:type="dxa"/>
            <w:gridSpan w:val="4"/>
            <w:tcBorders>
              <w:top w:val="nil"/>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Services trade EU28 with Serbia (mio €)</w:t>
            </w:r>
          </w:p>
        </w:tc>
        <w:tc>
          <w:tcPr>
            <w:tcW w:w="856" w:type="dxa"/>
            <w:tcBorders>
              <w:top w:val="nil"/>
              <w:left w:val="nil"/>
              <w:bottom w:val="nil"/>
              <w:right w:val="nil"/>
            </w:tcBorders>
            <w:shd w:val="clear" w:color="000000" w:fill="FFFFFF"/>
            <w:noWrap/>
            <w:vAlign w:val="center"/>
            <w:hideMark/>
          </w:tcPr>
          <w:p>
            <w:pPr>
              <w:rPr>
                <w:rFonts w:eastAsia="Times New Roman"/>
                <w:b/>
                <w:bCs/>
                <w:noProof/>
                <w:sz w:val="16"/>
                <w:szCs w:val="16"/>
                <w:lang w:val="en-IE" w:eastAsia="en-IE"/>
              </w:rPr>
            </w:pPr>
            <w:r>
              <w:rPr>
                <w:rFonts w:eastAsia="Times New Roman"/>
                <w:b/>
                <w:bCs/>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bCs/>
                <w:noProof/>
                <w:sz w:val="16"/>
                <w:szCs w:val="16"/>
                <w:lang w:val="en-IE" w:eastAsia="en-IE"/>
              </w:rPr>
            </w:pPr>
            <w:r>
              <w:rPr>
                <w:rFonts w:eastAsia="Times New Roman"/>
                <w:b/>
                <w:bCs/>
                <w:noProof/>
                <w:sz w:val="16"/>
                <w:szCs w:val="16"/>
                <w:lang w:val="en-IE" w:eastAsia="en-IE"/>
              </w:rPr>
              <w:t> </w:t>
            </w:r>
          </w:p>
        </w:tc>
      </w:tr>
      <w:tr>
        <w:trPr>
          <w:trHeight w:val="225"/>
        </w:trPr>
        <w:tc>
          <w:tcPr>
            <w:tcW w:w="4387"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Serbia</w:t>
            </w:r>
          </w:p>
        </w:tc>
        <w:tc>
          <w:tcPr>
            <w:tcW w:w="856"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936"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171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387"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936"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53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1.781</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1.966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10,4%</w:t>
            </w:r>
          </w:p>
        </w:tc>
      </w:tr>
      <w:tr>
        <w:trPr>
          <w:trHeight w:val="225"/>
        </w:trPr>
        <w:tc>
          <w:tcPr>
            <w:tcW w:w="353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2.284</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2.530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10,8%</w:t>
            </w:r>
          </w:p>
        </w:tc>
      </w:tr>
      <w:tr>
        <w:trPr>
          <w:trHeight w:val="225"/>
        </w:trPr>
        <w:tc>
          <w:tcPr>
            <w:tcW w:w="353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503</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563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60</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531"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4.065</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4.496</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431</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10,6%</w:t>
            </w:r>
          </w:p>
        </w:tc>
      </w:tr>
      <w:tr>
        <w:trPr>
          <w:trHeight w:val="240"/>
        </w:trPr>
        <w:tc>
          <w:tcPr>
            <w:tcW w:w="7035" w:type="dxa"/>
            <w:gridSpan w:val="5"/>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40"/>
        </w:trPr>
        <w:tc>
          <w:tcPr>
            <w:tcW w:w="7891"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Services trade EU28 with Serbia (mio €)</w:t>
            </w:r>
          </w:p>
        </w:tc>
      </w:tr>
      <w:tr>
        <w:trPr>
          <w:trHeight w:val="225"/>
        </w:trPr>
        <w:tc>
          <w:tcPr>
            <w:tcW w:w="3531"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93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353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1.583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1.820</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1.990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1.781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1.966</w:t>
            </w:r>
          </w:p>
        </w:tc>
      </w:tr>
      <w:tr>
        <w:trPr>
          <w:trHeight w:val="225"/>
        </w:trPr>
        <w:tc>
          <w:tcPr>
            <w:tcW w:w="353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2.300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2.507</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2.315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2.284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2.530</w:t>
            </w:r>
          </w:p>
        </w:tc>
      </w:tr>
      <w:tr>
        <w:trPr>
          <w:trHeight w:val="225"/>
        </w:trPr>
        <w:tc>
          <w:tcPr>
            <w:tcW w:w="353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717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687</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325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503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563</w:t>
            </w:r>
          </w:p>
        </w:tc>
      </w:tr>
      <w:tr>
        <w:trPr>
          <w:trHeight w:val="225"/>
        </w:trPr>
        <w:tc>
          <w:tcPr>
            <w:tcW w:w="3531"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3.882</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4.326</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4.304</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4.065</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4.496</w:t>
            </w:r>
          </w:p>
        </w:tc>
      </w:tr>
      <w:tr>
        <w:trPr>
          <w:trHeight w:val="225"/>
        </w:trPr>
        <w:tc>
          <w:tcPr>
            <w:tcW w:w="3531"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856"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93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7891"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it-IT" w:eastAsia="en-IE"/>
              </w:rPr>
            </w:pPr>
            <w:r>
              <w:rPr>
                <w:rFonts w:eastAsia="Times New Roman"/>
                <w:b/>
                <w:bCs/>
                <w:noProof/>
                <w:sz w:val="16"/>
                <w:szCs w:val="16"/>
                <w:lang w:val="it-IT" w:eastAsia="en-IE"/>
              </w:rPr>
              <w:t>FDI EU28 with Serbia (mio €)</w:t>
            </w:r>
          </w:p>
        </w:tc>
      </w:tr>
      <w:tr>
        <w:trPr>
          <w:trHeight w:val="225"/>
        </w:trPr>
        <w:tc>
          <w:tcPr>
            <w:tcW w:w="3531"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val="it-IT" w:eastAsia="en-IE"/>
              </w:rPr>
            </w:pPr>
            <w:r>
              <w:rPr>
                <w:rFonts w:eastAsia="Times New Roman"/>
                <w:noProof/>
                <w:sz w:val="16"/>
                <w:szCs w:val="16"/>
                <w:lang w:val="it-IT" w:eastAsia="en-IE"/>
              </w:rPr>
              <w:t> </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93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7891"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Stocks</w:t>
            </w:r>
          </w:p>
        </w:tc>
      </w:tr>
      <w:tr>
        <w:trPr>
          <w:trHeight w:val="225"/>
        </w:trPr>
        <w:tc>
          <w:tcPr>
            <w:tcW w:w="353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267</w:t>
            </w:r>
          </w:p>
        </w:tc>
      </w:tr>
      <w:tr>
        <w:trPr>
          <w:trHeight w:val="225"/>
        </w:trPr>
        <w:tc>
          <w:tcPr>
            <w:tcW w:w="353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12.501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12.564</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12.883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12.486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13.162</w:t>
            </w:r>
          </w:p>
        </w:tc>
      </w:tr>
      <w:tr>
        <w:trPr>
          <w:trHeight w:val="225"/>
        </w:trPr>
        <w:tc>
          <w:tcPr>
            <w:tcW w:w="7891"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Flows</w:t>
            </w:r>
          </w:p>
        </w:tc>
      </w:tr>
      <w:tr>
        <w:trPr>
          <w:trHeight w:val="225"/>
        </w:trPr>
        <w:tc>
          <w:tcPr>
            <w:tcW w:w="353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185</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38</w:t>
            </w:r>
          </w:p>
        </w:tc>
      </w:tr>
      <w:tr>
        <w:trPr>
          <w:trHeight w:val="225"/>
        </w:trPr>
        <w:tc>
          <w:tcPr>
            <w:tcW w:w="353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577</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151</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366</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957</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1.194</w:t>
            </w:r>
          </w:p>
        </w:tc>
      </w:tr>
      <w:tr>
        <w:trPr>
          <w:trHeight w:val="225"/>
        </w:trPr>
        <w:tc>
          <w:tcPr>
            <w:tcW w:w="3531" w:type="dxa"/>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856"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93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bl>
    <w:p>
      <w:pPr>
        <w:rPr>
          <w:noProof/>
        </w:rPr>
      </w:pPr>
    </w:p>
    <w:p>
      <w:pPr>
        <w:spacing w:after="200" w:line="276" w:lineRule="auto"/>
        <w:rPr>
          <w:noProof/>
        </w:rPr>
      </w:pPr>
      <w:r>
        <w:rPr>
          <w:noProof/>
        </w:rPr>
        <w:br w:type="page"/>
      </w:r>
    </w:p>
    <w:p>
      <w:pPr>
        <w:pStyle w:val="ChapterHead"/>
        <w:jc w:val="both"/>
        <w:rPr>
          <w:b/>
          <w:noProof/>
        </w:rPr>
      </w:pPr>
      <w:bookmarkStart w:id="3458" w:name="_Toc8833746"/>
      <w:bookmarkStart w:id="3459" w:name="_Toc8835573"/>
      <w:bookmarkStart w:id="3460" w:name="_Toc8834203"/>
      <w:bookmarkStart w:id="3461" w:name="_Toc8909666"/>
      <w:bookmarkStart w:id="3462" w:name="_Toc8910878"/>
      <w:bookmarkStart w:id="3463" w:name="_Toc8911915"/>
      <w:bookmarkStart w:id="3464" w:name="_Toc8974736"/>
      <w:bookmarkStart w:id="3465" w:name="_Toc9008389"/>
      <w:bookmarkStart w:id="3466" w:name="_Toc9008792"/>
      <w:bookmarkStart w:id="3467" w:name="_Toc9348788"/>
      <w:bookmarkStart w:id="3468" w:name="_Toc9608239"/>
      <w:bookmarkStart w:id="3469" w:name="_Toc16000800"/>
      <w:r>
        <w:rPr>
          <w:b/>
          <w:noProof/>
        </w:rPr>
        <w:t>FIRST GENERATION FREE TRADE AGREEMENTS WITH LATIN AMERICAN COUNTRIES</w:t>
      </w:r>
      <w:bookmarkEnd w:id="3458"/>
      <w:bookmarkEnd w:id="3459"/>
      <w:bookmarkEnd w:id="3460"/>
      <w:bookmarkEnd w:id="3461"/>
      <w:bookmarkEnd w:id="3462"/>
      <w:bookmarkEnd w:id="3463"/>
      <w:bookmarkEnd w:id="3464"/>
      <w:bookmarkEnd w:id="3465"/>
      <w:bookmarkEnd w:id="3466"/>
      <w:bookmarkEnd w:id="3467"/>
      <w:bookmarkEnd w:id="3468"/>
      <w:bookmarkEnd w:id="3469"/>
    </w:p>
    <w:p>
      <w:pPr>
        <w:spacing w:after="200" w:line="276" w:lineRule="auto"/>
        <w:rPr>
          <w:noProof/>
        </w:rPr>
      </w:pPr>
      <w:r>
        <w:rPr>
          <w:noProof/>
        </w:rPr>
        <w:br w:type="page"/>
      </w:r>
    </w:p>
    <w:p>
      <w:pPr>
        <w:pStyle w:val="ChapterHead"/>
        <w:keepNext/>
        <w:pageBreakBefore/>
        <w:spacing w:after="480" w:line="276" w:lineRule="auto"/>
        <w:jc w:val="both"/>
        <w:outlineLvl w:val="0"/>
        <w:rPr>
          <w:b/>
          <w:caps/>
          <w:noProof/>
        </w:rPr>
      </w:pPr>
      <w:bookmarkStart w:id="3470" w:name="_Toc8910879"/>
      <w:bookmarkStart w:id="3471" w:name="_Toc8911916"/>
      <w:bookmarkStart w:id="3472" w:name="_Toc2261654"/>
      <w:bookmarkStart w:id="3473" w:name="_Toc8974737"/>
      <w:bookmarkStart w:id="3474" w:name="_Toc9008390"/>
      <w:bookmarkStart w:id="3475" w:name="_Toc9008793"/>
      <w:bookmarkStart w:id="3476" w:name="_Toc9348789"/>
      <w:bookmarkStart w:id="3477" w:name="_Toc9608240"/>
      <w:bookmarkStart w:id="3478" w:name="_Toc16000801"/>
      <w:r>
        <w:rPr>
          <w:b/>
          <w:caps/>
          <w:noProof/>
        </w:rPr>
        <w:t>ANNUAL INFO SHEET ON IMPLEMENTATION OF THE TRADE PILLAR OF THE EU-CHILE ASSOCIATION AGREEMENT</w:t>
      </w:r>
      <w:bookmarkEnd w:id="3470"/>
      <w:bookmarkEnd w:id="3471"/>
      <w:bookmarkEnd w:id="3472"/>
      <w:bookmarkEnd w:id="3473"/>
      <w:bookmarkEnd w:id="3474"/>
      <w:bookmarkEnd w:id="3475"/>
      <w:bookmarkEnd w:id="3476"/>
      <w:bookmarkEnd w:id="3477"/>
      <w:bookmarkEnd w:id="3478"/>
    </w:p>
    <w:p>
      <w:pPr>
        <w:pStyle w:val="ManualHeading1"/>
      </w:pPr>
      <w:bookmarkStart w:id="3479" w:name="_Toc8910880"/>
      <w:bookmarkStart w:id="3480" w:name="_Toc8911917"/>
      <w:bookmarkStart w:id="3481" w:name="_Toc2261655"/>
      <w:bookmarkStart w:id="3482" w:name="_Toc8974738"/>
      <w:bookmarkStart w:id="3483" w:name="_Toc9008391"/>
      <w:bookmarkStart w:id="3484" w:name="_Toc9008794"/>
      <w:bookmarkStart w:id="3485" w:name="_Toc9348790"/>
      <w:bookmarkStart w:id="3486" w:name="_Toc9608241"/>
      <w:bookmarkStart w:id="3487" w:name="_Toc16000802"/>
      <w:r>
        <w:t>1.</w:t>
      </w:r>
      <w:r>
        <w:tab/>
        <w:t>Introduction</w:t>
      </w:r>
      <w:bookmarkEnd w:id="3479"/>
      <w:bookmarkEnd w:id="3480"/>
      <w:bookmarkEnd w:id="3481"/>
      <w:bookmarkEnd w:id="3482"/>
      <w:bookmarkEnd w:id="3483"/>
      <w:bookmarkEnd w:id="3484"/>
      <w:bookmarkEnd w:id="3485"/>
      <w:bookmarkEnd w:id="3486"/>
      <w:bookmarkEnd w:id="3487"/>
    </w:p>
    <w:p>
      <w:pPr>
        <w:jc w:val="both"/>
        <w:rPr>
          <w:noProof/>
        </w:rPr>
      </w:pPr>
      <w:r>
        <w:rPr>
          <w:noProof/>
        </w:rPr>
        <w:t xml:space="preserve">The trade pillar of the EU-Chile Association Agreement (‘the Agreement’) entered into force on 1 February 2003 and was fully implemented after finalisation of all ratifications on 1 March 2005. During the following 15 years there has been continuous work and cooperation by both sides to implement the agreement. The Agreement with Chile is one of the EU’s first generation FTAs and was considered highly ambitious at the time of its conclusion. It was the first trade agreement subjected to an ex-post evaluation study to analyse its impact. This study was concluded in 2012. Another study conducted in 2017 showed the need for modernising the agreement, to avoid the EU losing further ground to other partners trading with Chile, such as the US and China.  </w:t>
      </w:r>
    </w:p>
    <w:p>
      <w:pPr>
        <w:jc w:val="both"/>
        <w:rPr>
          <w:noProof/>
        </w:rPr>
      </w:pPr>
    </w:p>
    <w:p>
      <w:pPr>
        <w:jc w:val="both"/>
        <w:rPr>
          <w:noProof/>
        </w:rPr>
      </w:pPr>
      <w:r>
        <w:rPr>
          <w:noProof/>
        </w:rPr>
        <w:t>Against this background, at the EU-CELAC (Community of Latin American and Caribbean States) summit in Santiago in January 2013, the EU and Chile agreed to explore options for a comprehensive modernisation of the Agreement. The 2015 Trade for All Communication highlighted the objective of pursuing a modernisation of the Agreement. A scoping exercise was successfully concluded with Chile in January 2017. Negotiations for modernising the Agreement were launched on 16 November 2017 in Brussels, following the adoption of the negotiating directives by the Council. The EU and Chile are now engaged in a negotiation process for an ambitious, comprehensive and progressive modernised agreement. The most important areas include (1) further liberalisation in agriculture and food products, (2) rules of origin, customs and trade facilitation provisions, (3) non-tariff barriers for industrial and agri-food products, (4) market access for services sectors of key EU and Chile interest, (5) comprehensive investment liberalisation and protection disciplines, (6) improved public procurement rules and coverage in terms of entities, (7) improved rules on intellectual property rights, including the protection of GIs on foodstuffs, (8) Trade and Sustainable Development, (9) competition and subsidies disciplines and (10) for the first time trade and gender equality, which is a pilot case for the EU with the aim of identifying and addressing those barriers faced by women to benefit from trade opportunities, building on sustainable development goals and reaffirming commitments of international conventions.</w:t>
      </w:r>
    </w:p>
    <w:p>
      <w:pPr>
        <w:pStyle w:val="ManualHeading1"/>
      </w:pPr>
      <w:bookmarkStart w:id="3488" w:name="_Toc8833749"/>
      <w:bookmarkStart w:id="3489" w:name="_Toc8835576"/>
      <w:bookmarkStart w:id="3490" w:name="_Toc8834206"/>
      <w:bookmarkStart w:id="3491" w:name="_Toc8909669"/>
      <w:bookmarkStart w:id="3492" w:name="_Toc8910881"/>
      <w:bookmarkStart w:id="3493" w:name="_Toc8911918"/>
      <w:bookmarkStart w:id="3494" w:name="_Toc8974739"/>
      <w:bookmarkStart w:id="3495" w:name="_Toc9008392"/>
      <w:bookmarkStart w:id="3496" w:name="_Toc9008795"/>
      <w:bookmarkStart w:id="3497" w:name="_Toc9348791"/>
      <w:bookmarkStart w:id="3498" w:name="_Toc9608242"/>
      <w:bookmarkStart w:id="3499" w:name="_Toc16000803"/>
      <w:r>
        <w:t>2.</w:t>
      </w:r>
      <w:r>
        <w:tab/>
        <w:t>Evolution of trade</w:t>
      </w:r>
      <w:bookmarkEnd w:id="3488"/>
      <w:bookmarkEnd w:id="3489"/>
      <w:bookmarkEnd w:id="3490"/>
      <w:bookmarkEnd w:id="3491"/>
      <w:bookmarkEnd w:id="3492"/>
      <w:bookmarkEnd w:id="3493"/>
      <w:bookmarkEnd w:id="3494"/>
      <w:bookmarkEnd w:id="3495"/>
      <w:bookmarkEnd w:id="3496"/>
      <w:bookmarkEnd w:id="3497"/>
      <w:bookmarkEnd w:id="3498"/>
      <w:bookmarkEnd w:id="3499"/>
    </w:p>
    <w:p>
      <w:pPr>
        <w:jc w:val="both"/>
        <w:rPr>
          <w:noProof/>
        </w:rPr>
      </w:pPr>
      <w:r>
        <w:rPr>
          <w:noProof/>
        </w:rPr>
        <w:t>Bilateral merchandise trade between 2014 and 2018 increased 15%. Overall, the rise is substantially sharper for EU exports, which increased 35% over the period, compared to a 2% decrease in EU imports from Chile, mainly due to copper price fluctuations. Chile’s share in total EU trade has remained stable since 2014, at around 0.5% of total EU trade. In 2018 EU-Chile bilateral trade grew by 8% in value compared to 2017, reaching €18.3 billion, the EU had a positive trade balance of around €1.5 billion. This is the most important trade surplus for the EU with Chile since the signing of the Agreement. However, Chile still has an accumulated trade surplus of €41.8 billion (2003-2018).</w:t>
      </w:r>
    </w:p>
    <w:p>
      <w:pPr>
        <w:jc w:val="both"/>
        <w:rPr>
          <w:noProof/>
        </w:rPr>
      </w:pPr>
    </w:p>
    <w:p>
      <w:pPr>
        <w:jc w:val="both"/>
        <w:rPr>
          <w:noProof/>
        </w:rPr>
      </w:pPr>
      <w:r>
        <w:rPr>
          <w:noProof/>
        </w:rPr>
        <w:t>In 2018, the EU was Chile's third trade partner representing 13% of trade (behind China and the US).</w:t>
      </w:r>
    </w:p>
    <w:p>
      <w:pPr>
        <w:pStyle w:val="ManualHeading2"/>
      </w:pPr>
      <w:bookmarkStart w:id="3500" w:name="_Toc8833750"/>
      <w:bookmarkStart w:id="3501" w:name="_Toc8835577"/>
      <w:bookmarkStart w:id="3502" w:name="_Toc8834207"/>
      <w:bookmarkStart w:id="3503" w:name="_Toc8909670"/>
      <w:bookmarkStart w:id="3504" w:name="_Toc8910882"/>
      <w:bookmarkStart w:id="3505" w:name="_Toc8911919"/>
      <w:bookmarkStart w:id="3506" w:name="_Toc8974740"/>
      <w:bookmarkStart w:id="3507" w:name="_Toc9008393"/>
      <w:bookmarkStart w:id="3508" w:name="_Toc9008796"/>
      <w:bookmarkStart w:id="3509" w:name="_Toc9348792"/>
      <w:bookmarkStart w:id="3510" w:name="_Toc9608243"/>
      <w:bookmarkStart w:id="3511" w:name="_Toc16000804"/>
      <w:r>
        <w:t>2.1</w:t>
      </w:r>
      <w:r>
        <w:tab/>
        <w:t>Trade in Goods</w:t>
      </w:r>
      <w:bookmarkEnd w:id="3500"/>
      <w:bookmarkEnd w:id="3501"/>
      <w:bookmarkEnd w:id="3502"/>
      <w:bookmarkEnd w:id="3503"/>
      <w:bookmarkEnd w:id="3504"/>
      <w:bookmarkEnd w:id="3505"/>
      <w:bookmarkEnd w:id="3506"/>
      <w:bookmarkEnd w:id="3507"/>
      <w:bookmarkEnd w:id="3508"/>
      <w:bookmarkEnd w:id="3509"/>
      <w:bookmarkEnd w:id="3510"/>
      <w:bookmarkEnd w:id="3511"/>
    </w:p>
    <w:p>
      <w:pPr>
        <w:jc w:val="both"/>
        <w:rPr>
          <w:noProof/>
        </w:rPr>
      </w:pPr>
      <w:r>
        <w:rPr>
          <w:noProof/>
        </w:rPr>
        <w:t xml:space="preserve">In 2018, EU-Chile bilateral trade grew by 8% in value compared to 2017, reaching </w:t>
      </w:r>
      <w:r>
        <w:rPr>
          <w:noProof/>
          <w:lang w:val="en-IE"/>
        </w:rPr>
        <w:t>€</w:t>
      </w:r>
      <w:r>
        <w:rPr>
          <w:noProof/>
        </w:rPr>
        <w:t xml:space="preserve">18.3 billion. The EU experienced a trade surplus worth </w:t>
      </w:r>
      <w:r>
        <w:rPr>
          <w:noProof/>
          <w:lang w:val="en-IE"/>
        </w:rPr>
        <w:t>€</w:t>
      </w:r>
      <w:r>
        <w:rPr>
          <w:noProof/>
        </w:rPr>
        <w:t xml:space="preserve">1.5 billion. While EU exports increased 13% year-on-year, EU imports grew by 2%. The largest trade surpluses of the EU are in machinery and motor vehicles. </w:t>
      </w:r>
    </w:p>
    <w:p>
      <w:pPr>
        <w:jc w:val="both"/>
        <w:rPr>
          <w:noProof/>
        </w:rPr>
      </w:pPr>
    </w:p>
    <w:p>
      <w:pPr>
        <w:jc w:val="both"/>
        <w:rPr>
          <w:noProof/>
        </w:rPr>
      </w:pPr>
      <w:r>
        <w:rPr>
          <w:noProof/>
        </w:rPr>
        <w:t>EU exports concentrate in three HS sections:</w:t>
      </w:r>
    </w:p>
    <w:p>
      <w:pPr>
        <w:pStyle w:val="ListParagraph"/>
        <w:numPr>
          <w:ilvl w:val="0"/>
          <w:numId w:val="52"/>
        </w:num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Machinery and appliances, which increased 14% from 2017 reaching </w:t>
      </w:r>
      <w:r>
        <w:rPr>
          <w:rFonts w:ascii="Times New Roman" w:hAnsi="Times New Roman" w:cs="Times New Roman"/>
          <w:noProof/>
          <w:sz w:val="24"/>
          <w:szCs w:val="24"/>
          <w:lang w:val="en-IE"/>
        </w:rPr>
        <w:t>€</w:t>
      </w:r>
      <w:r>
        <w:rPr>
          <w:rFonts w:ascii="Times New Roman" w:hAnsi="Times New Roman" w:cs="Times New Roman"/>
          <w:noProof/>
          <w:sz w:val="24"/>
          <w:szCs w:val="24"/>
        </w:rPr>
        <w:t>3.2 billion.</w:t>
      </w:r>
    </w:p>
    <w:p>
      <w:pPr>
        <w:pStyle w:val="ListParagraph"/>
        <w:numPr>
          <w:ilvl w:val="0"/>
          <w:numId w:val="52"/>
        </w:num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Transport equipment EU exports reached </w:t>
      </w:r>
      <w:r>
        <w:rPr>
          <w:rFonts w:ascii="Times New Roman" w:hAnsi="Times New Roman" w:cs="Times New Roman"/>
          <w:noProof/>
          <w:sz w:val="24"/>
          <w:szCs w:val="24"/>
          <w:lang w:val="en-IE"/>
        </w:rPr>
        <w:t>€</w:t>
      </w:r>
      <w:r>
        <w:rPr>
          <w:rFonts w:ascii="Times New Roman" w:hAnsi="Times New Roman" w:cs="Times New Roman"/>
          <w:noProof/>
          <w:sz w:val="24"/>
          <w:szCs w:val="24"/>
        </w:rPr>
        <w:t>2.2 billion, increasing more than 27% from 2017.</w:t>
      </w:r>
    </w:p>
    <w:p>
      <w:pPr>
        <w:pStyle w:val="ListParagraph"/>
        <w:numPr>
          <w:ilvl w:val="0"/>
          <w:numId w:val="52"/>
        </w:num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Products of the chemical or allied industries, which in 2018 reached </w:t>
      </w:r>
      <w:r>
        <w:rPr>
          <w:rFonts w:ascii="Times New Roman" w:hAnsi="Times New Roman" w:cs="Times New Roman"/>
          <w:noProof/>
          <w:sz w:val="24"/>
          <w:szCs w:val="24"/>
          <w:lang w:val="en-IE"/>
        </w:rPr>
        <w:t>€</w:t>
      </w:r>
      <w:r>
        <w:rPr>
          <w:rFonts w:ascii="Times New Roman" w:hAnsi="Times New Roman" w:cs="Times New Roman"/>
          <w:noProof/>
          <w:sz w:val="24"/>
          <w:szCs w:val="24"/>
        </w:rPr>
        <w:t xml:space="preserve">1.2 billion, increasing 9% from 2017. </w:t>
      </w:r>
    </w:p>
    <w:p>
      <w:pPr>
        <w:rPr>
          <w:noProof/>
          <w:lang w:eastAsia="en-GB"/>
        </w:rPr>
      </w:pPr>
      <w:r>
        <w:rPr>
          <w:noProof/>
          <w:lang w:eastAsia="en-GB"/>
        </w:rPr>
        <w:t>Chilean exports concentrate in two HS sections:</w:t>
      </w:r>
    </w:p>
    <w:p>
      <w:pPr>
        <w:pStyle w:val="ListParagraph"/>
        <w:numPr>
          <w:ilvl w:val="0"/>
          <w:numId w:val="53"/>
        </w:numPr>
        <w:spacing w:after="240" w:line="240" w:lineRule="auto"/>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Mineral products, whose value decreased 6.7% to </w:t>
      </w:r>
      <w:r>
        <w:rPr>
          <w:rFonts w:ascii="Times New Roman" w:hAnsi="Times New Roman" w:cs="Times New Roman"/>
          <w:noProof/>
          <w:sz w:val="24"/>
          <w:szCs w:val="24"/>
          <w:lang w:val="en-IE"/>
        </w:rPr>
        <w:t>€</w:t>
      </w:r>
      <w:r>
        <w:rPr>
          <w:rFonts w:ascii="Times New Roman" w:hAnsi="Times New Roman" w:cs="Times New Roman"/>
          <w:noProof/>
          <w:sz w:val="24"/>
          <w:szCs w:val="24"/>
          <w:lang w:eastAsia="en-GB"/>
        </w:rPr>
        <w:t xml:space="preserve">1.8 billion from 2017 to 2018, having increased by almost 40% in the previous year. </w:t>
      </w:r>
    </w:p>
    <w:p>
      <w:pPr>
        <w:pStyle w:val="ListParagraph"/>
        <w:numPr>
          <w:ilvl w:val="0"/>
          <w:numId w:val="53"/>
        </w:numPr>
        <w:spacing w:after="240" w:line="240" w:lineRule="auto"/>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Base metals and articles thereof, whose value decreased almost 22% between 2017 and 2018, to </w:t>
      </w:r>
      <w:r>
        <w:rPr>
          <w:rFonts w:ascii="Times New Roman" w:hAnsi="Times New Roman" w:cs="Times New Roman"/>
          <w:noProof/>
          <w:sz w:val="24"/>
          <w:szCs w:val="24"/>
          <w:lang w:val="en-IE"/>
        </w:rPr>
        <w:t>€</w:t>
      </w:r>
      <w:r>
        <w:rPr>
          <w:rFonts w:ascii="Times New Roman" w:hAnsi="Times New Roman" w:cs="Times New Roman"/>
          <w:noProof/>
          <w:sz w:val="24"/>
          <w:szCs w:val="24"/>
          <w:lang w:eastAsia="en-GB"/>
        </w:rPr>
        <w:t>1.3 billion.</w:t>
      </w:r>
    </w:p>
    <w:p>
      <w:pPr>
        <w:pStyle w:val="ManualHeading2"/>
      </w:pPr>
      <w:bookmarkStart w:id="3512" w:name="_Toc8833751"/>
      <w:bookmarkStart w:id="3513" w:name="_Toc8835578"/>
      <w:bookmarkStart w:id="3514" w:name="_Toc8834208"/>
      <w:bookmarkStart w:id="3515" w:name="_Toc8909671"/>
      <w:bookmarkStart w:id="3516" w:name="_Toc8910883"/>
      <w:bookmarkStart w:id="3517" w:name="_Toc8911920"/>
      <w:bookmarkStart w:id="3518" w:name="_Toc8974741"/>
      <w:bookmarkStart w:id="3519" w:name="_Toc9008394"/>
      <w:bookmarkStart w:id="3520" w:name="_Toc9008797"/>
      <w:bookmarkStart w:id="3521" w:name="_Toc9348793"/>
      <w:bookmarkStart w:id="3522" w:name="_Toc9608244"/>
      <w:bookmarkStart w:id="3523" w:name="_Toc16000805"/>
      <w:r>
        <w:t>2.2</w:t>
      </w:r>
      <w:r>
        <w:tab/>
        <w:t>Trade in agricultural products</w:t>
      </w:r>
      <w:bookmarkEnd w:id="3512"/>
      <w:bookmarkEnd w:id="3513"/>
      <w:bookmarkEnd w:id="3514"/>
      <w:bookmarkEnd w:id="3515"/>
      <w:bookmarkEnd w:id="3516"/>
      <w:bookmarkEnd w:id="3517"/>
      <w:bookmarkEnd w:id="3518"/>
      <w:bookmarkEnd w:id="3519"/>
      <w:bookmarkEnd w:id="3520"/>
      <w:bookmarkEnd w:id="3521"/>
      <w:bookmarkEnd w:id="3522"/>
      <w:bookmarkEnd w:id="3523"/>
    </w:p>
    <w:p>
      <w:pPr>
        <w:jc w:val="both"/>
        <w:rPr>
          <w:noProof/>
        </w:rPr>
      </w:pPr>
      <w:r>
        <w:rPr>
          <w:noProof/>
        </w:rPr>
        <w:t xml:space="preserve">In 2018, EU-Chile bilateral trade grew by 6% in value compared to 2017, reaching </w:t>
      </w:r>
      <w:r>
        <w:rPr>
          <w:noProof/>
          <w:lang w:val="en-IE"/>
        </w:rPr>
        <w:t>€</w:t>
      </w:r>
      <w:r>
        <w:rPr>
          <w:noProof/>
        </w:rPr>
        <w:t xml:space="preserve">3.3 billion. The EU experienced a trade deficit worth </w:t>
      </w:r>
      <w:r>
        <w:rPr>
          <w:noProof/>
          <w:lang w:val="en-IE"/>
        </w:rPr>
        <w:t>€</w:t>
      </w:r>
      <w:r>
        <w:rPr>
          <w:noProof/>
        </w:rPr>
        <w:t xml:space="preserve">1.7 billion. While EU exports increased 8.6% year-on-year, EU imports grew by 5.6%. The largest trade deficits of the EU are in fruit and vegetables and beverages (wine). Exports of agricultural products represented 30% of Chile’s exports to the EU and are overwhelmingly dominated by fruit (notably coutner-season temperate fruit) and wines, which represent respectively 40% and 24% of Chile agro-food exports to the EU. EU agricultural exports only represented 8% of the EU’s exports to Chile. </w:t>
      </w:r>
      <w:r>
        <w:rPr>
          <w:noProof/>
          <w:lang w:eastAsia="en-GB"/>
        </w:rPr>
        <w:t>Chilean exports to the EU were concentrated in two main categories:</w:t>
      </w:r>
    </w:p>
    <w:p>
      <w:pPr>
        <w:pStyle w:val="ListParagraph"/>
        <w:numPr>
          <w:ilvl w:val="0"/>
          <w:numId w:val="53"/>
        </w:numPr>
        <w:spacing w:after="240" w:line="240" w:lineRule="auto"/>
        <w:rPr>
          <w:rFonts w:ascii="Times New Roman" w:hAnsi="Times New Roman" w:cs="Times New Roman"/>
          <w:noProof/>
          <w:sz w:val="24"/>
          <w:szCs w:val="24"/>
          <w:lang w:eastAsia="en-GB"/>
        </w:rPr>
      </w:pPr>
      <w:r>
        <w:rPr>
          <w:rFonts w:ascii="Times New Roman" w:hAnsi="Times New Roman" w:cs="Times New Roman"/>
          <w:noProof/>
          <w:sz w:val="24"/>
          <w:szCs w:val="24"/>
          <w:lang w:eastAsia="en-GB"/>
        </w:rPr>
        <w:t>Vegetable products, which reached a value of €1.6 billion, increasing almost 3% from 2017.</w:t>
      </w:r>
    </w:p>
    <w:p>
      <w:pPr>
        <w:pStyle w:val="ListParagraph"/>
        <w:numPr>
          <w:ilvl w:val="0"/>
          <w:numId w:val="53"/>
        </w:numPr>
        <w:spacing w:after="240" w:line="240" w:lineRule="auto"/>
        <w:rPr>
          <w:rFonts w:ascii="Times New Roman" w:hAnsi="Times New Roman" w:cs="Times New Roman"/>
          <w:noProof/>
          <w:sz w:val="24"/>
          <w:szCs w:val="24"/>
          <w:lang w:eastAsia="en-GB"/>
        </w:rPr>
      </w:pPr>
      <w:r>
        <w:rPr>
          <w:rFonts w:ascii="Times New Roman" w:hAnsi="Times New Roman" w:cs="Times New Roman"/>
          <w:noProof/>
          <w:sz w:val="24"/>
          <w:szCs w:val="24"/>
          <w:lang w:eastAsia="en-GB"/>
        </w:rPr>
        <w:t>Foodstuffs, beverages and tobacco, whose value increased 5% from 2017, reaching a value of € 0.9 billion out of which more than €500 million of wine.</w:t>
      </w:r>
    </w:p>
    <w:p>
      <w:pPr>
        <w:jc w:val="both"/>
        <w:rPr>
          <w:noProof/>
        </w:rPr>
      </w:pPr>
      <w:bookmarkStart w:id="3524" w:name="_Toc8833752"/>
      <w:bookmarkStart w:id="3525" w:name="_Toc8835579"/>
      <w:bookmarkStart w:id="3526" w:name="_Toc8834209"/>
      <w:bookmarkStart w:id="3527" w:name="_Toc8909672"/>
      <w:bookmarkStart w:id="3528" w:name="_Toc8910884"/>
      <w:bookmarkStart w:id="3529" w:name="_Toc8911921"/>
      <w:r>
        <w:rPr>
          <w:noProof/>
        </w:rPr>
        <w:t>Regarding Tariff Rates Quotas, Chile used 100% of its TRQ for poultry meat (18,000 tonnes), 27% of its TRQ for sheep meat (8,000 tonnes), 24% of its TRQ for pig meat (8,750 tonnes), 7% of the sheep meat TRQ (8,000 tonnes). The rest of the TRQs were either not used at all (cheese and curd, cereal grains, mushrooms, cherries and swine products) or very little used (garlic – 0.25%). The EU also used 100% its cheese TRQs.</w:t>
      </w:r>
    </w:p>
    <w:p>
      <w:pPr>
        <w:pStyle w:val="ManualHeading2"/>
      </w:pPr>
      <w:bookmarkStart w:id="3530" w:name="_Toc8833753"/>
      <w:bookmarkStart w:id="3531" w:name="_Toc8835580"/>
      <w:bookmarkStart w:id="3532" w:name="_Toc8834210"/>
      <w:bookmarkStart w:id="3533" w:name="_Toc8909673"/>
      <w:bookmarkStart w:id="3534" w:name="_Toc8910885"/>
      <w:bookmarkStart w:id="3535" w:name="_Toc8911922"/>
      <w:bookmarkStart w:id="3536" w:name="_Toc8974743"/>
      <w:bookmarkStart w:id="3537" w:name="_Toc9008396"/>
      <w:bookmarkStart w:id="3538" w:name="_Toc9008799"/>
      <w:bookmarkStart w:id="3539" w:name="_Toc9348795"/>
      <w:bookmarkStart w:id="3540" w:name="_Toc9608246"/>
      <w:bookmarkStart w:id="3541" w:name="_Toc16000806"/>
      <w:bookmarkEnd w:id="3524"/>
      <w:bookmarkEnd w:id="3525"/>
      <w:bookmarkEnd w:id="3526"/>
      <w:bookmarkEnd w:id="3527"/>
      <w:bookmarkEnd w:id="3528"/>
      <w:bookmarkEnd w:id="3529"/>
      <w:r>
        <w:t>2.3</w:t>
      </w:r>
      <w:r>
        <w:tab/>
        <w:t>Trade in Services and Foreign Direct investment (FDIs)</w:t>
      </w:r>
      <w:bookmarkEnd w:id="3530"/>
      <w:bookmarkEnd w:id="3531"/>
      <w:bookmarkEnd w:id="3532"/>
      <w:bookmarkEnd w:id="3533"/>
      <w:bookmarkEnd w:id="3534"/>
      <w:bookmarkEnd w:id="3535"/>
      <w:bookmarkEnd w:id="3536"/>
      <w:bookmarkEnd w:id="3537"/>
      <w:bookmarkEnd w:id="3538"/>
      <w:bookmarkEnd w:id="3539"/>
      <w:bookmarkEnd w:id="3540"/>
      <w:bookmarkEnd w:id="3541"/>
    </w:p>
    <w:p>
      <w:pPr>
        <w:jc w:val="both"/>
        <w:rPr>
          <w:noProof/>
        </w:rPr>
      </w:pPr>
      <w:r>
        <w:rPr>
          <w:noProof/>
        </w:rPr>
        <w:t>Bilateral trade in services in 2017 stood at €6.4 billion (€4.5 billion in exports and €1.9 billion in imports), compared to €5.7 billion in 2016. Between 2013 and 2017, EU exports of services increased 47%, while EU imports increased 18%.</w:t>
      </w:r>
    </w:p>
    <w:p>
      <w:pPr>
        <w:jc w:val="both"/>
        <w:rPr>
          <w:noProof/>
        </w:rPr>
      </w:pPr>
    </w:p>
    <w:p>
      <w:pPr>
        <w:jc w:val="both"/>
        <w:rPr>
          <w:noProof/>
        </w:rPr>
      </w:pPr>
      <w:r>
        <w:rPr>
          <w:noProof/>
        </w:rPr>
        <w:t>The EU remains Chile’s first FDI provider, with outward FDI stocks worth €51.8 billion in 2017 but EU FDI flows in 2016 (€4 billion) represented half the outward flows registered in 2014. In addition, EU outward FDI flows in 2017 were negative (€1.2 billion). This is the first time since 2013 that EU outward FDI flows are negative, although the same result is observable for the US in 2017 (€1.6 billion).</w:t>
      </w:r>
    </w:p>
    <w:p>
      <w:pPr>
        <w:jc w:val="both"/>
        <w:rPr>
          <w:noProof/>
        </w:rPr>
      </w:pPr>
    </w:p>
    <w:p>
      <w:pPr>
        <w:jc w:val="both"/>
        <w:rPr>
          <w:noProof/>
        </w:rPr>
      </w:pPr>
      <w:r>
        <w:rPr>
          <w:noProof/>
        </w:rPr>
        <w:t>The decrease in outflows is largely due to the evolution in the mining industry, which has historically represented over 45% of total FDI in Chile. In quantities, mining production in 2017 dropped for the second consecutive year. Mining output in 2017, compared to 2016, contributed negatively to the Chilean GDP with -2%, and with -1.6% for copper alone.</w:t>
      </w:r>
    </w:p>
    <w:p>
      <w:pPr>
        <w:jc w:val="both"/>
        <w:rPr>
          <w:noProof/>
        </w:rPr>
      </w:pPr>
    </w:p>
    <w:p>
      <w:pPr>
        <w:jc w:val="both"/>
        <w:rPr>
          <w:noProof/>
        </w:rPr>
      </w:pPr>
      <w:r>
        <w:rPr>
          <w:noProof/>
        </w:rPr>
        <w:t>With 2016 data, in 2017 Chile remained the third recipient of FDI in Latin America overall, after Mexico and Brazil, according to UNTACD. However, with 2017 data, in the 2018 report Chile is not among the top 5 host regional economies</w:t>
      </w:r>
      <w:r>
        <w:rPr>
          <w:rStyle w:val="FootnoteReference"/>
          <w:noProof/>
        </w:rPr>
        <w:footnoteReference w:id="81"/>
      </w:r>
      <w:r>
        <w:rPr>
          <w:noProof/>
        </w:rPr>
        <w:t xml:space="preserve"> .</w:t>
      </w:r>
    </w:p>
    <w:p>
      <w:pPr>
        <w:jc w:val="both"/>
        <w:rPr>
          <w:noProof/>
        </w:rPr>
      </w:pPr>
    </w:p>
    <w:p>
      <w:pPr>
        <w:jc w:val="both"/>
        <w:rPr>
          <w:noProof/>
          <w:lang w:eastAsia="en-GB"/>
        </w:rPr>
      </w:pPr>
      <w:r>
        <w:rPr>
          <w:noProof/>
        </w:rPr>
        <w:t>Since 1998, Chile has been the World Economic Forum’s most competitive nation in the Latin American region (in 2018 it ranked 32 of 138 globally)</w:t>
      </w:r>
      <w:r>
        <w:rPr>
          <w:rStyle w:val="FootnoteReference"/>
          <w:noProof/>
        </w:rPr>
        <w:footnoteReference w:id="82"/>
      </w:r>
      <w:r>
        <w:rPr>
          <w:noProof/>
        </w:rPr>
        <w:t xml:space="preserve"> . Chile also used to be regional leader on the World Bank Doing Business Report (DB) but it is now second after Mexico. In 2019 Chile ranks 56 of 190 on DB and 71.81 on the distance to frontier (DTF) measure (Mexico ranks 54 and 72.09 respectively)</w:t>
      </w:r>
      <w:r>
        <w:rPr>
          <w:rStyle w:val="FootnoteReference"/>
          <w:noProof/>
        </w:rPr>
        <w:footnoteReference w:id="83"/>
      </w:r>
      <w:r>
        <w:rPr>
          <w:noProof/>
        </w:rPr>
        <w:t>.</w:t>
      </w:r>
    </w:p>
    <w:p>
      <w:pPr>
        <w:pStyle w:val="ManualHeading1"/>
      </w:pPr>
      <w:bookmarkStart w:id="3542" w:name="_Toc8833754"/>
      <w:bookmarkStart w:id="3543" w:name="_Toc8835581"/>
      <w:bookmarkStart w:id="3544" w:name="_Toc8834211"/>
      <w:bookmarkStart w:id="3545" w:name="_Toc8909674"/>
      <w:bookmarkStart w:id="3546" w:name="_Toc8910886"/>
      <w:bookmarkStart w:id="3547" w:name="_Toc8911923"/>
      <w:bookmarkStart w:id="3548" w:name="_Toc8974744"/>
      <w:bookmarkStart w:id="3549" w:name="_Toc9008397"/>
      <w:bookmarkStart w:id="3550" w:name="_Toc9008800"/>
      <w:bookmarkStart w:id="3551" w:name="_Toc9348796"/>
      <w:bookmarkStart w:id="3552" w:name="_Toc9608247"/>
      <w:bookmarkStart w:id="3553" w:name="_Toc16000807"/>
      <w:r>
        <w:t>3.</w:t>
      </w:r>
      <w:r>
        <w:tab/>
        <w:t>Annual Trade Coordinators Meeting and Trade-related Sub-committees</w:t>
      </w:r>
      <w:bookmarkEnd w:id="3542"/>
      <w:bookmarkEnd w:id="3543"/>
      <w:bookmarkEnd w:id="3544"/>
      <w:bookmarkEnd w:id="3545"/>
      <w:bookmarkEnd w:id="3546"/>
      <w:bookmarkEnd w:id="3547"/>
      <w:bookmarkEnd w:id="3548"/>
      <w:bookmarkEnd w:id="3549"/>
      <w:bookmarkEnd w:id="3550"/>
      <w:bookmarkEnd w:id="3551"/>
      <w:bookmarkEnd w:id="3552"/>
      <w:bookmarkEnd w:id="3553"/>
    </w:p>
    <w:p>
      <w:pPr>
        <w:jc w:val="both"/>
        <w:rPr>
          <w:noProof/>
        </w:rPr>
      </w:pPr>
      <w:r>
        <w:rPr>
          <w:noProof/>
        </w:rPr>
        <w:t>Both sides have invested the necessary resources in the institutional work under the Agreement. Consequently, the meetings under the Agreement have been very regular since it came into force, the 15th EU-Chile Association Committee was held in Brussels on 22 June 2018. The Trade Coordinators meeting and Subcommittees on trade related matters were so far organised practically every year. The Joint Committee on Trade in Wine and Spirits/Aromatised drinks met in 2018 but there was no Trade Coordinators meeting of the EU-Chile Association Agreement in 2018 mainly due to the on-going negotiations for the modernisation of the Agreement.</w:t>
      </w:r>
    </w:p>
    <w:p>
      <w:pPr>
        <w:jc w:val="both"/>
        <w:rPr>
          <w:noProof/>
        </w:rPr>
      </w:pPr>
    </w:p>
    <w:p>
      <w:pPr>
        <w:jc w:val="both"/>
        <w:rPr>
          <w:b/>
          <w:noProof/>
        </w:rPr>
      </w:pPr>
      <w:r>
        <w:rPr>
          <w:b/>
          <w:noProof/>
        </w:rPr>
        <w:t xml:space="preserve">The Joint Committee on Trade in Wine and Spirits/Aromatised drinks </w:t>
      </w:r>
    </w:p>
    <w:p>
      <w:pPr>
        <w:jc w:val="both"/>
        <w:rPr>
          <w:noProof/>
        </w:rPr>
      </w:pPr>
    </w:p>
    <w:p>
      <w:pPr>
        <w:jc w:val="both"/>
        <w:rPr>
          <w:noProof/>
        </w:rPr>
      </w:pPr>
      <w:r>
        <w:rPr>
          <w:noProof/>
        </w:rPr>
        <w:t>During the Joint Committee on Trade in Wine and Spirits/Aromatised drinks the EU and Chile continued to discuss the textual modifications of the wine and spirits agreement and the update of the list of EU GIs</w:t>
      </w:r>
    </w:p>
    <w:p>
      <w:pPr>
        <w:pStyle w:val="ManualHeading1"/>
      </w:pPr>
      <w:bookmarkStart w:id="3554" w:name="_Toc8833755"/>
      <w:bookmarkStart w:id="3555" w:name="_Toc8835582"/>
      <w:bookmarkStart w:id="3556" w:name="_Toc8834212"/>
      <w:bookmarkStart w:id="3557" w:name="_Toc8909675"/>
      <w:bookmarkStart w:id="3558" w:name="_Toc8910887"/>
      <w:bookmarkStart w:id="3559" w:name="_Toc8911924"/>
      <w:bookmarkStart w:id="3560" w:name="_Toc8974745"/>
      <w:bookmarkStart w:id="3561" w:name="_Toc9008398"/>
      <w:bookmarkStart w:id="3562" w:name="_Toc9008801"/>
      <w:bookmarkStart w:id="3563" w:name="_Toc9348797"/>
      <w:bookmarkStart w:id="3564" w:name="_Toc9608248"/>
      <w:bookmarkStart w:id="3565" w:name="_Toc16000808"/>
      <w:r>
        <w:t>4.</w:t>
      </w:r>
      <w:r>
        <w:tab/>
        <w:t>Progress made, Main open issues and follow-up actions</w:t>
      </w:r>
      <w:bookmarkEnd w:id="3554"/>
      <w:bookmarkEnd w:id="3555"/>
      <w:bookmarkEnd w:id="3556"/>
      <w:bookmarkEnd w:id="3557"/>
      <w:bookmarkEnd w:id="3558"/>
      <w:bookmarkEnd w:id="3559"/>
      <w:bookmarkEnd w:id="3560"/>
      <w:bookmarkEnd w:id="3561"/>
      <w:bookmarkEnd w:id="3562"/>
      <w:bookmarkEnd w:id="3563"/>
      <w:bookmarkEnd w:id="3564"/>
      <w:bookmarkEnd w:id="3565"/>
    </w:p>
    <w:p>
      <w:pPr>
        <w:jc w:val="both"/>
        <w:rPr>
          <w:noProof/>
        </w:rPr>
      </w:pPr>
      <w:r>
        <w:rPr>
          <w:noProof/>
        </w:rPr>
        <w:t>The market access procedure derived from the SPS provisions of the Agreement has been beneficial for Member States. Chile applies the same import requirements to the entire EU. In addition, the market access procedure has been simplified, once the market is open for a commodity from one or more Member States and another Member State wants to export for the first time, Chile evaluates the information already provided by the Commission in the context of the first approval. Further information is only needed when Chile has doubts on specific aspects. Chile rarely requires to carry out on-the-spot verifications of the information provided. In such cases, Chile visits selected EU Member States and extends the conclusions to the entire European Union. For certain commodities such as gelatine, collagen, egg products, prepared meals and meat extract; all interested Member States are authorised. Chile approves the EU exporting establishments with a pre-listing procedure in a very short timeframe (within days).</w:t>
      </w:r>
    </w:p>
    <w:p>
      <w:pPr>
        <w:jc w:val="both"/>
        <w:rPr>
          <w:noProof/>
        </w:rPr>
      </w:pPr>
    </w:p>
    <w:p>
      <w:pPr>
        <w:jc w:val="both"/>
        <w:rPr>
          <w:noProof/>
        </w:rPr>
      </w:pPr>
      <w:r>
        <w:rPr>
          <w:noProof/>
        </w:rPr>
        <w:t>In 2018, Chile opened its dairy market for four additional Member States (20 Member States authorised now), two additional Member States for beef (total authorised 10), one for pork (total 12 Member States), four for meat products (total 12 Member States), one for bovine semen (total 14 Member States) and one more for casing (total 10 Member States).  Chile also harmonised the certificate for hatching eggs and egg products.</w:t>
      </w:r>
    </w:p>
    <w:p>
      <w:pPr>
        <w:jc w:val="both"/>
        <w:rPr>
          <w:noProof/>
        </w:rPr>
      </w:pPr>
    </w:p>
    <w:p>
      <w:pPr>
        <w:jc w:val="both"/>
        <w:rPr>
          <w:noProof/>
        </w:rPr>
      </w:pPr>
      <w:r>
        <w:rPr>
          <w:noProof/>
        </w:rPr>
        <w:t xml:space="preserve">However, similar progress has not yet been achieved for the export of EU fruits and vegetables to Chile in 2018, but work continues to allow the export of EU apples to Chile. </w:t>
      </w:r>
    </w:p>
    <w:p>
      <w:pPr>
        <w:jc w:val="both"/>
        <w:rPr>
          <w:noProof/>
        </w:rPr>
      </w:pPr>
    </w:p>
    <w:p>
      <w:pPr>
        <w:jc w:val="both"/>
        <w:rPr>
          <w:noProof/>
        </w:rPr>
      </w:pPr>
      <w:r>
        <w:rPr>
          <w:noProof/>
        </w:rPr>
        <w:t>The 2002 Wine and Spirits Agreements were amended for the last time in 2009. Therefore, they need to be up-dated to add the new wine and spirits geographical indications that have been protected in the EU and Chile since then. This process continues to be dependent on the lengthy Chilean internal assessment procedures.</w:t>
      </w:r>
    </w:p>
    <w:p>
      <w:pPr>
        <w:jc w:val="both"/>
        <w:rPr>
          <w:noProof/>
        </w:rPr>
      </w:pPr>
    </w:p>
    <w:p>
      <w:pPr>
        <w:jc w:val="both"/>
        <w:rPr>
          <w:noProof/>
        </w:rPr>
      </w:pPr>
      <w:r>
        <w:rPr>
          <w:noProof/>
        </w:rPr>
        <w:t xml:space="preserve">In 2018, the longstanding swordfish issue was resolved. After Chile joined the IATTC (Inter-American Tropical Tuna Commission) as a cooperating non-contracting party in July 2017 there were no longer any restrictions on EU swordfish vessels to access Chilean ports. In January 2018, Chile further specified that EU vessels are required to comply with certain administrative requirements, including the provision of VMS (vessel monitoring system) data. These conditions are applied in a non-discriminatory manner to all vessel disembarking swordfish in Chile and are in line with the FAO Agreement on Port State Measures. </w:t>
      </w:r>
    </w:p>
    <w:p>
      <w:pPr>
        <w:jc w:val="both"/>
        <w:rPr>
          <w:noProof/>
        </w:rPr>
      </w:pPr>
    </w:p>
    <w:p>
      <w:pPr>
        <w:jc w:val="both"/>
        <w:rPr>
          <w:noProof/>
        </w:rPr>
      </w:pPr>
      <w:r>
        <w:rPr>
          <w:noProof/>
        </w:rPr>
        <w:t>On 1 January 2018, the EU-Chile Agreement on Mutual Recognition of Organic Products entered into force.</w:t>
      </w:r>
    </w:p>
    <w:p>
      <w:pPr>
        <w:pStyle w:val="ManualHeading1"/>
      </w:pPr>
      <w:bookmarkStart w:id="3566" w:name="_Toc8833756"/>
      <w:bookmarkStart w:id="3567" w:name="_Toc8835583"/>
      <w:bookmarkStart w:id="3568" w:name="_Toc8834213"/>
      <w:bookmarkStart w:id="3569" w:name="_Toc8909676"/>
      <w:bookmarkStart w:id="3570" w:name="_Toc8910888"/>
      <w:bookmarkStart w:id="3571" w:name="_Toc8911925"/>
      <w:bookmarkStart w:id="3572" w:name="_Toc8974746"/>
      <w:bookmarkStart w:id="3573" w:name="_Toc9008399"/>
      <w:bookmarkStart w:id="3574" w:name="_Toc9008802"/>
      <w:bookmarkStart w:id="3575" w:name="_Toc9348798"/>
      <w:bookmarkStart w:id="3576" w:name="_Toc9608249"/>
      <w:bookmarkStart w:id="3577" w:name="_Toc16000809"/>
      <w:r>
        <w:t>5.</w:t>
      </w:r>
      <w:r>
        <w:tab/>
        <w:t>Conclusions and outlook</w:t>
      </w:r>
      <w:bookmarkEnd w:id="3566"/>
      <w:bookmarkEnd w:id="3567"/>
      <w:bookmarkEnd w:id="3568"/>
      <w:bookmarkEnd w:id="3569"/>
      <w:bookmarkEnd w:id="3570"/>
      <w:bookmarkEnd w:id="3571"/>
      <w:bookmarkEnd w:id="3572"/>
      <w:bookmarkEnd w:id="3573"/>
      <w:bookmarkEnd w:id="3574"/>
      <w:bookmarkEnd w:id="3575"/>
      <w:bookmarkEnd w:id="3576"/>
      <w:bookmarkEnd w:id="3577"/>
    </w:p>
    <w:p>
      <w:pPr>
        <w:jc w:val="both"/>
        <w:rPr>
          <w:noProof/>
        </w:rPr>
      </w:pPr>
      <w:r>
        <w:rPr>
          <w:noProof/>
        </w:rPr>
        <w:t>The EU and Chile decided to replace the existing EU-Chile trade agreement with a completely new and ambitious framework for bilateral trade and investment. This process is under way and four rounds of negotiations have already taken place. The latest one took place in Santiago in April 2019 and the next round is scheduled for July 2019.</w:t>
      </w:r>
    </w:p>
    <w:p>
      <w:pPr>
        <w:jc w:val="both"/>
        <w:rPr>
          <w:noProof/>
        </w:rPr>
      </w:pPr>
    </w:p>
    <w:p>
      <w:pPr>
        <w:jc w:val="both"/>
        <w:rPr>
          <w:noProof/>
        </w:rPr>
      </w:pPr>
      <w:r>
        <w:rPr>
          <w:noProof/>
        </w:rPr>
        <w:t>Current work on the implementation of the current agreement continues. The various trade related sub-committees and the Trade Coordinators Meeting did not meet in 2018 (except for the Joint Committee on Trade in Wine and Spirits/Aromatised drinks) but the dialogue with Chile remains fluid.</w:t>
      </w:r>
    </w:p>
    <w:p>
      <w:pPr>
        <w:jc w:val="both"/>
        <w:rPr>
          <w:noProof/>
        </w:rPr>
      </w:pPr>
    </w:p>
    <w:p>
      <w:pPr>
        <w:pStyle w:val="ManualHeading1"/>
      </w:pPr>
      <w:bookmarkStart w:id="3578" w:name="_Toc8833757"/>
      <w:bookmarkStart w:id="3579" w:name="_Toc8835584"/>
      <w:bookmarkStart w:id="3580" w:name="_Toc8834214"/>
      <w:bookmarkStart w:id="3581" w:name="_Toc8909677"/>
      <w:bookmarkStart w:id="3582" w:name="_Toc8910889"/>
      <w:bookmarkStart w:id="3583" w:name="_Toc8911926"/>
      <w:bookmarkStart w:id="3584" w:name="_Toc8974747"/>
      <w:bookmarkStart w:id="3585" w:name="_Toc9008400"/>
      <w:bookmarkStart w:id="3586" w:name="_Toc9008803"/>
      <w:bookmarkStart w:id="3587" w:name="_Toc9348799"/>
      <w:bookmarkStart w:id="3588" w:name="_Toc9608250"/>
      <w:bookmarkStart w:id="3589" w:name="_Toc16000810"/>
      <w:r>
        <w:t>6.</w:t>
      </w:r>
      <w:r>
        <w:tab/>
        <w:t>Statistics</w:t>
      </w:r>
      <w:bookmarkEnd w:id="3578"/>
      <w:bookmarkEnd w:id="3579"/>
      <w:bookmarkEnd w:id="3580"/>
      <w:bookmarkEnd w:id="3581"/>
      <w:bookmarkEnd w:id="3582"/>
      <w:bookmarkEnd w:id="3583"/>
      <w:bookmarkEnd w:id="3584"/>
      <w:bookmarkEnd w:id="3585"/>
      <w:bookmarkEnd w:id="3586"/>
      <w:bookmarkEnd w:id="3587"/>
      <w:bookmarkEnd w:id="3588"/>
      <w:bookmarkEnd w:id="3589"/>
    </w:p>
    <w:tbl>
      <w:tblPr>
        <w:tblW w:w="6977" w:type="dxa"/>
        <w:tblInd w:w="108" w:type="dxa"/>
        <w:tblLook w:val="04A0" w:firstRow="1" w:lastRow="0" w:firstColumn="1" w:lastColumn="0" w:noHBand="0" w:noVBand="1"/>
      </w:tblPr>
      <w:tblGrid>
        <w:gridCol w:w="3421"/>
        <w:gridCol w:w="706"/>
        <w:gridCol w:w="706"/>
        <w:gridCol w:w="706"/>
        <w:gridCol w:w="706"/>
        <w:gridCol w:w="732"/>
      </w:tblGrid>
      <w:tr>
        <w:trPr>
          <w:trHeight w:val="210"/>
        </w:trPr>
        <w:tc>
          <w:tcPr>
            <w:tcW w:w="6977"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Merchandise trade EU28 2014-2018</w:t>
            </w:r>
          </w:p>
        </w:tc>
      </w:tr>
      <w:tr>
        <w:trPr>
          <w:trHeight w:val="210"/>
        </w:trPr>
        <w:tc>
          <w:tcPr>
            <w:tcW w:w="3421" w:type="dxa"/>
            <w:tcBorders>
              <w:top w:val="single" w:sz="4" w:space="0" w:color="auto"/>
              <w:left w:val="nil"/>
              <w:bottom w:val="single" w:sz="4" w:space="0" w:color="auto"/>
              <w:right w:val="nil"/>
            </w:tcBorders>
            <w:shd w:val="clear" w:color="000000" w:fill="FFFFFF"/>
            <w:noWrap/>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 </w:t>
            </w:r>
          </w:p>
        </w:tc>
        <w:tc>
          <w:tcPr>
            <w:tcW w:w="70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70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70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70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732"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r>
      <w:tr>
        <w:trPr>
          <w:trHeight w:val="210"/>
        </w:trPr>
        <w:tc>
          <w:tcPr>
            <w:tcW w:w="3421" w:type="dxa"/>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EU28 trade with Chile (mio €)</w:t>
            </w:r>
          </w:p>
        </w:tc>
        <w:tc>
          <w:tcPr>
            <w:tcW w:w="706"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n-IE" w:eastAsia="en-IE"/>
              </w:rPr>
            </w:pPr>
          </w:p>
        </w:tc>
        <w:tc>
          <w:tcPr>
            <w:tcW w:w="70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70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70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732"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r>
      <w:tr>
        <w:trPr>
          <w:trHeight w:val="210"/>
        </w:trPr>
        <w:tc>
          <w:tcPr>
            <w:tcW w:w="342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8.626</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8.199</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7.338</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8.178</w:t>
            </w:r>
          </w:p>
        </w:tc>
        <w:tc>
          <w:tcPr>
            <w:tcW w:w="732"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8.439</w:t>
            </w:r>
          </w:p>
        </w:tc>
      </w:tr>
      <w:tr>
        <w:trPr>
          <w:trHeight w:val="210"/>
        </w:trPr>
        <w:tc>
          <w:tcPr>
            <w:tcW w:w="342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7.391</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8.353</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8.590</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8.786</w:t>
            </w:r>
          </w:p>
        </w:tc>
        <w:tc>
          <w:tcPr>
            <w:tcW w:w="732"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9.977</w:t>
            </w:r>
          </w:p>
        </w:tc>
      </w:tr>
      <w:tr>
        <w:trPr>
          <w:trHeight w:val="210"/>
        </w:trPr>
        <w:tc>
          <w:tcPr>
            <w:tcW w:w="342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-1.235</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154</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1.252</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607</w:t>
            </w:r>
          </w:p>
        </w:tc>
        <w:tc>
          <w:tcPr>
            <w:tcW w:w="732"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1.539</w:t>
            </w:r>
          </w:p>
        </w:tc>
      </w:tr>
      <w:tr>
        <w:trPr>
          <w:trHeight w:val="210"/>
        </w:trPr>
        <w:tc>
          <w:tcPr>
            <w:tcW w:w="3421" w:type="dxa"/>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Share Chile in EU28 trade with Extra-EU28</w:t>
            </w:r>
          </w:p>
        </w:tc>
        <w:tc>
          <w:tcPr>
            <w:tcW w:w="706"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n-IE" w:eastAsia="en-IE"/>
              </w:rPr>
            </w:pPr>
          </w:p>
        </w:tc>
        <w:tc>
          <w:tcPr>
            <w:tcW w:w="70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70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70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732"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r>
      <w:tr>
        <w:trPr>
          <w:trHeight w:val="210"/>
        </w:trPr>
        <w:tc>
          <w:tcPr>
            <w:tcW w:w="342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0,5%</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0,5%</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0,4%</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0,4%</w:t>
            </w:r>
          </w:p>
        </w:tc>
        <w:tc>
          <w:tcPr>
            <w:tcW w:w="732"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0,4%</w:t>
            </w:r>
          </w:p>
        </w:tc>
      </w:tr>
      <w:tr>
        <w:trPr>
          <w:trHeight w:val="210"/>
        </w:trPr>
        <w:tc>
          <w:tcPr>
            <w:tcW w:w="342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0,4%</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0,5%</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0,5%</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0,5%</w:t>
            </w:r>
          </w:p>
        </w:tc>
        <w:tc>
          <w:tcPr>
            <w:tcW w:w="732"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0,5%</w:t>
            </w:r>
          </w:p>
        </w:tc>
      </w:tr>
      <w:tr>
        <w:trPr>
          <w:trHeight w:val="210"/>
        </w:trPr>
        <w:tc>
          <w:tcPr>
            <w:tcW w:w="342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0,5%</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0,5%</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0,5%</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0,5%</w:t>
            </w:r>
          </w:p>
        </w:tc>
        <w:tc>
          <w:tcPr>
            <w:tcW w:w="732"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0,5%</w:t>
            </w:r>
          </w:p>
        </w:tc>
      </w:tr>
      <w:tr>
        <w:trPr>
          <w:trHeight w:val="210"/>
        </w:trPr>
        <w:tc>
          <w:tcPr>
            <w:tcW w:w="6977"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Share EU28 in trade Chile with world</w:t>
            </w:r>
          </w:p>
        </w:tc>
      </w:tr>
      <w:tr>
        <w:trPr>
          <w:trHeight w:val="210"/>
        </w:trPr>
        <w:tc>
          <w:tcPr>
            <w:tcW w:w="342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15,3%</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15,6%</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17,1%</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15,1%</w:t>
            </w:r>
          </w:p>
        </w:tc>
        <w:tc>
          <w:tcPr>
            <w:tcW w:w="732"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14,9%</w:t>
            </w:r>
          </w:p>
        </w:tc>
      </w:tr>
      <w:tr>
        <w:trPr>
          <w:trHeight w:val="210"/>
        </w:trPr>
        <w:tc>
          <w:tcPr>
            <w:tcW w:w="342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14,4%</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13,2%</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12,9%</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12,8%</w:t>
            </w:r>
          </w:p>
        </w:tc>
        <w:tc>
          <w:tcPr>
            <w:tcW w:w="732"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11,6%</w:t>
            </w:r>
          </w:p>
        </w:tc>
      </w:tr>
      <w:tr>
        <w:trPr>
          <w:trHeight w:val="210"/>
        </w:trPr>
        <w:tc>
          <w:tcPr>
            <w:tcW w:w="342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14,9%</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14,4%</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15,0%</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13,9%</w:t>
            </w:r>
          </w:p>
        </w:tc>
        <w:tc>
          <w:tcPr>
            <w:tcW w:w="732"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13,2%</w:t>
            </w:r>
          </w:p>
        </w:tc>
      </w:tr>
      <w:tr>
        <w:trPr>
          <w:trHeight w:val="225"/>
        </w:trPr>
        <w:tc>
          <w:tcPr>
            <w:tcW w:w="4833" w:type="dxa"/>
            <w:gridSpan w:val="3"/>
            <w:tcBorders>
              <w:top w:val="single" w:sz="4" w:space="0" w:color="auto"/>
              <w:left w:val="nil"/>
              <w:bottom w:val="nil"/>
              <w:right w:val="nil"/>
            </w:tcBorders>
            <w:shd w:val="clear" w:color="000000" w:fill="FFFFFF"/>
            <w:noWrap/>
            <w:vAlign w:val="bottom"/>
            <w:hideMark/>
          </w:tcPr>
          <w:p>
            <w:pPr>
              <w:rPr>
                <w:rFonts w:eastAsia="Times New Roman"/>
                <w:noProof/>
                <w:sz w:val="12"/>
                <w:szCs w:val="12"/>
                <w:lang w:val="en-IE" w:eastAsia="en-IE"/>
              </w:rPr>
            </w:pPr>
            <w:r>
              <w:rPr>
                <w:rFonts w:eastAsia="Times New Roman"/>
                <w:noProof/>
                <w:sz w:val="12"/>
                <w:szCs w:val="12"/>
                <w:lang w:val="en-IE" w:eastAsia="en-IE"/>
              </w:rPr>
              <w:t xml:space="preserve">Source Trade G2 Statistics/ISDB </w:t>
            </w:r>
          </w:p>
        </w:tc>
        <w:tc>
          <w:tcPr>
            <w:tcW w:w="706"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706"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732" w:type="dxa"/>
            <w:tcBorders>
              <w:top w:val="single" w:sz="4" w:space="0" w:color="auto"/>
              <w:left w:val="nil"/>
              <w:bottom w:val="nil"/>
              <w:right w:val="nil"/>
            </w:tcBorders>
            <w:shd w:val="clear" w:color="000000" w:fill="FFFFFF"/>
            <w:noWrap/>
            <w:hideMark/>
          </w:tcPr>
          <w:p>
            <w:pPr>
              <w:jc w:val="right"/>
              <w:rPr>
                <w:rFonts w:eastAsia="Times New Roman"/>
                <w:noProof/>
                <w:sz w:val="12"/>
                <w:szCs w:val="12"/>
                <w:lang w:val="en-IE" w:eastAsia="en-IE"/>
              </w:rPr>
            </w:pPr>
            <w:r>
              <w:rPr>
                <w:rFonts w:eastAsia="Times New Roman"/>
                <w:noProof/>
                <w:sz w:val="12"/>
                <w:szCs w:val="12"/>
                <w:lang w:val="en-IE" w:eastAsia="en-IE"/>
              </w:rPr>
              <w:t>25-mars-19</w:t>
            </w:r>
          </w:p>
        </w:tc>
      </w:tr>
      <w:tr>
        <w:trPr>
          <w:trHeight w:val="210"/>
        </w:trPr>
        <w:tc>
          <w:tcPr>
            <w:tcW w:w="5539" w:type="dxa"/>
            <w:gridSpan w:val="4"/>
            <w:tcBorders>
              <w:top w:val="nil"/>
              <w:left w:val="nil"/>
              <w:bottom w:val="nil"/>
              <w:right w:val="nil"/>
            </w:tcBorders>
            <w:shd w:val="clear" w:color="000000" w:fill="FFFFFF"/>
            <w:noWrap/>
            <w:hideMark/>
          </w:tcPr>
          <w:p>
            <w:pPr>
              <w:rPr>
                <w:rFonts w:eastAsia="Times New Roman"/>
                <w:noProof/>
                <w:color w:val="000000"/>
                <w:sz w:val="12"/>
                <w:szCs w:val="12"/>
                <w:lang w:val="en-IE" w:eastAsia="en-IE"/>
              </w:rPr>
            </w:pPr>
            <w:r>
              <w:rPr>
                <w:rFonts w:eastAsia="Times New Roman"/>
                <w:noProof/>
                <w:color w:val="000000"/>
                <w:sz w:val="12"/>
                <w:szCs w:val="12"/>
                <w:lang w:val="en-IE" w:eastAsia="en-IE"/>
              </w:rPr>
              <w:t>Trade EU28: Eurostat COMEXT;  Trade Chile: IMF Dots</w:t>
            </w:r>
          </w:p>
        </w:tc>
        <w:tc>
          <w:tcPr>
            <w:tcW w:w="70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732"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10"/>
        </w:trPr>
        <w:tc>
          <w:tcPr>
            <w:tcW w:w="3421"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70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70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70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70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732"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25"/>
        </w:trPr>
        <w:tc>
          <w:tcPr>
            <w:tcW w:w="6977"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Total merchandise trade EU28 with Chile (mio €)</w:t>
            </w:r>
          </w:p>
        </w:tc>
      </w:tr>
      <w:tr>
        <w:trPr>
          <w:trHeight w:val="225"/>
        </w:trPr>
        <w:tc>
          <w:tcPr>
            <w:tcW w:w="4127"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Chile</w:t>
            </w:r>
          </w:p>
        </w:tc>
        <w:tc>
          <w:tcPr>
            <w:tcW w:w="70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70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438"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127"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70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70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70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32"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42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70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8.178</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8.439</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260</w:t>
            </w:r>
          </w:p>
        </w:tc>
        <w:tc>
          <w:tcPr>
            <w:tcW w:w="732"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3,2%</w:t>
            </w:r>
          </w:p>
        </w:tc>
      </w:tr>
      <w:tr>
        <w:trPr>
          <w:trHeight w:val="225"/>
        </w:trPr>
        <w:tc>
          <w:tcPr>
            <w:tcW w:w="342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70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8.786</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9.977</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1.192</w:t>
            </w:r>
          </w:p>
        </w:tc>
        <w:tc>
          <w:tcPr>
            <w:tcW w:w="732"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13,6%</w:t>
            </w:r>
          </w:p>
        </w:tc>
      </w:tr>
      <w:tr>
        <w:trPr>
          <w:trHeight w:val="225"/>
        </w:trPr>
        <w:tc>
          <w:tcPr>
            <w:tcW w:w="342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70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607</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1.539</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931</w:t>
            </w:r>
          </w:p>
        </w:tc>
        <w:tc>
          <w:tcPr>
            <w:tcW w:w="73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421"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70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0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16.964</w:t>
            </w:r>
          </w:p>
        </w:tc>
        <w:tc>
          <w:tcPr>
            <w:tcW w:w="70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18.416</w:t>
            </w:r>
          </w:p>
        </w:tc>
        <w:tc>
          <w:tcPr>
            <w:tcW w:w="70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1.452</w:t>
            </w:r>
          </w:p>
        </w:tc>
        <w:tc>
          <w:tcPr>
            <w:tcW w:w="732"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8,6%</w:t>
            </w:r>
          </w:p>
        </w:tc>
      </w:tr>
      <w:tr>
        <w:trPr>
          <w:trHeight w:val="240"/>
        </w:trPr>
        <w:tc>
          <w:tcPr>
            <w:tcW w:w="5539"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70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732"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6977"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Agrifood trade EU28 with Chile (mio €)</w:t>
            </w:r>
          </w:p>
        </w:tc>
      </w:tr>
      <w:tr>
        <w:trPr>
          <w:trHeight w:val="255"/>
        </w:trPr>
        <w:tc>
          <w:tcPr>
            <w:tcW w:w="4127"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Chile</w:t>
            </w:r>
          </w:p>
        </w:tc>
        <w:tc>
          <w:tcPr>
            <w:tcW w:w="70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70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438"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127"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70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70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70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32"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42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70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2.372</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2.505</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133</w:t>
            </w:r>
          </w:p>
        </w:tc>
        <w:tc>
          <w:tcPr>
            <w:tcW w:w="732"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5,6%</w:t>
            </w:r>
          </w:p>
        </w:tc>
      </w:tr>
      <w:tr>
        <w:trPr>
          <w:trHeight w:val="225"/>
        </w:trPr>
        <w:tc>
          <w:tcPr>
            <w:tcW w:w="342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70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714</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776</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62</w:t>
            </w:r>
          </w:p>
        </w:tc>
        <w:tc>
          <w:tcPr>
            <w:tcW w:w="732"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8,6%</w:t>
            </w:r>
          </w:p>
        </w:tc>
      </w:tr>
      <w:tr>
        <w:trPr>
          <w:trHeight w:val="225"/>
        </w:trPr>
        <w:tc>
          <w:tcPr>
            <w:tcW w:w="342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70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-1.657</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-1.729</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-72</w:t>
            </w:r>
          </w:p>
        </w:tc>
        <w:tc>
          <w:tcPr>
            <w:tcW w:w="73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421"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70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0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3.086</w:t>
            </w:r>
          </w:p>
        </w:tc>
        <w:tc>
          <w:tcPr>
            <w:tcW w:w="70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3.281</w:t>
            </w:r>
          </w:p>
        </w:tc>
        <w:tc>
          <w:tcPr>
            <w:tcW w:w="70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195</w:t>
            </w:r>
          </w:p>
        </w:tc>
        <w:tc>
          <w:tcPr>
            <w:tcW w:w="732"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6,3%</w:t>
            </w:r>
          </w:p>
        </w:tc>
      </w:tr>
      <w:tr>
        <w:trPr>
          <w:trHeight w:val="240"/>
        </w:trPr>
        <w:tc>
          <w:tcPr>
            <w:tcW w:w="5539"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70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732"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6977"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NAMA trade EU28 with Chile (mio €)</w:t>
            </w:r>
          </w:p>
        </w:tc>
      </w:tr>
      <w:tr>
        <w:trPr>
          <w:trHeight w:val="225"/>
        </w:trPr>
        <w:tc>
          <w:tcPr>
            <w:tcW w:w="4127"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Chile</w:t>
            </w:r>
          </w:p>
        </w:tc>
        <w:tc>
          <w:tcPr>
            <w:tcW w:w="70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70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438"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127"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70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70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70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32"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4127"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imports</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5.807</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5.934</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127</w:t>
            </w:r>
          </w:p>
        </w:tc>
        <w:tc>
          <w:tcPr>
            <w:tcW w:w="732"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w:t>
            </w:r>
          </w:p>
        </w:tc>
      </w:tr>
      <w:tr>
        <w:trPr>
          <w:trHeight w:val="225"/>
        </w:trPr>
        <w:tc>
          <w:tcPr>
            <w:tcW w:w="4127"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exports</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8.071</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9.201</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1.130</w:t>
            </w:r>
          </w:p>
        </w:tc>
        <w:tc>
          <w:tcPr>
            <w:tcW w:w="732"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14,0%</w:t>
            </w:r>
          </w:p>
        </w:tc>
      </w:tr>
      <w:tr>
        <w:trPr>
          <w:trHeight w:val="225"/>
        </w:trPr>
        <w:tc>
          <w:tcPr>
            <w:tcW w:w="342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70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2.265</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3.267</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1.003</w:t>
            </w:r>
          </w:p>
        </w:tc>
        <w:tc>
          <w:tcPr>
            <w:tcW w:w="73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42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70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13.878</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15.135</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1.257</w:t>
            </w:r>
          </w:p>
        </w:tc>
        <w:tc>
          <w:tcPr>
            <w:tcW w:w="732"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9,1%</w:t>
            </w:r>
          </w:p>
        </w:tc>
      </w:tr>
      <w:tr>
        <w:trPr>
          <w:trHeight w:val="240"/>
        </w:trPr>
        <w:tc>
          <w:tcPr>
            <w:tcW w:w="5539"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706" w:type="dxa"/>
            <w:tcBorders>
              <w:top w:val="single" w:sz="4" w:space="0" w:color="auto"/>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732"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5539" w:type="dxa"/>
            <w:gridSpan w:val="4"/>
            <w:tcBorders>
              <w:top w:val="nil"/>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Services trade EU28 with Chile (mio €)</w:t>
            </w:r>
          </w:p>
        </w:tc>
        <w:tc>
          <w:tcPr>
            <w:tcW w:w="706" w:type="dxa"/>
            <w:tcBorders>
              <w:top w:val="nil"/>
              <w:left w:val="nil"/>
              <w:bottom w:val="nil"/>
              <w:right w:val="nil"/>
            </w:tcBorders>
            <w:shd w:val="clear" w:color="000000" w:fill="FFFFFF"/>
            <w:noWrap/>
            <w:vAlign w:val="center"/>
            <w:hideMark/>
          </w:tcPr>
          <w:p>
            <w:pPr>
              <w:rPr>
                <w:rFonts w:eastAsia="Times New Roman"/>
                <w:b/>
                <w:bCs/>
                <w:noProof/>
                <w:sz w:val="16"/>
                <w:szCs w:val="16"/>
                <w:lang w:val="en-IE" w:eastAsia="en-IE"/>
              </w:rPr>
            </w:pPr>
            <w:r>
              <w:rPr>
                <w:rFonts w:eastAsia="Times New Roman"/>
                <w:b/>
                <w:bCs/>
                <w:noProof/>
                <w:sz w:val="16"/>
                <w:szCs w:val="16"/>
                <w:lang w:val="en-IE" w:eastAsia="en-IE"/>
              </w:rPr>
              <w:t> </w:t>
            </w:r>
          </w:p>
        </w:tc>
        <w:tc>
          <w:tcPr>
            <w:tcW w:w="732" w:type="dxa"/>
            <w:tcBorders>
              <w:top w:val="nil"/>
              <w:left w:val="nil"/>
              <w:bottom w:val="nil"/>
              <w:right w:val="nil"/>
            </w:tcBorders>
            <w:shd w:val="clear" w:color="000000" w:fill="FFFFFF"/>
            <w:noWrap/>
            <w:vAlign w:val="center"/>
            <w:hideMark/>
          </w:tcPr>
          <w:p>
            <w:pPr>
              <w:rPr>
                <w:rFonts w:eastAsia="Times New Roman"/>
                <w:b/>
                <w:bCs/>
                <w:noProof/>
                <w:sz w:val="16"/>
                <w:szCs w:val="16"/>
                <w:lang w:val="en-IE" w:eastAsia="en-IE"/>
              </w:rPr>
            </w:pPr>
            <w:r>
              <w:rPr>
                <w:rFonts w:eastAsia="Times New Roman"/>
                <w:b/>
                <w:bCs/>
                <w:noProof/>
                <w:sz w:val="16"/>
                <w:szCs w:val="16"/>
                <w:lang w:val="en-IE" w:eastAsia="en-IE"/>
              </w:rPr>
              <w:t> </w:t>
            </w:r>
          </w:p>
        </w:tc>
      </w:tr>
      <w:tr>
        <w:trPr>
          <w:trHeight w:val="225"/>
        </w:trPr>
        <w:tc>
          <w:tcPr>
            <w:tcW w:w="4127"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Chile</w:t>
            </w:r>
          </w:p>
        </w:tc>
        <w:tc>
          <w:tcPr>
            <w:tcW w:w="706"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706"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1438"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127"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706"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706"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70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32"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42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70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1.843</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1.878</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34</w:t>
            </w:r>
          </w:p>
        </w:tc>
        <w:tc>
          <w:tcPr>
            <w:tcW w:w="732"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w:t>
            </w:r>
          </w:p>
        </w:tc>
      </w:tr>
      <w:tr>
        <w:trPr>
          <w:trHeight w:val="225"/>
        </w:trPr>
        <w:tc>
          <w:tcPr>
            <w:tcW w:w="342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70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3.892</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4.541</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650</w:t>
            </w:r>
          </w:p>
        </w:tc>
        <w:tc>
          <w:tcPr>
            <w:tcW w:w="732"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16,7%</w:t>
            </w:r>
          </w:p>
        </w:tc>
      </w:tr>
      <w:tr>
        <w:trPr>
          <w:trHeight w:val="225"/>
        </w:trPr>
        <w:tc>
          <w:tcPr>
            <w:tcW w:w="342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70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2.048</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2.664</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615</w:t>
            </w:r>
          </w:p>
        </w:tc>
        <w:tc>
          <w:tcPr>
            <w:tcW w:w="73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421"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70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0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5.735</w:t>
            </w:r>
          </w:p>
        </w:tc>
        <w:tc>
          <w:tcPr>
            <w:tcW w:w="70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6.419</w:t>
            </w:r>
          </w:p>
        </w:tc>
        <w:tc>
          <w:tcPr>
            <w:tcW w:w="70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684</w:t>
            </w:r>
          </w:p>
        </w:tc>
        <w:tc>
          <w:tcPr>
            <w:tcW w:w="732"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11,9%</w:t>
            </w:r>
          </w:p>
        </w:tc>
      </w:tr>
      <w:tr>
        <w:trPr>
          <w:trHeight w:val="240"/>
        </w:trPr>
        <w:tc>
          <w:tcPr>
            <w:tcW w:w="6245" w:type="dxa"/>
            <w:gridSpan w:val="5"/>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732"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40"/>
        </w:trPr>
        <w:tc>
          <w:tcPr>
            <w:tcW w:w="6977"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Services trade EU28 with Chile (mio €)</w:t>
            </w:r>
          </w:p>
        </w:tc>
      </w:tr>
      <w:tr>
        <w:trPr>
          <w:trHeight w:val="225"/>
        </w:trPr>
        <w:tc>
          <w:tcPr>
            <w:tcW w:w="3421"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0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70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70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70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732"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342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1.586</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1.684</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1.909</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1.843</w:t>
            </w:r>
          </w:p>
        </w:tc>
        <w:tc>
          <w:tcPr>
            <w:tcW w:w="732"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1.878</w:t>
            </w:r>
          </w:p>
        </w:tc>
      </w:tr>
      <w:tr>
        <w:trPr>
          <w:trHeight w:val="225"/>
        </w:trPr>
        <w:tc>
          <w:tcPr>
            <w:tcW w:w="342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3.080</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3.414</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3.735</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3.892</w:t>
            </w:r>
          </w:p>
        </w:tc>
        <w:tc>
          <w:tcPr>
            <w:tcW w:w="732"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4.541</w:t>
            </w:r>
          </w:p>
        </w:tc>
      </w:tr>
      <w:tr>
        <w:trPr>
          <w:trHeight w:val="225"/>
        </w:trPr>
        <w:tc>
          <w:tcPr>
            <w:tcW w:w="342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1.494</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1.729</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1.826</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2.048</w:t>
            </w:r>
          </w:p>
        </w:tc>
        <w:tc>
          <w:tcPr>
            <w:tcW w:w="732"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2.664</w:t>
            </w:r>
          </w:p>
        </w:tc>
      </w:tr>
      <w:tr>
        <w:trPr>
          <w:trHeight w:val="225"/>
        </w:trPr>
        <w:tc>
          <w:tcPr>
            <w:tcW w:w="3421"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70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4.666</w:t>
            </w:r>
          </w:p>
        </w:tc>
        <w:tc>
          <w:tcPr>
            <w:tcW w:w="70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5.098</w:t>
            </w:r>
          </w:p>
        </w:tc>
        <w:tc>
          <w:tcPr>
            <w:tcW w:w="70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5.644</w:t>
            </w:r>
          </w:p>
        </w:tc>
        <w:tc>
          <w:tcPr>
            <w:tcW w:w="70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5.735</w:t>
            </w:r>
          </w:p>
        </w:tc>
        <w:tc>
          <w:tcPr>
            <w:tcW w:w="732"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6.419</w:t>
            </w:r>
          </w:p>
        </w:tc>
      </w:tr>
      <w:tr>
        <w:trPr>
          <w:trHeight w:val="225"/>
        </w:trPr>
        <w:tc>
          <w:tcPr>
            <w:tcW w:w="3421"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706"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 </w:t>
            </w:r>
          </w:p>
        </w:tc>
        <w:tc>
          <w:tcPr>
            <w:tcW w:w="70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0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0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3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6977"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FDI EU28 with Chile (mio €)</w:t>
            </w:r>
          </w:p>
        </w:tc>
      </w:tr>
      <w:tr>
        <w:trPr>
          <w:trHeight w:val="225"/>
        </w:trPr>
        <w:tc>
          <w:tcPr>
            <w:tcW w:w="3421"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0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70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70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70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732"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6977"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Stocks</w:t>
            </w:r>
          </w:p>
        </w:tc>
      </w:tr>
      <w:tr>
        <w:trPr>
          <w:trHeight w:val="225"/>
        </w:trPr>
        <w:tc>
          <w:tcPr>
            <w:tcW w:w="342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998</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1.710</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1.961</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1.794</w:t>
            </w:r>
          </w:p>
        </w:tc>
        <w:tc>
          <w:tcPr>
            <w:tcW w:w="732"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1.860</w:t>
            </w:r>
          </w:p>
        </w:tc>
      </w:tr>
      <w:tr>
        <w:trPr>
          <w:trHeight w:val="225"/>
        </w:trPr>
        <w:tc>
          <w:tcPr>
            <w:tcW w:w="342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29.174</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42.760</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47.937</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55.830</w:t>
            </w:r>
          </w:p>
        </w:tc>
        <w:tc>
          <w:tcPr>
            <w:tcW w:w="732"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51.863</w:t>
            </w:r>
          </w:p>
        </w:tc>
      </w:tr>
      <w:tr>
        <w:trPr>
          <w:trHeight w:val="225"/>
        </w:trPr>
        <w:tc>
          <w:tcPr>
            <w:tcW w:w="6977"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Flows</w:t>
            </w:r>
          </w:p>
        </w:tc>
      </w:tr>
      <w:tr>
        <w:trPr>
          <w:trHeight w:val="225"/>
        </w:trPr>
        <w:tc>
          <w:tcPr>
            <w:tcW w:w="342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845</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466</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-705</w:t>
            </w:r>
          </w:p>
        </w:tc>
        <w:tc>
          <w:tcPr>
            <w:tcW w:w="70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223</w:t>
            </w:r>
          </w:p>
        </w:tc>
        <w:tc>
          <w:tcPr>
            <w:tcW w:w="732"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-170</w:t>
            </w:r>
          </w:p>
        </w:tc>
      </w:tr>
      <w:tr>
        <w:trPr>
          <w:trHeight w:val="225"/>
        </w:trPr>
        <w:tc>
          <w:tcPr>
            <w:tcW w:w="342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70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5.759</w:t>
            </w:r>
          </w:p>
        </w:tc>
        <w:tc>
          <w:tcPr>
            <w:tcW w:w="70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8.208</w:t>
            </w:r>
          </w:p>
        </w:tc>
        <w:tc>
          <w:tcPr>
            <w:tcW w:w="70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2.139</w:t>
            </w:r>
          </w:p>
        </w:tc>
        <w:tc>
          <w:tcPr>
            <w:tcW w:w="70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4.000</w:t>
            </w:r>
          </w:p>
        </w:tc>
        <w:tc>
          <w:tcPr>
            <w:tcW w:w="732"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-1.185</w:t>
            </w:r>
          </w:p>
        </w:tc>
      </w:tr>
      <w:tr>
        <w:trPr>
          <w:trHeight w:val="225"/>
        </w:trPr>
        <w:tc>
          <w:tcPr>
            <w:tcW w:w="3421" w:type="dxa"/>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706"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 </w:t>
            </w:r>
          </w:p>
        </w:tc>
        <w:tc>
          <w:tcPr>
            <w:tcW w:w="70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0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0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32"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bl>
    <w:p>
      <w:pPr>
        <w:rPr>
          <w:rFonts w:eastAsia="Calibri"/>
          <w:noProof/>
        </w:rPr>
      </w:pPr>
    </w:p>
    <w:p>
      <w:pPr>
        <w:spacing w:after="200" w:line="276" w:lineRule="auto"/>
        <w:rPr>
          <w:noProof/>
        </w:rPr>
      </w:pPr>
      <w:r>
        <w:rPr>
          <w:noProof/>
        </w:rPr>
        <w:br w:type="page"/>
      </w:r>
    </w:p>
    <w:p>
      <w:pPr>
        <w:pStyle w:val="ChapterHead"/>
        <w:jc w:val="both"/>
        <w:rPr>
          <w:b/>
          <w:noProof/>
        </w:rPr>
      </w:pPr>
      <w:bookmarkStart w:id="3590" w:name="_Toc8833758"/>
      <w:bookmarkStart w:id="3591" w:name="_Toc8835585"/>
      <w:bookmarkStart w:id="3592" w:name="_Toc8834215"/>
      <w:bookmarkStart w:id="3593" w:name="_Toc8909678"/>
      <w:bookmarkStart w:id="3594" w:name="_Toc8910890"/>
      <w:bookmarkStart w:id="3595" w:name="_Toc8911927"/>
      <w:bookmarkStart w:id="3596" w:name="_Toc8974748"/>
      <w:bookmarkStart w:id="3597" w:name="_Toc9008401"/>
      <w:bookmarkStart w:id="3598" w:name="_Toc9008804"/>
      <w:bookmarkStart w:id="3599" w:name="_Toc9348800"/>
      <w:bookmarkStart w:id="3600" w:name="_Toc9608251"/>
      <w:bookmarkStart w:id="3601" w:name="_Toc16000811"/>
      <w:r>
        <w:rPr>
          <w:b/>
          <w:noProof/>
        </w:rPr>
        <w:t>ANNUAL INFO SHEET ON IMPLEMENTATION OF THE TRADE PILLAR OF THE EU-MEXICO ASSOCIATION AGREEMENT</w:t>
      </w:r>
      <w:bookmarkEnd w:id="3590"/>
      <w:bookmarkEnd w:id="3591"/>
      <w:bookmarkEnd w:id="3592"/>
      <w:bookmarkEnd w:id="3593"/>
      <w:bookmarkEnd w:id="3594"/>
      <w:bookmarkEnd w:id="3595"/>
      <w:bookmarkEnd w:id="3596"/>
      <w:bookmarkEnd w:id="3597"/>
      <w:bookmarkEnd w:id="3598"/>
      <w:bookmarkEnd w:id="3599"/>
      <w:bookmarkEnd w:id="3600"/>
      <w:bookmarkEnd w:id="3601"/>
      <w:r>
        <w:rPr>
          <w:b/>
          <w:noProof/>
        </w:rPr>
        <w:t xml:space="preserve"> </w:t>
      </w:r>
    </w:p>
    <w:p>
      <w:pPr>
        <w:pStyle w:val="ManualHeading1"/>
      </w:pPr>
      <w:bookmarkStart w:id="3602" w:name="_Toc8833759"/>
      <w:bookmarkStart w:id="3603" w:name="_Toc8835586"/>
      <w:bookmarkStart w:id="3604" w:name="_Toc8834216"/>
      <w:bookmarkStart w:id="3605" w:name="_Toc8909679"/>
      <w:bookmarkStart w:id="3606" w:name="_Toc8910891"/>
      <w:bookmarkStart w:id="3607" w:name="_Toc8911928"/>
      <w:bookmarkStart w:id="3608" w:name="_Toc8974749"/>
      <w:bookmarkStart w:id="3609" w:name="_Toc9008402"/>
      <w:bookmarkStart w:id="3610" w:name="_Toc9008805"/>
      <w:bookmarkStart w:id="3611" w:name="_Toc9348801"/>
      <w:bookmarkStart w:id="3612" w:name="_Toc9608252"/>
      <w:bookmarkStart w:id="3613" w:name="_Toc16000812"/>
      <w:r>
        <w:t>1.</w:t>
      </w:r>
      <w:r>
        <w:tab/>
        <w:t>Introduction</w:t>
      </w:r>
      <w:bookmarkEnd w:id="3602"/>
      <w:bookmarkEnd w:id="3603"/>
      <w:bookmarkEnd w:id="3604"/>
      <w:bookmarkEnd w:id="3605"/>
      <w:bookmarkEnd w:id="3606"/>
      <w:bookmarkEnd w:id="3607"/>
      <w:bookmarkEnd w:id="3608"/>
      <w:bookmarkEnd w:id="3609"/>
      <w:bookmarkEnd w:id="3610"/>
      <w:bookmarkEnd w:id="3611"/>
      <w:bookmarkEnd w:id="3612"/>
      <w:bookmarkEnd w:id="3613"/>
    </w:p>
    <w:p>
      <w:pPr>
        <w:spacing w:before="100" w:beforeAutospacing="1" w:after="100" w:afterAutospacing="1"/>
        <w:jc w:val="both"/>
        <w:rPr>
          <w:rFonts w:eastAsia="Times New Roman"/>
          <w:noProof/>
          <w:lang w:val="en" w:eastAsia="en-GB"/>
        </w:rPr>
      </w:pPr>
      <w:r>
        <w:rPr>
          <w:rFonts w:eastAsia="Times New Roman"/>
          <w:noProof/>
          <w:lang w:val="en" w:eastAsia="en-GB"/>
        </w:rPr>
        <w:t xml:space="preserve">Mexico is the second biggest trading partner of the EU in Latin America, after Brazil. In 1997 Mexico was the first country in Latin America to sign an </w:t>
      </w:r>
      <w:r>
        <w:rPr>
          <w:rFonts w:eastAsia="Times New Roman"/>
          <w:b/>
          <w:noProof/>
          <w:lang w:val="en" w:eastAsia="en-GB"/>
        </w:rPr>
        <w:t>Economic Partnership, Political Coordination and Cooperation Agreement</w:t>
      </w:r>
      <w:r>
        <w:rPr>
          <w:rFonts w:eastAsia="Times New Roman"/>
          <w:noProof/>
          <w:lang w:val="en" w:eastAsia="en-GB"/>
        </w:rPr>
        <w:t xml:space="preserve"> with the EU (‘Global Agreement’), which came into force in 2000. Its trade provisions were later developed into a comprehensive Free Trade Agreement that entered into force in October 2000 for goods and 2001 for services (hereinafter called ‘the FTA’). </w:t>
      </w:r>
    </w:p>
    <w:p>
      <w:pPr>
        <w:spacing w:before="100" w:beforeAutospacing="1" w:after="100" w:afterAutospacing="1"/>
        <w:jc w:val="both"/>
        <w:rPr>
          <w:rFonts w:eastAsia="Calibri"/>
          <w:noProof/>
          <w:lang w:eastAsia="en-GB"/>
        </w:rPr>
      </w:pPr>
      <w:r>
        <w:rPr>
          <w:rFonts w:eastAsia="Calibri"/>
          <w:noProof/>
          <w:lang w:eastAsia="en-GB"/>
        </w:rPr>
        <w:t xml:space="preserve">Over the close to twenty years of its operation, this ambitious agreement has yielded very positive results for both parties. Bilateral goods trade between the EU and Mexico has more than tripled with exports from the EU to Mexico growing slightly faster than exports from Mexico to the EU. Bilateral trade in services has also significantly expanded and the EU remains the main investor in Mexico, after the US. </w:t>
      </w:r>
    </w:p>
    <w:p>
      <w:pPr>
        <w:spacing w:before="100" w:beforeAutospacing="1" w:after="100" w:afterAutospacing="1"/>
        <w:jc w:val="both"/>
        <w:rPr>
          <w:rFonts w:eastAsia="Calibri"/>
          <w:noProof/>
          <w:lang w:eastAsia="en-GB"/>
        </w:rPr>
      </w:pPr>
      <w:r>
        <w:rPr>
          <w:rFonts w:eastAsia="Calibri"/>
          <w:noProof/>
          <w:lang w:eastAsia="en-GB"/>
        </w:rPr>
        <w:t xml:space="preserve">In order to adapt the Global Agreement to the new realities of global trade and investment, negotiations on its modernisation were launched in 2016. On 21 April 2018, after nine rounds of negotiations, an ‘agreement in principle’ was reached outlining the numerous improvements to the legal framework of EU-Mexico bilateral trade relations. </w:t>
      </w:r>
      <w:r>
        <w:rPr>
          <w:noProof/>
          <w:lang w:eastAsia="es-ES"/>
        </w:rPr>
        <w:t xml:space="preserve">This modernisation will bring the trade and investment framework into the 21st century on a basis of reciprocity and promote new opportunities for business, while including strong and clear commitments on human rights, sustainable development and the fight against corruption. </w:t>
      </w:r>
      <w:r>
        <w:rPr>
          <w:rFonts w:eastAsia="Calibri"/>
          <w:noProof/>
          <w:lang w:eastAsia="en-GB"/>
        </w:rPr>
        <w:t xml:space="preserve">The trade part of the agreement is broadly described in section 5. </w:t>
      </w:r>
    </w:p>
    <w:p>
      <w:pPr>
        <w:pStyle w:val="ManualHeading1"/>
      </w:pPr>
      <w:bookmarkStart w:id="3614" w:name="_Toc8833760"/>
      <w:bookmarkStart w:id="3615" w:name="_Toc8835587"/>
      <w:bookmarkStart w:id="3616" w:name="_Toc8834217"/>
      <w:bookmarkStart w:id="3617" w:name="_Toc8909680"/>
      <w:bookmarkStart w:id="3618" w:name="_Toc8910892"/>
      <w:bookmarkStart w:id="3619" w:name="_Toc8911929"/>
      <w:bookmarkStart w:id="3620" w:name="_Toc8974750"/>
      <w:bookmarkStart w:id="3621" w:name="_Toc9008403"/>
      <w:bookmarkStart w:id="3622" w:name="_Toc9008806"/>
      <w:bookmarkStart w:id="3623" w:name="_Toc9348802"/>
      <w:bookmarkStart w:id="3624" w:name="_Toc9608253"/>
      <w:bookmarkStart w:id="3625" w:name="_Toc16000813"/>
      <w:r>
        <w:t>2.</w:t>
      </w:r>
      <w:r>
        <w:tab/>
        <w:t>Evolution of trade</w:t>
      </w:r>
      <w:bookmarkEnd w:id="3614"/>
      <w:bookmarkEnd w:id="3615"/>
      <w:bookmarkEnd w:id="3616"/>
      <w:bookmarkEnd w:id="3617"/>
      <w:bookmarkEnd w:id="3618"/>
      <w:bookmarkEnd w:id="3619"/>
      <w:bookmarkEnd w:id="3620"/>
      <w:bookmarkEnd w:id="3621"/>
      <w:bookmarkEnd w:id="3622"/>
      <w:bookmarkEnd w:id="3623"/>
      <w:bookmarkEnd w:id="3624"/>
      <w:bookmarkEnd w:id="3625"/>
    </w:p>
    <w:p>
      <w:pPr>
        <w:pStyle w:val="Heading2"/>
        <w:ind w:left="0" w:firstLine="0"/>
      </w:pPr>
      <w:bookmarkStart w:id="3626" w:name="_Toc8833761"/>
      <w:bookmarkStart w:id="3627" w:name="_Toc8835588"/>
      <w:bookmarkStart w:id="3628" w:name="_Toc8834218"/>
      <w:bookmarkStart w:id="3629" w:name="_Toc8909681"/>
      <w:bookmarkStart w:id="3630" w:name="_Toc8910893"/>
      <w:bookmarkStart w:id="3631" w:name="_Toc8911930"/>
      <w:bookmarkStart w:id="3632" w:name="_Toc8974751"/>
      <w:bookmarkStart w:id="3633" w:name="_Toc9008404"/>
      <w:bookmarkStart w:id="3634" w:name="_Toc9008807"/>
      <w:bookmarkStart w:id="3635" w:name="_Toc9348803"/>
      <w:bookmarkStart w:id="3636" w:name="_Toc9608254"/>
      <w:bookmarkStart w:id="3637" w:name="_Toc16000814"/>
      <w:r>
        <w:t>2.2 Trade in goods</w:t>
      </w:r>
      <w:bookmarkEnd w:id="3626"/>
      <w:bookmarkEnd w:id="3627"/>
      <w:bookmarkEnd w:id="3628"/>
      <w:bookmarkEnd w:id="3629"/>
      <w:bookmarkEnd w:id="3630"/>
      <w:bookmarkEnd w:id="3631"/>
      <w:bookmarkEnd w:id="3632"/>
      <w:bookmarkEnd w:id="3633"/>
      <w:bookmarkEnd w:id="3634"/>
      <w:bookmarkEnd w:id="3635"/>
      <w:bookmarkEnd w:id="3636"/>
      <w:bookmarkEnd w:id="3637"/>
    </w:p>
    <w:p>
      <w:pPr>
        <w:spacing w:before="100" w:beforeAutospacing="1" w:after="100" w:afterAutospacing="1"/>
        <w:jc w:val="both"/>
        <w:rPr>
          <w:rFonts w:eastAsia="Calibri"/>
          <w:noProof/>
          <w:lang w:eastAsia="en-GB"/>
        </w:rPr>
      </w:pPr>
      <w:r>
        <w:rPr>
          <w:rFonts w:eastAsia="Calibri"/>
          <w:noProof/>
          <w:lang w:eastAsia="en-GB"/>
        </w:rPr>
        <w:t xml:space="preserve">In 2018, bilateral trade in goods between the EU and Mexico totalled €65.4 billion, increasing by 5.8% compared to 2017 and tripling trade if compared to 2000 (€21.7 billion). Differently from the trend in 2017, EU exports to Mexico (€39.4 billion) grew faster than Mexican exports to the EU (€26 billion), that is, 8.8% and 3.9%, respectively. </w:t>
      </w:r>
    </w:p>
    <w:p>
      <w:pPr>
        <w:spacing w:before="100" w:beforeAutospacing="1" w:after="100" w:afterAutospacing="1"/>
        <w:jc w:val="both"/>
        <w:rPr>
          <w:rFonts w:eastAsia="Calibri"/>
          <w:noProof/>
          <w:lang w:eastAsia="en-GB"/>
        </w:rPr>
      </w:pPr>
      <w:r>
        <w:rPr>
          <w:rFonts w:eastAsia="Calibri"/>
          <w:noProof/>
          <w:lang w:eastAsia="en-GB"/>
        </w:rPr>
        <w:t xml:space="preserve">The EU continues to register a trade surplus with Mexico, slightly decreasing from €14 to €13.4 billion in 2018. In 2018, the EU remains Mexico’s second largest export market, with a share of 6% of total exports and totalling €26 billion. </w:t>
      </w:r>
    </w:p>
    <w:p>
      <w:pPr>
        <w:spacing w:line="276" w:lineRule="auto"/>
        <w:jc w:val="both"/>
        <w:rPr>
          <w:rFonts w:eastAsia="Calibri"/>
          <w:noProof/>
        </w:rPr>
      </w:pPr>
      <w:r>
        <w:rPr>
          <w:rFonts w:eastAsia="Calibri"/>
          <w:noProof/>
          <w:lang w:eastAsia="en-GB"/>
        </w:rPr>
        <w:t>The structure of Mexico’s trade with the EU maintains a coherent pattern with the respective share of the bilateral trade increasing at similar rates over the years resulting in a rather stable trade balance. Moreover, as explained below, bilateral trade is concentrated in a number of sectors.</w:t>
      </w:r>
    </w:p>
    <w:p>
      <w:pPr>
        <w:spacing w:after="200" w:line="276" w:lineRule="auto"/>
        <w:jc w:val="both"/>
        <w:rPr>
          <w:noProof/>
        </w:rPr>
      </w:pPr>
      <w:r>
        <w:rPr>
          <w:noProof/>
          <w:u w:val="single"/>
        </w:rPr>
        <w:t>Imports into the EU from Mexico</w:t>
      </w:r>
      <w:r>
        <w:rPr>
          <w:noProof/>
        </w:rPr>
        <w:t>: Mexican goods imported into the EU totalled €26 billion and import increases were observed across most sectors, following the same trend as in 2017. The largest export categories of products imported from Mexico to the EU were:</w:t>
      </w:r>
    </w:p>
    <w:p>
      <w:pPr>
        <w:pStyle w:val="ListParagraph"/>
        <w:numPr>
          <w:ilvl w:val="0"/>
          <w:numId w:val="44"/>
        </w:numPr>
        <w:jc w:val="both"/>
        <w:rPr>
          <w:rFonts w:ascii="Times New Roman" w:hAnsi="Times New Roman" w:cs="Times New Roman"/>
          <w:noProof/>
          <w:sz w:val="24"/>
          <w:szCs w:val="24"/>
        </w:rPr>
      </w:pPr>
      <w:r>
        <w:rPr>
          <w:rFonts w:ascii="Times New Roman" w:hAnsi="Times New Roman" w:cs="Times New Roman"/>
          <w:noProof/>
          <w:sz w:val="24"/>
          <w:szCs w:val="24"/>
        </w:rPr>
        <w:t>transport equipment (€6.4 billion – 24.5% of EU imports from Mexico);</w:t>
      </w:r>
    </w:p>
    <w:p>
      <w:pPr>
        <w:pStyle w:val="ListParagraph"/>
        <w:numPr>
          <w:ilvl w:val="0"/>
          <w:numId w:val="44"/>
        </w:numPr>
        <w:jc w:val="both"/>
        <w:rPr>
          <w:rFonts w:ascii="Times New Roman" w:hAnsi="Times New Roman" w:cs="Times New Roman"/>
          <w:noProof/>
          <w:sz w:val="24"/>
          <w:szCs w:val="24"/>
        </w:rPr>
      </w:pPr>
      <w:r>
        <w:rPr>
          <w:rFonts w:ascii="Times New Roman" w:hAnsi="Times New Roman" w:cs="Times New Roman"/>
          <w:noProof/>
          <w:sz w:val="24"/>
          <w:szCs w:val="24"/>
        </w:rPr>
        <w:t>machinery and appliances (€6.3 billion – 24.3% of EU imports from Mexico);</w:t>
      </w:r>
    </w:p>
    <w:p>
      <w:pPr>
        <w:pStyle w:val="ListParagraph"/>
        <w:numPr>
          <w:ilvl w:val="0"/>
          <w:numId w:val="44"/>
        </w:numPr>
        <w:jc w:val="both"/>
        <w:rPr>
          <w:rFonts w:ascii="Times New Roman" w:hAnsi="Times New Roman" w:cs="Times New Roman"/>
          <w:noProof/>
          <w:sz w:val="24"/>
          <w:szCs w:val="24"/>
        </w:rPr>
      </w:pPr>
      <w:r>
        <w:rPr>
          <w:rFonts w:ascii="Times New Roman" w:hAnsi="Times New Roman" w:cs="Times New Roman"/>
          <w:noProof/>
          <w:sz w:val="24"/>
          <w:szCs w:val="24"/>
        </w:rPr>
        <w:t>mineral products (€4.8 billion – 18.7% of EU imports from Mexico);</w:t>
      </w:r>
    </w:p>
    <w:p>
      <w:pPr>
        <w:pStyle w:val="ListParagraph"/>
        <w:numPr>
          <w:ilvl w:val="0"/>
          <w:numId w:val="44"/>
        </w:numPr>
        <w:jc w:val="both"/>
        <w:rPr>
          <w:rFonts w:ascii="Times New Roman" w:hAnsi="Times New Roman" w:cs="Times New Roman"/>
          <w:noProof/>
          <w:sz w:val="24"/>
          <w:szCs w:val="24"/>
        </w:rPr>
      </w:pPr>
      <w:r>
        <w:rPr>
          <w:rFonts w:ascii="Times New Roman" w:hAnsi="Times New Roman" w:cs="Times New Roman"/>
          <w:noProof/>
          <w:sz w:val="24"/>
          <w:szCs w:val="24"/>
        </w:rPr>
        <w:t>optical/photographic instruments (€3billion – 11.9% of EU imports from Mexico 11.9%).</w:t>
      </w:r>
    </w:p>
    <w:p>
      <w:pPr>
        <w:spacing w:after="200" w:line="276" w:lineRule="auto"/>
        <w:jc w:val="both"/>
        <w:rPr>
          <w:noProof/>
        </w:rPr>
      </w:pPr>
      <w:r>
        <w:rPr>
          <w:noProof/>
          <w:u w:val="single"/>
        </w:rPr>
        <w:t>EU Exports to Mexico</w:t>
      </w:r>
      <w:r>
        <w:rPr>
          <w:noProof/>
        </w:rPr>
        <w:t xml:space="preserve">: European exports to Mexico totalled €39.4 billion, with increase in exports widespread throughout the different sectors. The main export categories remain the same in comparison to previous years, namely: </w:t>
      </w:r>
    </w:p>
    <w:p>
      <w:pPr>
        <w:pStyle w:val="ListParagraph"/>
        <w:numPr>
          <w:ilvl w:val="0"/>
          <w:numId w:val="45"/>
        </w:numPr>
        <w:jc w:val="both"/>
        <w:rPr>
          <w:rFonts w:ascii="Times New Roman" w:hAnsi="Times New Roman" w:cs="Times New Roman"/>
          <w:noProof/>
          <w:sz w:val="24"/>
          <w:szCs w:val="24"/>
        </w:rPr>
      </w:pPr>
      <w:r>
        <w:rPr>
          <w:rFonts w:ascii="Times New Roman" w:hAnsi="Times New Roman" w:cs="Times New Roman"/>
          <w:noProof/>
          <w:sz w:val="24"/>
          <w:szCs w:val="24"/>
        </w:rPr>
        <w:t>machinery and appliances (€13.5 billion – 34.3% of EU exports to Mexico);</w:t>
      </w:r>
    </w:p>
    <w:p>
      <w:pPr>
        <w:pStyle w:val="ListParagraph"/>
        <w:numPr>
          <w:ilvl w:val="0"/>
          <w:numId w:val="45"/>
        </w:numPr>
        <w:jc w:val="both"/>
        <w:rPr>
          <w:rFonts w:ascii="Times New Roman" w:hAnsi="Times New Roman" w:cs="Times New Roman"/>
          <w:noProof/>
          <w:sz w:val="24"/>
          <w:szCs w:val="24"/>
        </w:rPr>
      </w:pPr>
      <w:r>
        <w:rPr>
          <w:rFonts w:ascii="Times New Roman" w:hAnsi="Times New Roman" w:cs="Times New Roman"/>
          <w:noProof/>
          <w:sz w:val="24"/>
          <w:szCs w:val="24"/>
        </w:rPr>
        <w:t>transport equipment (€7 billion – 17.9% of EU exports to Mexico);</w:t>
      </w:r>
    </w:p>
    <w:p>
      <w:pPr>
        <w:pStyle w:val="ListParagraph"/>
        <w:numPr>
          <w:ilvl w:val="0"/>
          <w:numId w:val="45"/>
        </w:numPr>
        <w:jc w:val="both"/>
        <w:rPr>
          <w:rFonts w:ascii="Times New Roman" w:hAnsi="Times New Roman" w:cs="Times New Roman"/>
          <w:noProof/>
          <w:sz w:val="24"/>
          <w:szCs w:val="24"/>
        </w:rPr>
      </w:pPr>
      <w:r>
        <w:rPr>
          <w:rFonts w:ascii="Times New Roman" w:hAnsi="Times New Roman" w:cs="Times New Roman"/>
          <w:noProof/>
          <w:sz w:val="24"/>
          <w:szCs w:val="24"/>
        </w:rPr>
        <w:t>products of the chemical or allied industries (€5.3 billion – 13.5% of EU exports to Mexico);</w:t>
      </w:r>
    </w:p>
    <w:p>
      <w:pPr>
        <w:pStyle w:val="ListParagraph"/>
        <w:numPr>
          <w:ilvl w:val="0"/>
          <w:numId w:val="45"/>
        </w:numPr>
        <w:jc w:val="both"/>
        <w:rPr>
          <w:rFonts w:ascii="Times New Roman" w:hAnsi="Times New Roman" w:cs="Times New Roman"/>
          <w:noProof/>
          <w:sz w:val="24"/>
          <w:szCs w:val="24"/>
        </w:rPr>
      </w:pPr>
      <w:r>
        <w:rPr>
          <w:rFonts w:ascii="Times New Roman" w:hAnsi="Times New Roman" w:cs="Times New Roman"/>
          <w:noProof/>
          <w:sz w:val="24"/>
          <w:szCs w:val="24"/>
        </w:rPr>
        <w:t>base metals (€3.4 billion – 8.7% of EU exports to Mexico).</w:t>
      </w:r>
    </w:p>
    <w:p>
      <w:pPr>
        <w:pStyle w:val="Heading2"/>
        <w:ind w:left="0" w:firstLine="0"/>
      </w:pPr>
      <w:bookmarkStart w:id="3638" w:name="_Toc8833762"/>
      <w:bookmarkStart w:id="3639" w:name="_Toc8835589"/>
      <w:bookmarkStart w:id="3640" w:name="_Toc8834219"/>
      <w:bookmarkStart w:id="3641" w:name="_Toc8909682"/>
      <w:bookmarkStart w:id="3642" w:name="_Toc8910894"/>
      <w:bookmarkStart w:id="3643" w:name="_Toc8911931"/>
      <w:bookmarkStart w:id="3644" w:name="_Toc8974752"/>
      <w:bookmarkStart w:id="3645" w:name="_Toc9008405"/>
      <w:bookmarkStart w:id="3646" w:name="_Toc9008808"/>
      <w:bookmarkStart w:id="3647" w:name="_Toc9348804"/>
      <w:bookmarkStart w:id="3648" w:name="_Toc9608255"/>
      <w:bookmarkStart w:id="3649" w:name="_Toc16000815"/>
      <w:r>
        <w:t>2.2 Trade in agricultural goods</w:t>
      </w:r>
      <w:bookmarkEnd w:id="3638"/>
      <w:bookmarkEnd w:id="3639"/>
      <w:bookmarkEnd w:id="3640"/>
      <w:bookmarkEnd w:id="3641"/>
      <w:bookmarkEnd w:id="3642"/>
      <w:bookmarkEnd w:id="3643"/>
      <w:bookmarkEnd w:id="3644"/>
      <w:bookmarkEnd w:id="3645"/>
      <w:bookmarkEnd w:id="3646"/>
      <w:bookmarkEnd w:id="3647"/>
      <w:bookmarkEnd w:id="3648"/>
      <w:bookmarkEnd w:id="3649"/>
    </w:p>
    <w:p>
      <w:pPr>
        <w:spacing w:after="200" w:line="276" w:lineRule="auto"/>
        <w:jc w:val="both"/>
        <w:rPr>
          <w:noProof/>
        </w:rPr>
      </w:pPr>
      <w:r>
        <w:rPr>
          <w:noProof/>
        </w:rPr>
        <w:t xml:space="preserve">Trade in agricultural and fisheries products totalled €2.8 billion, consisting of €1.3 billion EU imports from Mexico and €1.5 billion EU exports to Mexico. </w:t>
      </w:r>
    </w:p>
    <w:p>
      <w:pPr>
        <w:spacing w:after="200" w:line="276" w:lineRule="auto"/>
        <w:jc w:val="both"/>
        <w:rPr>
          <w:noProof/>
        </w:rPr>
      </w:pPr>
      <w:r>
        <w:rPr>
          <w:noProof/>
        </w:rPr>
        <w:t>EU imports of agricultural and fisheries products from Mexico were stable and were dominated by:</w:t>
      </w:r>
    </w:p>
    <w:p>
      <w:pPr>
        <w:pStyle w:val="ListParagraph"/>
        <w:numPr>
          <w:ilvl w:val="0"/>
          <w:numId w:val="47"/>
        </w:numPr>
        <w:jc w:val="both"/>
        <w:rPr>
          <w:rFonts w:ascii="Times New Roman" w:hAnsi="Times New Roman" w:cs="Times New Roman"/>
          <w:noProof/>
          <w:sz w:val="24"/>
          <w:szCs w:val="24"/>
        </w:rPr>
      </w:pPr>
      <w:r>
        <w:rPr>
          <w:rFonts w:ascii="Times New Roman" w:hAnsi="Times New Roman" w:cs="Times New Roman"/>
          <w:noProof/>
          <w:sz w:val="24"/>
          <w:szCs w:val="24"/>
        </w:rPr>
        <w:t xml:space="preserve">Beverages and spirits at €353 million increased by 13.9%, now representing 27% of EU imports of agricultural and fisheries products from Mexico; </w:t>
      </w:r>
    </w:p>
    <w:p>
      <w:pPr>
        <w:pStyle w:val="ListParagraph"/>
        <w:numPr>
          <w:ilvl w:val="0"/>
          <w:numId w:val="47"/>
        </w:numPr>
        <w:jc w:val="both"/>
        <w:rPr>
          <w:rFonts w:ascii="Times New Roman" w:hAnsi="Times New Roman" w:cs="Times New Roman"/>
          <w:noProof/>
          <w:sz w:val="24"/>
          <w:szCs w:val="24"/>
        </w:rPr>
      </w:pPr>
      <w:r>
        <w:rPr>
          <w:rFonts w:ascii="Times New Roman" w:hAnsi="Times New Roman" w:cs="Times New Roman"/>
          <w:noProof/>
          <w:sz w:val="24"/>
          <w:szCs w:val="24"/>
        </w:rPr>
        <w:t xml:space="preserve">Fruits and nuts at €294 million, or 22% of EU imports of agricultural and fisheries products from Mexico; </w:t>
      </w:r>
    </w:p>
    <w:p>
      <w:pPr>
        <w:pStyle w:val="ListParagraph"/>
        <w:numPr>
          <w:ilvl w:val="0"/>
          <w:numId w:val="47"/>
        </w:numPr>
        <w:jc w:val="both"/>
        <w:rPr>
          <w:rFonts w:ascii="Times New Roman" w:hAnsi="Times New Roman" w:cs="Times New Roman"/>
          <w:noProof/>
          <w:sz w:val="24"/>
          <w:szCs w:val="24"/>
        </w:rPr>
      </w:pPr>
      <w:r>
        <w:rPr>
          <w:rFonts w:ascii="Times New Roman" w:hAnsi="Times New Roman" w:cs="Times New Roman"/>
          <w:noProof/>
          <w:sz w:val="24"/>
          <w:szCs w:val="24"/>
        </w:rPr>
        <w:t>Fish and crustaceans at €73 million increasing by 97% compared to 2017, now representing 13% of EU imports of agricultural and fisheries products from Mexico.</w:t>
      </w:r>
    </w:p>
    <w:p>
      <w:pPr>
        <w:spacing w:after="200" w:line="276" w:lineRule="auto"/>
        <w:jc w:val="both"/>
        <w:rPr>
          <w:noProof/>
        </w:rPr>
      </w:pPr>
      <w:r>
        <w:rPr>
          <w:noProof/>
        </w:rPr>
        <w:t>EU exports to Mexico of agricultural products increased by 4.2% in 2018, and were dominated by:</w:t>
      </w:r>
    </w:p>
    <w:p>
      <w:pPr>
        <w:pStyle w:val="ListParagraph"/>
        <w:numPr>
          <w:ilvl w:val="0"/>
          <w:numId w:val="46"/>
        </w:numPr>
        <w:jc w:val="both"/>
        <w:rPr>
          <w:rFonts w:ascii="Times New Roman" w:hAnsi="Times New Roman" w:cs="Times New Roman"/>
          <w:noProof/>
          <w:sz w:val="24"/>
          <w:szCs w:val="24"/>
        </w:rPr>
      </w:pPr>
      <w:r>
        <w:rPr>
          <w:rFonts w:ascii="Times New Roman" w:hAnsi="Times New Roman" w:cs="Times New Roman"/>
          <w:noProof/>
          <w:sz w:val="24"/>
          <w:szCs w:val="24"/>
        </w:rPr>
        <w:t xml:space="preserve">Beverages and spirits at €443 million increased by 10.6% in 2018, now representing 29% of EU exports of agricultural products to Mexico; </w:t>
      </w:r>
    </w:p>
    <w:p>
      <w:pPr>
        <w:pStyle w:val="ListParagraph"/>
        <w:numPr>
          <w:ilvl w:val="0"/>
          <w:numId w:val="46"/>
        </w:numPr>
        <w:jc w:val="both"/>
        <w:rPr>
          <w:rFonts w:ascii="Times New Roman" w:hAnsi="Times New Roman" w:cs="Times New Roman"/>
          <w:noProof/>
          <w:sz w:val="24"/>
          <w:szCs w:val="24"/>
        </w:rPr>
      </w:pPr>
      <w:r>
        <w:rPr>
          <w:rFonts w:ascii="Times New Roman" w:hAnsi="Times New Roman" w:cs="Times New Roman"/>
          <w:noProof/>
          <w:sz w:val="24"/>
          <w:szCs w:val="24"/>
        </w:rPr>
        <w:t xml:space="preserve">Oil seeds &amp; oleaginous fruit at €137 million, or 9% of EU exports of agricultural products to Mexico; </w:t>
      </w:r>
    </w:p>
    <w:p>
      <w:pPr>
        <w:pStyle w:val="ListParagraph"/>
        <w:numPr>
          <w:ilvl w:val="0"/>
          <w:numId w:val="46"/>
        </w:numPr>
        <w:jc w:val="both"/>
        <w:rPr>
          <w:rFonts w:ascii="Times New Roman" w:hAnsi="Times New Roman" w:cs="Times New Roman"/>
          <w:noProof/>
          <w:sz w:val="24"/>
          <w:szCs w:val="24"/>
        </w:rPr>
      </w:pPr>
      <w:r>
        <w:rPr>
          <w:rFonts w:ascii="Times New Roman" w:hAnsi="Times New Roman" w:cs="Times New Roman"/>
          <w:noProof/>
          <w:sz w:val="24"/>
          <w:szCs w:val="24"/>
        </w:rPr>
        <w:t xml:space="preserve">Miscellaneous edible preparations at €102 million, or 7% of EU exports of agricultural products to Mexico. </w:t>
      </w:r>
    </w:p>
    <w:p>
      <w:pPr>
        <w:jc w:val="both"/>
        <w:rPr>
          <w:noProof/>
          <w:lang w:eastAsia="en-GB"/>
        </w:rPr>
      </w:pPr>
      <w:r>
        <w:rPr>
          <w:noProof/>
          <w:lang w:eastAsia="en-GB"/>
        </w:rPr>
        <w:t>Three of the tariff rate quotas (TRQs) opened under the agreement by the EU for imports from Mexico were filled completely, namely those for bananas, asparagus and orange juice. For both frozen orange juice and for natural honey, the fill rate was around two thirds. Precise numbers are not given for these quotas, since the quota years do not coincide with the calendar year. For egg albumin, the fill rate was 11% for the quota year 2017-2018. For other quotas, the fill rate was below 3%.</w:t>
      </w:r>
    </w:p>
    <w:p>
      <w:pPr>
        <w:pStyle w:val="Heading2"/>
        <w:tabs>
          <w:tab w:val="clear" w:pos="4570"/>
        </w:tabs>
        <w:ind w:left="567"/>
      </w:pPr>
      <w:bookmarkStart w:id="3650" w:name="_Toc8833764"/>
      <w:bookmarkStart w:id="3651" w:name="_Toc8835591"/>
      <w:bookmarkStart w:id="3652" w:name="_Toc8834221"/>
      <w:bookmarkStart w:id="3653" w:name="_Toc8909684"/>
      <w:bookmarkStart w:id="3654" w:name="_Toc8910896"/>
      <w:bookmarkStart w:id="3655" w:name="_Toc8911933"/>
      <w:bookmarkStart w:id="3656" w:name="_Toc8974754"/>
      <w:bookmarkStart w:id="3657" w:name="_Toc9008407"/>
      <w:bookmarkStart w:id="3658" w:name="_Toc9008810"/>
      <w:bookmarkStart w:id="3659" w:name="_Toc9348806"/>
      <w:bookmarkStart w:id="3660" w:name="_Toc9608257"/>
      <w:bookmarkStart w:id="3661" w:name="_Toc16000816"/>
      <w:r>
        <w:t>2.3 Trade in services and Foreign Direct investment (FDIs)</w:t>
      </w:r>
      <w:bookmarkEnd w:id="3650"/>
      <w:bookmarkEnd w:id="3651"/>
      <w:bookmarkEnd w:id="3652"/>
      <w:bookmarkEnd w:id="3653"/>
      <w:bookmarkEnd w:id="3654"/>
      <w:bookmarkEnd w:id="3655"/>
      <w:bookmarkEnd w:id="3656"/>
      <w:bookmarkEnd w:id="3657"/>
      <w:bookmarkEnd w:id="3658"/>
      <w:bookmarkEnd w:id="3659"/>
      <w:bookmarkEnd w:id="3660"/>
      <w:bookmarkEnd w:id="3661"/>
    </w:p>
    <w:p>
      <w:pPr>
        <w:spacing w:after="200"/>
        <w:jc w:val="both"/>
        <w:rPr>
          <w:noProof/>
          <w:szCs w:val="22"/>
        </w:rPr>
      </w:pPr>
      <w:r>
        <w:rPr>
          <w:noProof/>
          <w:szCs w:val="22"/>
        </w:rPr>
        <w:t xml:space="preserve">In terms of services, EU imports from Mexico are dominated by travel services, and transport services. EU services exports to Mexico consist mainly of business services, transport services, travel services and telecommunications, computer and information services. Latest statistics in trade in services show that Trade in services increased from €15.7 billion in 2016 to €16.9 billion in 2017 (+7.4%), in fact growing faster than trade in goods (+5.8%). The EU has a trade surplus with Mexico that has slightly decreased in 2017 (latest data available) as the EU registered a €4.9 billion surplus with Mexico in 2017 compared to €5.3 billion in 2016. </w:t>
      </w:r>
    </w:p>
    <w:p>
      <w:pPr>
        <w:spacing w:after="200"/>
        <w:jc w:val="both"/>
        <w:rPr>
          <w:noProof/>
          <w:szCs w:val="22"/>
        </w:rPr>
      </w:pPr>
      <w:r>
        <w:rPr>
          <w:noProof/>
          <w:szCs w:val="22"/>
        </w:rPr>
        <w:t xml:space="preserve">As for </w:t>
      </w:r>
      <w:r>
        <w:rPr>
          <w:b/>
          <w:noProof/>
          <w:szCs w:val="22"/>
        </w:rPr>
        <w:t>foreign direct investment,</w:t>
      </w:r>
      <w:r>
        <w:rPr>
          <w:noProof/>
          <w:szCs w:val="22"/>
        </w:rPr>
        <w:t xml:space="preserve"> according to Eurostat statistics, the Mexican investment stock to the EU accounts for €48.4 billion and EU investment stock to Mexico accounts for €154.5 billion in 2017. This positions the EU as the second largest investor in Mexico behind the US.</w:t>
      </w:r>
    </w:p>
    <w:p>
      <w:pPr>
        <w:spacing w:after="200"/>
        <w:jc w:val="both"/>
        <w:rPr>
          <w:noProof/>
          <w:szCs w:val="22"/>
        </w:rPr>
      </w:pPr>
      <w:r>
        <w:rPr>
          <w:noProof/>
          <w:szCs w:val="22"/>
        </w:rPr>
        <w:t>According to report on investment of the Mexican Ministry of Economy</w:t>
      </w:r>
      <w:r>
        <w:rPr>
          <w:rStyle w:val="FootnoteReference"/>
          <w:noProof/>
          <w:szCs w:val="22"/>
        </w:rPr>
        <w:footnoteReference w:id="84"/>
      </w:r>
      <w:r>
        <w:rPr>
          <w:noProof/>
          <w:szCs w:val="22"/>
        </w:rPr>
        <w:t>, the EU contributed to 28.3% (€7.6 billion) of the total FDI flows in 2017. Over 60% of the EU’s contribution came from two Member States (Spain and Germany).</w:t>
      </w:r>
    </w:p>
    <w:p>
      <w:pPr>
        <w:pStyle w:val="ManualHeading1"/>
      </w:pPr>
      <w:bookmarkStart w:id="3662" w:name="_Toc8833765"/>
      <w:bookmarkStart w:id="3663" w:name="_Toc8835592"/>
      <w:bookmarkStart w:id="3664" w:name="_Toc8834222"/>
      <w:bookmarkStart w:id="3665" w:name="_Toc8909685"/>
      <w:bookmarkStart w:id="3666" w:name="_Toc8910897"/>
      <w:bookmarkStart w:id="3667" w:name="_Toc8911934"/>
      <w:bookmarkStart w:id="3668" w:name="_Toc8974755"/>
      <w:bookmarkStart w:id="3669" w:name="_Toc9008408"/>
      <w:bookmarkStart w:id="3670" w:name="_Toc9008811"/>
      <w:bookmarkStart w:id="3671" w:name="_Toc9348807"/>
      <w:bookmarkStart w:id="3672" w:name="_Toc9608258"/>
      <w:bookmarkStart w:id="3673" w:name="_Toc16000817"/>
      <w:r>
        <w:t>3.</w:t>
      </w:r>
      <w:r>
        <w:tab/>
        <w:t>Issues addressed in the joint committee meeting</w:t>
      </w:r>
      <w:bookmarkEnd w:id="3662"/>
      <w:bookmarkEnd w:id="3663"/>
      <w:bookmarkEnd w:id="3664"/>
      <w:r>
        <w:t>s</w:t>
      </w:r>
      <w:bookmarkEnd w:id="3665"/>
      <w:bookmarkEnd w:id="3666"/>
      <w:bookmarkEnd w:id="3667"/>
      <w:bookmarkEnd w:id="3668"/>
      <w:bookmarkEnd w:id="3669"/>
      <w:bookmarkEnd w:id="3670"/>
      <w:bookmarkEnd w:id="3671"/>
      <w:bookmarkEnd w:id="3672"/>
      <w:bookmarkEnd w:id="3673"/>
    </w:p>
    <w:p>
      <w:pPr>
        <w:spacing w:after="200"/>
        <w:jc w:val="both"/>
        <w:rPr>
          <w:noProof/>
          <w:szCs w:val="22"/>
        </w:rPr>
      </w:pPr>
      <w:r>
        <w:rPr>
          <w:noProof/>
          <w:szCs w:val="22"/>
        </w:rPr>
        <w:t>In 2018, the EU and Mexico focussed their efforts in advancing in the negotiations for modernising the existing Global Agreement. No joint committee meeting was held in 2018 but the EU and Mexico were also able to address some existing trade irritants in the regular negotiation meetings. A meeting of the Joint Committee has been scheduled for 2019.</w:t>
      </w:r>
    </w:p>
    <w:p>
      <w:pPr>
        <w:pStyle w:val="ManualHeading1"/>
      </w:pPr>
      <w:bookmarkStart w:id="3674" w:name="_Toc8833766"/>
      <w:bookmarkStart w:id="3675" w:name="_Toc8835593"/>
      <w:bookmarkStart w:id="3676" w:name="_Toc8834223"/>
      <w:bookmarkStart w:id="3677" w:name="_Toc8909686"/>
      <w:bookmarkStart w:id="3678" w:name="_Toc8910898"/>
      <w:bookmarkStart w:id="3679" w:name="_Toc8911935"/>
      <w:bookmarkStart w:id="3680" w:name="_Toc8974756"/>
      <w:bookmarkStart w:id="3681" w:name="_Toc9008409"/>
      <w:bookmarkStart w:id="3682" w:name="_Toc9008812"/>
      <w:bookmarkStart w:id="3683" w:name="_Toc9348808"/>
      <w:bookmarkStart w:id="3684" w:name="_Toc9608259"/>
      <w:bookmarkStart w:id="3685" w:name="_Toc16000818"/>
      <w:r>
        <w:t>4.</w:t>
      </w:r>
      <w:r>
        <w:tab/>
        <w:t>Progress made, main open issues and follow-up actions</w:t>
      </w:r>
      <w:bookmarkEnd w:id="3674"/>
      <w:bookmarkEnd w:id="3675"/>
      <w:bookmarkEnd w:id="3676"/>
      <w:bookmarkEnd w:id="3677"/>
      <w:bookmarkEnd w:id="3678"/>
      <w:bookmarkEnd w:id="3679"/>
      <w:bookmarkEnd w:id="3680"/>
      <w:bookmarkEnd w:id="3681"/>
      <w:bookmarkEnd w:id="3682"/>
      <w:bookmarkEnd w:id="3683"/>
      <w:bookmarkEnd w:id="3684"/>
      <w:bookmarkEnd w:id="3685"/>
    </w:p>
    <w:p>
      <w:pPr>
        <w:spacing w:after="200"/>
        <w:jc w:val="both"/>
        <w:rPr>
          <w:noProof/>
          <w:szCs w:val="22"/>
        </w:rPr>
      </w:pPr>
      <w:r>
        <w:rPr>
          <w:noProof/>
          <w:szCs w:val="22"/>
        </w:rPr>
        <w:t>This section presents the evolution of the barriers registered under the EU market access database</w:t>
      </w:r>
      <w:r>
        <w:rPr>
          <w:rFonts w:eastAsia="Calibri"/>
          <w:noProof/>
          <w:sz w:val="22"/>
          <w:szCs w:val="22"/>
          <w:vertAlign w:val="superscript"/>
        </w:rPr>
        <w:footnoteReference w:id="85"/>
      </w:r>
      <w:r>
        <w:rPr>
          <w:rFonts w:eastAsia="Calibri"/>
          <w:noProof/>
          <w:sz w:val="22"/>
          <w:szCs w:val="22"/>
        </w:rPr>
        <w:t xml:space="preserve">. </w:t>
      </w:r>
      <w:r>
        <w:rPr>
          <w:noProof/>
          <w:szCs w:val="22"/>
        </w:rPr>
        <w:t xml:space="preserve">The Commission continued to monitor trade barriers and address bilateral issues with Mexican authorities as appropriate.  </w:t>
      </w:r>
    </w:p>
    <w:p>
      <w:pPr>
        <w:jc w:val="both"/>
        <w:rPr>
          <w:noProof/>
          <w:szCs w:val="22"/>
        </w:rPr>
      </w:pPr>
      <w:r>
        <w:rPr>
          <w:noProof/>
          <w:szCs w:val="22"/>
        </w:rPr>
        <w:t xml:space="preserve">On </w:t>
      </w:r>
      <w:r>
        <w:rPr>
          <w:b/>
          <w:noProof/>
          <w:szCs w:val="22"/>
        </w:rPr>
        <w:t>SPS matters</w:t>
      </w:r>
      <w:r>
        <w:rPr>
          <w:noProof/>
          <w:szCs w:val="22"/>
        </w:rPr>
        <w:t xml:space="preserve">, during 2018 regular exchanges/meetings took place between the EU and Mexico to progress on pending market access issues. Since 2018, Mexico started to forgo to apply costly pre-shipment inspections in the country of origin to be paid by the industry (preclearance) to new Member States authorisation. </w:t>
      </w:r>
    </w:p>
    <w:p>
      <w:pPr>
        <w:jc w:val="both"/>
        <w:rPr>
          <w:noProof/>
          <w:szCs w:val="22"/>
        </w:rPr>
      </w:pPr>
    </w:p>
    <w:p>
      <w:pPr>
        <w:jc w:val="both"/>
        <w:rPr>
          <w:b/>
          <w:noProof/>
          <w:highlight w:val="yellow"/>
        </w:rPr>
      </w:pPr>
      <w:r>
        <w:rPr>
          <w:noProof/>
          <w:szCs w:val="22"/>
        </w:rPr>
        <w:t>In relation to imports of meat and meat products, Mexico applies a burdensome application procedure. When market access is granted for a limited number of approved establishments, further on-the-spot inspections have to be carried out by Mexico for each new establishment with the costs of this procedure to be covered by the EU establishments visited. In 2018, the EU has continued to carry out regular meetings with the competent Mexican authorities, SENASICA, in order to speed up the approval of pending applications by Member States. This method has proved successful with many applications approved, some of which were longstanding. These applications related to some key EU exports such as pork (The Netherlands was added to the list of Member States already authorised, and additional establishments were approved for already authorised Member States). However, some authorized Member States still do not export due to strict requirement on post-mortem inspection or non-application of regionalisation on African Swine Disease by Mexico.  Also in 2018, some EU Member States were granted market access for some products such as fruit, dairy, and other animal products.</w:t>
      </w:r>
    </w:p>
    <w:p>
      <w:pPr>
        <w:pStyle w:val="ManualHeading1"/>
      </w:pPr>
      <w:bookmarkStart w:id="3686" w:name="_Toc8833767"/>
      <w:bookmarkStart w:id="3687" w:name="_Toc8835594"/>
      <w:bookmarkStart w:id="3688" w:name="_Toc8834224"/>
      <w:bookmarkStart w:id="3689" w:name="_Toc8909687"/>
      <w:bookmarkStart w:id="3690" w:name="_Toc8910899"/>
      <w:bookmarkStart w:id="3691" w:name="_Toc8911936"/>
      <w:bookmarkStart w:id="3692" w:name="_Toc8974757"/>
      <w:bookmarkStart w:id="3693" w:name="_Toc9008410"/>
      <w:bookmarkStart w:id="3694" w:name="_Toc9008813"/>
      <w:bookmarkStart w:id="3695" w:name="_Toc9348809"/>
      <w:bookmarkStart w:id="3696" w:name="_Toc9608260"/>
      <w:bookmarkStart w:id="3697" w:name="_Toc16000819"/>
      <w:r>
        <w:t>5.</w:t>
      </w:r>
      <w:r>
        <w:tab/>
        <w:t>Conclusions and outlook</w:t>
      </w:r>
      <w:bookmarkEnd w:id="3686"/>
      <w:bookmarkEnd w:id="3687"/>
      <w:bookmarkEnd w:id="3688"/>
      <w:bookmarkEnd w:id="3689"/>
      <w:bookmarkEnd w:id="3690"/>
      <w:bookmarkEnd w:id="3691"/>
      <w:bookmarkEnd w:id="3692"/>
      <w:bookmarkEnd w:id="3693"/>
      <w:bookmarkEnd w:id="3694"/>
      <w:bookmarkEnd w:id="3695"/>
      <w:bookmarkEnd w:id="3696"/>
      <w:bookmarkEnd w:id="3697"/>
    </w:p>
    <w:p>
      <w:pPr>
        <w:jc w:val="both"/>
        <w:rPr>
          <w:rFonts w:eastAsia="Calibri"/>
          <w:noProof/>
        </w:rPr>
      </w:pPr>
      <w:r>
        <w:rPr>
          <w:rFonts w:eastAsia="Calibri"/>
          <w:noProof/>
        </w:rPr>
        <w:t xml:space="preserve">In 2018, EU trade relations with Mexico confirmed their positive trends with both goods and services showing an upward trend. </w:t>
      </w:r>
    </w:p>
    <w:p>
      <w:pPr>
        <w:jc w:val="both"/>
        <w:rPr>
          <w:rFonts w:eastAsia="Calibri"/>
          <w:noProof/>
        </w:rPr>
      </w:pPr>
    </w:p>
    <w:p>
      <w:pPr>
        <w:jc w:val="both"/>
        <w:rPr>
          <w:noProof/>
        </w:rPr>
      </w:pPr>
      <w:r>
        <w:rPr>
          <w:rFonts w:eastAsia="Calibri"/>
          <w:noProof/>
        </w:rPr>
        <w:t>In 2018, the EU and Mexico focussed on concluding the negotiations for modernising the Global Agreement and reached an ‘agreement in principle’ on 21 April 2018 on the trade part.</w:t>
      </w:r>
      <w:r>
        <w:rPr>
          <w:rStyle w:val="FootnoteReference"/>
          <w:rFonts w:eastAsia="Calibri"/>
          <w:noProof/>
        </w:rPr>
        <w:footnoteReference w:id="86"/>
      </w:r>
      <w:r>
        <w:rPr>
          <w:rFonts w:eastAsia="Calibri"/>
          <w:noProof/>
        </w:rPr>
        <w:t xml:space="preserve">. The rest of the year was used to finalise the technical details of the deal. </w:t>
      </w:r>
      <w:r>
        <w:rPr>
          <w:noProof/>
        </w:rPr>
        <w:t xml:space="preserve">The EU and Mexico have started the process for legal revision of the political, cooperation and trade parts of the modernised Agreement. </w:t>
      </w:r>
    </w:p>
    <w:p>
      <w:pPr>
        <w:jc w:val="both"/>
        <w:rPr>
          <w:rFonts w:eastAsia="Calibri"/>
          <w:noProof/>
        </w:rPr>
      </w:pPr>
    </w:p>
    <w:p>
      <w:pPr>
        <w:jc w:val="both"/>
        <w:rPr>
          <w:noProof/>
        </w:rPr>
      </w:pPr>
      <w:r>
        <w:rPr>
          <w:noProof/>
        </w:rPr>
        <w:t>The outcome of negotiations is highly satisfactory given that the level of ambition of the modernised Agreement is very high and in line with the most ambitious FTAs signed by the EU. As a result, the modernised Agreement will bring improvements across the board of EU-Mexico trade and investment relations, notably as regards:</w:t>
      </w:r>
    </w:p>
    <w:p>
      <w:pPr>
        <w:jc w:val="both"/>
        <w:rPr>
          <w:noProof/>
        </w:rPr>
      </w:pPr>
    </w:p>
    <w:p>
      <w:pPr>
        <w:numPr>
          <w:ilvl w:val="0"/>
          <w:numId w:val="48"/>
        </w:numPr>
        <w:spacing w:after="240"/>
        <w:contextualSpacing/>
        <w:jc w:val="both"/>
        <w:rPr>
          <w:noProof/>
        </w:rPr>
      </w:pPr>
      <w:r>
        <w:rPr>
          <w:b/>
          <w:noProof/>
        </w:rPr>
        <w:t>Goods:</w:t>
      </w:r>
      <w:r>
        <w:rPr>
          <w:noProof/>
        </w:rPr>
        <w:t xml:space="preserve"> the EU has obtained significant market access on key EU exports (e.g. pork, poultry, Processed Agricultural Products and dairy products, the latter benefitting from large TRQs), resulting in the eventual liberalisation of 99% of tariff lines. </w:t>
      </w:r>
    </w:p>
    <w:p>
      <w:pPr>
        <w:numPr>
          <w:ilvl w:val="0"/>
          <w:numId w:val="48"/>
        </w:numPr>
        <w:spacing w:after="240"/>
        <w:contextualSpacing/>
        <w:jc w:val="both"/>
        <w:rPr>
          <w:noProof/>
        </w:rPr>
      </w:pPr>
      <w:r>
        <w:rPr>
          <w:b/>
          <w:noProof/>
        </w:rPr>
        <w:t>Services</w:t>
      </w:r>
      <w:r>
        <w:rPr>
          <w:noProof/>
        </w:rPr>
        <w:t>: Mexico committed to open up its services market with comprehensive and ambitious concessions, including on Maritime Transport, Financial Services and Telecommunication, thereby making it easier for EU companies to make business in Mexico.</w:t>
      </w:r>
    </w:p>
    <w:p>
      <w:pPr>
        <w:numPr>
          <w:ilvl w:val="0"/>
          <w:numId w:val="48"/>
        </w:numPr>
        <w:spacing w:after="240"/>
        <w:contextualSpacing/>
        <w:jc w:val="both"/>
        <w:rPr>
          <w:noProof/>
        </w:rPr>
      </w:pPr>
      <w:r>
        <w:rPr>
          <w:b/>
          <w:noProof/>
        </w:rPr>
        <w:t>Investment protection</w:t>
      </w:r>
      <w:r>
        <w:rPr>
          <w:noProof/>
        </w:rPr>
        <w:t>: Mexico has agreed that investor-State disputes are adjudicated under an Investment Court System and to the substantive rules for protection and to replace the existing 16 bilateral investment traties with EU Member States by the agreement with the EU.</w:t>
      </w:r>
    </w:p>
    <w:p>
      <w:pPr>
        <w:numPr>
          <w:ilvl w:val="0"/>
          <w:numId w:val="48"/>
        </w:numPr>
        <w:spacing w:after="240"/>
        <w:contextualSpacing/>
        <w:jc w:val="both"/>
        <w:rPr>
          <w:noProof/>
        </w:rPr>
      </w:pPr>
      <w:r>
        <w:rPr>
          <w:b/>
          <w:noProof/>
        </w:rPr>
        <w:t>Energy:</w:t>
      </w:r>
      <w:r>
        <w:rPr>
          <w:noProof/>
        </w:rPr>
        <w:t xml:space="preserve"> Mexico has accepted commitments in several chapters (Energy and Raw Material, Services, Investment, State owned enterprise) which will give the EU important market access. </w:t>
      </w:r>
    </w:p>
    <w:p>
      <w:pPr>
        <w:numPr>
          <w:ilvl w:val="0"/>
          <w:numId w:val="48"/>
        </w:numPr>
        <w:spacing w:after="240"/>
        <w:contextualSpacing/>
        <w:jc w:val="both"/>
        <w:rPr>
          <w:noProof/>
        </w:rPr>
      </w:pPr>
      <w:r>
        <w:rPr>
          <w:b/>
          <w:noProof/>
        </w:rPr>
        <w:t>SPS:</w:t>
      </w:r>
      <w:r>
        <w:rPr>
          <w:noProof/>
        </w:rPr>
        <w:t xml:space="preserve"> the agreed texts established a high level of cooperation between the Mexican and EU administrations, in particular regarding pre-listing, pre-clearance and regionalisation, in reducing the number of audits and the timeframe to process an application and will shift the burden of cost to the auditing Party.</w:t>
      </w:r>
    </w:p>
    <w:p>
      <w:pPr>
        <w:numPr>
          <w:ilvl w:val="0"/>
          <w:numId w:val="48"/>
        </w:numPr>
        <w:spacing w:after="200"/>
        <w:ind w:left="714" w:hanging="357"/>
        <w:contextualSpacing/>
        <w:jc w:val="both"/>
        <w:rPr>
          <w:noProof/>
        </w:rPr>
      </w:pPr>
      <w:r>
        <w:rPr>
          <w:b/>
          <w:noProof/>
        </w:rPr>
        <w:t>Public Procurement:</w:t>
      </w:r>
      <w:r>
        <w:rPr>
          <w:noProof/>
        </w:rPr>
        <w:t xml:space="preserve"> the outcome is also very ambitious and include commitments at sub central level, the details of which are still being finalised. </w:t>
      </w:r>
    </w:p>
    <w:p>
      <w:pPr>
        <w:numPr>
          <w:ilvl w:val="0"/>
          <w:numId w:val="48"/>
        </w:numPr>
        <w:spacing w:after="200"/>
        <w:ind w:left="714" w:hanging="357"/>
        <w:contextualSpacing/>
        <w:jc w:val="both"/>
        <w:rPr>
          <w:noProof/>
        </w:rPr>
      </w:pPr>
      <w:r>
        <w:rPr>
          <w:b/>
          <w:noProof/>
        </w:rPr>
        <w:t>Competition, subsidies and State owned Enterprises (SOEs):</w:t>
      </w:r>
      <w:r>
        <w:rPr>
          <w:noProof/>
        </w:rPr>
        <w:t xml:space="preserve"> Mexico has to ensure that companies have to respect competition principles. It also agreed to provisions enhancing the level playing field between private companies and SOEs, as well as between all companies when it comes to subsidies, in particular through more transparency.</w:t>
      </w:r>
    </w:p>
    <w:p>
      <w:pPr>
        <w:numPr>
          <w:ilvl w:val="0"/>
          <w:numId w:val="48"/>
        </w:numPr>
        <w:spacing w:after="200"/>
        <w:ind w:left="714" w:hanging="357"/>
        <w:contextualSpacing/>
        <w:jc w:val="both"/>
        <w:rPr>
          <w:noProof/>
        </w:rPr>
      </w:pPr>
      <w:r>
        <w:rPr>
          <w:b/>
          <w:noProof/>
        </w:rPr>
        <w:t>Geographical Indications (GIs)</w:t>
      </w:r>
      <w:r>
        <w:rPr>
          <w:noProof/>
        </w:rPr>
        <w:t xml:space="preserve">: Mexico has agreed to protect the shortlist of 340 EU GIs with a high level of protection, and to incorporate the Spirits Agreement under the modernised Agreement with the same level of protection for EU spirits GIS therein recognised, that includes allusions and evocations. Enforcement is provided by administrative and judicial measures, at the request of an interested party and ex officio.  </w:t>
      </w:r>
    </w:p>
    <w:p>
      <w:pPr>
        <w:numPr>
          <w:ilvl w:val="0"/>
          <w:numId w:val="48"/>
        </w:numPr>
        <w:spacing w:after="200"/>
        <w:ind w:left="714" w:hanging="357"/>
        <w:contextualSpacing/>
        <w:jc w:val="both"/>
        <w:rPr>
          <w:noProof/>
        </w:rPr>
      </w:pPr>
      <w:r>
        <w:rPr>
          <w:b/>
          <w:noProof/>
        </w:rPr>
        <w:t xml:space="preserve">Trade and Sustainable Development (TSD): </w:t>
      </w:r>
      <w:r>
        <w:rPr>
          <w:noProof/>
        </w:rPr>
        <w:t xml:space="preserve">the modernised FTA will contain a fully-fledged TSD Chapter in which Mexico committed to effectively implement labour and environmental standards and agreements. </w:t>
      </w:r>
    </w:p>
    <w:p>
      <w:pPr>
        <w:numPr>
          <w:ilvl w:val="0"/>
          <w:numId w:val="48"/>
        </w:numPr>
        <w:spacing w:after="200"/>
        <w:ind w:left="714" w:hanging="357"/>
        <w:contextualSpacing/>
        <w:jc w:val="both"/>
        <w:rPr>
          <w:noProof/>
        </w:rPr>
      </w:pPr>
      <w:r>
        <w:rPr>
          <w:b/>
          <w:noProof/>
        </w:rPr>
        <w:t>Anti-corruption</w:t>
      </w:r>
      <w:r>
        <w:rPr>
          <w:noProof/>
        </w:rPr>
        <w:t xml:space="preserve">: for the first time ever in an EU agreement there will be a protocol on anti-corruption to fight against bribery and money laundering in trade and investment, including a mechanism for the resolution of disputes. </w:t>
      </w:r>
    </w:p>
    <w:p>
      <w:pPr>
        <w:numPr>
          <w:ilvl w:val="0"/>
          <w:numId w:val="48"/>
        </w:numPr>
        <w:spacing w:after="200"/>
        <w:ind w:left="714" w:hanging="357"/>
        <w:contextualSpacing/>
        <w:jc w:val="both"/>
        <w:rPr>
          <w:noProof/>
        </w:rPr>
      </w:pPr>
      <w:r>
        <w:rPr>
          <w:b/>
          <w:noProof/>
        </w:rPr>
        <w:t>Civil society mechanism:</w:t>
      </w:r>
      <w:r>
        <w:rPr>
          <w:noProof/>
        </w:rPr>
        <w:t xml:space="preserve"> the civil society consultation mechanism, which previously was limited to the TSD chapter will be extended to the whole agreement. This will allow the civil society on both sides (but in particular in Mexico) to make its voice heard also on the human rights provisions of the political pillar.</w:t>
      </w:r>
    </w:p>
    <w:p>
      <w:pPr>
        <w:pStyle w:val="ManualHeading1"/>
      </w:pPr>
      <w:bookmarkStart w:id="3698" w:name="_Toc8833768"/>
      <w:bookmarkStart w:id="3699" w:name="_Toc8835595"/>
      <w:bookmarkStart w:id="3700" w:name="_Toc8834225"/>
      <w:bookmarkStart w:id="3701" w:name="_Toc8909688"/>
      <w:bookmarkStart w:id="3702" w:name="_Toc8910900"/>
      <w:bookmarkStart w:id="3703" w:name="_Toc8911937"/>
      <w:bookmarkStart w:id="3704" w:name="_Toc8974758"/>
      <w:bookmarkStart w:id="3705" w:name="_Toc9008411"/>
      <w:bookmarkStart w:id="3706" w:name="_Toc9008814"/>
      <w:bookmarkStart w:id="3707" w:name="_Toc9348810"/>
      <w:bookmarkStart w:id="3708" w:name="_Toc9608261"/>
      <w:bookmarkStart w:id="3709" w:name="_Toc16000820"/>
      <w:r>
        <w:t>6.</w:t>
      </w:r>
      <w:r>
        <w:tab/>
        <w:t>Statistics</w:t>
      </w:r>
      <w:bookmarkEnd w:id="3698"/>
      <w:bookmarkEnd w:id="3699"/>
      <w:bookmarkEnd w:id="3700"/>
      <w:bookmarkEnd w:id="3701"/>
      <w:bookmarkEnd w:id="3702"/>
      <w:bookmarkEnd w:id="3703"/>
      <w:bookmarkEnd w:id="3704"/>
      <w:bookmarkEnd w:id="3705"/>
      <w:bookmarkEnd w:id="3706"/>
      <w:bookmarkEnd w:id="3707"/>
      <w:bookmarkEnd w:id="3708"/>
      <w:bookmarkEnd w:id="3709"/>
    </w:p>
    <w:tbl>
      <w:tblPr>
        <w:tblW w:w="7946" w:type="dxa"/>
        <w:tblInd w:w="108" w:type="dxa"/>
        <w:tblLook w:val="04A0" w:firstRow="1" w:lastRow="0" w:firstColumn="1" w:lastColumn="0" w:noHBand="0" w:noVBand="1"/>
      </w:tblPr>
      <w:tblGrid>
        <w:gridCol w:w="3586"/>
        <w:gridCol w:w="856"/>
        <w:gridCol w:w="856"/>
        <w:gridCol w:w="936"/>
        <w:gridCol w:w="856"/>
        <w:gridCol w:w="856"/>
      </w:tblGrid>
      <w:tr>
        <w:trPr>
          <w:trHeight w:val="210"/>
        </w:trPr>
        <w:tc>
          <w:tcPr>
            <w:tcW w:w="358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93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10"/>
        </w:trPr>
        <w:tc>
          <w:tcPr>
            <w:tcW w:w="7946"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Merchandise trade EU28 2014-2018</w:t>
            </w:r>
          </w:p>
        </w:tc>
      </w:tr>
      <w:tr>
        <w:trPr>
          <w:trHeight w:val="210"/>
        </w:trPr>
        <w:tc>
          <w:tcPr>
            <w:tcW w:w="3586" w:type="dxa"/>
            <w:tcBorders>
              <w:top w:val="single" w:sz="4" w:space="0" w:color="auto"/>
              <w:left w:val="nil"/>
              <w:bottom w:val="single" w:sz="4" w:space="0" w:color="auto"/>
              <w:right w:val="nil"/>
            </w:tcBorders>
            <w:shd w:val="clear" w:color="000000" w:fill="FFFFFF"/>
            <w:noWrap/>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 </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93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r>
      <w:tr>
        <w:trPr>
          <w:trHeight w:val="210"/>
        </w:trPr>
        <w:tc>
          <w:tcPr>
            <w:tcW w:w="3586" w:type="dxa"/>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EU28 trade with Mexico (mio €)</w:t>
            </w:r>
          </w:p>
        </w:tc>
        <w:tc>
          <w:tcPr>
            <w:tcW w:w="856"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n-IE" w:eastAsia="en-IE"/>
              </w:rPr>
            </w:pP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93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r>
      <w:tr>
        <w:trPr>
          <w:trHeight w:val="210"/>
        </w:trPr>
        <w:tc>
          <w:tcPr>
            <w:tcW w:w="358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17.978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19.487</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20.744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23.896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26.002</w:t>
            </w:r>
          </w:p>
        </w:tc>
      </w:tr>
      <w:tr>
        <w:trPr>
          <w:trHeight w:val="210"/>
        </w:trPr>
        <w:tc>
          <w:tcPr>
            <w:tcW w:w="358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28.439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33.620</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33.867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37.916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39.384</w:t>
            </w:r>
          </w:p>
        </w:tc>
      </w:tr>
      <w:tr>
        <w:trPr>
          <w:trHeight w:val="210"/>
        </w:trPr>
        <w:tc>
          <w:tcPr>
            <w:tcW w:w="358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10.461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14.133</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13.123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14.020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13.381</w:t>
            </w:r>
          </w:p>
        </w:tc>
      </w:tr>
      <w:tr>
        <w:trPr>
          <w:trHeight w:val="210"/>
        </w:trPr>
        <w:tc>
          <w:tcPr>
            <w:tcW w:w="3586" w:type="dxa"/>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Share Mexico in EU28 trade with Extra-EU28</w:t>
            </w:r>
          </w:p>
        </w:tc>
        <w:tc>
          <w:tcPr>
            <w:tcW w:w="856"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n-IE" w:eastAsia="en-IE"/>
              </w:rPr>
            </w:pP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93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r>
      <w:tr>
        <w:trPr>
          <w:trHeight w:val="210"/>
        </w:trPr>
        <w:tc>
          <w:tcPr>
            <w:tcW w:w="358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w:t>
            </w:r>
          </w:p>
        </w:tc>
      </w:tr>
      <w:tr>
        <w:trPr>
          <w:trHeight w:val="210"/>
        </w:trPr>
        <w:tc>
          <w:tcPr>
            <w:tcW w:w="358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w:t>
            </w:r>
          </w:p>
        </w:tc>
      </w:tr>
      <w:tr>
        <w:trPr>
          <w:trHeight w:val="210"/>
        </w:trPr>
        <w:tc>
          <w:tcPr>
            <w:tcW w:w="358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w:t>
            </w:r>
          </w:p>
        </w:tc>
      </w:tr>
      <w:tr>
        <w:trPr>
          <w:trHeight w:val="210"/>
        </w:trPr>
        <w:tc>
          <w:tcPr>
            <w:tcW w:w="7946"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Share EU28 in trade Mexico with world</w:t>
            </w:r>
          </w:p>
        </w:tc>
      </w:tr>
      <w:tr>
        <w:trPr>
          <w:trHeight w:val="210"/>
        </w:trPr>
        <w:tc>
          <w:tcPr>
            <w:tcW w:w="358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11,1%</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11,4%</w:t>
            </w:r>
          </w:p>
        </w:tc>
      </w:tr>
      <w:tr>
        <w:trPr>
          <w:trHeight w:val="210"/>
        </w:trPr>
        <w:tc>
          <w:tcPr>
            <w:tcW w:w="358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4,8%</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5,6%</w:t>
            </w:r>
          </w:p>
        </w:tc>
      </w:tr>
      <w:tr>
        <w:trPr>
          <w:trHeight w:val="210"/>
        </w:trPr>
        <w:tc>
          <w:tcPr>
            <w:tcW w:w="358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8,1%</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8,6%</w:t>
            </w:r>
          </w:p>
        </w:tc>
      </w:tr>
      <w:tr>
        <w:trPr>
          <w:trHeight w:val="225"/>
        </w:trPr>
        <w:tc>
          <w:tcPr>
            <w:tcW w:w="5298" w:type="dxa"/>
            <w:gridSpan w:val="3"/>
            <w:tcBorders>
              <w:top w:val="single" w:sz="4" w:space="0" w:color="auto"/>
              <w:left w:val="nil"/>
              <w:bottom w:val="nil"/>
              <w:right w:val="nil"/>
            </w:tcBorders>
            <w:shd w:val="clear" w:color="000000" w:fill="FFFFFF"/>
            <w:noWrap/>
            <w:vAlign w:val="bottom"/>
            <w:hideMark/>
          </w:tcPr>
          <w:p>
            <w:pPr>
              <w:rPr>
                <w:rFonts w:eastAsia="Times New Roman"/>
                <w:noProof/>
                <w:sz w:val="12"/>
                <w:szCs w:val="12"/>
                <w:lang w:val="en-IE" w:eastAsia="en-IE"/>
              </w:rPr>
            </w:pPr>
            <w:r>
              <w:rPr>
                <w:rFonts w:eastAsia="Times New Roman"/>
                <w:noProof/>
                <w:sz w:val="12"/>
                <w:szCs w:val="12"/>
                <w:lang w:val="en-IE" w:eastAsia="en-IE"/>
              </w:rPr>
              <w:t xml:space="preserve">Source Trade G2 Statistics/ISDB </w:t>
            </w:r>
          </w:p>
        </w:tc>
        <w:tc>
          <w:tcPr>
            <w:tcW w:w="936"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single" w:sz="4" w:space="0" w:color="auto"/>
              <w:left w:val="nil"/>
              <w:bottom w:val="nil"/>
              <w:right w:val="nil"/>
            </w:tcBorders>
            <w:shd w:val="clear" w:color="000000" w:fill="FFFFFF"/>
            <w:noWrap/>
            <w:hideMark/>
          </w:tcPr>
          <w:p>
            <w:pPr>
              <w:jc w:val="right"/>
              <w:rPr>
                <w:rFonts w:eastAsia="Times New Roman"/>
                <w:noProof/>
                <w:sz w:val="12"/>
                <w:szCs w:val="12"/>
                <w:lang w:val="en-IE" w:eastAsia="en-IE"/>
              </w:rPr>
            </w:pPr>
            <w:r>
              <w:rPr>
                <w:rFonts w:eastAsia="Times New Roman"/>
                <w:noProof/>
                <w:sz w:val="12"/>
                <w:szCs w:val="12"/>
                <w:lang w:val="en-IE" w:eastAsia="en-IE"/>
              </w:rPr>
              <w:t>25-mars-19</w:t>
            </w:r>
          </w:p>
        </w:tc>
      </w:tr>
      <w:tr>
        <w:trPr>
          <w:trHeight w:val="210"/>
        </w:trPr>
        <w:tc>
          <w:tcPr>
            <w:tcW w:w="6234" w:type="dxa"/>
            <w:gridSpan w:val="4"/>
            <w:tcBorders>
              <w:top w:val="nil"/>
              <w:left w:val="nil"/>
              <w:bottom w:val="nil"/>
              <w:right w:val="nil"/>
            </w:tcBorders>
            <w:shd w:val="clear" w:color="000000" w:fill="FFFFFF"/>
            <w:noWrap/>
            <w:hideMark/>
          </w:tcPr>
          <w:p>
            <w:pPr>
              <w:rPr>
                <w:rFonts w:eastAsia="Times New Roman"/>
                <w:noProof/>
                <w:color w:val="000000"/>
                <w:sz w:val="12"/>
                <w:lang w:val="es-ES" w:eastAsia="en-IE"/>
              </w:rPr>
            </w:pPr>
            <w:r>
              <w:rPr>
                <w:rFonts w:eastAsia="Times New Roman"/>
                <w:noProof/>
                <w:color w:val="000000"/>
                <w:sz w:val="12"/>
                <w:lang w:val="es-ES" w:eastAsia="en-IE"/>
              </w:rPr>
              <w:t>Trade EU28: Eurostat COMEXT;  Trade Mexico: IMF Dots</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lang w:val="es-ES" w:eastAsia="en-IE"/>
              </w:rPr>
            </w:pPr>
            <w:r>
              <w:rPr>
                <w:rFonts w:eastAsia="Times New Roman"/>
                <w:noProof/>
                <w:color w:val="000000"/>
                <w:sz w:val="16"/>
                <w:lang w:val="es-ES"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lang w:val="es-ES" w:eastAsia="en-IE"/>
              </w:rPr>
            </w:pPr>
            <w:r>
              <w:rPr>
                <w:rFonts w:eastAsia="Times New Roman"/>
                <w:noProof/>
                <w:color w:val="000000"/>
                <w:sz w:val="16"/>
                <w:lang w:val="es-ES" w:eastAsia="en-IE"/>
              </w:rPr>
              <w:t> </w:t>
            </w:r>
          </w:p>
        </w:tc>
      </w:tr>
      <w:tr>
        <w:trPr>
          <w:trHeight w:val="210"/>
        </w:trPr>
        <w:tc>
          <w:tcPr>
            <w:tcW w:w="3586" w:type="dxa"/>
            <w:tcBorders>
              <w:top w:val="nil"/>
              <w:left w:val="nil"/>
              <w:bottom w:val="nil"/>
              <w:right w:val="nil"/>
            </w:tcBorders>
            <w:shd w:val="clear" w:color="000000" w:fill="FFFFFF"/>
            <w:noWrap/>
            <w:vAlign w:val="bottom"/>
            <w:hideMark/>
          </w:tcPr>
          <w:p>
            <w:pPr>
              <w:rPr>
                <w:rFonts w:eastAsia="Times New Roman"/>
                <w:noProof/>
                <w:color w:val="000000"/>
                <w:sz w:val="16"/>
                <w:lang w:val="es-ES" w:eastAsia="en-IE"/>
              </w:rPr>
            </w:pPr>
            <w:r>
              <w:rPr>
                <w:rFonts w:eastAsia="Times New Roman"/>
                <w:noProof/>
                <w:color w:val="000000"/>
                <w:sz w:val="16"/>
                <w:lang w:val="es-ES"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lang w:val="es-ES" w:eastAsia="en-IE"/>
              </w:rPr>
            </w:pPr>
            <w:r>
              <w:rPr>
                <w:rFonts w:eastAsia="Times New Roman"/>
                <w:noProof/>
                <w:color w:val="000000"/>
                <w:sz w:val="16"/>
                <w:lang w:val="es-ES"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lang w:val="es-ES" w:eastAsia="en-IE"/>
              </w:rPr>
            </w:pPr>
            <w:r>
              <w:rPr>
                <w:rFonts w:eastAsia="Times New Roman"/>
                <w:noProof/>
                <w:color w:val="000000"/>
                <w:sz w:val="16"/>
                <w:lang w:val="es-ES" w:eastAsia="en-IE"/>
              </w:rPr>
              <w:t> </w:t>
            </w:r>
          </w:p>
        </w:tc>
        <w:tc>
          <w:tcPr>
            <w:tcW w:w="936" w:type="dxa"/>
            <w:tcBorders>
              <w:top w:val="nil"/>
              <w:left w:val="nil"/>
              <w:bottom w:val="nil"/>
              <w:right w:val="nil"/>
            </w:tcBorders>
            <w:shd w:val="clear" w:color="000000" w:fill="FFFFFF"/>
            <w:noWrap/>
            <w:vAlign w:val="bottom"/>
            <w:hideMark/>
          </w:tcPr>
          <w:p>
            <w:pPr>
              <w:rPr>
                <w:rFonts w:eastAsia="Times New Roman"/>
                <w:noProof/>
                <w:color w:val="000000"/>
                <w:sz w:val="16"/>
                <w:lang w:val="es-ES" w:eastAsia="en-IE"/>
              </w:rPr>
            </w:pPr>
            <w:r>
              <w:rPr>
                <w:rFonts w:eastAsia="Times New Roman"/>
                <w:noProof/>
                <w:color w:val="000000"/>
                <w:sz w:val="16"/>
                <w:lang w:val="es-ES"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lang w:val="es-ES" w:eastAsia="en-IE"/>
              </w:rPr>
            </w:pPr>
            <w:r>
              <w:rPr>
                <w:rFonts w:eastAsia="Times New Roman"/>
                <w:noProof/>
                <w:color w:val="000000"/>
                <w:sz w:val="16"/>
                <w:lang w:val="es-ES"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lang w:val="es-ES" w:eastAsia="en-IE"/>
              </w:rPr>
            </w:pPr>
            <w:r>
              <w:rPr>
                <w:rFonts w:eastAsia="Times New Roman"/>
                <w:noProof/>
                <w:color w:val="000000"/>
                <w:sz w:val="16"/>
                <w:lang w:val="es-ES" w:eastAsia="en-IE"/>
              </w:rPr>
              <w:t> </w:t>
            </w:r>
          </w:p>
        </w:tc>
      </w:tr>
      <w:tr>
        <w:trPr>
          <w:trHeight w:val="225"/>
        </w:trPr>
        <w:tc>
          <w:tcPr>
            <w:tcW w:w="7946"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Total merchandise trade EU28 with Mexico (mio €)</w:t>
            </w:r>
          </w:p>
        </w:tc>
      </w:tr>
      <w:tr>
        <w:trPr>
          <w:trHeight w:val="225"/>
        </w:trPr>
        <w:tc>
          <w:tcPr>
            <w:tcW w:w="4442"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Mexico</w:t>
            </w:r>
          </w:p>
        </w:tc>
        <w:tc>
          <w:tcPr>
            <w:tcW w:w="85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93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71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442"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93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58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23.896</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26.002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2.106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8,8%</w:t>
            </w:r>
          </w:p>
        </w:tc>
      </w:tr>
      <w:tr>
        <w:trPr>
          <w:trHeight w:val="225"/>
        </w:trPr>
        <w:tc>
          <w:tcPr>
            <w:tcW w:w="358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37.916</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39.384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1.468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3,9%</w:t>
            </w:r>
          </w:p>
        </w:tc>
      </w:tr>
      <w:tr>
        <w:trPr>
          <w:trHeight w:val="225"/>
        </w:trPr>
        <w:tc>
          <w:tcPr>
            <w:tcW w:w="358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14.020</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13.381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-639</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58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61.812</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65.386</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3.574</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5,8%</w:t>
            </w:r>
          </w:p>
        </w:tc>
      </w:tr>
      <w:tr>
        <w:trPr>
          <w:trHeight w:val="240"/>
        </w:trPr>
        <w:tc>
          <w:tcPr>
            <w:tcW w:w="6234"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7946"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Agrifood trade EU28 with Mexico (mio €)</w:t>
            </w:r>
          </w:p>
        </w:tc>
      </w:tr>
      <w:tr>
        <w:trPr>
          <w:trHeight w:val="255"/>
        </w:trPr>
        <w:tc>
          <w:tcPr>
            <w:tcW w:w="4442"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Mexico</w:t>
            </w:r>
          </w:p>
        </w:tc>
        <w:tc>
          <w:tcPr>
            <w:tcW w:w="85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93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71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442"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93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58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1.305</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1.312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0,6%</w:t>
            </w:r>
          </w:p>
        </w:tc>
      </w:tr>
      <w:tr>
        <w:trPr>
          <w:trHeight w:val="225"/>
        </w:trPr>
        <w:tc>
          <w:tcPr>
            <w:tcW w:w="358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1.446</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1.507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4,2%</w:t>
            </w:r>
          </w:p>
        </w:tc>
      </w:tr>
      <w:tr>
        <w:trPr>
          <w:trHeight w:val="225"/>
        </w:trPr>
        <w:tc>
          <w:tcPr>
            <w:tcW w:w="358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141</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54</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58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2.751</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2.820</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69</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w:t>
            </w:r>
          </w:p>
        </w:tc>
      </w:tr>
      <w:tr>
        <w:trPr>
          <w:trHeight w:val="240"/>
        </w:trPr>
        <w:tc>
          <w:tcPr>
            <w:tcW w:w="6234"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7946" w:type="dxa"/>
            <w:gridSpan w:val="6"/>
            <w:tcBorders>
              <w:top w:val="nil"/>
              <w:left w:val="nil"/>
              <w:bottom w:val="nil"/>
              <w:right w:val="nil"/>
            </w:tcBorders>
            <w:shd w:val="clear" w:color="000000" w:fill="FFFFFF"/>
            <w:noWrap/>
            <w:vAlign w:val="center"/>
            <w:hideMark/>
          </w:tcPr>
          <w:p>
            <w:pPr>
              <w:jc w:val="center"/>
              <w:rPr>
                <w:rFonts w:eastAsia="Times New Roman"/>
                <w:b/>
                <w:noProof/>
                <w:sz w:val="16"/>
                <w:lang w:val="es-ES" w:eastAsia="en-IE"/>
              </w:rPr>
            </w:pPr>
            <w:r>
              <w:rPr>
                <w:rFonts w:eastAsia="Times New Roman"/>
                <w:b/>
                <w:noProof/>
                <w:sz w:val="16"/>
                <w:lang w:val="es-ES" w:eastAsia="en-IE"/>
              </w:rPr>
              <w:t>NAMA trade EU28 with Mexico (mio €)</w:t>
            </w:r>
          </w:p>
        </w:tc>
      </w:tr>
      <w:tr>
        <w:trPr>
          <w:trHeight w:val="225"/>
        </w:trPr>
        <w:tc>
          <w:tcPr>
            <w:tcW w:w="4442"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Mexico</w:t>
            </w:r>
          </w:p>
        </w:tc>
        <w:tc>
          <w:tcPr>
            <w:tcW w:w="85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93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71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442"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93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4442"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22.591</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24.690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2.099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9,3%</w:t>
            </w:r>
          </w:p>
        </w:tc>
      </w:tr>
      <w:tr>
        <w:trPr>
          <w:trHeight w:val="225"/>
        </w:trPr>
        <w:tc>
          <w:tcPr>
            <w:tcW w:w="4442"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36.470</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37.876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1.406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3,9%</w:t>
            </w:r>
          </w:p>
        </w:tc>
      </w:tr>
      <w:tr>
        <w:trPr>
          <w:trHeight w:val="225"/>
        </w:trPr>
        <w:tc>
          <w:tcPr>
            <w:tcW w:w="358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13.878</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13.186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-693</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58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59.061</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62.566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3.505</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5,9%</w:t>
            </w:r>
          </w:p>
        </w:tc>
      </w:tr>
      <w:tr>
        <w:trPr>
          <w:trHeight w:val="240"/>
        </w:trPr>
        <w:tc>
          <w:tcPr>
            <w:tcW w:w="6234"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856" w:type="dxa"/>
            <w:tcBorders>
              <w:top w:val="single" w:sz="4" w:space="0" w:color="auto"/>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6234" w:type="dxa"/>
            <w:gridSpan w:val="4"/>
            <w:tcBorders>
              <w:top w:val="nil"/>
              <w:left w:val="nil"/>
              <w:bottom w:val="single" w:sz="4" w:space="0" w:color="auto"/>
              <w:right w:val="nil"/>
            </w:tcBorders>
            <w:shd w:val="clear" w:color="000000" w:fill="FFFFFF"/>
            <w:noWrap/>
            <w:vAlign w:val="center"/>
            <w:hideMark/>
          </w:tcPr>
          <w:p>
            <w:pPr>
              <w:jc w:val="center"/>
              <w:rPr>
                <w:rFonts w:eastAsia="Times New Roman"/>
                <w:b/>
                <w:noProof/>
                <w:sz w:val="16"/>
                <w:szCs w:val="16"/>
                <w:lang w:val="es-ES_tradnl" w:eastAsia="en-IE"/>
              </w:rPr>
            </w:pPr>
            <w:r>
              <w:rPr>
                <w:rFonts w:eastAsia="Times New Roman"/>
                <w:b/>
                <w:noProof/>
                <w:sz w:val="16"/>
                <w:szCs w:val="16"/>
                <w:lang w:val="es-ES_tradnl" w:eastAsia="en-IE"/>
              </w:rPr>
              <w:t>Services trade EU28 with Mexico (mio €)</w:t>
            </w:r>
          </w:p>
        </w:tc>
        <w:tc>
          <w:tcPr>
            <w:tcW w:w="856" w:type="dxa"/>
            <w:tcBorders>
              <w:top w:val="nil"/>
              <w:left w:val="nil"/>
              <w:bottom w:val="nil"/>
              <w:right w:val="nil"/>
            </w:tcBorders>
            <w:shd w:val="clear" w:color="000000" w:fill="FFFFFF"/>
            <w:noWrap/>
            <w:vAlign w:val="center"/>
            <w:hideMark/>
          </w:tcPr>
          <w:p>
            <w:pPr>
              <w:rPr>
                <w:rFonts w:eastAsia="Times New Roman"/>
                <w:b/>
                <w:noProof/>
                <w:sz w:val="16"/>
                <w:szCs w:val="16"/>
                <w:lang w:val="es-ES_tradnl" w:eastAsia="en-IE"/>
              </w:rPr>
            </w:pPr>
            <w:r>
              <w:rPr>
                <w:rFonts w:eastAsia="Times New Roman"/>
                <w:b/>
                <w:noProof/>
                <w:sz w:val="16"/>
                <w:szCs w:val="16"/>
                <w:lang w:val="es-ES_tradnl" w:eastAsia="en-IE"/>
              </w:rPr>
              <w:t> </w:t>
            </w:r>
          </w:p>
        </w:tc>
        <w:tc>
          <w:tcPr>
            <w:tcW w:w="856" w:type="dxa"/>
            <w:tcBorders>
              <w:top w:val="nil"/>
              <w:left w:val="nil"/>
              <w:bottom w:val="nil"/>
              <w:right w:val="nil"/>
            </w:tcBorders>
            <w:shd w:val="clear" w:color="000000" w:fill="FFFFFF"/>
            <w:noWrap/>
            <w:vAlign w:val="center"/>
            <w:hideMark/>
          </w:tcPr>
          <w:p>
            <w:pPr>
              <w:rPr>
                <w:rFonts w:eastAsia="Times New Roman"/>
                <w:b/>
                <w:noProof/>
                <w:sz w:val="16"/>
                <w:szCs w:val="16"/>
                <w:lang w:val="es-ES_tradnl" w:eastAsia="en-IE"/>
              </w:rPr>
            </w:pPr>
            <w:r>
              <w:rPr>
                <w:rFonts w:eastAsia="Times New Roman"/>
                <w:b/>
                <w:noProof/>
                <w:sz w:val="16"/>
                <w:szCs w:val="16"/>
                <w:lang w:val="es-ES_tradnl" w:eastAsia="en-IE"/>
              </w:rPr>
              <w:t> </w:t>
            </w:r>
          </w:p>
        </w:tc>
      </w:tr>
      <w:tr>
        <w:trPr>
          <w:trHeight w:val="225"/>
        </w:trPr>
        <w:tc>
          <w:tcPr>
            <w:tcW w:w="4442"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Mexico</w:t>
            </w:r>
          </w:p>
        </w:tc>
        <w:tc>
          <w:tcPr>
            <w:tcW w:w="856"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936"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171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442"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936"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58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5.196</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5.935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739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14,2%</w:t>
            </w:r>
          </w:p>
        </w:tc>
      </w:tr>
      <w:tr>
        <w:trPr>
          <w:trHeight w:val="225"/>
        </w:trPr>
        <w:tc>
          <w:tcPr>
            <w:tcW w:w="358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10.498</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10.920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423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4,0%</w:t>
            </w:r>
          </w:p>
        </w:tc>
      </w:tr>
      <w:tr>
        <w:trPr>
          <w:trHeight w:val="225"/>
        </w:trPr>
        <w:tc>
          <w:tcPr>
            <w:tcW w:w="358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5.302</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4.985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-316</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58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15.694</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16.855</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1.162</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7,4%</w:t>
            </w:r>
          </w:p>
        </w:tc>
      </w:tr>
      <w:tr>
        <w:trPr>
          <w:trHeight w:val="240"/>
        </w:trPr>
        <w:tc>
          <w:tcPr>
            <w:tcW w:w="7090" w:type="dxa"/>
            <w:gridSpan w:val="5"/>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40"/>
        </w:trPr>
        <w:tc>
          <w:tcPr>
            <w:tcW w:w="7946" w:type="dxa"/>
            <w:gridSpan w:val="6"/>
            <w:tcBorders>
              <w:top w:val="nil"/>
              <w:left w:val="nil"/>
              <w:bottom w:val="nil"/>
              <w:right w:val="nil"/>
            </w:tcBorders>
            <w:shd w:val="clear" w:color="000000" w:fill="FFFFFF"/>
            <w:noWrap/>
            <w:vAlign w:val="center"/>
            <w:hideMark/>
          </w:tcPr>
          <w:p>
            <w:pPr>
              <w:jc w:val="center"/>
              <w:rPr>
                <w:rFonts w:eastAsia="Times New Roman"/>
                <w:b/>
                <w:noProof/>
                <w:sz w:val="16"/>
                <w:szCs w:val="16"/>
                <w:lang w:val="es-ES_tradnl" w:eastAsia="en-IE"/>
              </w:rPr>
            </w:pPr>
            <w:r>
              <w:rPr>
                <w:rFonts w:eastAsia="Times New Roman"/>
                <w:b/>
                <w:noProof/>
                <w:sz w:val="16"/>
                <w:szCs w:val="16"/>
                <w:lang w:val="es-ES_tradnl" w:eastAsia="en-IE"/>
              </w:rPr>
              <w:t>Services trade EU28 with Mexico (mio €)</w:t>
            </w:r>
          </w:p>
        </w:tc>
      </w:tr>
      <w:tr>
        <w:trPr>
          <w:trHeight w:val="225"/>
        </w:trPr>
        <w:tc>
          <w:tcPr>
            <w:tcW w:w="3586"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val="es-ES_tradnl" w:eastAsia="en-IE"/>
              </w:rPr>
            </w:pPr>
            <w:r>
              <w:rPr>
                <w:rFonts w:eastAsia="Times New Roman"/>
                <w:noProof/>
                <w:sz w:val="16"/>
                <w:szCs w:val="16"/>
                <w:lang w:val="es-ES_tradnl" w:eastAsia="en-IE"/>
              </w:rPr>
              <w:t> </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93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358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3.749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4.032</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4.954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5.196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5.935</w:t>
            </w:r>
          </w:p>
        </w:tc>
      </w:tr>
      <w:tr>
        <w:trPr>
          <w:trHeight w:val="225"/>
        </w:trPr>
        <w:tc>
          <w:tcPr>
            <w:tcW w:w="358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7.884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8.282</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9.730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10.498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10.920</w:t>
            </w:r>
          </w:p>
        </w:tc>
      </w:tr>
      <w:tr>
        <w:trPr>
          <w:trHeight w:val="225"/>
        </w:trPr>
        <w:tc>
          <w:tcPr>
            <w:tcW w:w="358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4.135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4.250</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4.775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5.302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4.985</w:t>
            </w:r>
          </w:p>
        </w:tc>
      </w:tr>
      <w:tr>
        <w:trPr>
          <w:trHeight w:val="225"/>
        </w:trPr>
        <w:tc>
          <w:tcPr>
            <w:tcW w:w="358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11.634</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12.315</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14.684</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15.694</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16.855</w:t>
            </w:r>
          </w:p>
        </w:tc>
      </w:tr>
      <w:tr>
        <w:trPr>
          <w:trHeight w:val="225"/>
        </w:trPr>
        <w:tc>
          <w:tcPr>
            <w:tcW w:w="3586"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856"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93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7946" w:type="dxa"/>
            <w:gridSpan w:val="6"/>
            <w:tcBorders>
              <w:top w:val="nil"/>
              <w:left w:val="nil"/>
              <w:bottom w:val="nil"/>
              <w:right w:val="nil"/>
            </w:tcBorders>
            <w:shd w:val="clear" w:color="000000" w:fill="FFFFFF"/>
            <w:noWrap/>
            <w:vAlign w:val="center"/>
            <w:hideMark/>
          </w:tcPr>
          <w:p>
            <w:pPr>
              <w:jc w:val="center"/>
              <w:rPr>
                <w:rFonts w:eastAsia="Times New Roman"/>
                <w:b/>
                <w:noProof/>
                <w:sz w:val="16"/>
                <w:szCs w:val="16"/>
                <w:lang w:val="es-ES_tradnl" w:eastAsia="en-IE"/>
              </w:rPr>
            </w:pPr>
            <w:r>
              <w:rPr>
                <w:rFonts w:eastAsia="Times New Roman"/>
                <w:b/>
                <w:noProof/>
                <w:sz w:val="16"/>
                <w:szCs w:val="16"/>
                <w:lang w:val="es-ES_tradnl" w:eastAsia="en-IE"/>
              </w:rPr>
              <w:t>FDI EU28 with Mexico (mio €)</w:t>
            </w:r>
          </w:p>
        </w:tc>
      </w:tr>
      <w:tr>
        <w:trPr>
          <w:trHeight w:val="225"/>
        </w:trPr>
        <w:tc>
          <w:tcPr>
            <w:tcW w:w="3586"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val="es-ES_tradnl" w:eastAsia="en-IE"/>
              </w:rPr>
            </w:pPr>
            <w:r>
              <w:rPr>
                <w:rFonts w:eastAsia="Times New Roman"/>
                <w:noProof/>
                <w:sz w:val="16"/>
                <w:szCs w:val="16"/>
                <w:lang w:val="es-ES_tradnl" w:eastAsia="en-IE"/>
              </w:rPr>
              <w:t> </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93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7946"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Stocks</w:t>
            </w:r>
          </w:p>
        </w:tc>
      </w:tr>
      <w:tr>
        <w:trPr>
          <w:trHeight w:val="225"/>
        </w:trPr>
        <w:tc>
          <w:tcPr>
            <w:tcW w:w="358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25.119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31.002</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32.166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36.091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48.367</w:t>
            </w:r>
          </w:p>
        </w:tc>
      </w:tr>
      <w:tr>
        <w:trPr>
          <w:trHeight w:val="225"/>
        </w:trPr>
        <w:tc>
          <w:tcPr>
            <w:tcW w:w="358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110.424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135.168</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162.287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142.830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154.483</w:t>
            </w:r>
          </w:p>
        </w:tc>
      </w:tr>
      <w:tr>
        <w:trPr>
          <w:trHeight w:val="225"/>
        </w:trPr>
        <w:tc>
          <w:tcPr>
            <w:tcW w:w="7946"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Flows</w:t>
            </w:r>
          </w:p>
        </w:tc>
      </w:tr>
      <w:tr>
        <w:trPr>
          <w:trHeight w:val="225"/>
        </w:trPr>
        <w:tc>
          <w:tcPr>
            <w:tcW w:w="358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1.834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7.569</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3.498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9.072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1.800</w:t>
            </w:r>
          </w:p>
        </w:tc>
      </w:tr>
      <w:tr>
        <w:trPr>
          <w:trHeight w:val="225"/>
        </w:trPr>
        <w:tc>
          <w:tcPr>
            <w:tcW w:w="358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22.873</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24.441</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16.728</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-10.703</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12.957</w:t>
            </w:r>
          </w:p>
        </w:tc>
      </w:tr>
      <w:tr>
        <w:trPr>
          <w:trHeight w:val="225"/>
        </w:trPr>
        <w:tc>
          <w:tcPr>
            <w:tcW w:w="3586" w:type="dxa"/>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856"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93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bl>
    <w:p>
      <w:pPr>
        <w:rPr>
          <w:noProof/>
        </w:rPr>
      </w:pPr>
    </w:p>
    <w:p>
      <w:pPr>
        <w:spacing w:after="200" w:line="276" w:lineRule="auto"/>
        <w:rPr>
          <w:noProof/>
        </w:rPr>
      </w:pPr>
      <w:r>
        <w:rPr>
          <w:noProof/>
        </w:rPr>
        <w:br w:type="page"/>
      </w:r>
    </w:p>
    <w:p>
      <w:pPr>
        <w:pStyle w:val="ChapterHead"/>
        <w:jc w:val="both"/>
        <w:rPr>
          <w:b/>
          <w:noProof/>
        </w:rPr>
      </w:pPr>
      <w:bookmarkStart w:id="3710" w:name="_Toc8833769"/>
      <w:bookmarkStart w:id="3711" w:name="_Toc8835596"/>
      <w:bookmarkStart w:id="3712" w:name="_Toc8834226"/>
      <w:bookmarkStart w:id="3713" w:name="_Toc8909689"/>
      <w:bookmarkStart w:id="3714" w:name="_Toc8910901"/>
      <w:bookmarkStart w:id="3715" w:name="_Toc8911938"/>
      <w:bookmarkStart w:id="3716" w:name="_Toc8974759"/>
      <w:bookmarkStart w:id="3717" w:name="_Toc9008412"/>
      <w:bookmarkStart w:id="3718" w:name="_Toc9008815"/>
      <w:bookmarkStart w:id="3719" w:name="_Toc9348811"/>
      <w:bookmarkStart w:id="3720" w:name="_Toc9608262"/>
      <w:bookmarkStart w:id="3721" w:name="_Toc16000821"/>
      <w:r>
        <w:rPr>
          <w:b/>
          <w:noProof/>
        </w:rPr>
        <w:t>FIRST GENERATION FREE TRADE AGREEMENTS WITH THE EFTA COUNTRIES NORWAY AND SWITZERLAND</w:t>
      </w:r>
      <w:bookmarkEnd w:id="3710"/>
      <w:bookmarkEnd w:id="3711"/>
      <w:bookmarkEnd w:id="3712"/>
      <w:bookmarkEnd w:id="3713"/>
      <w:bookmarkEnd w:id="3714"/>
      <w:bookmarkEnd w:id="3715"/>
      <w:bookmarkEnd w:id="3716"/>
      <w:bookmarkEnd w:id="3717"/>
      <w:bookmarkEnd w:id="3718"/>
      <w:bookmarkEnd w:id="3719"/>
      <w:bookmarkEnd w:id="3720"/>
      <w:bookmarkEnd w:id="3721"/>
    </w:p>
    <w:p>
      <w:pPr>
        <w:spacing w:after="200" w:line="276" w:lineRule="auto"/>
        <w:rPr>
          <w:noProof/>
        </w:rPr>
      </w:pPr>
      <w:r>
        <w:rPr>
          <w:noProof/>
        </w:rPr>
        <w:br w:type="page"/>
      </w:r>
    </w:p>
    <w:p>
      <w:pPr>
        <w:pStyle w:val="ChapterHead"/>
        <w:jc w:val="both"/>
        <w:rPr>
          <w:b/>
          <w:noProof/>
        </w:rPr>
      </w:pPr>
      <w:bookmarkStart w:id="3722" w:name="_Toc8833770"/>
      <w:bookmarkStart w:id="3723" w:name="_Toc8835597"/>
      <w:bookmarkStart w:id="3724" w:name="_Toc8834227"/>
      <w:bookmarkStart w:id="3725" w:name="_Toc8909690"/>
      <w:bookmarkStart w:id="3726" w:name="_Toc8910902"/>
      <w:bookmarkStart w:id="3727" w:name="_Toc8911939"/>
      <w:bookmarkStart w:id="3728" w:name="_Toc8974760"/>
      <w:bookmarkStart w:id="3729" w:name="_Toc9008413"/>
      <w:bookmarkStart w:id="3730" w:name="_Toc9008816"/>
      <w:bookmarkStart w:id="3731" w:name="_Toc9348812"/>
      <w:bookmarkStart w:id="3732" w:name="_Toc9608263"/>
      <w:bookmarkStart w:id="3733" w:name="_Toc16000822"/>
      <w:r>
        <w:rPr>
          <w:b/>
          <w:noProof/>
        </w:rPr>
        <w:t>ANNUAL INFO SHEET ON IMPLEMENTATION OF THE EU-NORWAY FREE TRADE AGREEMENT</w:t>
      </w:r>
      <w:bookmarkEnd w:id="3722"/>
      <w:bookmarkEnd w:id="3723"/>
      <w:bookmarkEnd w:id="3724"/>
      <w:bookmarkEnd w:id="3725"/>
      <w:bookmarkEnd w:id="3726"/>
      <w:bookmarkEnd w:id="3727"/>
      <w:bookmarkEnd w:id="3728"/>
      <w:bookmarkEnd w:id="3729"/>
      <w:bookmarkEnd w:id="3730"/>
      <w:bookmarkEnd w:id="3731"/>
      <w:bookmarkEnd w:id="3732"/>
      <w:bookmarkEnd w:id="3733"/>
    </w:p>
    <w:p>
      <w:pPr>
        <w:pStyle w:val="ManualHeading1"/>
      </w:pPr>
      <w:bookmarkStart w:id="3734" w:name="_Toc8833771"/>
      <w:bookmarkStart w:id="3735" w:name="_Toc8835598"/>
      <w:bookmarkStart w:id="3736" w:name="_Toc8834228"/>
      <w:bookmarkStart w:id="3737" w:name="_Toc8909691"/>
      <w:bookmarkStart w:id="3738" w:name="_Toc8910903"/>
      <w:bookmarkStart w:id="3739" w:name="_Toc8911940"/>
      <w:bookmarkStart w:id="3740" w:name="_Toc8974761"/>
      <w:bookmarkStart w:id="3741" w:name="_Toc9008414"/>
      <w:bookmarkStart w:id="3742" w:name="_Toc9008817"/>
      <w:bookmarkStart w:id="3743" w:name="_Toc9348813"/>
      <w:bookmarkStart w:id="3744" w:name="_Toc9608264"/>
      <w:bookmarkStart w:id="3745" w:name="_Toc16000823"/>
      <w:r>
        <w:t>1.</w:t>
      </w:r>
      <w:r>
        <w:tab/>
        <w:t>Introduction</w:t>
      </w:r>
      <w:bookmarkEnd w:id="3734"/>
      <w:bookmarkEnd w:id="3735"/>
      <w:bookmarkEnd w:id="3736"/>
      <w:bookmarkEnd w:id="3737"/>
      <w:bookmarkEnd w:id="3738"/>
      <w:bookmarkEnd w:id="3739"/>
      <w:bookmarkEnd w:id="3740"/>
      <w:bookmarkEnd w:id="3741"/>
      <w:bookmarkEnd w:id="3742"/>
      <w:bookmarkEnd w:id="3743"/>
      <w:bookmarkEnd w:id="3744"/>
      <w:bookmarkEnd w:id="3745"/>
    </w:p>
    <w:p>
      <w:pPr>
        <w:autoSpaceDE w:val="0"/>
        <w:autoSpaceDN w:val="0"/>
        <w:adjustRightInd w:val="0"/>
        <w:spacing w:after="120"/>
        <w:jc w:val="both"/>
        <w:rPr>
          <w:noProof/>
        </w:rPr>
      </w:pPr>
      <w:r>
        <w:rPr>
          <w:noProof/>
        </w:rPr>
        <w:t>O</w:t>
      </w:r>
      <w:r>
        <w:rPr>
          <w:noProof/>
          <w:lang w:val="en"/>
        </w:rPr>
        <w:t xml:space="preserve">n 1 July 1973, a </w:t>
      </w:r>
      <w:r>
        <w:rPr>
          <w:b/>
          <w:bCs/>
          <w:noProof/>
          <w:lang w:val="en"/>
        </w:rPr>
        <w:t>Free Trade Agreement between Norway and the EU</w:t>
      </w:r>
      <w:r>
        <w:rPr>
          <w:noProof/>
          <w:lang w:val="en"/>
        </w:rPr>
        <w:t xml:space="preserve"> entered into force. </w:t>
      </w:r>
      <w:r>
        <w:rPr>
          <w:noProof/>
        </w:rPr>
        <w:t xml:space="preserve">It concerns goods only and is one of the oldest trade agreements signed by the EU. </w:t>
      </w:r>
    </w:p>
    <w:p>
      <w:pPr>
        <w:autoSpaceDE w:val="0"/>
        <w:autoSpaceDN w:val="0"/>
        <w:adjustRightInd w:val="0"/>
        <w:spacing w:after="120"/>
        <w:jc w:val="both"/>
        <w:rPr>
          <w:noProof/>
          <w:lang w:val="en"/>
        </w:rPr>
      </w:pPr>
      <w:r>
        <w:rPr>
          <w:noProof/>
          <w:lang w:val="en"/>
        </w:rPr>
        <w:t xml:space="preserve">Although still in force, it has been in practice superseded in many respects by the </w:t>
      </w:r>
      <w:r>
        <w:rPr>
          <w:b/>
          <w:bCs/>
          <w:noProof/>
          <w:lang w:val="en"/>
        </w:rPr>
        <w:t>Agreement on the European Economic Area</w:t>
      </w:r>
      <w:r>
        <w:rPr>
          <w:noProof/>
          <w:lang w:val="en"/>
        </w:rPr>
        <w:t xml:space="preserve"> (EEA), </w:t>
      </w:r>
      <w:r>
        <w:rPr>
          <w:noProof/>
        </w:rPr>
        <w:t xml:space="preserve">which entered into force on 1 January 1994, and brings together the EU Member States and the three EEA EFTA States — Iceland, Liechtenstein and Norway — in the Internal Market. The EEA agreement ensures </w:t>
      </w:r>
      <w:r>
        <w:rPr>
          <w:noProof/>
          <w:lang w:val="en"/>
        </w:rPr>
        <w:t xml:space="preserve">the free movement of goods, services, capital and persons between Norway and the EU and is the backbone of EU-Norway cooperation. </w:t>
      </w:r>
      <w:r>
        <w:rPr>
          <w:noProof/>
        </w:rPr>
        <w:t xml:space="preserve">Members of the EEA fully apply the whole </w:t>
      </w:r>
      <w:r>
        <w:rPr>
          <w:i/>
          <w:iCs/>
          <w:noProof/>
        </w:rPr>
        <w:t>acquis communautaire</w:t>
      </w:r>
      <w:r>
        <w:rPr>
          <w:noProof/>
        </w:rPr>
        <w:t xml:space="preserve"> related to the "four freedoms" </w:t>
      </w:r>
      <w:r>
        <w:rPr>
          <w:noProof/>
          <w:lang w:val="en"/>
        </w:rPr>
        <w:t>through dynamic incorporation of the relevant legislative acts into the Protocols and Annexes of the EEA Agreement via Joint Committee Decisions.</w:t>
      </w:r>
    </w:p>
    <w:p>
      <w:pPr>
        <w:autoSpaceDE w:val="0"/>
        <w:autoSpaceDN w:val="0"/>
        <w:adjustRightInd w:val="0"/>
        <w:spacing w:after="120"/>
        <w:jc w:val="both"/>
        <w:rPr>
          <w:bCs/>
          <w:noProof/>
        </w:rPr>
      </w:pPr>
      <w:r>
        <w:rPr>
          <w:noProof/>
        </w:rPr>
        <w:t>The</w:t>
      </w:r>
      <w:r>
        <w:rPr>
          <w:noProof/>
          <w:lang w:val="en"/>
        </w:rPr>
        <w:t xml:space="preserve"> EEA Agreement does not cover the common agricultural and fisheries policies, which means that </w:t>
      </w:r>
      <w:r>
        <w:rPr>
          <w:noProof/>
        </w:rPr>
        <w:t xml:space="preserve">agricultural and fisheries products are not in free circulation between the EU and Norway and quotas exist in a number of areas. Processed agricultural products are covered by a dedicated protocol to the EEA agreement but are not in free circulation neither. </w:t>
      </w:r>
    </w:p>
    <w:p>
      <w:pPr>
        <w:pStyle w:val="ManualHeading1"/>
      </w:pPr>
      <w:bookmarkStart w:id="3746" w:name="_Toc8833772"/>
      <w:bookmarkStart w:id="3747" w:name="_Toc8835599"/>
      <w:bookmarkStart w:id="3748" w:name="_Toc8834229"/>
      <w:bookmarkStart w:id="3749" w:name="_Toc8909692"/>
      <w:bookmarkStart w:id="3750" w:name="_Toc8910904"/>
      <w:bookmarkStart w:id="3751" w:name="_Toc8911941"/>
      <w:bookmarkStart w:id="3752" w:name="_Toc8974762"/>
      <w:bookmarkStart w:id="3753" w:name="_Toc9008415"/>
      <w:bookmarkStart w:id="3754" w:name="_Toc9008818"/>
      <w:bookmarkStart w:id="3755" w:name="_Toc9348814"/>
      <w:bookmarkStart w:id="3756" w:name="_Toc9608265"/>
      <w:bookmarkStart w:id="3757" w:name="_Toc16000824"/>
      <w:r>
        <w:t>2.</w:t>
      </w:r>
      <w:r>
        <w:tab/>
        <w:t>Evolution of trade</w:t>
      </w:r>
      <w:bookmarkEnd w:id="3746"/>
      <w:bookmarkEnd w:id="3747"/>
      <w:bookmarkEnd w:id="3748"/>
      <w:bookmarkEnd w:id="3749"/>
      <w:bookmarkEnd w:id="3750"/>
      <w:bookmarkEnd w:id="3751"/>
      <w:bookmarkEnd w:id="3752"/>
      <w:bookmarkEnd w:id="3753"/>
      <w:bookmarkEnd w:id="3754"/>
      <w:bookmarkEnd w:id="3755"/>
      <w:bookmarkEnd w:id="3756"/>
      <w:bookmarkEnd w:id="3757"/>
    </w:p>
    <w:p>
      <w:pPr>
        <w:pStyle w:val="Heading2"/>
        <w:ind w:left="0" w:firstLine="0"/>
      </w:pPr>
      <w:bookmarkStart w:id="3758" w:name="_Toc8833773"/>
      <w:bookmarkStart w:id="3759" w:name="_Toc8835600"/>
      <w:bookmarkStart w:id="3760" w:name="_Toc8834230"/>
      <w:bookmarkStart w:id="3761" w:name="_Toc8909693"/>
      <w:bookmarkStart w:id="3762" w:name="_Toc8910905"/>
      <w:bookmarkStart w:id="3763" w:name="_Toc8911942"/>
      <w:bookmarkStart w:id="3764" w:name="_Toc8974763"/>
      <w:bookmarkStart w:id="3765" w:name="_Toc9008416"/>
      <w:bookmarkStart w:id="3766" w:name="_Toc9008819"/>
      <w:bookmarkStart w:id="3767" w:name="_Toc9348815"/>
      <w:bookmarkStart w:id="3768" w:name="_Toc9608266"/>
      <w:bookmarkStart w:id="3769" w:name="_Toc16000825"/>
      <w:r>
        <w:t>2.1 Trade in Goods</w:t>
      </w:r>
      <w:bookmarkEnd w:id="3758"/>
      <w:bookmarkEnd w:id="3759"/>
      <w:bookmarkEnd w:id="3760"/>
      <w:bookmarkEnd w:id="3761"/>
      <w:bookmarkEnd w:id="3762"/>
      <w:bookmarkEnd w:id="3763"/>
      <w:bookmarkEnd w:id="3764"/>
      <w:bookmarkEnd w:id="3765"/>
      <w:bookmarkEnd w:id="3766"/>
      <w:bookmarkEnd w:id="3767"/>
      <w:bookmarkEnd w:id="3768"/>
      <w:bookmarkEnd w:id="3769"/>
    </w:p>
    <w:p>
      <w:pPr>
        <w:jc w:val="both"/>
        <w:rPr>
          <w:noProof/>
          <w:lang w:eastAsia="en-GB"/>
        </w:rPr>
      </w:pPr>
      <w:r>
        <w:rPr>
          <w:noProof/>
          <w:lang w:eastAsia="en-GB"/>
        </w:rPr>
        <w:t>The EU remains the first import and export partner for Norway, capturing 74% of the latter’s trade. Norway is the 6</w:t>
      </w:r>
      <w:r>
        <w:rPr>
          <w:noProof/>
          <w:vertAlign w:val="superscript"/>
          <w:lang w:eastAsia="en-GB"/>
        </w:rPr>
        <w:t>th</w:t>
      </w:r>
      <w:r>
        <w:rPr>
          <w:noProof/>
          <w:lang w:eastAsia="en-GB"/>
        </w:rPr>
        <w:t xml:space="preserve"> trading partner for goods of the EU. Norway’s trade with the EU shows a surplus that has doubled in value terms from 2016 to 2018. The Member States that import the most from Norway are the United Kingdom, followed by the Netherlands, Germany and Sweden. The greatest exporters to Norway are Sweden, Germany and Denmark. Mineral products represents more than half of EU imports from Norway, with an increase of 14% between 2017 and 2018. The largest share of exports in value are represented by “machinery and mechanical appliances”, followed by “motor vehicles” and “electrical machinery and equipment”. Trade is dynamic and continues its expansion both ways. Exports to Norway increased by 6% between 2017 and 2018 while imports increased by 13%. </w:t>
      </w:r>
    </w:p>
    <w:p>
      <w:pPr>
        <w:pStyle w:val="Heading2"/>
        <w:ind w:left="0" w:firstLine="0"/>
      </w:pPr>
      <w:bookmarkStart w:id="3770" w:name="_Toc8833774"/>
      <w:bookmarkStart w:id="3771" w:name="_Toc8835601"/>
      <w:bookmarkStart w:id="3772" w:name="_Toc8834231"/>
      <w:bookmarkStart w:id="3773" w:name="_Toc8909694"/>
      <w:bookmarkStart w:id="3774" w:name="_Toc8910906"/>
      <w:bookmarkStart w:id="3775" w:name="_Toc8911943"/>
      <w:bookmarkStart w:id="3776" w:name="_Toc8974764"/>
      <w:bookmarkStart w:id="3777" w:name="_Toc9008417"/>
      <w:bookmarkStart w:id="3778" w:name="_Toc9008820"/>
      <w:bookmarkStart w:id="3779" w:name="_Toc9348816"/>
      <w:bookmarkStart w:id="3780" w:name="_Toc9608267"/>
      <w:bookmarkStart w:id="3781" w:name="_Toc16000826"/>
      <w:r>
        <w:t>2.2 Trade in agricultural goods</w:t>
      </w:r>
      <w:bookmarkEnd w:id="3770"/>
      <w:bookmarkEnd w:id="3771"/>
      <w:bookmarkEnd w:id="3772"/>
      <w:bookmarkEnd w:id="3773"/>
      <w:bookmarkEnd w:id="3774"/>
      <w:bookmarkEnd w:id="3775"/>
      <w:bookmarkEnd w:id="3776"/>
      <w:bookmarkEnd w:id="3777"/>
      <w:bookmarkEnd w:id="3778"/>
      <w:bookmarkEnd w:id="3779"/>
      <w:bookmarkEnd w:id="3780"/>
      <w:bookmarkEnd w:id="3781"/>
    </w:p>
    <w:p>
      <w:pPr>
        <w:autoSpaceDE w:val="0"/>
        <w:autoSpaceDN w:val="0"/>
        <w:adjustRightInd w:val="0"/>
        <w:spacing w:after="120"/>
        <w:jc w:val="both"/>
        <w:rPr>
          <w:bCs/>
          <w:noProof/>
        </w:rPr>
      </w:pPr>
      <w:r>
        <w:rPr>
          <w:noProof/>
          <w:lang w:eastAsia="en-GB"/>
        </w:rPr>
        <w:t xml:space="preserve">Trade in agricultural goods clearly presents a surplus for the EU that exports eight times the value of the agricultural goods it imports from Norway. </w:t>
      </w:r>
      <w:r>
        <w:rPr>
          <w:noProof/>
        </w:rPr>
        <w:t>The EU exports for more than €4.5 billion agricultural products to Norway – a level that has been stable in the last three years – and imports for half a billion euros.</w:t>
      </w:r>
    </w:p>
    <w:p>
      <w:pPr>
        <w:autoSpaceDE w:val="0"/>
        <w:autoSpaceDN w:val="0"/>
        <w:adjustRightInd w:val="0"/>
        <w:spacing w:after="120"/>
        <w:jc w:val="both"/>
        <w:rPr>
          <w:bCs/>
          <w:noProof/>
        </w:rPr>
      </w:pPr>
      <w:r>
        <w:rPr>
          <w:noProof/>
        </w:rPr>
        <w:t>Agriculture is not covered by the EEA agreement, which however encourages further liberalisation of agricultural trade through its Article 19. Negotiations based on this Article started in 2015 and were concluded successfully at negotiators' level in April 2017. Signed on 4 December 2017, this</w:t>
      </w:r>
      <w:r>
        <w:rPr>
          <w:b/>
          <w:bCs/>
          <w:noProof/>
        </w:rPr>
        <w:t xml:space="preserve"> agreement</w:t>
      </w:r>
      <w:r>
        <w:rPr>
          <w:rStyle w:val="FootnoteReference"/>
          <w:b/>
          <w:bCs/>
          <w:noProof/>
        </w:rPr>
        <w:footnoteReference w:id="87"/>
      </w:r>
      <w:r>
        <w:rPr>
          <w:b/>
          <w:bCs/>
          <w:noProof/>
        </w:rPr>
        <w:t xml:space="preserve"> entered into force on 1 October 2018</w:t>
      </w:r>
      <w:r>
        <w:rPr>
          <w:noProof/>
        </w:rPr>
        <w:t xml:space="preserve">. The concessions consist of 36 fully liberalised tariff lines and tariff rate quotas (TRQs) to be opened by both sides, opening new trade opportunities for EU and Norwegian exporters of agricultural products. </w:t>
      </w:r>
    </w:p>
    <w:p>
      <w:pPr>
        <w:tabs>
          <w:tab w:val="left" w:pos="6237"/>
        </w:tabs>
        <w:autoSpaceDE w:val="0"/>
        <w:autoSpaceDN w:val="0"/>
        <w:adjustRightInd w:val="0"/>
        <w:spacing w:after="120"/>
        <w:jc w:val="both"/>
        <w:rPr>
          <w:bCs/>
          <w:noProof/>
        </w:rPr>
      </w:pPr>
      <w:r>
        <w:rPr>
          <w:bCs/>
          <w:noProof/>
        </w:rPr>
        <w:t xml:space="preserve">Overall, trade in agricultural products is partially liberalised on both sides. </w:t>
      </w:r>
    </w:p>
    <w:p>
      <w:pPr>
        <w:jc w:val="both"/>
        <w:rPr>
          <w:noProof/>
          <w:lang w:eastAsia="en-GB"/>
        </w:rPr>
      </w:pPr>
      <w:r>
        <w:rPr>
          <w:noProof/>
          <w:lang w:eastAsia="en-GB"/>
        </w:rPr>
        <w:t xml:space="preserve">In general, Norway makes little use of the agri-food TRQs granted by the EU. Out of 28 TRQs in operation prior to 1 October 2018, 14 are completely or largely unused (below 3%). Only four TRQs are fully or nearly fully used (feedingstuff for fish, potatoe slices, sheep or goat meat and waters with sugar, without milk) followed by boneless sheep meat, (used at 75%), chocolate and other food preparations containing cocoa (used at 67%) and dog or cat put up for retail sale (used at 53%). </w:t>
      </w:r>
    </w:p>
    <w:p>
      <w:pPr>
        <w:jc w:val="both"/>
        <w:rPr>
          <w:noProof/>
          <w:lang w:eastAsia="en-GB"/>
        </w:rPr>
      </w:pPr>
    </w:p>
    <w:p>
      <w:pPr>
        <w:jc w:val="both"/>
        <w:rPr>
          <w:noProof/>
          <w:lang w:eastAsia="en-GB"/>
        </w:rPr>
      </w:pPr>
      <w:r>
        <w:rPr>
          <w:noProof/>
          <w:lang w:eastAsia="en-GB"/>
        </w:rPr>
        <w:t xml:space="preserve">The EU makes good use of the Norwegian TRQs, but with large discrepancies with TRQs used above 90% (16 out of 40 TRQs) and a few TRQs not been used at all or barely used (fruit and nuts, meat and edible offal - bovine and poultry). Data on TRQ fill rates provided by Norwegian authorities are included in Section 7 “Statistics”. </w:t>
      </w:r>
    </w:p>
    <w:p>
      <w:pPr>
        <w:pStyle w:val="Heading2"/>
        <w:tabs>
          <w:tab w:val="clear" w:pos="4570"/>
        </w:tabs>
        <w:ind w:left="567"/>
      </w:pPr>
      <w:bookmarkStart w:id="3782" w:name="_Toc8833776"/>
      <w:bookmarkStart w:id="3783" w:name="_Toc8835603"/>
      <w:bookmarkStart w:id="3784" w:name="_Toc8834233"/>
      <w:bookmarkStart w:id="3785" w:name="_Toc8909696"/>
      <w:bookmarkStart w:id="3786" w:name="_Toc8910908"/>
      <w:bookmarkStart w:id="3787" w:name="_Toc8911945"/>
      <w:bookmarkStart w:id="3788" w:name="_Toc8974766"/>
      <w:bookmarkStart w:id="3789" w:name="_Toc9008419"/>
      <w:bookmarkStart w:id="3790" w:name="_Toc9008822"/>
      <w:bookmarkStart w:id="3791" w:name="_Toc9348818"/>
      <w:bookmarkStart w:id="3792" w:name="_Toc9608269"/>
      <w:bookmarkStart w:id="3793" w:name="_Toc16000827"/>
      <w:r>
        <w:t>2.3 Trade in Services and Foreign Direct investment (FDIs)</w:t>
      </w:r>
      <w:bookmarkEnd w:id="3782"/>
      <w:bookmarkEnd w:id="3783"/>
      <w:bookmarkEnd w:id="3784"/>
      <w:bookmarkEnd w:id="3785"/>
      <w:bookmarkEnd w:id="3786"/>
      <w:bookmarkEnd w:id="3787"/>
      <w:bookmarkEnd w:id="3788"/>
      <w:bookmarkEnd w:id="3789"/>
      <w:bookmarkEnd w:id="3790"/>
      <w:bookmarkEnd w:id="3791"/>
      <w:bookmarkEnd w:id="3792"/>
      <w:bookmarkEnd w:id="3793"/>
    </w:p>
    <w:p>
      <w:pPr>
        <w:jc w:val="both"/>
        <w:rPr>
          <w:noProof/>
          <w:lang w:eastAsia="en-GB"/>
        </w:rPr>
      </w:pPr>
      <w:r>
        <w:rPr>
          <w:noProof/>
          <w:lang w:eastAsia="en-GB"/>
        </w:rPr>
        <w:t>With approximately €44 billion of services exchanges between the parties in 2017 (€16 billion of services imported and €29 billion exported), Norway and the EU are very important trading partners when it comes to services. Norway is in fact the 6</w:t>
      </w:r>
      <w:r>
        <w:rPr>
          <w:noProof/>
          <w:vertAlign w:val="superscript"/>
          <w:lang w:eastAsia="en-GB"/>
        </w:rPr>
        <w:t>th</w:t>
      </w:r>
      <w:r>
        <w:rPr>
          <w:noProof/>
          <w:lang w:eastAsia="en-GB"/>
        </w:rPr>
        <w:t xml:space="preserve"> trading partner of the EU for services. The balance for trade in services between Norway and the EU is positive for the EU – and rather stable over the last years.</w:t>
      </w:r>
    </w:p>
    <w:p>
      <w:pPr>
        <w:jc w:val="both"/>
        <w:rPr>
          <w:noProof/>
          <w:lang w:eastAsia="en-GB"/>
        </w:rPr>
      </w:pPr>
    </w:p>
    <w:p>
      <w:pPr>
        <w:jc w:val="both"/>
        <w:rPr>
          <w:noProof/>
          <w:lang w:eastAsia="en-GB"/>
        </w:rPr>
      </w:pPr>
      <w:r>
        <w:rPr>
          <w:noProof/>
          <w:lang w:eastAsia="en-GB"/>
        </w:rPr>
        <w:t>FDI between the EU and Norway are at a high level – and rather balanced - on both sides: Norwegian FDI stock in the EU in 2017 represents €94 billion while EU investment in Norway is worth €90 billion.</w:t>
      </w:r>
    </w:p>
    <w:p>
      <w:pPr>
        <w:pStyle w:val="ManualHeading1"/>
      </w:pPr>
      <w:bookmarkStart w:id="3794" w:name="_Toc8833777"/>
      <w:bookmarkStart w:id="3795" w:name="_Toc8835604"/>
      <w:bookmarkStart w:id="3796" w:name="_Toc8834234"/>
      <w:bookmarkStart w:id="3797" w:name="_Toc8909697"/>
      <w:bookmarkStart w:id="3798" w:name="_Toc8910909"/>
      <w:bookmarkStart w:id="3799" w:name="_Toc8911946"/>
      <w:bookmarkStart w:id="3800" w:name="_Toc8974767"/>
      <w:bookmarkStart w:id="3801" w:name="_Toc9008420"/>
      <w:bookmarkStart w:id="3802" w:name="_Toc9008823"/>
      <w:bookmarkStart w:id="3803" w:name="_Toc9348819"/>
      <w:bookmarkStart w:id="3804" w:name="_Toc9608270"/>
      <w:bookmarkStart w:id="3805" w:name="_Toc16000828"/>
      <w:r>
        <w:t>3.</w:t>
      </w:r>
      <w:r>
        <w:tab/>
        <w:t>Issues addressed in the EEA and FTA Joint committees</w:t>
      </w:r>
      <w:bookmarkEnd w:id="3794"/>
      <w:bookmarkEnd w:id="3795"/>
      <w:bookmarkEnd w:id="3796"/>
      <w:bookmarkEnd w:id="3797"/>
      <w:bookmarkEnd w:id="3798"/>
      <w:bookmarkEnd w:id="3799"/>
      <w:bookmarkEnd w:id="3800"/>
      <w:bookmarkEnd w:id="3801"/>
      <w:bookmarkEnd w:id="3802"/>
      <w:bookmarkEnd w:id="3803"/>
      <w:bookmarkEnd w:id="3804"/>
      <w:bookmarkEnd w:id="3805"/>
    </w:p>
    <w:p>
      <w:pPr>
        <w:autoSpaceDE w:val="0"/>
        <w:autoSpaceDN w:val="0"/>
        <w:adjustRightInd w:val="0"/>
        <w:spacing w:after="120"/>
        <w:jc w:val="both"/>
        <w:rPr>
          <w:noProof/>
        </w:rPr>
      </w:pPr>
      <w:r>
        <w:rPr>
          <w:noProof/>
        </w:rPr>
        <w:t>In practice, since the signing of the EEA agreement, the bilateral FTA has been less active and no FTA Joint Committee meetings have been called in the last years. Joint committee decisions, often of technical nature and limited in number, are taken by written procedure. Bilateral trade issues such as trade irritants are discussed on a case-by-case basis, at technical and political level.</w:t>
      </w:r>
    </w:p>
    <w:p>
      <w:pPr>
        <w:autoSpaceDE w:val="0"/>
        <w:autoSpaceDN w:val="0"/>
        <w:adjustRightInd w:val="0"/>
        <w:spacing w:after="120"/>
        <w:jc w:val="both"/>
        <w:rPr>
          <w:noProof/>
        </w:rPr>
      </w:pPr>
      <w:r>
        <w:rPr>
          <w:noProof/>
          <w:lang w:val="en"/>
        </w:rPr>
        <w:t xml:space="preserve">The EEA </w:t>
      </w:r>
      <w:r>
        <w:rPr>
          <w:noProof/>
        </w:rPr>
        <w:t>Joint Committee, where the European External Action Service represents the EU side, meets six to eight times per year</w:t>
      </w:r>
      <w:r>
        <w:rPr>
          <w:rStyle w:val="FootnoteReference"/>
          <w:noProof/>
        </w:rPr>
        <w:footnoteReference w:id="88"/>
      </w:r>
      <w:r>
        <w:rPr>
          <w:noProof/>
        </w:rPr>
        <w:t>. Four subcommittees assist the Joint Committee</w:t>
      </w:r>
      <w:r>
        <w:rPr>
          <w:rStyle w:val="FootnoteReference"/>
          <w:noProof/>
        </w:rPr>
        <w:footnoteReference w:id="89"/>
      </w:r>
      <w:r>
        <w:rPr>
          <w:noProof/>
        </w:rPr>
        <w:t xml:space="preserve">. They mainly deal with the incorporation of the EU acquis into the legal system of Norway. </w:t>
      </w:r>
    </w:p>
    <w:p>
      <w:pPr>
        <w:autoSpaceDE w:val="0"/>
        <w:autoSpaceDN w:val="0"/>
        <w:adjustRightInd w:val="0"/>
        <w:spacing w:after="120"/>
        <w:jc w:val="both"/>
        <w:rPr>
          <w:noProof/>
        </w:rPr>
      </w:pPr>
      <w:r>
        <w:rPr>
          <w:noProof/>
        </w:rPr>
        <w:t>The EEA Council meets twice a year to discuss at political level a series of issues related to the EEA agreement.</w:t>
      </w:r>
    </w:p>
    <w:p>
      <w:pPr>
        <w:autoSpaceDE w:val="0"/>
        <w:autoSpaceDN w:val="0"/>
        <w:adjustRightInd w:val="0"/>
        <w:spacing w:after="120"/>
        <w:jc w:val="both"/>
        <w:rPr>
          <w:noProof/>
          <w:lang w:val="en"/>
        </w:rPr>
      </w:pPr>
      <w:r>
        <w:rPr>
          <w:noProof/>
          <w:lang w:val="en"/>
        </w:rPr>
        <w:t>At the occasion of the 25</w:t>
      </w:r>
      <w:r>
        <w:rPr>
          <w:noProof/>
          <w:vertAlign w:val="superscript"/>
          <w:lang w:val="en"/>
        </w:rPr>
        <w:t>th</w:t>
      </w:r>
      <w:r>
        <w:rPr>
          <w:noProof/>
          <w:lang w:val="en"/>
        </w:rPr>
        <w:t xml:space="preserve"> anniversary of the entry into force of the EEA agreement o</w:t>
      </w:r>
      <w:r>
        <w:rPr>
          <w:noProof/>
        </w:rPr>
        <w:t xml:space="preserve">n 1 January 2019, </w:t>
      </w:r>
      <w:r>
        <w:rPr>
          <w:noProof/>
          <w:lang w:val="en"/>
        </w:rPr>
        <w:t xml:space="preserve">the EEA Council </w:t>
      </w:r>
      <w:r>
        <w:rPr>
          <w:noProof/>
        </w:rPr>
        <w:t>confirmed its “support for the EEA agreement as the continued basis for future relations between the EU and EEA EFTA States”.</w:t>
      </w:r>
    </w:p>
    <w:p>
      <w:pPr>
        <w:autoSpaceDE w:val="0"/>
        <w:autoSpaceDN w:val="0"/>
        <w:adjustRightInd w:val="0"/>
        <w:spacing w:after="120"/>
        <w:jc w:val="both"/>
        <w:rPr>
          <w:noProof/>
        </w:rPr>
      </w:pPr>
      <w:r>
        <w:rPr>
          <w:noProof/>
          <w:lang w:val="en"/>
        </w:rPr>
        <w:t>On a more specific and trade-related issue, the EEA Council “acknowledged the importance of predictable trade conditions for economic operators within the EEA. In this regard, the EEA Council welcomed the exemption of Iceland, Liechtenstein and Norway from the EU’s provisional safeguard measures concerning imports of a number of steel products, which came into effect on 19 July 2018”</w:t>
      </w:r>
      <w:r>
        <w:rPr>
          <w:rStyle w:val="FootnoteReference"/>
          <w:noProof/>
          <w:lang w:val="en"/>
        </w:rPr>
        <w:footnoteReference w:id="90"/>
      </w:r>
      <w:r>
        <w:rPr>
          <w:noProof/>
          <w:lang w:val="en"/>
        </w:rPr>
        <w:t>.</w:t>
      </w:r>
    </w:p>
    <w:p>
      <w:pPr>
        <w:pStyle w:val="ManualHeading1"/>
      </w:pPr>
      <w:bookmarkStart w:id="3806" w:name="_Toc8833778"/>
      <w:bookmarkStart w:id="3807" w:name="_Toc8835605"/>
      <w:bookmarkStart w:id="3808" w:name="_Toc8834235"/>
      <w:bookmarkStart w:id="3809" w:name="_Toc8909698"/>
      <w:bookmarkStart w:id="3810" w:name="_Toc8910910"/>
      <w:bookmarkStart w:id="3811" w:name="_Toc8911947"/>
      <w:bookmarkStart w:id="3812" w:name="_Toc8974768"/>
      <w:bookmarkStart w:id="3813" w:name="_Toc9008421"/>
      <w:bookmarkStart w:id="3814" w:name="_Toc9008824"/>
      <w:bookmarkStart w:id="3815" w:name="_Toc9348820"/>
      <w:bookmarkStart w:id="3816" w:name="_Toc9608271"/>
      <w:bookmarkStart w:id="3817" w:name="_Toc16000829"/>
      <w:r>
        <w:t>4.</w:t>
      </w:r>
      <w:r>
        <w:tab/>
        <w:t>Specific areas of importance</w:t>
      </w:r>
      <w:bookmarkEnd w:id="3806"/>
      <w:bookmarkEnd w:id="3807"/>
      <w:bookmarkEnd w:id="3808"/>
      <w:bookmarkEnd w:id="3809"/>
      <w:bookmarkEnd w:id="3810"/>
      <w:bookmarkEnd w:id="3811"/>
      <w:bookmarkEnd w:id="3812"/>
      <w:bookmarkEnd w:id="3813"/>
      <w:bookmarkEnd w:id="3814"/>
      <w:bookmarkEnd w:id="3815"/>
      <w:bookmarkEnd w:id="3816"/>
      <w:bookmarkEnd w:id="3817"/>
    </w:p>
    <w:p>
      <w:pPr>
        <w:autoSpaceDE w:val="0"/>
        <w:autoSpaceDN w:val="0"/>
        <w:adjustRightInd w:val="0"/>
        <w:spacing w:after="120"/>
        <w:jc w:val="both"/>
        <w:rPr>
          <w:bCs/>
          <w:noProof/>
        </w:rPr>
      </w:pPr>
      <w:r>
        <w:rPr>
          <w:noProof/>
        </w:rPr>
        <w:t xml:space="preserve">The integration in the Internal Market via the EEA agreement is a main achievement of EU-Norway relation and the main driver of the bilateral trade relations. Norwegian companies participate in the Single Market almost under the same conditions as Member States, and vice-versa. The same rules apply to ensure a level-playing field, such as technical requirements of certain products or competition rules. EU Internal Market rules are dynamically integrated into Norwegian law through the EEA agreement. This creates a stable and predictable environment. Norway has a say in the EEA decision-shaping process, albeit without a vote on the final decision. A relatively high number of legal acts pending incorporation into the EEA Agreement has created the so-called </w:t>
      </w:r>
      <w:r>
        <w:rPr>
          <w:b/>
          <w:bCs/>
          <w:noProof/>
        </w:rPr>
        <w:t>"</w:t>
      </w:r>
      <w:r>
        <w:rPr>
          <w:noProof/>
        </w:rPr>
        <w:t xml:space="preserve">backlog" in this dynamic approximation. A joint effort of both the EU and the EEA EFTA States resulted in historical reduction of the backlog by 234 acts in March 2019, especially in the area of financial services, where the backlog was particularly high. </w:t>
      </w:r>
    </w:p>
    <w:p>
      <w:pPr>
        <w:autoSpaceDE w:val="0"/>
        <w:autoSpaceDN w:val="0"/>
        <w:adjustRightInd w:val="0"/>
        <w:spacing w:after="120"/>
        <w:jc w:val="both"/>
        <w:rPr>
          <w:bCs/>
          <w:noProof/>
        </w:rPr>
      </w:pPr>
      <w:r>
        <w:rPr>
          <w:noProof/>
        </w:rPr>
        <w:t xml:space="preserve">As </w:t>
      </w:r>
      <w:r>
        <w:rPr>
          <w:noProof/>
          <w:lang w:val="en-US"/>
        </w:rPr>
        <w:t xml:space="preserve">Norway is not part of the EU Customs Union neither linked with the EU by a customs union, </w:t>
      </w:r>
      <w:r>
        <w:rPr>
          <w:noProof/>
        </w:rPr>
        <w:t xml:space="preserve">customs procedures apply to goods exchanged between EU Member States and Norway. Norway is free to negotiate its own trade agreements and is not bound by the European Common Customs Tariff. If goods originating in third countries are imported in Norway before being re-exported to the EU, the customs procedure in place between Norway and the EU will ensure that the duties applicable to the end-destination are being levied. </w:t>
      </w:r>
    </w:p>
    <w:p>
      <w:pPr>
        <w:pStyle w:val="ManualHeading1"/>
      </w:pPr>
      <w:bookmarkStart w:id="3818" w:name="_Toc8833779"/>
      <w:bookmarkStart w:id="3819" w:name="_Toc8835606"/>
      <w:bookmarkStart w:id="3820" w:name="_Toc8834236"/>
      <w:bookmarkStart w:id="3821" w:name="_Toc8909699"/>
      <w:bookmarkStart w:id="3822" w:name="_Toc8910911"/>
      <w:bookmarkStart w:id="3823" w:name="_Toc8911948"/>
      <w:bookmarkStart w:id="3824" w:name="_Toc8974769"/>
      <w:bookmarkStart w:id="3825" w:name="_Toc9008422"/>
      <w:bookmarkStart w:id="3826" w:name="_Toc9008825"/>
      <w:bookmarkStart w:id="3827" w:name="_Toc9348821"/>
      <w:bookmarkStart w:id="3828" w:name="_Toc9608272"/>
      <w:bookmarkStart w:id="3829" w:name="_Toc16000830"/>
      <w:r>
        <w:t>5.</w:t>
      </w:r>
      <w:r>
        <w:tab/>
        <w:t>Progress made, main open issues and follow-up actions</w:t>
      </w:r>
      <w:bookmarkEnd w:id="3818"/>
      <w:bookmarkEnd w:id="3819"/>
      <w:bookmarkEnd w:id="3820"/>
      <w:bookmarkEnd w:id="3821"/>
      <w:bookmarkEnd w:id="3822"/>
      <w:bookmarkEnd w:id="3823"/>
      <w:bookmarkEnd w:id="3824"/>
      <w:bookmarkEnd w:id="3825"/>
      <w:bookmarkEnd w:id="3826"/>
      <w:bookmarkEnd w:id="3827"/>
      <w:bookmarkEnd w:id="3828"/>
      <w:bookmarkEnd w:id="3829"/>
    </w:p>
    <w:p>
      <w:pPr>
        <w:autoSpaceDE w:val="0"/>
        <w:autoSpaceDN w:val="0"/>
        <w:adjustRightInd w:val="0"/>
        <w:spacing w:after="120"/>
        <w:jc w:val="both"/>
        <w:rPr>
          <w:b/>
          <w:bCs/>
          <w:i/>
          <w:iCs/>
          <w:noProof/>
        </w:rPr>
      </w:pPr>
      <w:r>
        <w:rPr>
          <w:b/>
          <w:bCs/>
          <w:i/>
          <w:iCs/>
          <w:noProof/>
        </w:rPr>
        <w:t>Processed agricultural products</w:t>
      </w:r>
    </w:p>
    <w:p>
      <w:pPr>
        <w:autoSpaceDE w:val="0"/>
        <w:autoSpaceDN w:val="0"/>
        <w:adjustRightInd w:val="0"/>
        <w:spacing w:after="120"/>
        <w:jc w:val="both"/>
        <w:rPr>
          <w:bCs/>
          <w:noProof/>
        </w:rPr>
      </w:pPr>
      <w:r>
        <w:rPr>
          <w:noProof/>
        </w:rPr>
        <w:t>Trade in processed agricultural products is regulated by Protocol 3 to the EEA agreement and to a certain extent by Protocol 2 to the FTA</w:t>
      </w:r>
      <w:r>
        <w:rPr>
          <w:rStyle w:val="FootnoteReference"/>
          <w:noProof/>
        </w:rPr>
        <w:footnoteReference w:id="91"/>
      </w:r>
      <w:r>
        <w:rPr>
          <w:noProof/>
        </w:rPr>
        <w:t xml:space="preserve">. Protocol 3 of the EEA foresees the possibility to levy customs duties based on the cost of the basic agricultural products in the EU and in Norway. In practice, EU exports of processed agricultural products are hindered by high customs tariffs and this has been a long-standing trade barrier. </w:t>
      </w:r>
    </w:p>
    <w:p>
      <w:pPr>
        <w:autoSpaceDE w:val="0"/>
        <w:autoSpaceDN w:val="0"/>
        <w:adjustRightInd w:val="0"/>
        <w:spacing w:after="120"/>
        <w:jc w:val="both"/>
        <w:rPr>
          <w:bCs/>
          <w:noProof/>
        </w:rPr>
      </w:pPr>
      <w:r>
        <w:rPr>
          <w:noProof/>
          <w:lang w:val="en"/>
        </w:rPr>
        <w:t>In 2018, the EEA Council encouraged EEA members to continue the dialogue on the review of the trade regime for processed agricultural products within the framework of Article 2(2) and Article 6 of Protocol 3 to the EEA Agreement, in order to further promote trade in this area</w:t>
      </w:r>
      <w:r>
        <w:rPr>
          <w:rStyle w:val="FootnoteReference"/>
          <w:noProof/>
          <w:lang w:val="en"/>
        </w:rPr>
        <w:footnoteReference w:id="92"/>
      </w:r>
      <w:r>
        <w:rPr>
          <w:noProof/>
          <w:lang w:val="en"/>
        </w:rPr>
        <w:t>. T</w:t>
      </w:r>
      <w:r>
        <w:rPr>
          <w:noProof/>
        </w:rPr>
        <w:t>he EU expects the discussions with Norway, stalled in 2014, to resume.</w:t>
      </w:r>
    </w:p>
    <w:p>
      <w:pPr>
        <w:keepNext/>
        <w:keepLines/>
        <w:autoSpaceDE w:val="0"/>
        <w:autoSpaceDN w:val="0"/>
        <w:adjustRightInd w:val="0"/>
        <w:spacing w:after="120"/>
        <w:jc w:val="both"/>
        <w:rPr>
          <w:i/>
          <w:iCs/>
          <w:noProof/>
        </w:rPr>
      </w:pPr>
      <w:r>
        <w:rPr>
          <w:b/>
          <w:bCs/>
          <w:i/>
          <w:iCs/>
          <w:noProof/>
        </w:rPr>
        <w:t>Geographical Indications</w:t>
      </w:r>
    </w:p>
    <w:p>
      <w:pPr>
        <w:keepNext/>
        <w:keepLines/>
        <w:autoSpaceDE w:val="0"/>
        <w:autoSpaceDN w:val="0"/>
        <w:adjustRightInd w:val="0"/>
        <w:spacing w:after="120"/>
        <w:jc w:val="both"/>
        <w:rPr>
          <w:bCs/>
          <w:noProof/>
        </w:rPr>
      </w:pPr>
      <w:r>
        <w:rPr>
          <w:noProof/>
        </w:rPr>
        <w:t>The EU-Norway committed themselves to encourage trade in agricultural products with Geographical Indications (GIs). The GIs negotiations were launched in 2013 and suspended at the request of the Norwegian side in April 2016. The Council of the European Union in its Conclusions of December 2018 calls on Norway to “resume the negotiations on the protection of geographical indications, which is an important element of international trade in agricultural products and foodstuffs</w:t>
      </w:r>
      <w:r>
        <w:rPr>
          <w:rStyle w:val="FootnoteReference"/>
          <w:noProof/>
          <w:lang w:val="en"/>
        </w:rPr>
        <w:footnoteReference w:id="93"/>
      </w:r>
      <w:r>
        <w:rPr>
          <w:noProof/>
        </w:rPr>
        <w:t>”. The EU is ready to resume these negotiations.</w:t>
      </w:r>
    </w:p>
    <w:p>
      <w:pPr>
        <w:autoSpaceDE w:val="0"/>
        <w:autoSpaceDN w:val="0"/>
        <w:adjustRightInd w:val="0"/>
        <w:spacing w:after="120"/>
        <w:jc w:val="both"/>
        <w:rPr>
          <w:b/>
          <w:bCs/>
          <w:i/>
          <w:iCs/>
          <w:noProof/>
        </w:rPr>
      </w:pPr>
      <w:r>
        <w:rPr>
          <w:b/>
          <w:bCs/>
          <w:i/>
          <w:iCs/>
          <w:noProof/>
        </w:rPr>
        <w:t xml:space="preserve">Trade irritants </w:t>
      </w:r>
    </w:p>
    <w:p>
      <w:pPr>
        <w:autoSpaceDE w:val="0"/>
        <w:autoSpaceDN w:val="0"/>
        <w:adjustRightInd w:val="0"/>
        <w:spacing w:after="120"/>
        <w:jc w:val="both"/>
        <w:rPr>
          <w:bCs/>
          <w:noProof/>
        </w:rPr>
      </w:pPr>
      <w:r>
        <w:rPr>
          <w:noProof/>
        </w:rPr>
        <w:t>A recurring trade irritant since 2012 was linked to the reclassification and tariff switch by the Norwegian Customs Authorities of several agricultural products under different HS tariffs codes. These issues were successfully addressed in the framework of the latest Article 19 agreement between the EU and Norway, which entered into force in October 2018 as mentioned above.</w:t>
      </w:r>
    </w:p>
    <w:p>
      <w:pPr>
        <w:pStyle w:val="ManualHeading1"/>
      </w:pPr>
      <w:bookmarkStart w:id="3830" w:name="_Toc8833781"/>
      <w:bookmarkStart w:id="3831" w:name="_Toc8835608"/>
      <w:bookmarkStart w:id="3832" w:name="_Toc8834238"/>
      <w:bookmarkStart w:id="3833" w:name="_Toc8909700"/>
      <w:bookmarkStart w:id="3834" w:name="_Toc8910912"/>
      <w:bookmarkStart w:id="3835" w:name="_Toc8911949"/>
      <w:bookmarkStart w:id="3836" w:name="_Toc8974770"/>
      <w:bookmarkStart w:id="3837" w:name="_Toc9008423"/>
      <w:bookmarkStart w:id="3838" w:name="_Toc9008826"/>
      <w:bookmarkStart w:id="3839" w:name="_Toc9348822"/>
      <w:bookmarkStart w:id="3840" w:name="_Toc9608273"/>
      <w:bookmarkStart w:id="3841" w:name="_Toc16000831"/>
      <w:r>
        <w:t>6.</w:t>
      </w:r>
      <w:r>
        <w:tab/>
        <w:t>Conclusions and outlook</w:t>
      </w:r>
      <w:bookmarkEnd w:id="3830"/>
      <w:bookmarkEnd w:id="3831"/>
      <w:bookmarkEnd w:id="3832"/>
      <w:bookmarkEnd w:id="3833"/>
      <w:bookmarkEnd w:id="3834"/>
      <w:bookmarkEnd w:id="3835"/>
      <w:bookmarkEnd w:id="3836"/>
      <w:bookmarkEnd w:id="3837"/>
      <w:bookmarkEnd w:id="3838"/>
      <w:bookmarkEnd w:id="3839"/>
      <w:bookmarkEnd w:id="3840"/>
      <w:bookmarkEnd w:id="3841"/>
    </w:p>
    <w:p>
      <w:pPr>
        <w:spacing w:after="120"/>
        <w:jc w:val="both"/>
        <w:rPr>
          <w:noProof/>
        </w:rPr>
      </w:pPr>
      <w:r>
        <w:rPr>
          <w:noProof/>
        </w:rPr>
        <w:t>Politically, Norway and the EU are close allies. Norway notably actively aligns itself with EU foreign policy instruments, including the EU's sanction policy towards Russia, and is also subject to the Russian agricultural ban. In multilateral trade fora, notably the WTO, the EU and Norway very often defend the same position.</w:t>
      </w:r>
    </w:p>
    <w:p>
      <w:pPr>
        <w:spacing w:after="120"/>
        <w:jc w:val="both"/>
        <w:rPr>
          <w:noProof/>
        </w:rPr>
      </w:pPr>
      <w:r>
        <w:rPr>
          <w:noProof/>
        </w:rPr>
        <w:t xml:space="preserve">Institutionally, through the EEA agreement, Norway is as closely linked to the Internal Market as a third country can be. There is however room for further strengthening trade in basic and processed agricultural products, where the EU hopes to see progress in the coming months. </w:t>
      </w:r>
    </w:p>
    <w:p>
      <w:pPr>
        <w:pStyle w:val="ManualHeading1"/>
      </w:pPr>
      <w:bookmarkStart w:id="3842" w:name="_Toc8833780"/>
      <w:bookmarkStart w:id="3843" w:name="_Toc8835607"/>
      <w:bookmarkStart w:id="3844" w:name="_Toc8834237"/>
      <w:bookmarkStart w:id="3845" w:name="_Toc8909701"/>
      <w:bookmarkStart w:id="3846" w:name="_Toc8910913"/>
      <w:bookmarkStart w:id="3847" w:name="_Toc8911950"/>
      <w:bookmarkStart w:id="3848" w:name="_Toc8974771"/>
      <w:bookmarkStart w:id="3849" w:name="_Toc9008424"/>
      <w:bookmarkStart w:id="3850" w:name="_Toc9008827"/>
      <w:bookmarkStart w:id="3851" w:name="_Toc9348823"/>
      <w:bookmarkStart w:id="3852" w:name="_Toc9608274"/>
      <w:bookmarkStart w:id="3853" w:name="_Toc16000832"/>
      <w:r>
        <w:t>7.</w:t>
      </w:r>
      <w:r>
        <w:tab/>
        <w:t>Statistics</w:t>
      </w:r>
      <w:bookmarkEnd w:id="3842"/>
      <w:bookmarkEnd w:id="3843"/>
      <w:bookmarkEnd w:id="3844"/>
      <w:bookmarkEnd w:id="3845"/>
      <w:bookmarkEnd w:id="3846"/>
      <w:bookmarkEnd w:id="3847"/>
      <w:bookmarkEnd w:id="3848"/>
      <w:bookmarkEnd w:id="3849"/>
      <w:bookmarkEnd w:id="3850"/>
      <w:bookmarkEnd w:id="3851"/>
      <w:bookmarkEnd w:id="3852"/>
      <w:bookmarkEnd w:id="3853"/>
    </w:p>
    <w:tbl>
      <w:tblPr>
        <w:tblW w:w="8001" w:type="dxa"/>
        <w:tblInd w:w="108" w:type="dxa"/>
        <w:tblLook w:val="04A0" w:firstRow="1" w:lastRow="0" w:firstColumn="1" w:lastColumn="0" w:noHBand="0" w:noVBand="1"/>
      </w:tblPr>
      <w:tblGrid>
        <w:gridCol w:w="3641"/>
        <w:gridCol w:w="856"/>
        <w:gridCol w:w="856"/>
        <w:gridCol w:w="936"/>
        <w:gridCol w:w="856"/>
        <w:gridCol w:w="856"/>
      </w:tblGrid>
      <w:tr>
        <w:trPr>
          <w:trHeight w:val="210"/>
        </w:trPr>
        <w:tc>
          <w:tcPr>
            <w:tcW w:w="3641"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93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10"/>
        </w:trPr>
        <w:tc>
          <w:tcPr>
            <w:tcW w:w="8001"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Merchandise trade EU28 2014-2018</w:t>
            </w:r>
          </w:p>
        </w:tc>
      </w:tr>
      <w:tr>
        <w:trPr>
          <w:trHeight w:val="210"/>
        </w:trPr>
        <w:tc>
          <w:tcPr>
            <w:tcW w:w="3641" w:type="dxa"/>
            <w:tcBorders>
              <w:top w:val="single" w:sz="4" w:space="0" w:color="auto"/>
              <w:left w:val="nil"/>
              <w:bottom w:val="single" w:sz="4" w:space="0" w:color="auto"/>
              <w:right w:val="nil"/>
            </w:tcBorders>
            <w:shd w:val="clear" w:color="000000" w:fill="FFFFFF"/>
            <w:noWrap/>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 </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93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r>
      <w:tr>
        <w:trPr>
          <w:trHeight w:val="210"/>
        </w:trPr>
        <w:tc>
          <w:tcPr>
            <w:tcW w:w="3641" w:type="dxa"/>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EU28 trade with Norway (mio €)</w:t>
            </w:r>
          </w:p>
        </w:tc>
        <w:tc>
          <w:tcPr>
            <w:tcW w:w="856"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n-IE" w:eastAsia="en-IE"/>
              </w:rPr>
            </w:pP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93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r>
      <w:tr>
        <w:trPr>
          <w:trHeight w:val="210"/>
        </w:trPr>
        <w:tc>
          <w:tcPr>
            <w:tcW w:w="364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85.107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74.156</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63.336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73.757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83.837</w:t>
            </w:r>
          </w:p>
        </w:tc>
      </w:tr>
      <w:tr>
        <w:trPr>
          <w:trHeight w:val="210"/>
        </w:trPr>
        <w:tc>
          <w:tcPr>
            <w:tcW w:w="364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50.199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48.782</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48.322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50.659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53.867</w:t>
            </w:r>
          </w:p>
        </w:tc>
      </w:tr>
      <w:tr>
        <w:trPr>
          <w:trHeight w:val="210"/>
        </w:trPr>
        <w:tc>
          <w:tcPr>
            <w:tcW w:w="364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-34.908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-25.374</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-15.014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-23.099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-29.970</w:t>
            </w:r>
          </w:p>
        </w:tc>
      </w:tr>
      <w:tr>
        <w:trPr>
          <w:trHeight w:val="210"/>
        </w:trPr>
        <w:tc>
          <w:tcPr>
            <w:tcW w:w="3641" w:type="dxa"/>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Share Norway in EU28 trade with Extra-EU28</w:t>
            </w:r>
          </w:p>
        </w:tc>
        <w:tc>
          <w:tcPr>
            <w:tcW w:w="856"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n-IE" w:eastAsia="en-IE"/>
              </w:rPr>
            </w:pP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93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r>
      <w:tr>
        <w:trPr>
          <w:trHeight w:val="210"/>
        </w:trPr>
        <w:tc>
          <w:tcPr>
            <w:tcW w:w="364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4,3%</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4,2%</w:t>
            </w:r>
          </w:p>
        </w:tc>
      </w:tr>
      <w:tr>
        <w:trPr>
          <w:trHeight w:val="210"/>
        </w:trPr>
        <w:tc>
          <w:tcPr>
            <w:tcW w:w="364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2,8%</w:t>
            </w:r>
          </w:p>
        </w:tc>
      </w:tr>
      <w:tr>
        <w:trPr>
          <w:trHeight w:val="210"/>
        </w:trPr>
        <w:tc>
          <w:tcPr>
            <w:tcW w:w="364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3,5%</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3,5%</w:t>
            </w:r>
          </w:p>
        </w:tc>
      </w:tr>
      <w:tr>
        <w:trPr>
          <w:trHeight w:val="210"/>
        </w:trPr>
        <w:tc>
          <w:tcPr>
            <w:tcW w:w="8001"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Share EU28 in trade Norway with world</w:t>
            </w:r>
          </w:p>
        </w:tc>
      </w:tr>
      <w:tr>
        <w:trPr>
          <w:trHeight w:val="210"/>
        </w:trPr>
        <w:tc>
          <w:tcPr>
            <w:tcW w:w="364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64,9%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63,6%</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63,5%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61,4%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63,6%</w:t>
            </w:r>
          </w:p>
        </w:tc>
      </w:tr>
      <w:tr>
        <w:trPr>
          <w:trHeight w:val="210"/>
        </w:trPr>
        <w:tc>
          <w:tcPr>
            <w:tcW w:w="364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83,0%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81,0%</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79,1%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80,9%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81,8%</w:t>
            </w:r>
          </w:p>
        </w:tc>
      </w:tr>
      <w:tr>
        <w:trPr>
          <w:trHeight w:val="210"/>
        </w:trPr>
        <w:tc>
          <w:tcPr>
            <w:tcW w:w="364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76,1%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73,8%</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72,1%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72,3%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74,2%</w:t>
            </w:r>
          </w:p>
        </w:tc>
      </w:tr>
      <w:tr>
        <w:trPr>
          <w:trHeight w:val="225"/>
        </w:trPr>
        <w:tc>
          <w:tcPr>
            <w:tcW w:w="5353" w:type="dxa"/>
            <w:gridSpan w:val="3"/>
            <w:tcBorders>
              <w:top w:val="single" w:sz="4" w:space="0" w:color="auto"/>
              <w:left w:val="nil"/>
              <w:bottom w:val="nil"/>
              <w:right w:val="nil"/>
            </w:tcBorders>
            <w:shd w:val="clear" w:color="000000" w:fill="FFFFFF"/>
            <w:noWrap/>
            <w:vAlign w:val="bottom"/>
            <w:hideMark/>
          </w:tcPr>
          <w:p>
            <w:pPr>
              <w:rPr>
                <w:rFonts w:eastAsia="Times New Roman"/>
                <w:noProof/>
                <w:sz w:val="12"/>
                <w:szCs w:val="12"/>
                <w:lang w:val="en-IE" w:eastAsia="en-IE"/>
              </w:rPr>
            </w:pPr>
            <w:r>
              <w:rPr>
                <w:rFonts w:eastAsia="Times New Roman"/>
                <w:noProof/>
                <w:sz w:val="12"/>
                <w:szCs w:val="12"/>
                <w:lang w:val="en-IE" w:eastAsia="en-IE"/>
              </w:rPr>
              <w:t xml:space="preserve">Source Trade G2 Statistics/ISDB </w:t>
            </w:r>
          </w:p>
        </w:tc>
        <w:tc>
          <w:tcPr>
            <w:tcW w:w="936"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single" w:sz="4" w:space="0" w:color="auto"/>
              <w:left w:val="nil"/>
              <w:bottom w:val="nil"/>
              <w:right w:val="nil"/>
            </w:tcBorders>
            <w:shd w:val="clear" w:color="000000" w:fill="FFFFFF"/>
            <w:noWrap/>
            <w:hideMark/>
          </w:tcPr>
          <w:p>
            <w:pPr>
              <w:jc w:val="right"/>
              <w:rPr>
                <w:rFonts w:eastAsia="Times New Roman"/>
                <w:noProof/>
                <w:sz w:val="12"/>
                <w:szCs w:val="12"/>
                <w:lang w:val="en-IE" w:eastAsia="en-IE"/>
              </w:rPr>
            </w:pPr>
            <w:r>
              <w:rPr>
                <w:rFonts w:eastAsia="Times New Roman"/>
                <w:noProof/>
                <w:sz w:val="12"/>
                <w:szCs w:val="12"/>
                <w:lang w:val="en-IE" w:eastAsia="en-IE"/>
              </w:rPr>
              <w:t>25-mars-19</w:t>
            </w:r>
          </w:p>
        </w:tc>
      </w:tr>
      <w:tr>
        <w:trPr>
          <w:trHeight w:val="210"/>
        </w:trPr>
        <w:tc>
          <w:tcPr>
            <w:tcW w:w="6289" w:type="dxa"/>
            <w:gridSpan w:val="4"/>
            <w:tcBorders>
              <w:top w:val="nil"/>
              <w:left w:val="nil"/>
              <w:bottom w:val="nil"/>
              <w:right w:val="nil"/>
            </w:tcBorders>
            <w:shd w:val="clear" w:color="000000" w:fill="FFFFFF"/>
            <w:noWrap/>
            <w:hideMark/>
          </w:tcPr>
          <w:p>
            <w:pPr>
              <w:rPr>
                <w:rFonts w:eastAsia="Times New Roman"/>
                <w:noProof/>
                <w:color w:val="000000"/>
                <w:sz w:val="12"/>
                <w:szCs w:val="12"/>
                <w:lang w:val="en-IE" w:eastAsia="en-IE"/>
              </w:rPr>
            </w:pPr>
            <w:r>
              <w:rPr>
                <w:rFonts w:eastAsia="Times New Roman"/>
                <w:noProof/>
                <w:color w:val="000000"/>
                <w:sz w:val="12"/>
                <w:szCs w:val="12"/>
                <w:lang w:val="en-IE" w:eastAsia="en-IE"/>
              </w:rPr>
              <w:t>Trade EU28: Eurostat COMEXT;  Trade Norway: IMF Dots</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10"/>
        </w:trPr>
        <w:tc>
          <w:tcPr>
            <w:tcW w:w="3641"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93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25"/>
        </w:trPr>
        <w:tc>
          <w:tcPr>
            <w:tcW w:w="8001"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Total merchandise trade EU28 with Norway (mio €)</w:t>
            </w:r>
          </w:p>
        </w:tc>
      </w:tr>
      <w:tr>
        <w:trPr>
          <w:trHeight w:val="225"/>
        </w:trPr>
        <w:tc>
          <w:tcPr>
            <w:tcW w:w="4497"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Norway</w:t>
            </w:r>
          </w:p>
        </w:tc>
        <w:tc>
          <w:tcPr>
            <w:tcW w:w="85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93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71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497"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93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64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73.757</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83.837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10.080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13,7%</w:t>
            </w:r>
          </w:p>
        </w:tc>
      </w:tr>
      <w:tr>
        <w:trPr>
          <w:trHeight w:val="225"/>
        </w:trPr>
        <w:tc>
          <w:tcPr>
            <w:tcW w:w="364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50.659</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53.867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3.208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6,3%</w:t>
            </w:r>
          </w:p>
        </w:tc>
      </w:tr>
      <w:tr>
        <w:trPr>
          <w:trHeight w:val="225"/>
        </w:trPr>
        <w:tc>
          <w:tcPr>
            <w:tcW w:w="364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-23.099</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-29.970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-6.872</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641"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124.416</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137.704</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13.288</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10,7%</w:t>
            </w:r>
          </w:p>
        </w:tc>
      </w:tr>
      <w:tr>
        <w:trPr>
          <w:trHeight w:val="240"/>
        </w:trPr>
        <w:tc>
          <w:tcPr>
            <w:tcW w:w="6289"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8001"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Agrifood trade EU28 with Norway (mio €)</w:t>
            </w:r>
          </w:p>
        </w:tc>
      </w:tr>
      <w:tr>
        <w:trPr>
          <w:trHeight w:val="255"/>
        </w:trPr>
        <w:tc>
          <w:tcPr>
            <w:tcW w:w="4497"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Norway</w:t>
            </w:r>
          </w:p>
        </w:tc>
        <w:tc>
          <w:tcPr>
            <w:tcW w:w="85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93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71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497"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93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64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575</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579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0,7%</w:t>
            </w:r>
          </w:p>
        </w:tc>
      </w:tr>
      <w:tr>
        <w:trPr>
          <w:trHeight w:val="225"/>
        </w:trPr>
        <w:tc>
          <w:tcPr>
            <w:tcW w:w="364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4.474</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4.496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0,5%</w:t>
            </w:r>
          </w:p>
        </w:tc>
      </w:tr>
      <w:tr>
        <w:trPr>
          <w:trHeight w:val="225"/>
        </w:trPr>
        <w:tc>
          <w:tcPr>
            <w:tcW w:w="364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3.899</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3.917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641"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5.049</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5.075</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0,5%</w:t>
            </w:r>
          </w:p>
        </w:tc>
      </w:tr>
      <w:tr>
        <w:trPr>
          <w:trHeight w:val="240"/>
        </w:trPr>
        <w:tc>
          <w:tcPr>
            <w:tcW w:w="6289"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8001"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NAMA trade EU28 with Norway (mio €)</w:t>
            </w:r>
          </w:p>
        </w:tc>
      </w:tr>
      <w:tr>
        <w:trPr>
          <w:trHeight w:val="225"/>
        </w:trPr>
        <w:tc>
          <w:tcPr>
            <w:tcW w:w="4497"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Norway</w:t>
            </w:r>
          </w:p>
        </w:tc>
        <w:tc>
          <w:tcPr>
            <w:tcW w:w="85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93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71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497"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93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4497"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73.182</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83.258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10.076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13,8%</w:t>
            </w:r>
          </w:p>
        </w:tc>
      </w:tr>
      <w:tr>
        <w:trPr>
          <w:trHeight w:val="225"/>
        </w:trPr>
        <w:tc>
          <w:tcPr>
            <w:tcW w:w="4497"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46.185</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49.371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3.186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6,9%</w:t>
            </w:r>
          </w:p>
        </w:tc>
      </w:tr>
      <w:tr>
        <w:trPr>
          <w:trHeight w:val="225"/>
        </w:trPr>
        <w:tc>
          <w:tcPr>
            <w:tcW w:w="364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-26.997</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-33.888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-6.890</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64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119.367</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132.629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13.262</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11,1%</w:t>
            </w:r>
          </w:p>
        </w:tc>
      </w:tr>
      <w:tr>
        <w:trPr>
          <w:trHeight w:val="240"/>
        </w:trPr>
        <w:tc>
          <w:tcPr>
            <w:tcW w:w="6289"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856" w:type="dxa"/>
            <w:tcBorders>
              <w:top w:val="single" w:sz="4" w:space="0" w:color="auto"/>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6289" w:type="dxa"/>
            <w:gridSpan w:val="4"/>
            <w:tcBorders>
              <w:top w:val="nil"/>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Services trade EU28 with Norway (mio €)</w:t>
            </w:r>
          </w:p>
        </w:tc>
        <w:tc>
          <w:tcPr>
            <w:tcW w:w="856" w:type="dxa"/>
            <w:tcBorders>
              <w:top w:val="nil"/>
              <w:left w:val="nil"/>
              <w:bottom w:val="nil"/>
              <w:right w:val="nil"/>
            </w:tcBorders>
            <w:shd w:val="clear" w:color="000000" w:fill="FFFFFF"/>
            <w:noWrap/>
            <w:vAlign w:val="center"/>
            <w:hideMark/>
          </w:tcPr>
          <w:p>
            <w:pPr>
              <w:rPr>
                <w:rFonts w:eastAsia="Times New Roman"/>
                <w:b/>
                <w:bCs/>
                <w:noProof/>
                <w:sz w:val="16"/>
                <w:szCs w:val="16"/>
                <w:lang w:val="en-IE" w:eastAsia="en-IE"/>
              </w:rPr>
            </w:pPr>
            <w:r>
              <w:rPr>
                <w:rFonts w:eastAsia="Times New Roman"/>
                <w:b/>
                <w:bCs/>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bCs/>
                <w:noProof/>
                <w:sz w:val="16"/>
                <w:szCs w:val="16"/>
                <w:lang w:val="en-IE" w:eastAsia="en-IE"/>
              </w:rPr>
            </w:pPr>
            <w:r>
              <w:rPr>
                <w:rFonts w:eastAsia="Times New Roman"/>
                <w:b/>
                <w:bCs/>
                <w:noProof/>
                <w:sz w:val="16"/>
                <w:szCs w:val="16"/>
                <w:lang w:val="en-IE" w:eastAsia="en-IE"/>
              </w:rPr>
              <w:t> </w:t>
            </w:r>
          </w:p>
        </w:tc>
      </w:tr>
      <w:tr>
        <w:trPr>
          <w:trHeight w:val="225"/>
        </w:trPr>
        <w:tc>
          <w:tcPr>
            <w:tcW w:w="4497"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Norway</w:t>
            </w:r>
          </w:p>
        </w:tc>
        <w:tc>
          <w:tcPr>
            <w:tcW w:w="856"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936"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171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497"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936"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64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15.868</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15.553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-315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w:t>
            </w:r>
          </w:p>
        </w:tc>
      </w:tr>
      <w:tr>
        <w:trPr>
          <w:trHeight w:val="225"/>
        </w:trPr>
        <w:tc>
          <w:tcPr>
            <w:tcW w:w="364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28.497</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28.720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0,8%</w:t>
            </w:r>
          </w:p>
        </w:tc>
      </w:tr>
      <w:tr>
        <w:trPr>
          <w:trHeight w:val="225"/>
        </w:trPr>
        <w:tc>
          <w:tcPr>
            <w:tcW w:w="364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12.629</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13.167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538</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641"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44.364</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44.273</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-91</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r>
      <w:tr>
        <w:trPr>
          <w:trHeight w:val="240"/>
        </w:trPr>
        <w:tc>
          <w:tcPr>
            <w:tcW w:w="7145" w:type="dxa"/>
            <w:gridSpan w:val="5"/>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40"/>
        </w:trPr>
        <w:tc>
          <w:tcPr>
            <w:tcW w:w="8001"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Services trade EU28 with Norway (mio €)</w:t>
            </w:r>
          </w:p>
        </w:tc>
      </w:tr>
      <w:tr>
        <w:trPr>
          <w:trHeight w:val="225"/>
        </w:trPr>
        <w:tc>
          <w:tcPr>
            <w:tcW w:w="3641"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93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364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14.396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16.526</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16.046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15.868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15.553</w:t>
            </w:r>
          </w:p>
        </w:tc>
      </w:tr>
      <w:tr>
        <w:trPr>
          <w:trHeight w:val="225"/>
        </w:trPr>
        <w:tc>
          <w:tcPr>
            <w:tcW w:w="364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27.050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28.131</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30.479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28.497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28.720</w:t>
            </w:r>
          </w:p>
        </w:tc>
      </w:tr>
      <w:tr>
        <w:trPr>
          <w:trHeight w:val="225"/>
        </w:trPr>
        <w:tc>
          <w:tcPr>
            <w:tcW w:w="364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12.653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11.605</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14.434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12.629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13.167</w:t>
            </w:r>
          </w:p>
        </w:tc>
      </w:tr>
      <w:tr>
        <w:trPr>
          <w:trHeight w:val="225"/>
        </w:trPr>
        <w:tc>
          <w:tcPr>
            <w:tcW w:w="3641"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41.446</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44.657</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46.525</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44.364</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44.273</w:t>
            </w:r>
          </w:p>
        </w:tc>
      </w:tr>
      <w:tr>
        <w:trPr>
          <w:trHeight w:val="225"/>
        </w:trPr>
        <w:tc>
          <w:tcPr>
            <w:tcW w:w="3641"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856"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93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8001"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FDI EU28 with Norway (mio €)</w:t>
            </w:r>
          </w:p>
        </w:tc>
      </w:tr>
      <w:tr>
        <w:trPr>
          <w:trHeight w:val="225"/>
        </w:trPr>
        <w:tc>
          <w:tcPr>
            <w:tcW w:w="3641"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93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8001"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Stocks</w:t>
            </w:r>
          </w:p>
        </w:tc>
      </w:tr>
      <w:tr>
        <w:trPr>
          <w:trHeight w:val="225"/>
        </w:trPr>
        <w:tc>
          <w:tcPr>
            <w:tcW w:w="364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68.282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73.807</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89.838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103.251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94.452</w:t>
            </w:r>
          </w:p>
        </w:tc>
      </w:tr>
      <w:tr>
        <w:trPr>
          <w:trHeight w:val="225"/>
        </w:trPr>
        <w:tc>
          <w:tcPr>
            <w:tcW w:w="364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72.212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81.414</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90.716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102.962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90.293</w:t>
            </w:r>
          </w:p>
        </w:tc>
      </w:tr>
      <w:tr>
        <w:trPr>
          <w:trHeight w:val="225"/>
        </w:trPr>
        <w:tc>
          <w:tcPr>
            <w:tcW w:w="8001"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Flows</w:t>
            </w:r>
          </w:p>
        </w:tc>
      </w:tr>
      <w:tr>
        <w:trPr>
          <w:trHeight w:val="225"/>
        </w:trPr>
        <w:tc>
          <w:tcPr>
            <w:tcW w:w="364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938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4.964</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3.361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1.868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2.794</w:t>
            </w:r>
          </w:p>
        </w:tc>
      </w:tr>
      <w:tr>
        <w:trPr>
          <w:trHeight w:val="225"/>
        </w:trPr>
        <w:tc>
          <w:tcPr>
            <w:tcW w:w="3641"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9.202</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5.052</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8.114</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4.022</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4.478</w:t>
            </w:r>
          </w:p>
        </w:tc>
      </w:tr>
      <w:tr>
        <w:trPr>
          <w:trHeight w:val="225"/>
        </w:trPr>
        <w:tc>
          <w:tcPr>
            <w:tcW w:w="3641" w:type="dxa"/>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856"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93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bl>
    <w:p>
      <w:pPr>
        <w:rPr>
          <w:noProof/>
        </w:rPr>
      </w:pPr>
    </w:p>
    <w:p>
      <w:pPr>
        <w:rPr>
          <w:noProof/>
          <w:u w:val="single"/>
        </w:rPr>
      </w:pPr>
      <w:r>
        <w:rPr>
          <w:noProof/>
          <w:u w:val="single"/>
        </w:rPr>
        <w:t>Fill rates of Norwegian TRQs (</w:t>
      </w:r>
      <w:r>
        <w:rPr>
          <w:i/>
          <w:noProof/>
          <w:u w:val="single"/>
        </w:rPr>
        <w:t>Source Norwegian authorities)</w:t>
      </w:r>
    </w:p>
    <w:p>
      <w:pPr>
        <w:rPr>
          <w:noProof/>
        </w:rPr>
      </w:pPr>
    </w:p>
    <w:tbl>
      <w:tblPr>
        <w:tblW w:w="9172" w:type="dxa"/>
        <w:tblInd w:w="118" w:type="dxa"/>
        <w:tblLook w:val="04A0" w:firstRow="1" w:lastRow="0" w:firstColumn="1" w:lastColumn="0" w:noHBand="0" w:noVBand="1"/>
      </w:tblPr>
      <w:tblGrid>
        <w:gridCol w:w="2024"/>
        <w:gridCol w:w="3886"/>
        <w:gridCol w:w="1213"/>
        <w:gridCol w:w="1000"/>
        <w:gridCol w:w="1049"/>
      </w:tblGrid>
      <w:tr>
        <w:trPr>
          <w:trHeight w:val="420"/>
        </w:trPr>
        <w:tc>
          <w:tcPr>
            <w:tcW w:w="2024" w:type="dxa"/>
            <w:tcBorders>
              <w:top w:val="single" w:sz="8" w:space="0" w:color="auto"/>
              <w:left w:val="single" w:sz="8" w:space="0" w:color="auto"/>
              <w:bottom w:val="single" w:sz="4" w:space="0" w:color="auto"/>
              <w:right w:val="single" w:sz="8" w:space="0" w:color="auto"/>
            </w:tcBorders>
            <w:shd w:val="clear" w:color="auto" w:fill="auto"/>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Norwegian customs tariff 2012</w:t>
            </w:r>
          </w:p>
        </w:tc>
        <w:tc>
          <w:tcPr>
            <w:tcW w:w="3886" w:type="dxa"/>
            <w:tcBorders>
              <w:top w:val="single" w:sz="8" w:space="0" w:color="auto"/>
              <w:left w:val="nil"/>
              <w:bottom w:val="single" w:sz="4" w:space="0" w:color="auto"/>
              <w:right w:val="single" w:sz="8" w:space="0" w:color="auto"/>
            </w:tcBorders>
            <w:shd w:val="clear" w:color="auto" w:fill="auto"/>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Description of products</w:t>
            </w:r>
          </w:p>
        </w:tc>
        <w:tc>
          <w:tcPr>
            <w:tcW w:w="1213" w:type="dxa"/>
            <w:tcBorders>
              <w:top w:val="single" w:sz="8" w:space="0" w:color="auto"/>
              <w:left w:val="nil"/>
              <w:bottom w:val="single" w:sz="4" w:space="0" w:color="auto"/>
              <w:right w:val="single" w:sz="4" w:space="0" w:color="auto"/>
            </w:tcBorders>
            <w:shd w:val="clear" w:color="auto" w:fill="auto"/>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Quota volume 2018</w:t>
            </w:r>
          </w:p>
        </w:tc>
        <w:tc>
          <w:tcPr>
            <w:tcW w:w="1000" w:type="dxa"/>
            <w:tcBorders>
              <w:top w:val="single" w:sz="8" w:space="0" w:color="auto"/>
              <w:left w:val="nil"/>
              <w:bottom w:val="single" w:sz="4" w:space="0" w:color="auto"/>
              <w:right w:val="single" w:sz="8" w:space="0" w:color="auto"/>
            </w:tcBorders>
            <w:shd w:val="clear" w:color="auto" w:fill="auto"/>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Fill rate 2018</w:t>
            </w:r>
          </w:p>
        </w:tc>
        <w:tc>
          <w:tcPr>
            <w:tcW w:w="1049" w:type="dxa"/>
            <w:tcBorders>
              <w:top w:val="single" w:sz="8" w:space="0" w:color="auto"/>
              <w:left w:val="nil"/>
              <w:bottom w:val="single" w:sz="4" w:space="0" w:color="auto"/>
              <w:right w:val="single" w:sz="8" w:space="0" w:color="auto"/>
            </w:tcBorders>
            <w:shd w:val="clear" w:color="auto" w:fill="auto"/>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Fill rate 2017</w:t>
            </w:r>
          </w:p>
        </w:tc>
      </w:tr>
      <w:tr>
        <w:trPr>
          <w:trHeight w:val="285"/>
        </w:trPr>
        <w:tc>
          <w:tcPr>
            <w:tcW w:w="2024" w:type="dxa"/>
            <w:tcBorders>
              <w:top w:val="nil"/>
              <w:left w:val="single" w:sz="8" w:space="0" w:color="auto"/>
              <w:bottom w:val="nil"/>
              <w:right w:val="single" w:sz="8" w:space="0" w:color="auto"/>
            </w:tcBorders>
            <w:shd w:val="clear" w:color="auto" w:fill="auto"/>
            <w:hideMark/>
          </w:tcPr>
          <w:p>
            <w:pPr>
              <w:rPr>
                <w:rFonts w:eastAsia="Times New Roman"/>
                <w:b/>
                <w:bCs/>
                <w:noProof/>
                <w:sz w:val="16"/>
                <w:szCs w:val="16"/>
                <w:lang w:val="en-IE" w:eastAsia="en-IE"/>
              </w:rPr>
            </w:pPr>
            <w:r>
              <w:rPr>
                <w:rFonts w:eastAsia="Times New Roman"/>
                <w:b/>
                <w:bCs/>
                <w:noProof/>
                <w:sz w:val="16"/>
                <w:szCs w:val="16"/>
                <w:lang w:val="en-IE" w:eastAsia="en-IE"/>
              </w:rPr>
              <w:t>02.01</w:t>
            </w:r>
          </w:p>
        </w:tc>
        <w:tc>
          <w:tcPr>
            <w:tcW w:w="3886" w:type="dxa"/>
            <w:tcBorders>
              <w:top w:val="nil"/>
              <w:left w:val="nil"/>
              <w:bottom w:val="nil"/>
              <w:right w:val="single" w:sz="8" w:space="0" w:color="auto"/>
            </w:tcBorders>
            <w:shd w:val="clear" w:color="auto" w:fill="auto"/>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Meat of bovine animals, fresh or chilled.</w:t>
            </w:r>
          </w:p>
        </w:tc>
        <w:tc>
          <w:tcPr>
            <w:tcW w:w="1213" w:type="dxa"/>
            <w:vMerge w:val="restart"/>
            <w:tcBorders>
              <w:top w:val="nil"/>
              <w:left w:val="single" w:sz="8" w:space="0" w:color="auto"/>
              <w:bottom w:val="single" w:sz="4" w:space="0" w:color="000000"/>
              <w:right w:val="single" w:sz="4"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1300</w:t>
            </w:r>
          </w:p>
        </w:tc>
        <w:tc>
          <w:tcPr>
            <w:tcW w:w="1000"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93%</w:t>
            </w:r>
          </w:p>
        </w:tc>
        <w:tc>
          <w:tcPr>
            <w:tcW w:w="1049"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100%</w:t>
            </w: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02.01.1000</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Carcasses and half-carcasses</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Other cuts with bone in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450"/>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02.01.2001</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"Compensated quarters", i.e. forequarters and the hindquarters of the same animal are presented at the same time</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02.01.2002</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Other forequarters</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02.01.2003</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Other hindquarters</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02.01.2004</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So-called "Pistola cuts"</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10"/>
        </w:trPr>
        <w:tc>
          <w:tcPr>
            <w:tcW w:w="2024" w:type="dxa"/>
            <w:tcBorders>
              <w:top w:val="nil"/>
              <w:left w:val="single" w:sz="8" w:space="0" w:color="auto"/>
              <w:bottom w:val="nil"/>
              <w:right w:val="single" w:sz="8" w:space="0" w:color="auto"/>
            </w:tcBorders>
            <w:shd w:val="clear" w:color="auto" w:fill="auto"/>
            <w:hideMark/>
          </w:tcPr>
          <w:p>
            <w:pPr>
              <w:rPr>
                <w:rFonts w:eastAsia="Times New Roman"/>
                <w:b/>
                <w:bCs/>
                <w:noProof/>
                <w:sz w:val="16"/>
                <w:szCs w:val="16"/>
                <w:lang w:val="en-IE" w:eastAsia="en-IE"/>
              </w:rPr>
            </w:pPr>
            <w:r>
              <w:rPr>
                <w:rFonts w:eastAsia="Times New Roman"/>
                <w:b/>
                <w:bCs/>
                <w:noProof/>
                <w:sz w:val="16"/>
                <w:szCs w:val="16"/>
                <w:lang w:val="en-IE" w:eastAsia="en-IE"/>
              </w:rPr>
              <w:t>02.02</w:t>
            </w:r>
          </w:p>
        </w:tc>
        <w:tc>
          <w:tcPr>
            <w:tcW w:w="3886" w:type="dxa"/>
            <w:tcBorders>
              <w:top w:val="nil"/>
              <w:left w:val="nil"/>
              <w:bottom w:val="nil"/>
              <w:right w:val="single" w:sz="8" w:space="0" w:color="auto"/>
            </w:tcBorders>
            <w:shd w:val="clear" w:color="auto" w:fill="auto"/>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Meat of bovine animals, frozen.</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02.02.1000</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Carcasses and half-carcasses</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Other cuts with bone in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450"/>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02.02.2001</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"Compensated quarters", i.e. forequarters and the hindquarters of the same animal are presented at the same time</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02.02.2002</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Other forequarters</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02.02.2003</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Other hindquarters</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single" w:sz="4" w:space="0" w:color="auto"/>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02.02.2004</w:t>
            </w:r>
          </w:p>
        </w:tc>
        <w:tc>
          <w:tcPr>
            <w:tcW w:w="3886" w:type="dxa"/>
            <w:tcBorders>
              <w:top w:val="nil"/>
              <w:left w:val="nil"/>
              <w:bottom w:val="single" w:sz="4" w:space="0" w:color="auto"/>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So-called "Pistola cuts"</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10"/>
        </w:trPr>
        <w:tc>
          <w:tcPr>
            <w:tcW w:w="2024" w:type="dxa"/>
            <w:tcBorders>
              <w:top w:val="nil"/>
              <w:left w:val="single" w:sz="8" w:space="0" w:color="auto"/>
              <w:bottom w:val="nil"/>
              <w:right w:val="single" w:sz="8" w:space="0" w:color="auto"/>
            </w:tcBorders>
            <w:shd w:val="clear" w:color="auto" w:fill="auto"/>
            <w:hideMark/>
          </w:tcPr>
          <w:p>
            <w:pPr>
              <w:rPr>
                <w:rFonts w:eastAsia="Times New Roman"/>
                <w:b/>
                <w:bCs/>
                <w:noProof/>
                <w:sz w:val="16"/>
                <w:szCs w:val="16"/>
                <w:lang w:val="en-IE" w:eastAsia="en-IE"/>
              </w:rPr>
            </w:pPr>
            <w:r>
              <w:rPr>
                <w:rFonts w:eastAsia="Times New Roman"/>
                <w:b/>
                <w:bCs/>
                <w:noProof/>
                <w:sz w:val="16"/>
                <w:szCs w:val="16"/>
                <w:lang w:val="en-IE" w:eastAsia="en-IE"/>
              </w:rPr>
              <w:t>02.03</w:t>
            </w:r>
          </w:p>
        </w:tc>
        <w:tc>
          <w:tcPr>
            <w:tcW w:w="3886" w:type="dxa"/>
            <w:tcBorders>
              <w:top w:val="nil"/>
              <w:left w:val="nil"/>
              <w:bottom w:val="nil"/>
              <w:right w:val="single" w:sz="8" w:space="0" w:color="auto"/>
            </w:tcBorders>
            <w:shd w:val="clear" w:color="auto" w:fill="auto"/>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Meat of swine, fresh, chilled or frozen.</w:t>
            </w:r>
          </w:p>
        </w:tc>
        <w:tc>
          <w:tcPr>
            <w:tcW w:w="1213" w:type="dxa"/>
            <w:vMerge w:val="restart"/>
            <w:tcBorders>
              <w:top w:val="nil"/>
              <w:left w:val="single" w:sz="8" w:space="0" w:color="auto"/>
              <w:bottom w:val="single" w:sz="4" w:space="0" w:color="000000"/>
              <w:right w:val="single" w:sz="4"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600</w:t>
            </w:r>
          </w:p>
        </w:tc>
        <w:tc>
          <w:tcPr>
            <w:tcW w:w="1000"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83%</w:t>
            </w:r>
          </w:p>
        </w:tc>
        <w:tc>
          <w:tcPr>
            <w:tcW w:w="1049"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98%</w:t>
            </w: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Fresh or chilled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Carcasses and half-carcasses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02.03.1101</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 Of domestic swine</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Frozen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Carcasses and half-carcasses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single" w:sz="4" w:space="0" w:color="auto"/>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02.03.2101</w:t>
            </w:r>
          </w:p>
        </w:tc>
        <w:tc>
          <w:tcPr>
            <w:tcW w:w="3886" w:type="dxa"/>
            <w:tcBorders>
              <w:top w:val="nil"/>
              <w:left w:val="nil"/>
              <w:bottom w:val="single" w:sz="4" w:space="0" w:color="auto"/>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 Of domestic swine</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55"/>
        </w:trPr>
        <w:tc>
          <w:tcPr>
            <w:tcW w:w="2024" w:type="dxa"/>
            <w:tcBorders>
              <w:top w:val="nil"/>
              <w:left w:val="single" w:sz="8" w:space="0" w:color="auto"/>
              <w:bottom w:val="nil"/>
              <w:right w:val="single" w:sz="8" w:space="0" w:color="auto"/>
            </w:tcBorders>
            <w:shd w:val="clear" w:color="auto" w:fill="auto"/>
            <w:hideMark/>
          </w:tcPr>
          <w:p>
            <w:pPr>
              <w:rPr>
                <w:rFonts w:eastAsia="Times New Roman"/>
                <w:b/>
                <w:bCs/>
                <w:noProof/>
                <w:sz w:val="16"/>
                <w:szCs w:val="16"/>
                <w:lang w:val="en-IE" w:eastAsia="en-IE"/>
              </w:rPr>
            </w:pPr>
            <w:r>
              <w:rPr>
                <w:rFonts w:eastAsia="Times New Roman"/>
                <w:b/>
                <w:bCs/>
                <w:noProof/>
                <w:sz w:val="16"/>
                <w:szCs w:val="16"/>
                <w:lang w:val="en-IE" w:eastAsia="en-IE"/>
              </w:rPr>
              <w:t>02.03</w:t>
            </w:r>
          </w:p>
        </w:tc>
        <w:tc>
          <w:tcPr>
            <w:tcW w:w="3886" w:type="dxa"/>
            <w:tcBorders>
              <w:top w:val="nil"/>
              <w:left w:val="nil"/>
              <w:bottom w:val="nil"/>
              <w:right w:val="single" w:sz="8" w:space="0" w:color="auto"/>
            </w:tcBorders>
            <w:shd w:val="clear" w:color="auto" w:fill="auto"/>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Meat of swine, fresh, chilled or frozen.</w:t>
            </w:r>
          </w:p>
        </w:tc>
        <w:tc>
          <w:tcPr>
            <w:tcW w:w="1213" w:type="dxa"/>
            <w:vMerge w:val="restart"/>
            <w:tcBorders>
              <w:top w:val="nil"/>
              <w:left w:val="single" w:sz="8" w:space="0" w:color="auto"/>
              <w:bottom w:val="single" w:sz="4" w:space="0" w:color="000000"/>
              <w:right w:val="single" w:sz="4"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75</w:t>
            </w:r>
          </w:p>
        </w:tc>
        <w:tc>
          <w:tcPr>
            <w:tcW w:w="1000"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99%</w:t>
            </w:r>
          </w:p>
        </w:tc>
        <w:tc>
          <w:tcPr>
            <w:tcW w:w="1049"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Fresh or chilled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Other:</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 Of domestic swine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 - Bellies (streaky) and cuts thereof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02-03-1904</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 - - With bone in</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420"/>
        </w:trPr>
        <w:tc>
          <w:tcPr>
            <w:tcW w:w="2024" w:type="dxa"/>
            <w:tcBorders>
              <w:top w:val="single" w:sz="4" w:space="0" w:color="auto"/>
              <w:left w:val="single" w:sz="8" w:space="0" w:color="auto"/>
              <w:bottom w:val="nil"/>
              <w:right w:val="single" w:sz="8" w:space="0" w:color="auto"/>
            </w:tcBorders>
            <w:shd w:val="clear" w:color="auto" w:fill="auto"/>
            <w:hideMark/>
          </w:tcPr>
          <w:p>
            <w:pPr>
              <w:rPr>
                <w:rFonts w:eastAsia="Times New Roman"/>
                <w:b/>
                <w:bCs/>
                <w:noProof/>
                <w:sz w:val="16"/>
                <w:szCs w:val="16"/>
                <w:lang w:val="en-IE" w:eastAsia="en-IE"/>
              </w:rPr>
            </w:pPr>
            <w:r>
              <w:rPr>
                <w:rFonts w:eastAsia="Times New Roman"/>
                <w:b/>
                <w:bCs/>
                <w:noProof/>
                <w:sz w:val="16"/>
                <w:szCs w:val="16"/>
                <w:lang w:val="en-IE" w:eastAsia="en-IE"/>
              </w:rPr>
              <w:t>02.06</w:t>
            </w:r>
          </w:p>
        </w:tc>
        <w:tc>
          <w:tcPr>
            <w:tcW w:w="3886" w:type="dxa"/>
            <w:tcBorders>
              <w:top w:val="single" w:sz="4" w:space="0" w:color="auto"/>
              <w:left w:val="nil"/>
              <w:bottom w:val="nil"/>
              <w:right w:val="single" w:sz="8" w:space="0" w:color="auto"/>
            </w:tcBorders>
            <w:shd w:val="clear" w:color="auto" w:fill="auto"/>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Edible offal of bovine animals, swine, sheep, goats, horses, asses, mules or hinnies, fresh, chilled or frozen.</w:t>
            </w:r>
          </w:p>
        </w:tc>
        <w:tc>
          <w:tcPr>
            <w:tcW w:w="1213" w:type="dxa"/>
            <w:vMerge w:val="restart"/>
            <w:tcBorders>
              <w:top w:val="nil"/>
              <w:left w:val="single" w:sz="8" w:space="0" w:color="auto"/>
              <w:bottom w:val="single" w:sz="4" w:space="0" w:color="000000"/>
              <w:right w:val="single" w:sz="4"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350</w:t>
            </w:r>
          </w:p>
        </w:tc>
        <w:tc>
          <w:tcPr>
            <w:tcW w:w="1000"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0%</w:t>
            </w:r>
          </w:p>
        </w:tc>
        <w:tc>
          <w:tcPr>
            <w:tcW w:w="1049"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0%</w:t>
            </w: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Of swine, frozen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single" w:sz="4" w:space="0" w:color="auto"/>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02.06.4100</w:t>
            </w:r>
          </w:p>
        </w:tc>
        <w:tc>
          <w:tcPr>
            <w:tcW w:w="3886" w:type="dxa"/>
            <w:tcBorders>
              <w:top w:val="nil"/>
              <w:left w:val="nil"/>
              <w:bottom w:val="single" w:sz="4" w:space="0" w:color="auto"/>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Livers</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420"/>
        </w:trPr>
        <w:tc>
          <w:tcPr>
            <w:tcW w:w="2024" w:type="dxa"/>
            <w:tcBorders>
              <w:top w:val="nil"/>
              <w:left w:val="single" w:sz="8" w:space="0" w:color="auto"/>
              <w:bottom w:val="nil"/>
              <w:right w:val="single" w:sz="8" w:space="0" w:color="auto"/>
            </w:tcBorders>
            <w:shd w:val="clear" w:color="auto" w:fill="auto"/>
            <w:hideMark/>
          </w:tcPr>
          <w:p>
            <w:pPr>
              <w:rPr>
                <w:rFonts w:eastAsia="Times New Roman"/>
                <w:b/>
                <w:bCs/>
                <w:noProof/>
                <w:sz w:val="16"/>
                <w:szCs w:val="16"/>
                <w:lang w:val="en-IE" w:eastAsia="en-IE"/>
              </w:rPr>
            </w:pPr>
            <w:r>
              <w:rPr>
                <w:rFonts w:eastAsia="Times New Roman"/>
                <w:b/>
                <w:bCs/>
                <w:noProof/>
                <w:sz w:val="16"/>
                <w:szCs w:val="16"/>
                <w:lang w:val="en-IE" w:eastAsia="en-IE"/>
              </w:rPr>
              <w:t>02.07</w:t>
            </w:r>
          </w:p>
        </w:tc>
        <w:tc>
          <w:tcPr>
            <w:tcW w:w="3886" w:type="dxa"/>
            <w:tcBorders>
              <w:top w:val="nil"/>
              <w:left w:val="nil"/>
              <w:bottom w:val="nil"/>
              <w:right w:val="single" w:sz="8" w:space="0" w:color="auto"/>
            </w:tcBorders>
            <w:shd w:val="clear" w:color="auto" w:fill="auto"/>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Meat and edible offal, of the poultry of heading 01.05, fresh, chilled or frozen.</w:t>
            </w:r>
          </w:p>
        </w:tc>
        <w:tc>
          <w:tcPr>
            <w:tcW w:w="1213" w:type="dxa"/>
            <w:vMerge w:val="restart"/>
            <w:tcBorders>
              <w:top w:val="nil"/>
              <w:left w:val="single" w:sz="8" w:space="0" w:color="auto"/>
              <w:bottom w:val="single" w:sz="4" w:space="0" w:color="000000"/>
              <w:right w:val="single" w:sz="4"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837,5</w:t>
            </w:r>
          </w:p>
        </w:tc>
        <w:tc>
          <w:tcPr>
            <w:tcW w:w="1000"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63%</w:t>
            </w:r>
          </w:p>
        </w:tc>
        <w:tc>
          <w:tcPr>
            <w:tcW w:w="1049"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62%</w:t>
            </w: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Of fowls of the species Gallus domesticus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02.07.1100</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Not cut in pieces, fresh or chilled</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02.07.1200</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Not cut in pieces, frozen</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Of turkeys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02.07.2400</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Not cut in pieces, fresh or chilled</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02.07.2500</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Not cut in pieces, frozen</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420"/>
        </w:trPr>
        <w:tc>
          <w:tcPr>
            <w:tcW w:w="2024" w:type="dxa"/>
            <w:tcBorders>
              <w:top w:val="single" w:sz="4" w:space="0" w:color="auto"/>
              <w:left w:val="single" w:sz="8" w:space="0" w:color="auto"/>
              <w:bottom w:val="nil"/>
              <w:right w:val="single" w:sz="8" w:space="0" w:color="auto"/>
            </w:tcBorders>
            <w:shd w:val="clear" w:color="auto" w:fill="auto"/>
            <w:hideMark/>
          </w:tcPr>
          <w:p>
            <w:pPr>
              <w:rPr>
                <w:rFonts w:eastAsia="Times New Roman"/>
                <w:b/>
                <w:bCs/>
                <w:noProof/>
                <w:sz w:val="16"/>
                <w:szCs w:val="16"/>
                <w:lang w:val="en-IE" w:eastAsia="en-IE"/>
              </w:rPr>
            </w:pPr>
            <w:r>
              <w:rPr>
                <w:rFonts w:eastAsia="Times New Roman"/>
                <w:b/>
                <w:bCs/>
                <w:noProof/>
                <w:sz w:val="16"/>
                <w:szCs w:val="16"/>
                <w:lang w:val="en-IE" w:eastAsia="en-IE"/>
              </w:rPr>
              <w:t>02.07</w:t>
            </w:r>
          </w:p>
        </w:tc>
        <w:tc>
          <w:tcPr>
            <w:tcW w:w="3886" w:type="dxa"/>
            <w:tcBorders>
              <w:top w:val="single" w:sz="4" w:space="0" w:color="auto"/>
              <w:left w:val="nil"/>
              <w:bottom w:val="nil"/>
              <w:right w:val="single" w:sz="8" w:space="0" w:color="auto"/>
            </w:tcBorders>
            <w:shd w:val="clear" w:color="auto" w:fill="auto"/>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Meat and edible offal, of the poultry of heading 01.05, fresh, chilled or frozen.</w:t>
            </w:r>
          </w:p>
        </w:tc>
        <w:tc>
          <w:tcPr>
            <w:tcW w:w="1213" w:type="dxa"/>
            <w:vMerge w:val="restart"/>
            <w:tcBorders>
              <w:top w:val="nil"/>
              <w:left w:val="single" w:sz="8" w:space="0" w:color="auto"/>
              <w:bottom w:val="single" w:sz="4" w:space="0" w:color="000000"/>
              <w:right w:val="single" w:sz="4"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125</w:t>
            </w:r>
          </w:p>
        </w:tc>
        <w:tc>
          <w:tcPr>
            <w:tcW w:w="1000"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3%</w:t>
            </w:r>
          </w:p>
        </w:tc>
        <w:tc>
          <w:tcPr>
            <w:tcW w:w="1049"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8%</w:t>
            </w: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Of ducks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Other, fresh or chilled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single" w:sz="4" w:space="0" w:color="auto"/>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02.07.4401</w:t>
            </w:r>
          </w:p>
        </w:tc>
        <w:tc>
          <w:tcPr>
            <w:tcW w:w="3886" w:type="dxa"/>
            <w:tcBorders>
              <w:top w:val="nil"/>
              <w:left w:val="nil"/>
              <w:bottom w:val="single" w:sz="4" w:space="0" w:color="auto"/>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 Breasts and cuts thereof</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420"/>
        </w:trPr>
        <w:tc>
          <w:tcPr>
            <w:tcW w:w="2024" w:type="dxa"/>
            <w:tcBorders>
              <w:top w:val="nil"/>
              <w:left w:val="single" w:sz="8" w:space="0" w:color="auto"/>
              <w:bottom w:val="nil"/>
              <w:right w:val="single" w:sz="8" w:space="0" w:color="auto"/>
            </w:tcBorders>
            <w:shd w:val="clear" w:color="auto" w:fill="auto"/>
            <w:hideMark/>
          </w:tcPr>
          <w:p>
            <w:pPr>
              <w:rPr>
                <w:rFonts w:eastAsia="Times New Roman"/>
                <w:b/>
                <w:bCs/>
                <w:noProof/>
                <w:sz w:val="16"/>
                <w:szCs w:val="16"/>
                <w:lang w:val="en-IE" w:eastAsia="en-IE"/>
              </w:rPr>
            </w:pPr>
            <w:r>
              <w:rPr>
                <w:rFonts w:eastAsia="Times New Roman"/>
                <w:b/>
                <w:bCs/>
                <w:noProof/>
                <w:sz w:val="16"/>
                <w:szCs w:val="16"/>
                <w:lang w:val="en-IE" w:eastAsia="en-IE"/>
              </w:rPr>
              <w:t>02.10</w:t>
            </w:r>
          </w:p>
        </w:tc>
        <w:tc>
          <w:tcPr>
            <w:tcW w:w="3886" w:type="dxa"/>
            <w:tcBorders>
              <w:top w:val="nil"/>
              <w:left w:val="nil"/>
              <w:bottom w:val="nil"/>
              <w:right w:val="single" w:sz="8" w:space="0" w:color="auto"/>
            </w:tcBorders>
            <w:shd w:val="clear" w:color="auto" w:fill="auto"/>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Meat and edible meat offal, salted, in brine, dried or smoked; edible flours and meals of meat or meat offal.</w:t>
            </w:r>
          </w:p>
        </w:tc>
        <w:tc>
          <w:tcPr>
            <w:tcW w:w="1213" w:type="dxa"/>
            <w:vMerge w:val="restart"/>
            <w:tcBorders>
              <w:top w:val="nil"/>
              <w:left w:val="single" w:sz="8" w:space="0" w:color="auto"/>
              <w:bottom w:val="single" w:sz="4" w:space="0" w:color="000000"/>
              <w:right w:val="single" w:sz="4"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450</w:t>
            </w:r>
          </w:p>
        </w:tc>
        <w:tc>
          <w:tcPr>
            <w:tcW w:w="1000"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96%</w:t>
            </w:r>
          </w:p>
        </w:tc>
        <w:tc>
          <w:tcPr>
            <w:tcW w:w="1049"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99%</w:t>
            </w: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Meat of swine:</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Hams, shoulders and cuts thereof, with bone in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single" w:sz="4" w:space="0" w:color="auto"/>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02.10.1101</w:t>
            </w:r>
          </w:p>
        </w:tc>
        <w:tc>
          <w:tcPr>
            <w:tcW w:w="3886" w:type="dxa"/>
            <w:tcBorders>
              <w:top w:val="nil"/>
              <w:left w:val="nil"/>
              <w:bottom w:val="single" w:sz="4" w:space="0" w:color="auto"/>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 Containing 15 % or more by weight of bones</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195"/>
        </w:trPr>
        <w:tc>
          <w:tcPr>
            <w:tcW w:w="2024" w:type="dxa"/>
            <w:tcBorders>
              <w:top w:val="nil"/>
              <w:left w:val="single" w:sz="8" w:space="0" w:color="auto"/>
              <w:bottom w:val="nil"/>
              <w:right w:val="single" w:sz="8" w:space="0" w:color="auto"/>
            </w:tcBorders>
            <w:shd w:val="clear" w:color="auto" w:fill="auto"/>
            <w:hideMark/>
          </w:tcPr>
          <w:p>
            <w:pPr>
              <w:rPr>
                <w:rFonts w:eastAsia="Times New Roman"/>
                <w:b/>
                <w:bCs/>
                <w:noProof/>
                <w:sz w:val="16"/>
                <w:szCs w:val="16"/>
                <w:lang w:val="en-IE" w:eastAsia="en-IE"/>
              </w:rPr>
            </w:pPr>
            <w:r>
              <w:rPr>
                <w:rFonts w:eastAsia="Times New Roman"/>
                <w:b/>
                <w:bCs/>
                <w:noProof/>
                <w:sz w:val="16"/>
                <w:szCs w:val="16"/>
                <w:lang w:val="en-IE" w:eastAsia="en-IE"/>
              </w:rPr>
              <w:t>04.06</w:t>
            </w:r>
          </w:p>
        </w:tc>
        <w:tc>
          <w:tcPr>
            <w:tcW w:w="3886" w:type="dxa"/>
            <w:tcBorders>
              <w:top w:val="nil"/>
              <w:left w:val="nil"/>
              <w:bottom w:val="nil"/>
              <w:right w:val="single" w:sz="8" w:space="0" w:color="auto"/>
            </w:tcBorders>
            <w:shd w:val="clear" w:color="auto" w:fill="auto"/>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Cheese and curd.</w:t>
            </w:r>
          </w:p>
        </w:tc>
        <w:tc>
          <w:tcPr>
            <w:tcW w:w="1213" w:type="dxa"/>
            <w:vMerge w:val="restart"/>
            <w:tcBorders>
              <w:top w:val="nil"/>
              <w:left w:val="single" w:sz="8" w:space="0" w:color="auto"/>
              <w:bottom w:val="single" w:sz="4" w:space="0" w:color="000000"/>
              <w:right w:val="single" w:sz="4"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7500</w:t>
            </w:r>
          </w:p>
        </w:tc>
        <w:tc>
          <w:tcPr>
            <w:tcW w:w="1000"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98%</w:t>
            </w:r>
          </w:p>
        </w:tc>
        <w:tc>
          <w:tcPr>
            <w:tcW w:w="1049"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100%</w:t>
            </w:r>
          </w:p>
        </w:tc>
      </w:tr>
      <w:tr>
        <w:trPr>
          <w:trHeight w:val="450"/>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Fresh (unripened or uncured) cheese, including whey cheese and curd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04.06.1001</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Whey cheese</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04.06.1009</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Other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04.06.2000</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Grated or powdered cheese, of all kinds</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04.06.3000</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Processed cheese, not grated or powdered</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450"/>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Blue-veined cheese and other cheese containing veins produced by Penicillium roqueforti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04.06.4001</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Roquefort</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04.06.4005</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Gorgonzola</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Other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04.06.4008</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 Unpasteurized</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04.06.4009</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 Other</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Other cheese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04.06.9030</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Feta and similar cheeses</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White-veined cheese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04.06.9082</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 Camembert</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04.06.9084</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 Brie</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04.06.9089</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 Other</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Other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04.06.9091</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 Unpasteurized</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single" w:sz="4" w:space="0" w:color="auto"/>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04.06.9099</w:t>
            </w:r>
          </w:p>
        </w:tc>
        <w:tc>
          <w:tcPr>
            <w:tcW w:w="3886" w:type="dxa"/>
            <w:tcBorders>
              <w:top w:val="nil"/>
              <w:left w:val="nil"/>
              <w:bottom w:val="single" w:sz="4" w:space="0" w:color="auto"/>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 Other</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10"/>
        </w:trPr>
        <w:tc>
          <w:tcPr>
            <w:tcW w:w="2024" w:type="dxa"/>
            <w:tcBorders>
              <w:top w:val="nil"/>
              <w:left w:val="single" w:sz="8" w:space="0" w:color="auto"/>
              <w:bottom w:val="nil"/>
              <w:right w:val="single" w:sz="8" w:space="0" w:color="auto"/>
            </w:tcBorders>
            <w:shd w:val="clear" w:color="auto" w:fill="auto"/>
            <w:hideMark/>
          </w:tcPr>
          <w:p>
            <w:pPr>
              <w:rPr>
                <w:rFonts w:eastAsia="Times New Roman"/>
                <w:b/>
                <w:bCs/>
                <w:noProof/>
                <w:sz w:val="16"/>
                <w:szCs w:val="16"/>
                <w:lang w:val="en-IE" w:eastAsia="en-IE"/>
              </w:rPr>
            </w:pPr>
            <w:r>
              <w:rPr>
                <w:rFonts w:eastAsia="Times New Roman"/>
                <w:b/>
                <w:bCs/>
                <w:noProof/>
                <w:sz w:val="16"/>
                <w:szCs w:val="16"/>
                <w:lang w:val="en-IE" w:eastAsia="en-IE"/>
              </w:rPr>
              <w:t>04.07</w:t>
            </w:r>
          </w:p>
        </w:tc>
        <w:tc>
          <w:tcPr>
            <w:tcW w:w="3886" w:type="dxa"/>
            <w:tcBorders>
              <w:top w:val="nil"/>
              <w:left w:val="nil"/>
              <w:bottom w:val="nil"/>
              <w:right w:val="single" w:sz="8" w:space="0" w:color="auto"/>
            </w:tcBorders>
            <w:shd w:val="clear" w:color="auto" w:fill="auto"/>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Birds' eggs in shell, fresh preserved or cooked.</w:t>
            </w:r>
          </w:p>
        </w:tc>
        <w:tc>
          <w:tcPr>
            <w:tcW w:w="1213" w:type="dxa"/>
            <w:vMerge w:val="restart"/>
            <w:tcBorders>
              <w:top w:val="nil"/>
              <w:left w:val="single" w:sz="8" w:space="0" w:color="auto"/>
              <w:bottom w:val="single" w:sz="4" w:space="0" w:color="000000"/>
              <w:right w:val="single" w:sz="4"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290</w:t>
            </w:r>
          </w:p>
        </w:tc>
        <w:tc>
          <w:tcPr>
            <w:tcW w:w="1000"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57%</w:t>
            </w:r>
          </w:p>
        </w:tc>
        <w:tc>
          <w:tcPr>
            <w:tcW w:w="1049" w:type="dxa"/>
            <w:vMerge w:val="restart"/>
            <w:tcBorders>
              <w:top w:val="nil"/>
              <w:left w:val="single" w:sz="4" w:space="0" w:color="auto"/>
              <w:bottom w:val="nil"/>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65%</w:t>
            </w: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Fertilised eggs for incubation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nil"/>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04.07.1100</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Of fowls of the species Gallus domesticus</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nil"/>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Other fresh eggs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nil"/>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04.07.2100</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Of fowls of the species Gallus domesticus</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nil"/>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single" w:sz="4" w:space="0" w:color="auto"/>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ex 04.07.9000</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Other</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nil"/>
              <w:right w:val="single" w:sz="8" w:space="0" w:color="auto"/>
            </w:tcBorders>
            <w:vAlign w:val="center"/>
            <w:hideMark/>
          </w:tcPr>
          <w:p>
            <w:pPr>
              <w:rPr>
                <w:rFonts w:eastAsia="Times New Roman"/>
                <w:noProof/>
                <w:sz w:val="16"/>
                <w:szCs w:val="16"/>
                <w:lang w:val="en-IE" w:eastAsia="en-IE"/>
              </w:rPr>
            </w:pPr>
          </w:p>
        </w:tc>
      </w:tr>
      <w:tr>
        <w:trPr>
          <w:trHeight w:val="450"/>
        </w:trPr>
        <w:tc>
          <w:tcPr>
            <w:tcW w:w="2024" w:type="dxa"/>
            <w:tcBorders>
              <w:top w:val="nil"/>
              <w:left w:val="single" w:sz="8" w:space="0" w:color="auto"/>
              <w:bottom w:val="nil"/>
              <w:right w:val="single" w:sz="8" w:space="0" w:color="auto"/>
            </w:tcBorders>
            <w:shd w:val="clear" w:color="auto" w:fill="auto"/>
            <w:hideMark/>
          </w:tcPr>
          <w:p>
            <w:pPr>
              <w:rPr>
                <w:rFonts w:eastAsia="Times New Roman"/>
                <w:b/>
                <w:bCs/>
                <w:noProof/>
                <w:sz w:val="16"/>
                <w:szCs w:val="16"/>
                <w:lang w:val="en-IE" w:eastAsia="en-IE"/>
              </w:rPr>
            </w:pPr>
            <w:r>
              <w:rPr>
                <w:rFonts w:eastAsia="Times New Roman"/>
                <w:b/>
                <w:bCs/>
                <w:noProof/>
                <w:sz w:val="16"/>
                <w:szCs w:val="16"/>
                <w:lang w:val="en-IE" w:eastAsia="en-IE"/>
              </w:rPr>
              <w:t>05.11</w:t>
            </w:r>
          </w:p>
        </w:tc>
        <w:tc>
          <w:tcPr>
            <w:tcW w:w="3886" w:type="dxa"/>
            <w:tcBorders>
              <w:top w:val="single" w:sz="4" w:space="0" w:color="auto"/>
              <w:left w:val="nil"/>
              <w:bottom w:val="nil"/>
              <w:right w:val="single" w:sz="8" w:space="0" w:color="auto"/>
            </w:tcBorders>
            <w:shd w:val="clear" w:color="auto" w:fill="auto"/>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Animal products not elsewhere specified or included; dead animals of Chapter 1 or 3, unfit for human consumption.</w:t>
            </w:r>
          </w:p>
        </w:tc>
        <w:tc>
          <w:tcPr>
            <w:tcW w:w="1213" w:type="dxa"/>
            <w:vMerge w:val="restart"/>
            <w:tcBorders>
              <w:top w:val="nil"/>
              <w:left w:val="single" w:sz="8" w:space="0" w:color="auto"/>
              <w:bottom w:val="nil"/>
              <w:right w:val="single" w:sz="4"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350</w:t>
            </w:r>
          </w:p>
        </w:tc>
        <w:tc>
          <w:tcPr>
            <w:tcW w:w="1000"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0%</w:t>
            </w:r>
          </w:p>
        </w:tc>
        <w:tc>
          <w:tcPr>
            <w:tcW w:w="1049" w:type="dxa"/>
            <w:vMerge w:val="restart"/>
            <w:tcBorders>
              <w:top w:val="single" w:sz="4" w:space="0" w:color="auto"/>
              <w:left w:val="single" w:sz="4" w:space="0" w:color="auto"/>
              <w:bottom w:val="nil"/>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0%</w:t>
            </w:r>
          </w:p>
        </w:tc>
      </w:tr>
      <w:tr>
        <w:trPr>
          <w:trHeight w:val="203"/>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Other :</w:t>
            </w:r>
          </w:p>
        </w:tc>
        <w:tc>
          <w:tcPr>
            <w:tcW w:w="1213" w:type="dxa"/>
            <w:vMerge/>
            <w:tcBorders>
              <w:top w:val="nil"/>
              <w:left w:val="single" w:sz="8" w:space="0" w:color="auto"/>
              <w:bottom w:val="nil"/>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single" w:sz="4" w:space="0" w:color="auto"/>
              <w:left w:val="single" w:sz="4" w:space="0" w:color="auto"/>
              <w:bottom w:val="nil"/>
              <w:right w:val="single" w:sz="8" w:space="0" w:color="auto"/>
            </w:tcBorders>
            <w:vAlign w:val="center"/>
            <w:hideMark/>
          </w:tcPr>
          <w:p>
            <w:pPr>
              <w:rPr>
                <w:rFonts w:eastAsia="Times New Roman"/>
                <w:noProof/>
                <w:sz w:val="16"/>
                <w:szCs w:val="16"/>
                <w:lang w:val="en-IE" w:eastAsia="en-IE"/>
              </w:rPr>
            </w:pPr>
          </w:p>
        </w:tc>
      </w:tr>
      <w:tr>
        <w:trPr>
          <w:trHeight w:val="203"/>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Other :</w:t>
            </w:r>
          </w:p>
        </w:tc>
        <w:tc>
          <w:tcPr>
            <w:tcW w:w="1213" w:type="dxa"/>
            <w:vMerge w:val="restart"/>
            <w:tcBorders>
              <w:top w:val="nil"/>
              <w:left w:val="single" w:sz="8" w:space="0" w:color="auto"/>
              <w:bottom w:val="single" w:sz="4" w:space="0" w:color="000000"/>
              <w:right w:val="single" w:sz="4"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Duty free access granted 01.10.2018</w:t>
            </w: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single" w:sz="4" w:space="0" w:color="auto"/>
              <w:left w:val="single" w:sz="4" w:space="0" w:color="auto"/>
              <w:bottom w:val="nil"/>
              <w:right w:val="single" w:sz="8" w:space="0" w:color="auto"/>
            </w:tcBorders>
            <w:vAlign w:val="center"/>
            <w:hideMark/>
          </w:tcPr>
          <w:p>
            <w:pPr>
              <w:rPr>
                <w:rFonts w:eastAsia="Times New Roman"/>
                <w:noProof/>
                <w:sz w:val="16"/>
                <w:szCs w:val="16"/>
                <w:lang w:val="en-IE" w:eastAsia="en-IE"/>
              </w:rPr>
            </w:pPr>
          </w:p>
        </w:tc>
      </w:tr>
      <w:tr>
        <w:trPr>
          <w:trHeight w:val="203"/>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 Blood powder, unfit for human consumption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single" w:sz="4" w:space="0" w:color="auto"/>
              <w:left w:val="single" w:sz="4" w:space="0" w:color="auto"/>
              <w:bottom w:val="nil"/>
              <w:right w:val="single" w:sz="8" w:space="0" w:color="auto"/>
            </w:tcBorders>
            <w:vAlign w:val="center"/>
            <w:hideMark/>
          </w:tcPr>
          <w:p>
            <w:pPr>
              <w:rPr>
                <w:rFonts w:eastAsia="Times New Roman"/>
                <w:noProof/>
                <w:sz w:val="16"/>
                <w:szCs w:val="16"/>
                <w:lang w:val="en-IE" w:eastAsia="en-IE"/>
              </w:rPr>
            </w:pPr>
          </w:p>
        </w:tc>
      </w:tr>
      <w:tr>
        <w:trPr>
          <w:trHeight w:val="345"/>
        </w:trPr>
        <w:tc>
          <w:tcPr>
            <w:tcW w:w="2024" w:type="dxa"/>
            <w:tcBorders>
              <w:top w:val="nil"/>
              <w:left w:val="single" w:sz="8" w:space="0" w:color="auto"/>
              <w:bottom w:val="single" w:sz="4" w:space="0" w:color="auto"/>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05.11.9911</w:t>
            </w:r>
          </w:p>
        </w:tc>
        <w:tc>
          <w:tcPr>
            <w:tcW w:w="3886" w:type="dxa"/>
            <w:tcBorders>
              <w:top w:val="nil"/>
              <w:left w:val="nil"/>
              <w:bottom w:val="single" w:sz="4" w:space="0" w:color="auto"/>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 - For feed purpose</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single" w:sz="4" w:space="0" w:color="auto"/>
              <w:left w:val="single" w:sz="4" w:space="0" w:color="auto"/>
              <w:bottom w:val="nil"/>
              <w:right w:val="single" w:sz="8" w:space="0" w:color="auto"/>
            </w:tcBorders>
            <w:vAlign w:val="center"/>
            <w:hideMark/>
          </w:tcPr>
          <w:p>
            <w:pPr>
              <w:rPr>
                <w:rFonts w:eastAsia="Times New Roman"/>
                <w:noProof/>
                <w:sz w:val="16"/>
                <w:szCs w:val="16"/>
                <w:lang w:val="en-IE" w:eastAsia="en-IE"/>
              </w:rPr>
            </w:pPr>
          </w:p>
        </w:tc>
      </w:tr>
      <w:tr>
        <w:trPr>
          <w:trHeight w:val="420"/>
        </w:trPr>
        <w:tc>
          <w:tcPr>
            <w:tcW w:w="2024" w:type="dxa"/>
            <w:tcBorders>
              <w:top w:val="nil"/>
              <w:left w:val="single" w:sz="8" w:space="0" w:color="auto"/>
              <w:bottom w:val="nil"/>
              <w:right w:val="single" w:sz="8" w:space="0" w:color="auto"/>
            </w:tcBorders>
            <w:shd w:val="clear" w:color="auto" w:fill="auto"/>
            <w:hideMark/>
          </w:tcPr>
          <w:p>
            <w:pPr>
              <w:rPr>
                <w:rFonts w:eastAsia="Times New Roman"/>
                <w:b/>
                <w:bCs/>
                <w:noProof/>
                <w:sz w:val="16"/>
                <w:szCs w:val="16"/>
                <w:lang w:val="en-IE" w:eastAsia="en-IE"/>
              </w:rPr>
            </w:pPr>
            <w:r>
              <w:rPr>
                <w:rFonts w:eastAsia="Times New Roman"/>
                <w:b/>
                <w:bCs/>
                <w:noProof/>
                <w:sz w:val="16"/>
                <w:szCs w:val="16"/>
                <w:lang w:val="en-IE" w:eastAsia="en-IE"/>
              </w:rPr>
              <w:t>06.02</w:t>
            </w:r>
          </w:p>
        </w:tc>
        <w:tc>
          <w:tcPr>
            <w:tcW w:w="3886" w:type="dxa"/>
            <w:tcBorders>
              <w:top w:val="nil"/>
              <w:left w:val="nil"/>
              <w:bottom w:val="nil"/>
              <w:right w:val="single" w:sz="8" w:space="0" w:color="auto"/>
            </w:tcBorders>
            <w:shd w:val="clear" w:color="auto" w:fill="auto"/>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Other live plants (including their roots), cuttings and slips; mushroom spawn.</w:t>
            </w:r>
          </w:p>
        </w:tc>
        <w:tc>
          <w:tcPr>
            <w:tcW w:w="1213" w:type="dxa"/>
            <w:vMerge w:val="restart"/>
            <w:tcBorders>
              <w:top w:val="nil"/>
              <w:left w:val="single" w:sz="8" w:space="0" w:color="auto"/>
              <w:bottom w:val="nil"/>
              <w:right w:val="single" w:sz="4"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2 million</w:t>
            </w:r>
          </w:p>
        </w:tc>
        <w:tc>
          <w:tcPr>
            <w:tcW w:w="1000"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100%</w:t>
            </w:r>
          </w:p>
        </w:tc>
        <w:tc>
          <w:tcPr>
            <w:tcW w:w="1049" w:type="dxa"/>
            <w:vMerge w:val="restart"/>
            <w:tcBorders>
              <w:top w:val="single" w:sz="4" w:space="0" w:color="auto"/>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100%</w:t>
            </w: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Unrootened cuttings and slips :</w:t>
            </w:r>
          </w:p>
        </w:tc>
        <w:tc>
          <w:tcPr>
            <w:tcW w:w="1213" w:type="dxa"/>
            <w:vMerge/>
            <w:tcBorders>
              <w:top w:val="nil"/>
              <w:left w:val="single" w:sz="8" w:space="0" w:color="auto"/>
              <w:bottom w:val="nil"/>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single" w:sz="4" w:space="0" w:color="auto"/>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55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Cuttings for nursery or horticultural purposes, except of green plants from 15 December - 30 April :</w:t>
            </w:r>
          </w:p>
        </w:tc>
        <w:tc>
          <w:tcPr>
            <w:tcW w:w="1213" w:type="dxa"/>
            <w:vMerge/>
            <w:tcBorders>
              <w:top w:val="nil"/>
              <w:left w:val="single" w:sz="8" w:space="0" w:color="auto"/>
              <w:bottom w:val="nil"/>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single" w:sz="4" w:space="0" w:color="auto"/>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900"/>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06.02.1021</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 Begonia, all sorts, Campanula isophylla, Euphorbia pulcherrima, Poinsettia pulcherrima, Fuchsia, Hibiscus, Kalanchoe and Petunia-hanging (Petunia hybrida, Petunia atkinsiana)</w:t>
            </w:r>
          </w:p>
        </w:tc>
        <w:tc>
          <w:tcPr>
            <w:tcW w:w="1213" w:type="dxa"/>
            <w:vMerge w:val="restart"/>
            <w:tcBorders>
              <w:top w:val="nil"/>
              <w:left w:val="single" w:sz="8" w:space="0" w:color="auto"/>
              <w:bottom w:val="single" w:sz="4" w:space="0" w:color="000000"/>
              <w:right w:val="single" w:sz="4"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Duty free access granted 01.10.2018</w:t>
            </w: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single" w:sz="4" w:space="0" w:color="auto"/>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06.02.1024</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 Pelargonium</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single" w:sz="4" w:space="0" w:color="auto"/>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420"/>
        </w:trPr>
        <w:tc>
          <w:tcPr>
            <w:tcW w:w="2024" w:type="dxa"/>
            <w:tcBorders>
              <w:top w:val="single" w:sz="4" w:space="0" w:color="auto"/>
              <w:left w:val="single" w:sz="8" w:space="0" w:color="auto"/>
              <w:bottom w:val="nil"/>
              <w:right w:val="single" w:sz="8" w:space="0" w:color="auto"/>
            </w:tcBorders>
            <w:shd w:val="clear" w:color="auto" w:fill="auto"/>
            <w:hideMark/>
          </w:tcPr>
          <w:p>
            <w:pPr>
              <w:rPr>
                <w:rFonts w:eastAsia="Times New Roman"/>
                <w:b/>
                <w:bCs/>
                <w:noProof/>
                <w:sz w:val="16"/>
                <w:szCs w:val="16"/>
                <w:lang w:val="en-IE" w:eastAsia="en-IE"/>
              </w:rPr>
            </w:pPr>
            <w:r>
              <w:rPr>
                <w:rFonts w:eastAsia="Times New Roman"/>
                <w:b/>
                <w:bCs/>
                <w:noProof/>
                <w:sz w:val="16"/>
                <w:szCs w:val="16"/>
                <w:lang w:val="en-IE" w:eastAsia="en-IE"/>
              </w:rPr>
              <w:t>06.02</w:t>
            </w:r>
          </w:p>
        </w:tc>
        <w:tc>
          <w:tcPr>
            <w:tcW w:w="3886" w:type="dxa"/>
            <w:tcBorders>
              <w:top w:val="single" w:sz="4" w:space="0" w:color="auto"/>
              <w:left w:val="nil"/>
              <w:bottom w:val="nil"/>
              <w:right w:val="single" w:sz="8" w:space="0" w:color="auto"/>
            </w:tcBorders>
            <w:shd w:val="clear" w:color="auto" w:fill="auto"/>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Other live plants (including their roots), cuttings and slips; mushroom spawn.</w:t>
            </w:r>
          </w:p>
        </w:tc>
        <w:tc>
          <w:tcPr>
            <w:tcW w:w="1213" w:type="dxa"/>
            <w:vMerge w:val="restart"/>
            <w:tcBorders>
              <w:top w:val="nil"/>
              <w:left w:val="single" w:sz="8" w:space="0" w:color="auto"/>
              <w:bottom w:val="single" w:sz="4" w:space="0" w:color="000000"/>
              <w:right w:val="single" w:sz="4"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11 million</w:t>
            </w:r>
          </w:p>
        </w:tc>
        <w:tc>
          <w:tcPr>
            <w:tcW w:w="1000"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89%</w:t>
            </w:r>
          </w:p>
        </w:tc>
        <w:tc>
          <w:tcPr>
            <w:tcW w:w="1049"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99%</w:t>
            </w: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Other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With balled roots or other culture media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 Other pot plants or bedding plants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 - Pot plants or bedding plants, in flower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157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ex 06.02.9043</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 - - Begonia x cheimantha, Begonia x semperflorens, Begonia x tuberhybrida, Bidens, Brachycome, Callistephus, Cyclamen persicum, Dahlia, Dianthus, Fuchsia, Gerbera, Hydrangea macrophylla, Impatiens, Lobelia, Lobularia, Petunia (all species), Scaevola, Senecio cineraria, Senecio bicolor, Tagetes, Tropaeolum, Verbena, Viola and Zinnia, also when imported as part of mixed groups of plants</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1350"/>
        </w:trPr>
        <w:tc>
          <w:tcPr>
            <w:tcW w:w="2024" w:type="dxa"/>
            <w:tcBorders>
              <w:top w:val="nil"/>
              <w:left w:val="single" w:sz="8" w:space="0" w:color="auto"/>
              <w:bottom w:val="single" w:sz="4" w:space="0" w:color="auto"/>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06.02.9044</w:t>
            </w:r>
          </w:p>
        </w:tc>
        <w:tc>
          <w:tcPr>
            <w:tcW w:w="3886" w:type="dxa"/>
            <w:tcBorders>
              <w:top w:val="nil"/>
              <w:left w:val="nil"/>
              <w:bottom w:val="single" w:sz="4" w:space="0" w:color="auto"/>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 - - Achimenes, Aster novi-belgii, Calceolaria herbeohybrida, Capsicum annum, Catharanthus roseus, Vinca rosea, Dipladenia, Nematanthus, Hypocyrta, Osteospermum, Schlumbergera, Senecio x hybridus, Cineraria, Sinningia speciosa, Gloxinia, Solanum and Streptocarpus, also when imported as part of mixed groups of plants</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420"/>
        </w:trPr>
        <w:tc>
          <w:tcPr>
            <w:tcW w:w="2024" w:type="dxa"/>
            <w:tcBorders>
              <w:top w:val="nil"/>
              <w:left w:val="single" w:sz="8" w:space="0" w:color="auto"/>
              <w:bottom w:val="nil"/>
              <w:right w:val="single" w:sz="8" w:space="0" w:color="auto"/>
            </w:tcBorders>
            <w:shd w:val="clear" w:color="auto" w:fill="auto"/>
            <w:hideMark/>
          </w:tcPr>
          <w:p>
            <w:pPr>
              <w:rPr>
                <w:rFonts w:eastAsia="Times New Roman"/>
                <w:b/>
                <w:bCs/>
                <w:noProof/>
                <w:sz w:val="16"/>
                <w:szCs w:val="16"/>
                <w:lang w:val="en-IE" w:eastAsia="en-IE"/>
              </w:rPr>
            </w:pPr>
            <w:r>
              <w:rPr>
                <w:rFonts w:eastAsia="Times New Roman"/>
                <w:b/>
                <w:bCs/>
                <w:noProof/>
                <w:sz w:val="16"/>
                <w:szCs w:val="16"/>
                <w:lang w:val="en-IE" w:eastAsia="en-IE"/>
              </w:rPr>
              <w:t>06.02</w:t>
            </w:r>
          </w:p>
        </w:tc>
        <w:tc>
          <w:tcPr>
            <w:tcW w:w="3886" w:type="dxa"/>
            <w:tcBorders>
              <w:top w:val="nil"/>
              <w:left w:val="nil"/>
              <w:bottom w:val="nil"/>
              <w:right w:val="single" w:sz="8" w:space="0" w:color="auto"/>
            </w:tcBorders>
            <w:shd w:val="clear" w:color="auto" w:fill="auto"/>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Other live plants (including their roots), cuttings and slips; mushroom spawn.</w:t>
            </w:r>
          </w:p>
        </w:tc>
        <w:tc>
          <w:tcPr>
            <w:tcW w:w="1213" w:type="dxa"/>
            <w:vMerge w:val="restart"/>
            <w:tcBorders>
              <w:top w:val="nil"/>
              <w:left w:val="single" w:sz="8" w:space="0" w:color="auto"/>
              <w:bottom w:val="single" w:sz="4" w:space="0" w:color="000000"/>
              <w:right w:val="single" w:sz="4"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4,75 million</w:t>
            </w:r>
          </w:p>
        </w:tc>
        <w:tc>
          <w:tcPr>
            <w:tcW w:w="1000"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90%</w:t>
            </w:r>
          </w:p>
        </w:tc>
        <w:tc>
          <w:tcPr>
            <w:tcW w:w="1049"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100%</w:t>
            </w: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Other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With balled roots or other culture media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 Other pot plants or bedding plants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34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 - Green pot plants from 1 May to 14 December :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124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06.02.9031</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 - - Condiaeum, Croton, Dieffenbacchia, Epipremnum, Scindapsus aureum, Hedera, Nephrolepis, Peperomia obtusifolia, Peperomia rotundifolia, Schefflera, Soleirolia and Helxine, also when imported as part of mixed groups of plants</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420"/>
        </w:trPr>
        <w:tc>
          <w:tcPr>
            <w:tcW w:w="2024" w:type="dxa"/>
            <w:tcBorders>
              <w:top w:val="single" w:sz="4" w:space="0" w:color="auto"/>
              <w:left w:val="single" w:sz="8" w:space="0" w:color="auto"/>
              <w:bottom w:val="nil"/>
              <w:right w:val="single" w:sz="8" w:space="0" w:color="auto"/>
            </w:tcBorders>
            <w:shd w:val="clear" w:color="auto" w:fill="auto"/>
            <w:hideMark/>
          </w:tcPr>
          <w:p>
            <w:pPr>
              <w:rPr>
                <w:rFonts w:eastAsia="Times New Roman"/>
                <w:b/>
                <w:bCs/>
                <w:noProof/>
                <w:sz w:val="16"/>
                <w:szCs w:val="16"/>
                <w:lang w:val="en-IE" w:eastAsia="en-IE"/>
              </w:rPr>
            </w:pPr>
            <w:r>
              <w:rPr>
                <w:rFonts w:eastAsia="Times New Roman"/>
                <w:b/>
                <w:bCs/>
                <w:noProof/>
                <w:sz w:val="16"/>
                <w:szCs w:val="16"/>
                <w:lang w:val="en-IE" w:eastAsia="en-IE"/>
              </w:rPr>
              <w:t>06.02</w:t>
            </w:r>
          </w:p>
        </w:tc>
        <w:tc>
          <w:tcPr>
            <w:tcW w:w="3886" w:type="dxa"/>
            <w:tcBorders>
              <w:top w:val="single" w:sz="4" w:space="0" w:color="auto"/>
              <w:left w:val="nil"/>
              <w:bottom w:val="nil"/>
              <w:right w:val="single" w:sz="8" w:space="0" w:color="auto"/>
            </w:tcBorders>
            <w:shd w:val="clear" w:color="auto" w:fill="auto"/>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Other live plants (including their roots), cuttings and slips; mushroom spawn.</w:t>
            </w:r>
          </w:p>
        </w:tc>
        <w:tc>
          <w:tcPr>
            <w:tcW w:w="1213" w:type="dxa"/>
            <w:vMerge w:val="restart"/>
            <w:tcBorders>
              <w:top w:val="nil"/>
              <w:left w:val="single" w:sz="8" w:space="0" w:color="auto"/>
              <w:bottom w:val="single" w:sz="4" w:space="0" w:color="000000"/>
              <w:right w:val="single" w:sz="4"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4 million</w:t>
            </w:r>
          </w:p>
        </w:tc>
        <w:tc>
          <w:tcPr>
            <w:tcW w:w="1000"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64%</w:t>
            </w:r>
          </w:p>
        </w:tc>
        <w:tc>
          <w:tcPr>
            <w:tcW w:w="1049"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0%</w:t>
            </w: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Other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Other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single" w:sz="4" w:space="0" w:color="auto"/>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06.02.9091</w:t>
            </w:r>
          </w:p>
        </w:tc>
        <w:tc>
          <w:tcPr>
            <w:tcW w:w="3886" w:type="dxa"/>
            <w:tcBorders>
              <w:top w:val="nil"/>
              <w:left w:val="nil"/>
              <w:bottom w:val="single" w:sz="4" w:space="0" w:color="auto"/>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 Grass in rolls or plates (lawn)</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10"/>
        </w:trPr>
        <w:tc>
          <w:tcPr>
            <w:tcW w:w="2024" w:type="dxa"/>
            <w:tcBorders>
              <w:top w:val="nil"/>
              <w:left w:val="single" w:sz="8" w:space="0" w:color="auto"/>
              <w:bottom w:val="nil"/>
              <w:right w:val="single" w:sz="8" w:space="0" w:color="auto"/>
            </w:tcBorders>
            <w:shd w:val="clear" w:color="auto" w:fill="auto"/>
            <w:hideMark/>
          </w:tcPr>
          <w:p>
            <w:pPr>
              <w:rPr>
                <w:rFonts w:eastAsia="Times New Roman"/>
                <w:b/>
                <w:bCs/>
                <w:noProof/>
                <w:sz w:val="16"/>
                <w:szCs w:val="16"/>
                <w:lang w:val="en-IE" w:eastAsia="en-IE"/>
              </w:rPr>
            </w:pPr>
            <w:r>
              <w:rPr>
                <w:rFonts w:eastAsia="Times New Roman"/>
                <w:b/>
                <w:bCs/>
                <w:noProof/>
                <w:sz w:val="16"/>
                <w:szCs w:val="16"/>
                <w:lang w:val="en-IE" w:eastAsia="en-IE"/>
              </w:rPr>
              <w:t>07.01</w:t>
            </w:r>
          </w:p>
        </w:tc>
        <w:tc>
          <w:tcPr>
            <w:tcW w:w="3886" w:type="dxa"/>
            <w:tcBorders>
              <w:top w:val="nil"/>
              <w:left w:val="nil"/>
              <w:bottom w:val="nil"/>
              <w:right w:val="single" w:sz="8" w:space="0" w:color="auto"/>
            </w:tcBorders>
            <w:shd w:val="clear" w:color="auto" w:fill="auto"/>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Potatoes, fresh or chilled.</w:t>
            </w:r>
          </w:p>
        </w:tc>
        <w:tc>
          <w:tcPr>
            <w:tcW w:w="1213" w:type="dxa"/>
            <w:vMerge w:val="restart"/>
            <w:tcBorders>
              <w:top w:val="nil"/>
              <w:left w:val="single" w:sz="8" w:space="0" w:color="auto"/>
              <w:bottom w:val="single" w:sz="4" w:space="0" w:color="000000"/>
              <w:right w:val="single" w:sz="4"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2500</w:t>
            </w:r>
          </w:p>
        </w:tc>
        <w:tc>
          <w:tcPr>
            <w:tcW w:w="1000"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12%</w:t>
            </w:r>
          </w:p>
        </w:tc>
        <w:tc>
          <w:tcPr>
            <w:tcW w:w="1049"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19%</w:t>
            </w: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Other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From 16 July to 14 May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07.01.9022</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 New potatoes imported 1 April - 14 May</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420"/>
        </w:trPr>
        <w:tc>
          <w:tcPr>
            <w:tcW w:w="2024" w:type="dxa"/>
            <w:tcBorders>
              <w:top w:val="single" w:sz="4" w:space="0" w:color="auto"/>
              <w:left w:val="single" w:sz="8" w:space="0" w:color="auto"/>
              <w:bottom w:val="nil"/>
              <w:right w:val="single" w:sz="8" w:space="0" w:color="auto"/>
            </w:tcBorders>
            <w:shd w:val="clear" w:color="auto" w:fill="auto"/>
            <w:hideMark/>
          </w:tcPr>
          <w:p>
            <w:pPr>
              <w:rPr>
                <w:rFonts w:eastAsia="Times New Roman"/>
                <w:b/>
                <w:bCs/>
                <w:noProof/>
                <w:sz w:val="16"/>
                <w:szCs w:val="16"/>
                <w:lang w:val="en-IE" w:eastAsia="en-IE"/>
              </w:rPr>
            </w:pPr>
            <w:r>
              <w:rPr>
                <w:rFonts w:eastAsia="Times New Roman"/>
                <w:b/>
                <w:bCs/>
                <w:noProof/>
                <w:sz w:val="16"/>
                <w:szCs w:val="16"/>
                <w:lang w:val="en-IE" w:eastAsia="en-IE"/>
              </w:rPr>
              <w:t>07.05</w:t>
            </w:r>
          </w:p>
        </w:tc>
        <w:tc>
          <w:tcPr>
            <w:tcW w:w="3886" w:type="dxa"/>
            <w:tcBorders>
              <w:top w:val="single" w:sz="4" w:space="0" w:color="auto"/>
              <w:left w:val="nil"/>
              <w:bottom w:val="nil"/>
              <w:right w:val="single" w:sz="8" w:space="0" w:color="auto"/>
            </w:tcBorders>
            <w:shd w:val="clear" w:color="auto" w:fill="auto"/>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Lettuce (Lactuca sativa) and chicory (Cichorium spp.), fresh or chilled.</w:t>
            </w:r>
          </w:p>
        </w:tc>
        <w:tc>
          <w:tcPr>
            <w:tcW w:w="1213" w:type="dxa"/>
            <w:vMerge w:val="restart"/>
            <w:tcBorders>
              <w:top w:val="nil"/>
              <w:left w:val="single" w:sz="8" w:space="0" w:color="auto"/>
              <w:bottom w:val="single" w:sz="4" w:space="0" w:color="000000"/>
              <w:right w:val="single" w:sz="4"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600</w:t>
            </w:r>
          </w:p>
        </w:tc>
        <w:tc>
          <w:tcPr>
            <w:tcW w:w="1000"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74%</w:t>
            </w:r>
          </w:p>
        </w:tc>
        <w:tc>
          <w:tcPr>
            <w:tcW w:w="1049"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60%</w:t>
            </w: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Lettuce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Cabbage lettuce (head lettuce)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 Iceberg lettuce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 - From 1 March to 31 May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07.05.1112</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 - - Whole</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 - From 1 June to 30 November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07.05.1122</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 - - Whole</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420"/>
        </w:trPr>
        <w:tc>
          <w:tcPr>
            <w:tcW w:w="2024" w:type="dxa"/>
            <w:tcBorders>
              <w:top w:val="single" w:sz="4" w:space="0" w:color="auto"/>
              <w:left w:val="single" w:sz="8" w:space="0" w:color="auto"/>
              <w:bottom w:val="nil"/>
              <w:right w:val="single" w:sz="8" w:space="0" w:color="auto"/>
            </w:tcBorders>
            <w:shd w:val="clear" w:color="auto" w:fill="auto"/>
            <w:hideMark/>
          </w:tcPr>
          <w:p>
            <w:pPr>
              <w:rPr>
                <w:rFonts w:eastAsia="Times New Roman"/>
                <w:b/>
                <w:bCs/>
                <w:noProof/>
                <w:sz w:val="16"/>
                <w:szCs w:val="16"/>
                <w:lang w:val="en-IE" w:eastAsia="en-IE"/>
              </w:rPr>
            </w:pPr>
            <w:r>
              <w:rPr>
                <w:rFonts w:eastAsia="Times New Roman"/>
                <w:b/>
                <w:bCs/>
                <w:noProof/>
                <w:sz w:val="16"/>
                <w:szCs w:val="16"/>
                <w:lang w:val="en-IE" w:eastAsia="en-IE"/>
              </w:rPr>
              <w:t>07.05</w:t>
            </w:r>
          </w:p>
        </w:tc>
        <w:tc>
          <w:tcPr>
            <w:tcW w:w="3886" w:type="dxa"/>
            <w:tcBorders>
              <w:top w:val="single" w:sz="4" w:space="0" w:color="auto"/>
              <w:left w:val="nil"/>
              <w:bottom w:val="nil"/>
              <w:right w:val="single" w:sz="8" w:space="0" w:color="auto"/>
            </w:tcBorders>
            <w:shd w:val="clear" w:color="auto" w:fill="auto"/>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Lettuce (Lactuca sativa) and chicory (Cichorium spp.), fresh or chilled.</w:t>
            </w:r>
          </w:p>
        </w:tc>
        <w:tc>
          <w:tcPr>
            <w:tcW w:w="1213" w:type="dxa"/>
            <w:vMerge w:val="restart"/>
            <w:tcBorders>
              <w:top w:val="nil"/>
              <w:left w:val="single" w:sz="8" w:space="0" w:color="auto"/>
              <w:bottom w:val="single" w:sz="4" w:space="0" w:color="000000"/>
              <w:right w:val="single" w:sz="4"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400</w:t>
            </w:r>
          </w:p>
        </w:tc>
        <w:tc>
          <w:tcPr>
            <w:tcW w:w="1000"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78%</w:t>
            </w:r>
          </w:p>
        </w:tc>
        <w:tc>
          <w:tcPr>
            <w:tcW w:w="1049"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88%</w:t>
            </w: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Lettuce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Cabbage lettuce (head lettuce)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 Iceberg lettuce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 - From 1 March to 31 May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07.05.1112</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 - - Whole</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single" w:sz="4" w:space="0" w:color="auto"/>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07.05.1119</w:t>
            </w:r>
          </w:p>
        </w:tc>
        <w:tc>
          <w:tcPr>
            <w:tcW w:w="3886" w:type="dxa"/>
            <w:tcBorders>
              <w:top w:val="nil"/>
              <w:left w:val="nil"/>
              <w:bottom w:val="single" w:sz="4" w:space="0" w:color="auto"/>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 - - Other</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540"/>
        </w:trPr>
        <w:tc>
          <w:tcPr>
            <w:tcW w:w="2024" w:type="dxa"/>
            <w:tcBorders>
              <w:top w:val="nil"/>
              <w:left w:val="single" w:sz="8" w:space="0" w:color="auto"/>
              <w:bottom w:val="nil"/>
              <w:right w:val="single" w:sz="8" w:space="0" w:color="auto"/>
            </w:tcBorders>
            <w:shd w:val="clear" w:color="auto" w:fill="auto"/>
            <w:hideMark/>
          </w:tcPr>
          <w:p>
            <w:pPr>
              <w:rPr>
                <w:rFonts w:eastAsia="Times New Roman"/>
                <w:b/>
                <w:bCs/>
                <w:noProof/>
                <w:sz w:val="16"/>
                <w:szCs w:val="16"/>
                <w:lang w:val="en-IE" w:eastAsia="en-IE"/>
              </w:rPr>
            </w:pPr>
            <w:r>
              <w:rPr>
                <w:rFonts w:eastAsia="Times New Roman"/>
                <w:b/>
                <w:bCs/>
                <w:noProof/>
                <w:sz w:val="16"/>
                <w:szCs w:val="16"/>
                <w:lang w:val="en-IE" w:eastAsia="en-IE"/>
              </w:rPr>
              <w:t>07.12</w:t>
            </w:r>
          </w:p>
        </w:tc>
        <w:tc>
          <w:tcPr>
            <w:tcW w:w="3886" w:type="dxa"/>
            <w:tcBorders>
              <w:top w:val="nil"/>
              <w:left w:val="nil"/>
              <w:bottom w:val="nil"/>
              <w:right w:val="single" w:sz="8" w:space="0" w:color="auto"/>
            </w:tcBorders>
            <w:shd w:val="clear" w:color="auto" w:fill="auto"/>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Dried vegetables, whole, cut, sliced, broken or in powder, but not further prepared.</w:t>
            </w:r>
          </w:p>
        </w:tc>
        <w:tc>
          <w:tcPr>
            <w:tcW w:w="1213" w:type="dxa"/>
            <w:vMerge w:val="restart"/>
            <w:tcBorders>
              <w:top w:val="nil"/>
              <w:left w:val="single" w:sz="8" w:space="0" w:color="auto"/>
              <w:bottom w:val="single" w:sz="4" w:space="0" w:color="000000"/>
              <w:right w:val="single" w:sz="4"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300</w:t>
            </w:r>
          </w:p>
        </w:tc>
        <w:tc>
          <w:tcPr>
            <w:tcW w:w="1000"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35%</w:t>
            </w:r>
          </w:p>
        </w:tc>
        <w:tc>
          <w:tcPr>
            <w:tcW w:w="1049"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36%</w:t>
            </w: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Other vegetables; mixtures of vegetables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Potatoes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single" w:sz="4" w:space="0" w:color="auto"/>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07.12.9011</w:t>
            </w:r>
          </w:p>
        </w:tc>
        <w:tc>
          <w:tcPr>
            <w:tcW w:w="3886" w:type="dxa"/>
            <w:tcBorders>
              <w:top w:val="nil"/>
              <w:left w:val="nil"/>
              <w:bottom w:val="single" w:sz="4" w:space="0" w:color="auto"/>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 Whether or not cut or sliced but not further prepared</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10"/>
        </w:trPr>
        <w:tc>
          <w:tcPr>
            <w:tcW w:w="2024" w:type="dxa"/>
            <w:tcBorders>
              <w:top w:val="nil"/>
              <w:left w:val="single" w:sz="8" w:space="0" w:color="auto"/>
              <w:bottom w:val="nil"/>
              <w:right w:val="single" w:sz="8" w:space="0" w:color="auto"/>
            </w:tcBorders>
            <w:shd w:val="clear" w:color="auto" w:fill="auto"/>
            <w:hideMark/>
          </w:tcPr>
          <w:p>
            <w:pPr>
              <w:rPr>
                <w:rFonts w:eastAsia="Times New Roman"/>
                <w:b/>
                <w:bCs/>
                <w:noProof/>
                <w:sz w:val="16"/>
                <w:szCs w:val="16"/>
                <w:lang w:val="en-IE" w:eastAsia="en-IE"/>
              </w:rPr>
            </w:pPr>
            <w:r>
              <w:rPr>
                <w:rFonts w:eastAsia="Times New Roman"/>
                <w:b/>
                <w:bCs/>
                <w:noProof/>
                <w:sz w:val="16"/>
                <w:szCs w:val="16"/>
                <w:lang w:val="en-IE" w:eastAsia="en-IE"/>
              </w:rPr>
              <w:t>08.08</w:t>
            </w:r>
          </w:p>
        </w:tc>
        <w:tc>
          <w:tcPr>
            <w:tcW w:w="3886" w:type="dxa"/>
            <w:tcBorders>
              <w:top w:val="nil"/>
              <w:left w:val="nil"/>
              <w:bottom w:val="nil"/>
              <w:right w:val="single" w:sz="8" w:space="0" w:color="auto"/>
            </w:tcBorders>
            <w:shd w:val="clear" w:color="auto" w:fill="auto"/>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Apples, pears and quinces, fresh.</w:t>
            </w:r>
          </w:p>
        </w:tc>
        <w:tc>
          <w:tcPr>
            <w:tcW w:w="1213" w:type="dxa"/>
            <w:vMerge w:val="restart"/>
            <w:tcBorders>
              <w:top w:val="nil"/>
              <w:left w:val="single" w:sz="8" w:space="0" w:color="auto"/>
              <w:bottom w:val="single" w:sz="4" w:space="0" w:color="000000"/>
              <w:right w:val="single" w:sz="4"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2000</w:t>
            </w:r>
          </w:p>
        </w:tc>
        <w:tc>
          <w:tcPr>
            <w:tcW w:w="1000"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50%</w:t>
            </w:r>
          </w:p>
        </w:tc>
        <w:tc>
          <w:tcPr>
            <w:tcW w:w="1049"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98%</w:t>
            </w: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Apples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single" w:sz="4" w:space="0" w:color="auto"/>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ex 08.08.1011</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From 1 May to 1. August</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10"/>
        </w:trPr>
        <w:tc>
          <w:tcPr>
            <w:tcW w:w="2024" w:type="dxa"/>
            <w:tcBorders>
              <w:top w:val="nil"/>
              <w:left w:val="single" w:sz="8" w:space="0" w:color="auto"/>
              <w:bottom w:val="nil"/>
              <w:right w:val="single" w:sz="8" w:space="0" w:color="auto"/>
            </w:tcBorders>
            <w:shd w:val="clear" w:color="auto" w:fill="auto"/>
            <w:hideMark/>
          </w:tcPr>
          <w:p>
            <w:pPr>
              <w:rPr>
                <w:rFonts w:eastAsia="Times New Roman"/>
                <w:b/>
                <w:bCs/>
                <w:noProof/>
                <w:sz w:val="16"/>
                <w:szCs w:val="16"/>
                <w:lang w:val="en-IE" w:eastAsia="en-IE"/>
              </w:rPr>
            </w:pPr>
            <w:r>
              <w:rPr>
                <w:rFonts w:eastAsia="Times New Roman"/>
                <w:b/>
                <w:bCs/>
                <w:noProof/>
                <w:sz w:val="16"/>
                <w:szCs w:val="16"/>
                <w:lang w:val="en-IE" w:eastAsia="en-IE"/>
              </w:rPr>
              <w:t>08.10</w:t>
            </w:r>
          </w:p>
        </w:tc>
        <w:tc>
          <w:tcPr>
            <w:tcW w:w="3886" w:type="dxa"/>
            <w:tcBorders>
              <w:top w:val="single" w:sz="4" w:space="0" w:color="auto"/>
              <w:left w:val="nil"/>
              <w:bottom w:val="nil"/>
              <w:right w:val="single" w:sz="8" w:space="0" w:color="auto"/>
            </w:tcBorders>
            <w:shd w:val="clear" w:color="auto" w:fill="auto"/>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Other fruit, fresh.</w:t>
            </w:r>
          </w:p>
        </w:tc>
        <w:tc>
          <w:tcPr>
            <w:tcW w:w="1213" w:type="dxa"/>
            <w:vMerge w:val="restart"/>
            <w:tcBorders>
              <w:top w:val="nil"/>
              <w:left w:val="single" w:sz="8" w:space="0" w:color="auto"/>
              <w:bottom w:val="single" w:sz="4" w:space="0" w:color="000000"/>
              <w:right w:val="single" w:sz="4"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300</w:t>
            </w:r>
          </w:p>
        </w:tc>
        <w:tc>
          <w:tcPr>
            <w:tcW w:w="1000"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72%</w:t>
            </w:r>
          </w:p>
        </w:tc>
        <w:tc>
          <w:tcPr>
            <w:tcW w:w="1049"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77%</w:t>
            </w:r>
          </w:p>
        </w:tc>
      </w:tr>
      <w:tr>
        <w:trPr>
          <w:trHeight w:val="25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Strawberries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From 9 June to 31 October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08.10.1023</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 From 9 June to 30 June</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single" w:sz="4" w:space="0" w:color="auto"/>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08.10.1024</w:t>
            </w:r>
          </w:p>
        </w:tc>
        <w:tc>
          <w:tcPr>
            <w:tcW w:w="3886" w:type="dxa"/>
            <w:tcBorders>
              <w:top w:val="nil"/>
              <w:left w:val="nil"/>
              <w:bottom w:val="single" w:sz="4" w:space="0" w:color="auto"/>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 From 1 July to 9 September</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630"/>
        </w:trPr>
        <w:tc>
          <w:tcPr>
            <w:tcW w:w="2024" w:type="dxa"/>
            <w:tcBorders>
              <w:top w:val="nil"/>
              <w:left w:val="single" w:sz="8" w:space="0" w:color="auto"/>
              <w:bottom w:val="nil"/>
              <w:right w:val="single" w:sz="8" w:space="0" w:color="auto"/>
            </w:tcBorders>
            <w:shd w:val="clear" w:color="auto" w:fill="auto"/>
            <w:hideMark/>
          </w:tcPr>
          <w:p>
            <w:pPr>
              <w:rPr>
                <w:rFonts w:eastAsia="Times New Roman"/>
                <w:b/>
                <w:bCs/>
                <w:noProof/>
                <w:sz w:val="16"/>
                <w:szCs w:val="16"/>
                <w:lang w:val="en-IE" w:eastAsia="en-IE"/>
              </w:rPr>
            </w:pPr>
            <w:r>
              <w:rPr>
                <w:rFonts w:eastAsia="Times New Roman"/>
                <w:b/>
                <w:bCs/>
                <w:noProof/>
                <w:sz w:val="16"/>
                <w:szCs w:val="16"/>
                <w:lang w:val="en-IE" w:eastAsia="en-IE"/>
              </w:rPr>
              <w:t>08.11</w:t>
            </w:r>
          </w:p>
        </w:tc>
        <w:tc>
          <w:tcPr>
            <w:tcW w:w="3886" w:type="dxa"/>
            <w:tcBorders>
              <w:top w:val="nil"/>
              <w:left w:val="nil"/>
              <w:bottom w:val="nil"/>
              <w:right w:val="single" w:sz="8" w:space="0" w:color="auto"/>
            </w:tcBorders>
            <w:shd w:val="clear" w:color="auto" w:fill="auto"/>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Fruit and nuts, uncooked or cooked by steaming or boiling in water, frozen, whether or not containing added sugar or other sweetening matter.</w:t>
            </w:r>
          </w:p>
        </w:tc>
        <w:tc>
          <w:tcPr>
            <w:tcW w:w="1213" w:type="dxa"/>
            <w:vMerge w:val="restart"/>
            <w:tcBorders>
              <w:top w:val="nil"/>
              <w:left w:val="single" w:sz="8" w:space="0" w:color="auto"/>
              <w:bottom w:val="single" w:sz="4" w:space="0" w:color="000000"/>
              <w:right w:val="single" w:sz="4"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2200</w:t>
            </w:r>
          </w:p>
        </w:tc>
        <w:tc>
          <w:tcPr>
            <w:tcW w:w="1000"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97%</w:t>
            </w:r>
          </w:p>
        </w:tc>
        <w:tc>
          <w:tcPr>
            <w:tcW w:w="1049" w:type="dxa"/>
            <w:vMerge w:val="restart"/>
            <w:tcBorders>
              <w:top w:val="nil"/>
              <w:left w:val="single" w:sz="4" w:space="0" w:color="auto"/>
              <w:bottom w:val="single" w:sz="4" w:space="0" w:color="000000"/>
              <w:right w:val="single" w:sz="8" w:space="0" w:color="auto"/>
            </w:tcBorders>
            <w:shd w:val="clear" w:color="000000" w:fill="FFFFFF"/>
            <w:vAlign w:val="center"/>
            <w:hideMark/>
          </w:tcPr>
          <w:p>
            <w:pPr>
              <w:jc w:val="center"/>
              <w:rPr>
                <w:rFonts w:eastAsia="Times New Roman"/>
                <w:noProof/>
                <w:sz w:val="16"/>
                <w:szCs w:val="16"/>
                <w:lang w:val="en-IE" w:eastAsia="en-IE"/>
              </w:rPr>
            </w:pPr>
            <w:r>
              <w:rPr>
                <w:rFonts w:eastAsia="Times New Roman"/>
                <w:noProof/>
                <w:sz w:val="16"/>
                <w:szCs w:val="16"/>
                <w:lang w:val="en-IE" w:eastAsia="en-IE"/>
              </w:rPr>
              <w:t>95%</w:t>
            </w: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08.11.1000</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Strawberries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630"/>
        </w:trPr>
        <w:tc>
          <w:tcPr>
            <w:tcW w:w="2024" w:type="dxa"/>
            <w:tcBorders>
              <w:top w:val="single" w:sz="4" w:space="0" w:color="auto"/>
              <w:left w:val="single" w:sz="8" w:space="0" w:color="auto"/>
              <w:bottom w:val="nil"/>
              <w:right w:val="single" w:sz="8" w:space="0" w:color="auto"/>
            </w:tcBorders>
            <w:shd w:val="clear" w:color="auto" w:fill="auto"/>
            <w:hideMark/>
          </w:tcPr>
          <w:p>
            <w:pPr>
              <w:rPr>
                <w:rFonts w:eastAsia="Times New Roman"/>
                <w:b/>
                <w:bCs/>
                <w:noProof/>
                <w:sz w:val="16"/>
                <w:szCs w:val="16"/>
                <w:lang w:val="en-IE" w:eastAsia="en-IE"/>
              </w:rPr>
            </w:pPr>
            <w:r>
              <w:rPr>
                <w:rFonts w:eastAsia="Times New Roman"/>
                <w:b/>
                <w:bCs/>
                <w:noProof/>
                <w:sz w:val="16"/>
                <w:szCs w:val="16"/>
                <w:lang w:val="en-IE" w:eastAsia="en-IE"/>
              </w:rPr>
              <w:t>08.11</w:t>
            </w:r>
          </w:p>
        </w:tc>
        <w:tc>
          <w:tcPr>
            <w:tcW w:w="3886" w:type="dxa"/>
            <w:tcBorders>
              <w:top w:val="single" w:sz="4" w:space="0" w:color="auto"/>
              <w:left w:val="nil"/>
              <w:bottom w:val="nil"/>
              <w:right w:val="single" w:sz="8" w:space="0" w:color="auto"/>
            </w:tcBorders>
            <w:shd w:val="clear" w:color="auto" w:fill="auto"/>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Fruit and nuts, uncooked or cooked by steaming or boiling in water, frozen, whether or not containing added sugar or other sweetening matter.</w:t>
            </w:r>
          </w:p>
        </w:tc>
        <w:tc>
          <w:tcPr>
            <w:tcW w:w="1213" w:type="dxa"/>
            <w:vMerge w:val="restart"/>
            <w:tcBorders>
              <w:top w:val="nil"/>
              <w:left w:val="single" w:sz="8" w:space="0" w:color="auto"/>
              <w:bottom w:val="single" w:sz="4" w:space="0" w:color="000000"/>
              <w:right w:val="single" w:sz="4"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950</w:t>
            </w:r>
          </w:p>
        </w:tc>
        <w:tc>
          <w:tcPr>
            <w:tcW w:w="1000"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99%</w:t>
            </w:r>
          </w:p>
        </w:tc>
        <w:tc>
          <w:tcPr>
            <w:tcW w:w="1049"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99%</w:t>
            </w:r>
          </w:p>
        </w:tc>
      </w:tr>
      <w:tr>
        <w:trPr>
          <w:trHeight w:val="450"/>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Raspberries, blackberries, mulberries, loganberries, black, white or red currants and gooseberries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Other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08.11.2091</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 Raspberries</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08.11.2092</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 Blackberries, mulberries or loganberries</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08.11.2093</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 Black currants</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08.11.2094</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 White or red currants</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360"/>
        </w:trPr>
        <w:tc>
          <w:tcPr>
            <w:tcW w:w="2024" w:type="dxa"/>
            <w:tcBorders>
              <w:top w:val="nil"/>
              <w:left w:val="single" w:sz="8" w:space="0" w:color="auto"/>
              <w:bottom w:val="single" w:sz="4" w:space="0" w:color="auto"/>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08.11.2095</w:t>
            </w:r>
          </w:p>
        </w:tc>
        <w:tc>
          <w:tcPr>
            <w:tcW w:w="3886" w:type="dxa"/>
            <w:tcBorders>
              <w:top w:val="nil"/>
              <w:left w:val="nil"/>
              <w:bottom w:val="single" w:sz="4" w:space="0" w:color="auto"/>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 Gooseberries</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855"/>
        </w:trPr>
        <w:tc>
          <w:tcPr>
            <w:tcW w:w="2024" w:type="dxa"/>
            <w:tcBorders>
              <w:top w:val="nil"/>
              <w:left w:val="single" w:sz="8" w:space="0" w:color="auto"/>
              <w:bottom w:val="nil"/>
              <w:right w:val="single" w:sz="8" w:space="0" w:color="auto"/>
            </w:tcBorders>
            <w:shd w:val="clear" w:color="auto" w:fill="auto"/>
            <w:hideMark/>
          </w:tcPr>
          <w:p>
            <w:pPr>
              <w:rPr>
                <w:rFonts w:eastAsia="Times New Roman"/>
                <w:b/>
                <w:bCs/>
                <w:noProof/>
                <w:sz w:val="16"/>
                <w:szCs w:val="16"/>
                <w:lang w:val="en-IE" w:eastAsia="en-IE"/>
              </w:rPr>
            </w:pPr>
            <w:r>
              <w:rPr>
                <w:rFonts w:eastAsia="Times New Roman"/>
                <w:b/>
                <w:bCs/>
                <w:noProof/>
                <w:sz w:val="16"/>
                <w:szCs w:val="16"/>
                <w:lang w:val="en-IE" w:eastAsia="en-IE"/>
              </w:rPr>
              <w:t>08.12</w:t>
            </w:r>
          </w:p>
        </w:tc>
        <w:tc>
          <w:tcPr>
            <w:tcW w:w="3886" w:type="dxa"/>
            <w:tcBorders>
              <w:top w:val="nil"/>
              <w:left w:val="nil"/>
              <w:bottom w:val="nil"/>
              <w:right w:val="single" w:sz="8" w:space="0" w:color="auto"/>
            </w:tcBorders>
            <w:shd w:val="clear" w:color="auto" w:fill="auto"/>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Fruit and nuts, provisionally preserved (for example, by sulphur dioxide gas, in brine, in sulphur water or in other preservative solutions), but unsuitable in that state for immediate consumption.</w:t>
            </w:r>
          </w:p>
        </w:tc>
        <w:tc>
          <w:tcPr>
            <w:tcW w:w="1213" w:type="dxa"/>
            <w:vMerge w:val="restart"/>
            <w:tcBorders>
              <w:top w:val="nil"/>
              <w:left w:val="single" w:sz="8" w:space="0" w:color="auto"/>
              <w:bottom w:val="single" w:sz="4" w:space="0" w:color="000000"/>
              <w:right w:val="single" w:sz="4"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100</w:t>
            </w:r>
          </w:p>
        </w:tc>
        <w:tc>
          <w:tcPr>
            <w:tcW w:w="1000"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0%</w:t>
            </w:r>
          </w:p>
        </w:tc>
        <w:tc>
          <w:tcPr>
            <w:tcW w:w="1049"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0%</w:t>
            </w: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08.12.1000</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Cherries</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10"/>
        </w:trPr>
        <w:tc>
          <w:tcPr>
            <w:tcW w:w="2024" w:type="dxa"/>
            <w:tcBorders>
              <w:top w:val="single" w:sz="4" w:space="0" w:color="auto"/>
              <w:left w:val="single" w:sz="8" w:space="0" w:color="auto"/>
              <w:bottom w:val="nil"/>
              <w:right w:val="single" w:sz="8" w:space="0" w:color="auto"/>
            </w:tcBorders>
            <w:shd w:val="clear" w:color="auto" w:fill="auto"/>
            <w:hideMark/>
          </w:tcPr>
          <w:p>
            <w:pPr>
              <w:rPr>
                <w:rFonts w:eastAsia="Times New Roman"/>
                <w:b/>
                <w:bCs/>
                <w:noProof/>
                <w:sz w:val="16"/>
                <w:szCs w:val="16"/>
                <w:lang w:val="en-IE" w:eastAsia="en-IE"/>
              </w:rPr>
            </w:pPr>
            <w:r>
              <w:rPr>
                <w:rFonts w:eastAsia="Times New Roman"/>
                <w:b/>
                <w:bCs/>
                <w:noProof/>
                <w:sz w:val="16"/>
                <w:szCs w:val="16"/>
                <w:lang w:val="en-IE" w:eastAsia="en-IE"/>
              </w:rPr>
              <w:t>10.01</w:t>
            </w:r>
          </w:p>
        </w:tc>
        <w:tc>
          <w:tcPr>
            <w:tcW w:w="3886" w:type="dxa"/>
            <w:tcBorders>
              <w:top w:val="single" w:sz="4" w:space="0" w:color="auto"/>
              <w:left w:val="nil"/>
              <w:bottom w:val="nil"/>
              <w:right w:val="single" w:sz="8" w:space="0" w:color="auto"/>
            </w:tcBorders>
            <w:shd w:val="clear" w:color="auto" w:fill="auto"/>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Wheat and meslin.</w:t>
            </w:r>
          </w:p>
        </w:tc>
        <w:tc>
          <w:tcPr>
            <w:tcW w:w="1213" w:type="dxa"/>
            <w:vMerge w:val="restart"/>
            <w:tcBorders>
              <w:top w:val="nil"/>
              <w:left w:val="single" w:sz="8" w:space="0" w:color="auto"/>
              <w:bottom w:val="single" w:sz="4" w:space="0" w:color="000000"/>
              <w:right w:val="single" w:sz="4"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5000</w:t>
            </w:r>
          </w:p>
        </w:tc>
        <w:tc>
          <w:tcPr>
            <w:tcW w:w="1000"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24%</w:t>
            </w:r>
          </w:p>
        </w:tc>
        <w:tc>
          <w:tcPr>
            <w:tcW w:w="1049"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30%</w:t>
            </w: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Durum wheat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single" w:sz="4" w:space="0" w:color="auto"/>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10.01.1900</w:t>
            </w:r>
          </w:p>
        </w:tc>
        <w:tc>
          <w:tcPr>
            <w:tcW w:w="3886" w:type="dxa"/>
            <w:tcBorders>
              <w:top w:val="nil"/>
              <w:left w:val="nil"/>
              <w:bottom w:val="single" w:sz="4" w:space="0" w:color="auto"/>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Other</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10"/>
        </w:trPr>
        <w:tc>
          <w:tcPr>
            <w:tcW w:w="2024" w:type="dxa"/>
            <w:tcBorders>
              <w:top w:val="nil"/>
              <w:left w:val="single" w:sz="8" w:space="0" w:color="auto"/>
              <w:bottom w:val="nil"/>
              <w:right w:val="single" w:sz="8" w:space="0" w:color="auto"/>
            </w:tcBorders>
            <w:shd w:val="clear" w:color="auto" w:fill="auto"/>
            <w:hideMark/>
          </w:tcPr>
          <w:p>
            <w:pPr>
              <w:rPr>
                <w:rFonts w:eastAsia="Times New Roman"/>
                <w:b/>
                <w:bCs/>
                <w:noProof/>
                <w:sz w:val="16"/>
                <w:szCs w:val="16"/>
                <w:lang w:val="en-IE" w:eastAsia="en-IE"/>
              </w:rPr>
            </w:pPr>
            <w:r>
              <w:rPr>
                <w:rFonts w:eastAsia="Times New Roman"/>
                <w:b/>
                <w:bCs/>
                <w:noProof/>
                <w:sz w:val="16"/>
                <w:szCs w:val="16"/>
                <w:lang w:val="en-IE" w:eastAsia="en-IE"/>
              </w:rPr>
              <w:t>10.02</w:t>
            </w:r>
          </w:p>
        </w:tc>
        <w:tc>
          <w:tcPr>
            <w:tcW w:w="3886" w:type="dxa"/>
            <w:tcBorders>
              <w:top w:val="nil"/>
              <w:left w:val="nil"/>
              <w:bottom w:val="nil"/>
              <w:right w:val="single" w:sz="8" w:space="0" w:color="auto"/>
            </w:tcBorders>
            <w:shd w:val="clear" w:color="auto" w:fill="auto"/>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Rye.</w:t>
            </w:r>
          </w:p>
        </w:tc>
        <w:tc>
          <w:tcPr>
            <w:tcW w:w="1213" w:type="dxa"/>
            <w:vMerge w:val="restart"/>
            <w:tcBorders>
              <w:top w:val="nil"/>
              <w:left w:val="single" w:sz="8" w:space="0" w:color="auto"/>
              <w:bottom w:val="single" w:sz="4" w:space="0" w:color="000000"/>
              <w:right w:val="single" w:sz="4"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1000</w:t>
            </w:r>
          </w:p>
        </w:tc>
        <w:tc>
          <w:tcPr>
            <w:tcW w:w="1000"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24%</w:t>
            </w:r>
          </w:p>
        </w:tc>
        <w:tc>
          <w:tcPr>
            <w:tcW w:w="1049"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27%</w:t>
            </w:r>
          </w:p>
        </w:tc>
      </w:tr>
      <w:tr>
        <w:trPr>
          <w:trHeight w:val="225"/>
        </w:trPr>
        <w:tc>
          <w:tcPr>
            <w:tcW w:w="2024" w:type="dxa"/>
            <w:tcBorders>
              <w:top w:val="nil"/>
              <w:left w:val="single" w:sz="8" w:space="0" w:color="auto"/>
              <w:bottom w:val="single" w:sz="4" w:space="0" w:color="auto"/>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ex 10.02.1000</w:t>
            </w:r>
          </w:p>
        </w:tc>
        <w:tc>
          <w:tcPr>
            <w:tcW w:w="3886" w:type="dxa"/>
            <w:tcBorders>
              <w:top w:val="nil"/>
              <w:left w:val="nil"/>
              <w:bottom w:val="single" w:sz="4" w:space="0" w:color="auto"/>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Autumn rye</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10"/>
        </w:trPr>
        <w:tc>
          <w:tcPr>
            <w:tcW w:w="2024" w:type="dxa"/>
            <w:tcBorders>
              <w:top w:val="nil"/>
              <w:left w:val="single" w:sz="8" w:space="0" w:color="auto"/>
              <w:bottom w:val="nil"/>
              <w:right w:val="single" w:sz="8" w:space="0" w:color="auto"/>
            </w:tcBorders>
            <w:shd w:val="clear" w:color="auto" w:fill="auto"/>
            <w:hideMark/>
          </w:tcPr>
          <w:p>
            <w:pPr>
              <w:rPr>
                <w:rFonts w:eastAsia="Times New Roman"/>
                <w:b/>
                <w:bCs/>
                <w:noProof/>
                <w:sz w:val="16"/>
                <w:szCs w:val="16"/>
                <w:lang w:val="en-IE" w:eastAsia="en-IE"/>
              </w:rPr>
            </w:pPr>
            <w:r>
              <w:rPr>
                <w:rFonts w:eastAsia="Times New Roman"/>
                <w:b/>
                <w:bCs/>
                <w:noProof/>
                <w:sz w:val="16"/>
                <w:szCs w:val="16"/>
                <w:lang w:val="en-IE" w:eastAsia="en-IE"/>
              </w:rPr>
              <w:t>10.05</w:t>
            </w:r>
          </w:p>
        </w:tc>
        <w:tc>
          <w:tcPr>
            <w:tcW w:w="3886" w:type="dxa"/>
            <w:tcBorders>
              <w:top w:val="nil"/>
              <w:left w:val="nil"/>
              <w:bottom w:val="nil"/>
              <w:right w:val="single" w:sz="8" w:space="0" w:color="auto"/>
            </w:tcBorders>
            <w:shd w:val="clear" w:color="auto" w:fill="auto"/>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Maize (corn).</w:t>
            </w:r>
          </w:p>
        </w:tc>
        <w:tc>
          <w:tcPr>
            <w:tcW w:w="1213" w:type="dxa"/>
            <w:vMerge w:val="restart"/>
            <w:tcBorders>
              <w:top w:val="nil"/>
              <w:left w:val="single" w:sz="8" w:space="0" w:color="auto"/>
              <w:bottom w:val="single" w:sz="4" w:space="0" w:color="000000"/>
              <w:right w:val="single" w:sz="4"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11250</w:t>
            </w:r>
          </w:p>
        </w:tc>
        <w:tc>
          <w:tcPr>
            <w:tcW w:w="1000"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97%</w:t>
            </w:r>
          </w:p>
        </w:tc>
        <w:tc>
          <w:tcPr>
            <w:tcW w:w="1049"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100%</w:t>
            </w: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Other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single" w:sz="4" w:space="0" w:color="auto"/>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10.05.9010</w:t>
            </w:r>
          </w:p>
        </w:tc>
        <w:tc>
          <w:tcPr>
            <w:tcW w:w="3886" w:type="dxa"/>
            <w:tcBorders>
              <w:top w:val="nil"/>
              <w:left w:val="nil"/>
              <w:bottom w:val="single" w:sz="4" w:space="0" w:color="auto"/>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For feed purpose</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10"/>
        </w:trPr>
        <w:tc>
          <w:tcPr>
            <w:tcW w:w="2024" w:type="dxa"/>
            <w:tcBorders>
              <w:top w:val="nil"/>
              <w:left w:val="single" w:sz="8" w:space="0" w:color="auto"/>
              <w:bottom w:val="nil"/>
              <w:right w:val="single" w:sz="8" w:space="0" w:color="auto"/>
            </w:tcBorders>
            <w:shd w:val="clear" w:color="auto" w:fill="auto"/>
            <w:hideMark/>
          </w:tcPr>
          <w:p>
            <w:pPr>
              <w:rPr>
                <w:rFonts w:eastAsia="Times New Roman"/>
                <w:b/>
                <w:bCs/>
                <w:noProof/>
                <w:sz w:val="16"/>
                <w:szCs w:val="16"/>
                <w:lang w:val="en-IE" w:eastAsia="en-IE"/>
              </w:rPr>
            </w:pPr>
            <w:r>
              <w:rPr>
                <w:rFonts w:eastAsia="Times New Roman"/>
                <w:b/>
                <w:bCs/>
                <w:noProof/>
                <w:sz w:val="16"/>
                <w:szCs w:val="16"/>
                <w:lang w:val="en-IE" w:eastAsia="en-IE"/>
              </w:rPr>
              <w:t>11.03</w:t>
            </w:r>
          </w:p>
        </w:tc>
        <w:tc>
          <w:tcPr>
            <w:tcW w:w="3886" w:type="dxa"/>
            <w:tcBorders>
              <w:top w:val="nil"/>
              <w:left w:val="nil"/>
              <w:bottom w:val="nil"/>
              <w:right w:val="single" w:sz="8" w:space="0" w:color="auto"/>
            </w:tcBorders>
            <w:shd w:val="clear" w:color="auto" w:fill="auto"/>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Cereal groats, meal and pellets.</w:t>
            </w:r>
          </w:p>
        </w:tc>
        <w:tc>
          <w:tcPr>
            <w:tcW w:w="1213" w:type="dxa"/>
            <w:vMerge w:val="restart"/>
            <w:tcBorders>
              <w:top w:val="nil"/>
              <w:left w:val="single" w:sz="8" w:space="0" w:color="auto"/>
              <w:bottom w:val="single" w:sz="4" w:space="0" w:color="000000"/>
              <w:right w:val="single" w:sz="4"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10000</w:t>
            </w:r>
          </w:p>
        </w:tc>
        <w:tc>
          <w:tcPr>
            <w:tcW w:w="1000"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98%</w:t>
            </w:r>
          </w:p>
        </w:tc>
        <w:tc>
          <w:tcPr>
            <w:tcW w:w="1049"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100%</w:t>
            </w: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Groats and meal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Of maize (corn)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single" w:sz="4" w:space="0" w:color="auto"/>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11.03.1310</w:t>
            </w:r>
          </w:p>
        </w:tc>
        <w:tc>
          <w:tcPr>
            <w:tcW w:w="3886" w:type="dxa"/>
            <w:tcBorders>
              <w:top w:val="nil"/>
              <w:left w:val="nil"/>
              <w:bottom w:val="single" w:sz="4" w:space="0" w:color="auto"/>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 For feed purpose</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10"/>
        </w:trPr>
        <w:tc>
          <w:tcPr>
            <w:tcW w:w="2024" w:type="dxa"/>
            <w:tcBorders>
              <w:top w:val="nil"/>
              <w:left w:val="single" w:sz="8" w:space="0" w:color="auto"/>
              <w:bottom w:val="nil"/>
              <w:right w:val="single" w:sz="8" w:space="0" w:color="auto"/>
            </w:tcBorders>
            <w:shd w:val="clear" w:color="auto" w:fill="auto"/>
            <w:hideMark/>
          </w:tcPr>
          <w:p>
            <w:pPr>
              <w:rPr>
                <w:rFonts w:eastAsia="Times New Roman"/>
                <w:b/>
                <w:bCs/>
                <w:noProof/>
                <w:sz w:val="16"/>
                <w:szCs w:val="16"/>
                <w:lang w:val="en-IE" w:eastAsia="en-IE"/>
              </w:rPr>
            </w:pPr>
            <w:r>
              <w:rPr>
                <w:rFonts w:eastAsia="Times New Roman"/>
                <w:b/>
                <w:bCs/>
                <w:noProof/>
                <w:sz w:val="16"/>
                <w:szCs w:val="16"/>
                <w:lang w:val="en-IE" w:eastAsia="en-IE"/>
              </w:rPr>
              <w:t>12.09</w:t>
            </w:r>
          </w:p>
        </w:tc>
        <w:tc>
          <w:tcPr>
            <w:tcW w:w="3886" w:type="dxa"/>
            <w:tcBorders>
              <w:top w:val="nil"/>
              <w:left w:val="nil"/>
              <w:bottom w:val="nil"/>
              <w:right w:val="single" w:sz="8" w:space="0" w:color="auto"/>
            </w:tcBorders>
            <w:shd w:val="clear" w:color="auto" w:fill="auto"/>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Seeds, fruit and spores, of a kind used for sowing.</w:t>
            </w:r>
          </w:p>
        </w:tc>
        <w:tc>
          <w:tcPr>
            <w:tcW w:w="1213" w:type="dxa"/>
            <w:vMerge w:val="restart"/>
            <w:tcBorders>
              <w:top w:val="nil"/>
              <w:left w:val="single" w:sz="8" w:space="0" w:color="auto"/>
              <w:bottom w:val="single" w:sz="4" w:space="0" w:color="000000"/>
              <w:right w:val="single" w:sz="4"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400</w:t>
            </w:r>
          </w:p>
        </w:tc>
        <w:tc>
          <w:tcPr>
            <w:tcW w:w="1000"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95%</w:t>
            </w:r>
          </w:p>
        </w:tc>
        <w:tc>
          <w:tcPr>
            <w:tcW w:w="1049"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89%</w:t>
            </w: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Seeds of forage plants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single" w:sz="4" w:space="0" w:color="auto"/>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12.09.2300</w:t>
            </w:r>
          </w:p>
        </w:tc>
        <w:tc>
          <w:tcPr>
            <w:tcW w:w="3886" w:type="dxa"/>
            <w:tcBorders>
              <w:top w:val="nil"/>
              <w:left w:val="nil"/>
              <w:bottom w:val="single" w:sz="4" w:space="0" w:color="auto"/>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Fescue seeds</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10"/>
        </w:trPr>
        <w:tc>
          <w:tcPr>
            <w:tcW w:w="2024" w:type="dxa"/>
            <w:tcBorders>
              <w:top w:val="nil"/>
              <w:left w:val="single" w:sz="8" w:space="0" w:color="auto"/>
              <w:bottom w:val="nil"/>
              <w:right w:val="single" w:sz="8" w:space="0" w:color="auto"/>
            </w:tcBorders>
            <w:shd w:val="clear" w:color="auto" w:fill="auto"/>
            <w:hideMark/>
          </w:tcPr>
          <w:p>
            <w:pPr>
              <w:rPr>
                <w:rFonts w:eastAsia="Times New Roman"/>
                <w:b/>
                <w:bCs/>
                <w:noProof/>
                <w:sz w:val="16"/>
                <w:szCs w:val="16"/>
                <w:lang w:val="en-IE" w:eastAsia="en-IE"/>
              </w:rPr>
            </w:pPr>
            <w:r>
              <w:rPr>
                <w:rFonts w:eastAsia="Times New Roman"/>
                <w:b/>
                <w:bCs/>
                <w:noProof/>
                <w:sz w:val="16"/>
                <w:szCs w:val="16"/>
                <w:lang w:val="en-IE" w:eastAsia="en-IE"/>
              </w:rPr>
              <w:t>12.09</w:t>
            </w:r>
          </w:p>
        </w:tc>
        <w:tc>
          <w:tcPr>
            <w:tcW w:w="3886" w:type="dxa"/>
            <w:tcBorders>
              <w:top w:val="nil"/>
              <w:left w:val="nil"/>
              <w:bottom w:val="nil"/>
              <w:right w:val="single" w:sz="8" w:space="0" w:color="auto"/>
            </w:tcBorders>
            <w:shd w:val="clear" w:color="auto" w:fill="auto"/>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Seeds, fruit and spores, of a kind used for sowing.</w:t>
            </w:r>
          </w:p>
        </w:tc>
        <w:tc>
          <w:tcPr>
            <w:tcW w:w="1213" w:type="dxa"/>
            <w:vMerge w:val="restart"/>
            <w:tcBorders>
              <w:top w:val="nil"/>
              <w:left w:val="single" w:sz="8" w:space="0" w:color="auto"/>
              <w:bottom w:val="single" w:sz="4" w:space="0" w:color="000000"/>
              <w:right w:val="single" w:sz="4"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75</w:t>
            </w:r>
          </w:p>
        </w:tc>
        <w:tc>
          <w:tcPr>
            <w:tcW w:w="1000"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92%</w:t>
            </w:r>
          </w:p>
        </w:tc>
        <w:tc>
          <w:tcPr>
            <w:tcW w:w="1049"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96%</w:t>
            </w: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Seeds of forage plants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12.09.2300</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Fescue seeds</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10"/>
        </w:trPr>
        <w:tc>
          <w:tcPr>
            <w:tcW w:w="2024" w:type="dxa"/>
            <w:tcBorders>
              <w:top w:val="single" w:sz="4" w:space="0" w:color="auto"/>
              <w:left w:val="single" w:sz="8" w:space="0" w:color="auto"/>
              <w:bottom w:val="nil"/>
              <w:right w:val="single" w:sz="8" w:space="0" w:color="auto"/>
            </w:tcBorders>
            <w:shd w:val="clear" w:color="auto" w:fill="auto"/>
            <w:hideMark/>
          </w:tcPr>
          <w:p>
            <w:pPr>
              <w:rPr>
                <w:rFonts w:eastAsia="Times New Roman"/>
                <w:b/>
                <w:bCs/>
                <w:noProof/>
                <w:sz w:val="16"/>
                <w:szCs w:val="16"/>
                <w:lang w:val="en-IE" w:eastAsia="en-IE"/>
              </w:rPr>
            </w:pPr>
            <w:r>
              <w:rPr>
                <w:rFonts w:eastAsia="Times New Roman"/>
                <w:b/>
                <w:bCs/>
                <w:noProof/>
                <w:sz w:val="16"/>
                <w:szCs w:val="16"/>
                <w:lang w:val="en-IE" w:eastAsia="en-IE"/>
              </w:rPr>
              <w:t>12.09</w:t>
            </w:r>
          </w:p>
        </w:tc>
        <w:tc>
          <w:tcPr>
            <w:tcW w:w="3886" w:type="dxa"/>
            <w:tcBorders>
              <w:top w:val="single" w:sz="4" w:space="0" w:color="auto"/>
              <w:left w:val="nil"/>
              <w:bottom w:val="nil"/>
              <w:right w:val="single" w:sz="8" w:space="0" w:color="auto"/>
            </w:tcBorders>
            <w:shd w:val="clear" w:color="auto" w:fill="auto"/>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Seeds, fruit and spores, of a kind used for sowing.</w:t>
            </w:r>
          </w:p>
        </w:tc>
        <w:tc>
          <w:tcPr>
            <w:tcW w:w="1213" w:type="dxa"/>
            <w:vMerge w:val="restart"/>
            <w:tcBorders>
              <w:top w:val="nil"/>
              <w:left w:val="single" w:sz="8" w:space="0" w:color="auto"/>
              <w:bottom w:val="single" w:sz="4" w:space="0" w:color="000000"/>
              <w:right w:val="single" w:sz="4"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200</w:t>
            </w:r>
          </w:p>
        </w:tc>
        <w:tc>
          <w:tcPr>
            <w:tcW w:w="1000"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74%</w:t>
            </w:r>
          </w:p>
        </w:tc>
        <w:tc>
          <w:tcPr>
            <w:tcW w:w="1049"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77%</w:t>
            </w: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Seeds of forage plants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70"/>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12.09.2400</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Kentucky blue grass (Poa pratensis L.) seeds</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10"/>
        </w:trPr>
        <w:tc>
          <w:tcPr>
            <w:tcW w:w="2024" w:type="dxa"/>
            <w:tcBorders>
              <w:top w:val="single" w:sz="4" w:space="0" w:color="auto"/>
              <w:left w:val="single" w:sz="8" w:space="0" w:color="auto"/>
              <w:bottom w:val="nil"/>
              <w:right w:val="single" w:sz="8" w:space="0" w:color="auto"/>
            </w:tcBorders>
            <w:shd w:val="clear" w:color="auto" w:fill="auto"/>
            <w:hideMark/>
          </w:tcPr>
          <w:p>
            <w:pPr>
              <w:rPr>
                <w:rFonts w:eastAsia="Times New Roman"/>
                <w:b/>
                <w:bCs/>
                <w:noProof/>
                <w:sz w:val="16"/>
                <w:szCs w:val="16"/>
                <w:lang w:val="en-IE" w:eastAsia="en-IE"/>
              </w:rPr>
            </w:pPr>
            <w:r>
              <w:rPr>
                <w:rFonts w:eastAsia="Times New Roman"/>
                <w:b/>
                <w:bCs/>
                <w:noProof/>
                <w:sz w:val="16"/>
                <w:szCs w:val="16"/>
                <w:lang w:val="en-IE" w:eastAsia="en-IE"/>
              </w:rPr>
              <w:t>12.09</w:t>
            </w:r>
          </w:p>
        </w:tc>
        <w:tc>
          <w:tcPr>
            <w:tcW w:w="3886" w:type="dxa"/>
            <w:tcBorders>
              <w:top w:val="single" w:sz="4" w:space="0" w:color="auto"/>
              <w:left w:val="nil"/>
              <w:bottom w:val="nil"/>
              <w:right w:val="single" w:sz="8" w:space="0" w:color="auto"/>
            </w:tcBorders>
            <w:shd w:val="clear" w:color="auto" w:fill="auto"/>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Seeds, fruit and spores, of a kind used for sowing.</w:t>
            </w:r>
          </w:p>
        </w:tc>
        <w:tc>
          <w:tcPr>
            <w:tcW w:w="1213" w:type="dxa"/>
            <w:vMerge w:val="restart"/>
            <w:tcBorders>
              <w:top w:val="nil"/>
              <w:left w:val="single" w:sz="8" w:space="0" w:color="auto"/>
              <w:bottom w:val="single" w:sz="4" w:space="0" w:color="000000"/>
              <w:right w:val="single" w:sz="4"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50</w:t>
            </w:r>
          </w:p>
        </w:tc>
        <w:tc>
          <w:tcPr>
            <w:tcW w:w="1000"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53%</w:t>
            </w:r>
          </w:p>
        </w:tc>
        <w:tc>
          <w:tcPr>
            <w:tcW w:w="1049"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92%</w:t>
            </w: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Seeds of forage plants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single" w:sz="4" w:space="0" w:color="auto"/>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12.09.2400</w:t>
            </w:r>
          </w:p>
        </w:tc>
        <w:tc>
          <w:tcPr>
            <w:tcW w:w="3886" w:type="dxa"/>
            <w:tcBorders>
              <w:top w:val="nil"/>
              <w:left w:val="nil"/>
              <w:bottom w:val="single" w:sz="4" w:space="0" w:color="auto"/>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Kentucky blue grass (Poa pratensis L.) seeds</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10"/>
        </w:trPr>
        <w:tc>
          <w:tcPr>
            <w:tcW w:w="2024" w:type="dxa"/>
            <w:tcBorders>
              <w:top w:val="nil"/>
              <w:left w:val="single" w:sz="8" w:space="0" w:color="auto"/>
              <w:bottom w:val="nil"/>
              <w:right w:val="single" w:sz="8" w:space="0" w:color="auto"/>
            </w:tcBorders>
            <w:shd w:val="clear" w:color="auto" w:fill="auto"/>
            <w:hideMark/>
          </w:tcPr>
          <w:p>
            <w:pPr>
              <w:rPr>
                <w:rFonts w:eastAsia="Times New Roman"/>
                <w:b/>
                <w:bCs/>
                <w:noProof/>
                <w:sz w:val="16"/>
                <w:szCs w:val="16"/>
                <w:lang w:val="en-IE" w:eastAsia="en-IE"/>
              </w:rPr>
            </w:pPr>
            <w:r>
              <w:rPr>
                <w:rFonts w:eastAsia="Times New Roman"/>
                <w:b/>
                <w:bCs/>
                <w:noProof/>
                <w:sz w:val="16"/>
                <w:szCs w:val="16"/>
                <w:lang w:val="en-IE" w:eastAsia="en-IE"/>
              </w:rPr>
              <w:t>12.09</w:t>
            </w:r>
          </w:p>
        </w:tc>
        <w:tc>
          <w:tcPr>
            <w:tcW w:w="3886" w:type="dxa"/>
            <w:tcBorders>
              <w:top w:val="nil"/>
              <w:left w:val="nil"/>
              <w:bottom w:val="nil"/>
              <w:right w:val="single" w:sz="8" w:space="0" w:color="auto"/>
            </w:tcBorders>
            <w:shd w:val="clear" w:color="auto" w:fill="auto"/>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Seeds, fruit and spores, of a kind used for sowing.</w:t>
            </w:r>
          </w:p>
        </w:tc>
        <w:tc>
          <w:tcPr>
            <w:tcW w:w="1213" w:type="dxa"/>
            <w:vMerge w:val="restart"/>
            <w:tcBorders>
              <w:top w:val="nil"/>
              <w:left w:val="single" w:sz="8" w:space="0" w:color="auto"/>
              <w:bottom w:val="single" w:sz="4" w:space="0" w:color="000000"/>
              <w:right w:val="single" w:sz="4"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700</w:t>
            </w:r>
          </w:p>
        </w:tc>
        <w:tc>
          <w:tcPr>
            <w:tcW w:w="1000"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99%</w:t>
            </w:r>
          </w:p>
        </w:tc>
        <w:tc>
          <w:tcPr>
            <w:tcW w:w="1049"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87%</w:t>
            </w: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Seeds of forage plants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450"/>
        </w:trPr>
        <w:tc>
          <w:tcPr>
            <w:tcW w:w="2024" w:type="dxa"/>
            <w:tcBorders>
              <w:top w:val="nil"/>
              <w:left w:val="single" w:sz="8" w:space="0" w:color="auto"/>
              <w:bottom w:val="single" w:sz="4" w:space="0" w:color="auto"/>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12.09.2500</w:t>
            </w:r>
          </w:p>
        </w:tc>
        <w:tc>
          <w:tcPr>
            <w:tcW w:w="3886" w:type="dxa"/>
            <w:tcBorders>
              <w:top w:val="nil"/>
              <w:left w:val="nil"/>
              <w:bottom w:val="single" w:sz="4" w:space="0" w:color="auto"/>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Rye grass (Lolium multiflorum Lam., Lolium perenne L.) seeds</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630"/>
        </w:trPr>
        <w:tc>
          <w:tcPr>
            <w:tcW w:w="2024" w:type="dxa"/>
            <w:tcBorders>
              <w:top w:val="nil"/>
              <w:left w:val="single" w:sz="8" w:space="0" w:color="auto"/>
              <w:bottom w:val="nil"/>
              <w:right w:val="single" w:sz="8" w:space="0" w:color="auto"/>
            </w:tcBorders>
            <w:shd w:val="clear" w:color="auto" w:fill="auto"/>
            <w:hideMark/>
          </w:tcPr>
          <w:p>
            <w:pPr>
              <w:rPr>
                <w:rFonts w:eastAsia="Times New Roman"/>
                <w:b/>
                <w:bCs/>
                <w:noProof/>
                <w:sz w:val="16"/>
                <w:szCs w:val="16"/>
                <w:lang w:val="en-IE" w:eastAsia="en-IE"/>
              </w:rPr>
            </w:pPr>
            <w:r>
              <w:rPr>
                <w:rFonts w:eastAsia="Times New Roman"/>
                <w:b/>
                <w:bCs/>
                <w:noProof/>
                <w:sz w:val="16"/>
                <w:szCs w:val="16"/>
                <w:lang w:val="en-IE" w:eastAsia="en-IE"/>
              </w:rPr>
              <w:t>12.14</w:t>
            </w:r>
          </w:p>
        </w:tc>
        <w:tc>
          <w:tcPr>
            <w:tcW w:w="3886" w:type="dxa"/>
            <w:tcBorders>
              <w:top w:val="nil"/>
              <w:left w:val="nil"/>
              <w:bottom w:val="nil"/>
              <w:right w:val="single" w:sz="8" w:space="0" w:color="auto"/>
            </w:tcBorders>
            <w:shd w:val="clear" w:color="auto" w:fill="auto"/>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Swedes, mangolds, fodder roots, hay, lucerne (alfalfa), clover, sainfoin, forage kale, lupines, vetches and similar forage products, whether or not in the form of pellets.</w:t>
            </w:r>
          </w:p>
        </w:tc>
        <w:tc>
          <w:tcPr>
            <w:tcW w:w="1213" w:type="dxa"/>
            <w:vMerge w:val="restart"/>
            <w:tcBorders>
              <w:top w:val="nil"/>
              <w:left w:val="single" w:sz="8" w:space="0" w:color="auto"/>
              <w:bottom w:val="single" w:sz="4" w:space="0" w:color="000000"/>
              <w:right w:val="single" w:sz="4"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35000</w:t>
            </w:r>
          </w:p>
        </w:tc>
        <w:tc>
          <w:tcPr>
            <w:tcW w:w="1000"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53%</w:t>
            </w:r>
          </w:p>
        </w:tc>
        <w:tc>
          <w:tcPr>
            <w:tcW w:w="1049"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52%</w:t>
            </w: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Other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Other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single" w:sz="4" w:space="0" w:color="auto"/>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12.14.9091</w:t>
            </w:r>
          </w:p>
        </w:tc>
        <w:tc>
          <w:tcPr>
            <w:tcW w:w="3886" w:type="dxa"/>
            <w:tcBorders>
              <w:top w:val="nil"/>
              <w:left w:val="nil"/>
              <w:bottom w:val="single" w:sz="4" w:space="0" w:color="auto"/>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 Hay</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420"/>
        </w:trPr>
        <w:tc>
          <w:tcPr>
            <w:tcW w:w="2024" w:type="dxa"/>
            <w:tcBorders>
              <w:top w:val="nil"/>
              <w:left w:val="single" w:sz="8" w:space="0" w:color="auto"/>
              <w:bottom w:val="single" w:sz="4" w:space="0" w:color="auto"/>
              <w:right w:val="single" w:sz="8" w:space="0" w:color="auto"/>
            </w:tcBorders>
            <w:shd w:val="clear" w:color="auto" w:fill="auto"/>
            <w:hideMark/>
          </w:tcPr>
          <w:p>
            <w:pPr>
              <w:rPr>
                <w:rFonts w:eastAsia="Times New Roman"/>
                <w:b/>
                <w:bCs/>
                <w:noProof/>
                <w:sz w:val="16"/>
                <w:szCs w:val="16"/>
                <w:lang w:val="en-IE" w:eastAsia="en-IE"/>
              </w:rPr>
            </w:pPr>
            <w:r>
              <w:rPr>
                <w:rFonts w:eastAsia="Times New Roman"/>
                <w:b/>
                <w:bCs/>
                <w:noProof/>
                <w:sz w:val="16"/>
                <w:szCs w:val="16"/>
                <w:lang w:val="en-IE" w:eastAsia="en-IE"/>
              </w:rPr>
              <w:t>16.01.0000</w:t>
            </w:r>
          </w:p>
        </w:tc>
        <w:tc>
          <w:tcPr>
            <w:tcW w:w="3886" w:type="dxa"/>
            <w:tcBorders>
              <w:top w:val="nil"/>
              <w:left w:val="nil"/>
              <w:bottom w:val="single" w:sz="4" w:space="0" w:color="auto"/>
              <w:right w:val="single" w:sz="8" w:space="0" w:color="auto"/>
            </w:tcBorders>
            <w:shd w:val="clear" w:color="auto" w:fill="auto"/>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Sausages and similar products, of meat, meat offal or blood; food preparations based on these products.</w:t>
            </w:r>
          </w:p>
        </w:tc>
        <w:tc>
          <w:tcPr>
            <w:tcW w:w="1213" w:type="dxa"/>
            <w:tcBorders>
              <w:top w:val="nil"/>
              <w:left w:val="nil"/>
              <w:bottom w:val="single" w:sz="4" w:space="0" w:color="auto"/>
              <w:right w:val="single" w:sz="4"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450</w:t>
            </w:r>
          </w:p>
        </w:tc>
        <w:tc>
          <w:tcPr>
            <w:tcW w:w="1000" w:type="dxa"/>
            <w:tcBorders>
              <w:top w:val="nil"/>
              <w:left w:val="nil"/>
              <w:bottom w:val="single" w:sz="4" w:space="0" w:color="auto"/>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91%</w:t>
            </w:r>
          </w:p>
        </w:tc>
        <w:tc>
          <w:tcPr>
            <w:tcW w:w="1049" w:type="dxa"/>
            <w:tcBorders>
              <w:top w:val="nil"/>
              <w:left w:val="nil"/>
              <w:bottom w:val="single" w:sz="4" w:space="0" w:color="auto"/>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88%</w:t>
            </w:r>
          </w:p>
        </w:tc>
      </w:tr>
      <w:tr>
        <w:trPr>
          <w:trHeight w:val="210"/>
        </w:trPr>
        <w:tc>
          <w:tcPr>
            <w:tcW w:w="2024" w:type="dxa"/>
            <w:tcBorders>
              <w:top w:val="nil"/>
              <w:left w:val="single" w:sz="8" w:space="0" w:color="auto"/>
              <w:bottom w:val="nil"/>
              <w:right w:val="single" w:sz="8" w:space="0" w:color="auto"/>
            </w:tcBorders>
            <w:shd w:val="clear" w:color="auto" w:fill="auto"/>
            <w:hideMark/>
          </w:tcPr>
          <w:p>
            <w:pPr>
              <w:rPr>
                <w:rFonts w:eastAsia="Times New Roman"/>
                <w:b/>
                <w:bCs/>
                <w:noProof/>
                <w:sz w:val="16"/>
                <w:szCs w:val="16"/>
                <w:lang w:val="en-IE" w:eastAsia="en-IE"/>
              </w:rPr>
            </w:pPr>
            <w:r>
              <w:rPr>
                <w:rFonts w:eastAsia="Times New Roman"/>
                <w:b/>
                <w:bCs/>
                <w:noProof/>
                <w:sz w:val="16"/>
                <w:szCs w:val="16"/>
                <w:lang w:val="en-IE" w:eastAsia="en-IE"/>
              </w:rPr>
              <w:t>16.02</w:t>
            </w:r>
          </w:p>
        </w:tc>
        <w:tc>
          <w:tcPr>
            <w:tcW w:w="3886" w:type="dxa"/>
            <w:tcBorders>
              <w:top w:val="nil"/>
              <w:left w:val="nil"/>
              <w:bottom w:val="nil"/>
              <w:right w:val="single" w:sz="8" w:space="0" w:color="auto"/>
            </w:tcBorders>
            <w:shd w:val="clear" w:color="auto" w:fill="auto"/>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Other prepared or preserved meat, meat offal or blood.</w:t>
            </w:r>
          </w:p>
        </w:tc>
        <w:tc>
          <w:tcPr>
            <w:tcW w:w="1213" w:type="dxa"/>
            <w:vMerge w:val="restart"/>
            <w:tcBorders>
              <w:top w:val="nil"/>
              <w:left w:val="single" w:sz="8" w:space="0" w:color="auto"/>
              <w:bottom w:val="single" w:sz="4" w:space="0" w:color="000000"/>
              <w:right w:val="single" w:sz="4"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350</w:t>
            </w:r>
          </w:p>
        </w:tc>
        <w:tc>
          <w:tcPr>
            <w:tcW w:w="1000"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32%</w:t>
            </w:r>
          </w:p>
        </w:tc>
        <w:tc>
          <w:tcPr>
            <w:tcW w:w="1049"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30%</w:t>
            </w: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Of swine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Other, including mixtures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16.02.4910</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 "Bacon crisp"</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10"/>
        </w:trPr>
        <w:tc>
          <w:tcPr>
            <w:tcW w:w="2024" w:type="dxa"/>
            <w:tcBorders>
              <w:top w:val="single" w:sz="4" w:space="0" w:color="auto"/>
              <w:left w:val="single" w:sz="8" w:space="0" w:color="auto"/>
              <w:bottom w:val="nil"/>
              <w:right w:val="single" w:sz="8" w:space="0" w:color="auto"/>
            </w:tcBorders>
            <w:shd w:val="clear" w:color="auto" w:fill="auto"/>
            <w:hideMark/>
          </w:tcPr>
          <w:p>
            <w:pPr>
              <w:rPr>
                <w:rFonts w:eastAsia="Times New Roman"/>
                <w:b/>
                <w:bCs/>
                <w:noProof/>
                <w:sz w:val="16"/>
                <w:szCs w:val="16"/>
                <w:lang w:val="en-IE" w:eastAsia="en-IE"/>
              </w:rPr>
            </w:pPr>
            <w:r>
              <w:rPr>
                <w:rFonts w:eastAsia="Times New Roman"/>
                <w:b/>
                <w:bCs/>
                <w:noProof/>
                <w:sz w:val="16"/>
                <w:szCs w:val="16"/>
                <w:lang w:val="en-IE" w:eastAsia="en-IE"/>
              </w:rPr>
              <w:t>16.02</w:t>
            </w:r>
          </w:p>
        </w:tc>
        <w:tc>
          <w:tcPr>
            <w:tcW w:w="3886" w:type="dxa"/>
            <w:tcBorders>
              <w:top w:val="single" w:sz="4" w:space="0" w:color="auto"/>
              <w:left w:val="nil"/>
              <w:bottom w:val="nil"/>
              <w:right w:val="single" w:sz="8" w:space="0" w:color="auto"/>
            </w:tcBorders>
            <w:shd w:val="clear" w:color="auto" w:fill="auto"/>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Other prepared or preserved meat, meat offal or blood.</w:t>
            </w:r>
          </w:p>
        </w:tc>
        <w:tc>
          <w:tcPr>
            <w:tcW w:w="1213" w:type="dxa"/>
            <w:vMerge w:val="restart"/>
            <w:tcBorders>
              <w:top w:val="nil"/>
              <w:left w:val="single" w:sz="8" w:space="0" w:color="auto"/>
              <w:bottom w:val="single" w:sz="4" w:space="0" w:color="000000"/>
              <w:right w:val="single" w:sz="4"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200</w:t>
            </w:r>
          </w:p>
        </w:tc>
        <w:tc>
          <w:tcPr>
            <w:tcW w:w="1000"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50%</w:t>
            </w:r>
          </w:p>
        </w:tc>
        <w:tc>
          <w:tcPr>
            <w:tcW w:w="1049"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43%</w:t>
            </w: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Of bovine animals</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450"/>
        </w:trPr>
        <w:tc>
          <w:tcPr>
            <w:tcW w:w="2024" w:type="dxa"/>
            <w:tcBorders>
              <w:top w:val="nil"/>
              <w:left w:val="single" w:sz="8" w:space="0" w:color="auto"/>
              <w:bottom w:val="single" w:sz="4" w:space="0" w:color="auto"/>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16.02.5001</w:t>
            </w:r>
          </w:p>
        </w:tc>
        <w:tc>
          <w:tcPr>
            <w:tcW w:w="3886" w:type="dxa"/>
            <w:tcBorders>
              <w:top w:val="nil"/>
              <w:left w:val="nil"/>
              <w:bottom w:val="single" w:sz="4" w:space="0" w:color="auto"/>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Meatballs, each of a weight of 25 grams or less, diameter 3 cm or less and containing 18% fat or less</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630"/>
        </w:trPr>
        <w:tc>
          <w:tcPr>
            <w:tcW w:w="2024" w:type="dxa"/>
            <w:tcBorders>
              <w:top w:val="nil"/>
              <w:left w:val="single" w:sz="8" w:space="0" w:color="auto"/>
              <w:bottom w:val="nil"/>
              <w:right w:val="single" w:sz="8" w:space="0" w:color="auto"/>
            </w:tcBorders>
            <w:shd w:val="clear" w:color="auto" w:fill="auto"/>
            <w:hideMark/>
          </w:tcPr>
          <w:p>
            <w:pPr>
              <w:rPr>
                <w:rFonts w:eastAsia="Times New Roman"/>
                <w:b/>
                <w:bCs/>
                <w:noProof/>
                <w:sz w:val="16"/>
                <w:szCs w:val="16"/>
                <w:lang w:val="en-IE" w:eastAsia="en-IE"/>
              </w:rPr>
            </w:pPr>
            <w:r>
              <w:rPr>
                <w:rFonts w:eastAsia="Times New Roman"/>
                <w:b/>
                <w:bCs/>
                <w:noProof/>
                <w:sz w:val="16"/>
                <w:szCs w:val="16"/>
                <w:lang w:val="en-IE" w:eastAsia="en-IE"/>
              </w:rPr>
              <w:t>20.05</w:t>
            </w:r>
          </w:p>
        </w:tc>
        <w:tc>
          <w:tcPr>
            <w:tcW w:w="3886" w:type="dxa"/>
            <w:tcBorders>
              <w:top w:val="nil"/>
              <w:left w:val="nil"/>
              <w:bottom w:val="nil"/>
              <w:right w:val="single" w:sz="8" w:space="0" w:color="auto"/>
            </w:tcBorders>
            <w:shd w:val="clear" w:color="auto" w:fill="auto"/>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Other vegetables prepared or preserved otherwise than by vinegar or acetic acid, not frozen, other than products of heading 20.06.</w:t>
            </w:r>
          </w:p>
        </w:tc>
        <w:tc>
          <w:tcPr>
            <w:tcW w:w="1213" w:type="dxa"/>
            <w:vMerge w:val="restart"/>
            <w:tcBorders>
              <w:top w:val="nil"/>
              <w:left w:val="single" w:sz="8" w:space="0" w:color="auto"/>
              <w:bottom w:val="single" w:sz="4" w:space="0" w:color="000000"/>
              <w:right w:val="single" w:sz="4"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3000</w:t>
            </w:r>
          </w:p>
        </w:tc>
        <w:tc>
          <w:tcPr>
            <w:tcW w:w="1000"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58%</w:t>
            </w:r>
          </w:p>
        </w:tc>
        <w:tc>
          <w:tcPr>
            <w:tcW w:w="1049"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57%</w:t>
            </w: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Potatoes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Other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single" w:sz="4" w:space="0" w:color="auto"/>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20.05.2091</w:t>
            </w:r>
          </w:p>
        </w:tc>
        <w:tc>
          <w:tcPr>
            <w:tcW w:w="3886" w:type="dxa"/>
            <w:tcBorders>
              <w:top w:val="nil"/>
              <w:left w:val="nil"/>
              <w:bottom w:val="single" w:sz="4" w:space="0" w:color="auto"/>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 Semi-manufactures for the production of snacks</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840"/>
        </w:trPr>
        <w:tc>
          <w:tcPr>
            <w:tcW w:w="2024" w:type="dxa"/>
            <w:tcBorders>
              <w:top w:val="nil"/>
              <w:left w:val="single" w:sz="8" w:space="0" w:color="auto"/>
              <w:bottom w:val="nil"/>
              <w:right w:val="single" w:sz="8" w:space="0" w:color="auto"/>
            </w:tcBorders>
            <w:shd w:val="clear" w:color="auto" w:fill="auto"/>
            <w:hideMark/>
          </w:tcPr>
          <w:p>
            <w:pPr>
              <w:rPr>
                <w:rFonts w:eastAsia="Times New Roman"/>
                <w:b/>
                <w:bCs/>
                <w:noProof/>
                <w:sz w:val="16"/>
                <w:szCs w:val="16"/>
                <w:lang w:val="en-IE" w:eastAsia="en-IE"/>
              </w:rPr>
            </w:pPr>
            <w:r>
              <w:rPr>
                <w:rFonts w:eastAsia="Times New Roman"/>
                <w:b/>
                <w:bCs/>
                <w:noProof/>
                <w:sz w:val="16"/>
                <w:szCs w:val="16"/>
                <w:lang w:val="en-IE" w:eastAsia="en-IE"/>
              </w:rPr>
              <w:t>20.09</w:t>
            </w:r>
          </w:p>
        </w:tc>
        <w:tc>
          <w:tcPr>
            <w:tcW w:w="3886" w:type="dxa"/>
            <w:tcBorders>
              <w:top w:val="nil"/>
              <w:left w:val="nil"/>
              <w:bottom w:val="nil"/>
              <w:right w:val="single" w:sz="8" w:space="0" w:color="auto"/>
            </w:tcBorders>
            <w:shd w:val="clear" w:color="auto" w:fill="auto"/>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Fruit juices (including grape must) and vegetable juices, unfermented and not containing added spirit, whether or not containing added sugar or other sweetening matter.</w:t>
            </w:r>
          </w:p>
        </w:tc>
        <w:tc>
          <w:tcPr>
            <w:tcW w:w="1213" w:type="dxa"/>
            <w:vMerge w:val="restart"/>
            <w:tcBorders>
              <w:top w:val="nil"/>
              <w:left w:val="single" w:sz="8" w:space="0" w:color="auto"/>
              <w:bottom w:val="single" w:sz="4" w:space="0" w:color="000000"/>
              <w:right w:val="single" w:sz="4"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3300</w:t>
            </w:r>
          </w:p>
        </w:tc>
        <w:tc>
          <w:tcPr>
            <w:tcW w:w="1000"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99%</w:t>
            </w:r>
          </w:p>
        </w:tc>
        <w:tc>
          <w:tcPr>
            <w:tcW w:w="1049"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100%</w:t>
            </w: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Apple juice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20.09.7100</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Of a Brix value not exceeding 20</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300"/>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20.09.7900</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Other</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840"/>
        </w:trPr>
        <w:tc>
          <w:tcPr>
            <w:tcW w:w="2024" w:type="dxa"/>
            <w:tcBorders>
              <w:top w:val="single" w:sz="4" w:space="0" w:color="auto"/>
              <w:left w:val="single" w:sz="8" w:space="0" w:color="auto"/>
              <w:bottom w:val="nil"/>
              <w:right w:val="single" w:sz="8" w:space="0" w:color="auto"/>
            </w:tcBorders>
            <w:shd w:val="clear" w:color="auto" w:fill="auto"/>
            <w:hideMark/>
          </w:tcPr>
          <w:p>
            <w:pPr>
              <w:rPr>
                <w:rFonts w:eastAsia="Times New Roman"/>
                <w:b/>
                <w:bCs/>
                <w:noProof/>
                <w:sz w:val="16"/>
                <w:szCs w:val="16"/>
                <w:lang w:val="en-IE" w:eastAsia="en-IE"/>
              </w:rPr>
            </w:pPr>
            <w:r>
              <w:rPr>
                <w:rFonts w:eastAsia="Times New Roman"/>
                <w:b/>
                <w:bCs/>
                <w:noProof/>
                <w:sz w:val="16"/>
                <w:szCs w:val="16"/>
                <w:lang w:val="en-IE" w:eastAsia="en-IE"/>
              </w:rPr>
              <w:t>20.09</w:t>
            </w:r>
          </w:p>
        </w:tc>
        <w:tc>
          <w:tcPr>
            <w:tcW w:w="3886" w:type="dxa"/>
            <w:tcBorders>
              <w:top w:val="single" w:sz="4" w:space="0" w:color="auto"/>
              <w:left w:val="nil"/>
              <w:bottom w:val="nil"/>
              <w:right w:val="single" w:sz="8" w:space="0" w:color="auto"/>
            </w:tcBorders>
            <w:shd w:val="clear" w:color="auto" w:fill="auto"/>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Fruit juices (including grape must) and vegetable juices, unfermented and not containing added spirit, whether or not containing added sugar or other sweetening matter.</w:t>
            </w:r>
          </w:p>
        </w:tc>
        <w:tc>
          <w:tcPr>
            <w:tcW w:w="1213" w:type="dxa"/>
            <w:vMerge w:val="restart"/>
            <w:tcBorders>
              <w:top w:val="nil"/>
              <w:left w:val="single" w:sz="8" w:space="0" w:color="auto"/>
              <w:bottom w:val="single" w:sz="4" w:space="0" w:color="000000"/>
              <w:right w:val="single" w:sz="4"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 </w:t>
            </w:r>
          </w:p>
        </w:tc>
        <w:tc>
          <w:tcPr>
            <w:tcW w:w="1000"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 </w:t>
            </w:r>
          </w:p>
        </w:tc>
        <w:tc>
          <w:tcPr>
            <w:tcW w:w="1049"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100%</w:t>
            </w: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b/>
                <w:bCs/>
                <w:noProof/>
                <w:sz w:val="16"/>
                <w:szCs w:val="16"/>
                <w:lang w:val="en-IE" w:eastAsia="en-IE"/>
              </w:rPr>
            </w:pPr>
            <w:r>
              <w:rPr>
                <w:rFonts w:eastAsia="Times New Roman"/>
                <w:b/>
                <w:bCs/>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Unmixted juices of other fruites and vegetables:</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5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Other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 Black currant juice:</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20.09.8911</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 - Containing added sugar or other sweetening matter</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70"/>
        </w:trPr>
        <w:tc>
          <w:tcPr>
            <w:tcW w:w="2024" w:type="dxa"/>
            <w:tcBorders>
              <w:top w:val="nil"/>
              <w:left w:val="single" w:sz="8" w:space="0" w:color="auto"/>
              <w:bottom w:val="single" w:sz="4" w:space="0" w:color="auto"/>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20.09.8919</w:t>
            </w:r>
          </w:p>
        </w:tc>
        <w:tc>
          <w:tcPr>
            <w:tcW w:w="3886" w:type="dxa"/>
            <w:tcBorders>
              <w:top w:val="nil"/>
              <w:left w:val="nil"/>
              <w:bottom w:val="single" w:sz="4" w:space="0" w:color="auto"/>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 - Other</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630"/>
        </w:trPr>
        <w:tc>
          <w:tcPr>
            <w:tcW w:w="2024" w:type="dxa"/>
            <w:tcBorders>
              <w:top w:val="nil"/>
              <w:left w:val="single" w:sz="8" w:space="0" w:color="auto"/>
              <w:bottom w:val="nil"/>
              <w:right w:val="single" w:sz="8" w:space="0" w:color="auto"/>
            </w:tcBorders>
            <w:shd w:val="clear" w:color="auto" w:fill="auto"/>
            <w:hideMark/>
          </w:tcPr>
          <w:p>
            <w:pPr>
              <w:rPr>
                <w:rFonts w:eastAsia="Times New Roman"/>
                <w:b/>
                <w:bCs/>
                <w:noProof/>
                <w:sz w:val="16"/>
                <w:szCs w:val="16"/>
                <w:lang w:val="en-IE" w:eastAsia="en-IE"/>
              </w:rPr>
            </w:pPr>
            <w:r>
              <w:rPr>
                <w:rFonts w:eastAsia="Times New Roman"/>
                <w:b/>
                <w:bCs/>
                <w:noProof/>
                <w:sz w:val="16"/>
                <w:szCs w:val="16"/>
                <w:lang w:val="en-IE" w:eastAsia="en-IE"/>
              </w:rPr>
              <w:t>20.09</w:t>
            </w:r>
          </w:p>
        </w:tc>
        <w:tc>
          <w:tcPr>
            <w:tcW w:w="3886" w:type="dxa"/>
            <w:tcBorders>
              <w:top w:val="nil"/>
              <w:left w:val="nil"/>
              <w:bottom w:val="nil"/>
              <w:right w:val="single" w:sz="8" w:space="0" w:color="auto"/>
            </w:tcBorders>
            <w:shd w:val="clear" w:color="auto" w:fill="auto"/>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Fruit juices (including grape must) and vegetable juices, unfermented and not containing added spirit, whether or not containing added sugar or other sweetening matter.</w:t>
            </w:r>
          </w:p>
        </w:tc>
        <w:tc>
          <w:tcPr>
            <w:tcW w:w="1213" w:type="dxa"/>
            <w:vMerge w:val="restart"/>
            <w:tcBorders>
              <w:top w:val="nil"/>
              <w:left w:val="single" w:sz="8" w:space="0" w:color="auto"/>
              <w:bottom w:val="nil"/>
              <w:right w:val="single" w:sz="4"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200</w:t>
            </w:r>
          </w:p>
        </w:tc>
        <w:tc>
          <w:tcPr>
            <w:tcW w:w="1000"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25%</w:t>
            </w:r>
          </w:p>
        </w:tc>
        <w:tc>
          <w:tcPr>
            <w:tcW w:w="1049" w:type="dxa"/>
            <w:vMerge w:val="restart"/>
            <w:tcBorders>
              <w:top w:val="nil"/>
              <w:left w:val="single" w:sz="4" w:space="0" w:color="auto"/>
              <w:bottom w:val="single" w:sz="4" w:space="0" w:color="000000"/>
              <w:right w:val="single" w:sz="8"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58%</w:t>
            </w: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b/>
                <w:bCs/>
                <w:noProof/>
                <w:sz w:val="16"/>
                <w:szCs w:val="16"/>
                <w:lang w:val="en-IE" w:eastAsia="en-IE"/>
              </w:rPr>
            </w:pPr>
            <w:r>
              <w:rPr>
                <w:rFonts w:eastAsia="Times New Roman"/>
                <w:b/>
                <w:bCs/>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Unmixted juices of other fruites and vegetables:</w:t>
            </w:r>
          </w:p>
        </w:tc>
        <w:tc>
          <w:tcPr>
            <w:tcW w:w="1213" w:type="dxa"/>
            <w:vMerge/>
            <w:tcBorders>
              <w:top w:val="nil"/>
              <w:left w:val="single" w:sz="8" w:space="0" w:color="auto"/>
              <w:bottom w:val="nil"/>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Other :</w:t>
            </w:r>
          </w:p>
        </w:tc>
        <w:tc>
          <w:tcPr>
            <w:tcW w:w="1213" w:type="dxa"/>
            <w:vMerge w:val="restart"/>
            <w:tcBorders>
              <w:top w:val="nil"/>
              <w:left w:val="single" w:sz="8" w:space="0" w:color="auto"/>
              <w:bottom w:val="single" w:sz="4" w:space="0" w:color="000000"/>
              <w:right w:val="single" w:sz="4" w:space="0" w:color="auto"/>
            </w:tcBorders>
            <w:shd w:val="clear" w:color="auto" w:fill="auto"/>
            <w:vAlign w:val="center"/>
            <w:hideMark/>
          </w:tcPr>
          <w:p>
            <w:pPr>
              <w:jc w:val="center"/>
              <w:rPr>
                <w:rFonts w:eastAsia="Times New Roman"/>
                <w:noProof/>
                <w:sz w:val="16"/>
                <w:szCs w:val="16"/>
                <w:lang w:val="en-IE" w:eastAsia="en-IE"/>
              </w:rPr>
            </w:pPr>
            <w:r>
              <w:rPr>
                <w:rFonts w:eastAsia="Times New Roman"/>
                <w:noProof/>
                <w:sz w:val="16"/>
                <w:szCs w:val="16"/>
                <w:lang w:val="en-IE" w:eastAsia="en-IE"/>
              </w:rPr>
              <w:t>Duty free access granted 01.10.2018</w:t>
            </w: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nil"/>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 </w:t>
            </w:r>
          </w:p>
        </w:tc>
        <w:tc>
          <w:tcPr>
            <w:tcW w:w="3886" w:type="dxa"/>
            <w:tcBorders>
              <w:top w:val="nil"/>
              <w:left w:val="nil"/>
              <w:bottom w:val="nil"/>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 Other :</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r>
        <w:trPr>
          <w:trHeight w:val="225"/>
        </w:trPr>
        <w:tc>
          <w:tcPr>
            <w:tcW w:w="2024" w:type="dxa"/>
            <w:tcBorders>
              <w:top w:val="nil"/>
              <w:left w:val="single" w:sz="8" w:space="0" w:color="auto"/>
              <w:bottom w:val="single" w:sz="4" w:space="0" w:color="auto"/>
              <w:right w:val="single" w:sz="8" w:space="0" w:color="auto"/>
            </w:tcBorders>
            <w:shd w:val="clear" w:color="auto" w:fill="auto"/>
            <w:hideMark/>
          </w:tcPr>
          <w:p>
            <w:pPr>
              <w:rPr>
                <w:rFonts w:eastAsia="Times New Roman"/>
                <w:noProof/>
                <w:sz w:val="16"/>
                <w:szCs w:val="16"/>
                <w:lang w:val="en-IE" w:eastAsia="en-IE"/>
              </w:rPr>
            </w:pPr>
            <w:r>
              <w:rPr>
                <w:rFonts w:eastAsia="Times New Roman"/>
                <w:noProof/>
                <w:sz w:val="16"/>
                <w:szCs w:val="16"/>
                <w:lang w:val="en-IE" w:eastAsia="en-IE"/>
              </w:rPr>
              <w:t>ex. 20.09.8999</w:t>
            </w:r>
          </w:p>
        </w:tc>
        <w:tc>
          <w:tcPr>
            <w:tcW w:w="3886" w:type="dxa"/>
            <w:tcBorders>
              <w:top w:val="nil"/>
              <w:left w:val="nil"/>
              <w:bottom w:val="single" w:sz="4" w:space="0" w:color="auto"/>
              <w:right w:val="single" w:sz="8" w:space="0" w:color="auto"/>
            </w:tcBorders>
            <w:shd w:val="clear" w:color="auto" w:fill="auto"/>
            <w:vAlign w:val="bottom"/>
            <w:hideMark/>
          </w:tcPr>
          <w:p>
            <w:pPr>
              <w:rPr>
                <w:rFonts w:eastAsia="Times New Roman"/>
                <w:noProof/>
                <w:sz w:val="16"/>
                <w:szCs w:val="16"/>
                <w:lang w:val="en-IE" w:eastAsia="en-IE"/>
              </w:rPr>
            </w:pPr>
            <w:r>
              <w:rPr>
                <w:rFonts w:eastAsia="Times New Roman"/>
                <w:noProof/>
                <w:sz w:val="16"/>
                <w:szCs w:val="16"/>
                <w:lang w:val="en-IE" w:eastAsia="en-IE"/>
              </w:rPr>
              <w:t xml:space="preserve"> - - - - Bilberry concentrate</w:t>
            </w:r>
          </w:p>
        </w:tc>
        <w:tc>
          <w:tcPr>
            <w:tcW w:w="1213" w:type="dxa"/>
            <w:vMerge/>
            <w:tcBorders>
              <w:top w:val="nil"/>
              <w:left w:val="single" w:sz="8" w:space="0" w:color="auto"/>
              <w:bottom w:val="single" w:sz="4" w:space="0" w:color="000000"/>
              <w:right w:val="single" w:sz="4" w:space="0" w:color="auto"/>
            </w:tcBorders>
            <w:vAlign w:val="center"/>
            <w:hideMark/>
          </w:tcPr>
          <w:p>
            <w:pPr>
              <w:rPr>
                <w:rFonts w:eastAsia="Times New Roman"/>
                <w:noProof/>
                <w:sz w:val="16"/>
                <w:szCs w:val="16"/>
                <w:lang w:val="en-IE" w:eastAsia="en-IE"/>
              </w:rPr>
            </w:pPr>
          </w:p>
        </w:tc>
        <w:tc>
          <w:tcPr>
            <w:tcW w:w="1000"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c>
          <w:tcPr>
            <w:tcW w:w="1049" w:type="dxa"/>
            <w:vMerge/>
            <w:tcBorders>
              <w:top w:val="nil"/>
              <w:left w:val="single" w:sz="4" w:space="0" w:color="auto"/>
              <w:bottom w:val="single" w:sz="4" w:space="0" w:color="000000"/>
              <w:right w:val="single" w:sz="8" w:space="0" w:color="auto"/>
            </w:tcBorders>
            <w:vAlign w:val="center"/>
            <w:hideMark/>
          </w:tcPr>
          <w:p>
            <w:pPr>
              <w:rPr>
                <w:rFonts w:eastAsia="Times New Roman"/>
                <w:noProof/>
                <w:sz w:val="16"/>
                <w:szCs w:val="16"/>
                <w:lang w:val="en-IE" w:eastAsia="en-IE"/>
              </w:rPr>
            </w:pPr>
          </w:p>
        </w:tc>
      </w:tr>
    </w:tbl>
    <w:p>
      <w:pPr>
        <w:rPr>
          <w:noProof/>
        </w:rPr>
      </w:pPr>
    </w:p>
    <w:p>
      <w:pPr>
        <w:rPr>
          <w:noProof/>
        </w:rPr>
      </w:pPr>
    </w:p>
    <w:p>
      <w:pPr>
        <w:spacing w:after="200" w:line="276" w:lineRule="auto"/>
        <w:rPr>
          <w:noProof/>
        </w:rPr>
      </w:pPr>
      <w:r>
        <w:rPr>
          <w:noProof/>
        </w:rPr>
        <w:br w:type="page"/>
      </w:r>
    </w:p>
    <w:p>
      <w:pPr>
        <w:pStyle w:val="ChapterHead"/>
        <w:jc w:val="both"/>
        <w:rPr>
          <w:b/>
          <w:noProof/>
        </w:rPr>
      </w:pPr>
      <w:bookmarkStart w:id="3854" w:name="_Toc8833782"/>
      <w:bookmarkStart w:id="3855" w:name="_Toc8835609"/>
      <w:bookmarkStart w:id="3856" w:name="_Toc8834239"/>
      <w:bookmarkStart w:id="3857" w:name="_Toc8909702"/>
      <w:bookmarkStart w:id="3858" w:name="_Toc8910914"/>
      <w:bookmarkStart w:id="3859" w:name="_Toc8911951"/>
      <w:bookmarkStart w:id="3860" w:name="_Toc8974772"/>
      <w:bookmarkStart w:id="3861" w:name="_Toc9008425"/>
      <w:bookmarkStart w:id="3862" w:name="_Toc9008828"/>
      <w:bookmarkStart w:id="3863" w:name="_Toc9348824"/>
      <w:bookmarkStart w:id="3864" w:name="_Toc9608275"/>
      <w:bookmarkStart w:id="3865" w:name="_Toc16000833"/>
      <w:r>
        <w:rPr>
          <w:b/>
          <w:noProof/>
        </w:rPr>
        <w:t>ANNUAL INFO SHEET ON IMPLEMENTATION OF THE EU-SWITZERLAND FREE TRADE AGREEMENT</w:t>
      </w:r>
      <w:bookmarkEnd w:id="3854"/>
      <w:bookmarkEnd w:id="3855"/>
      <w:bookmarkEnd w:id="3856"/>
      <w:bookmarkEnd w:id="3857"/>
      <w:bookmarkEnd w:id="3858"/>
      <w:bookmarkEnd w:id="3859"/>
      <w:bookmarkEnd w:id="3860"/>
      <w:bookmarkEnd w:id="3861"/>
      <w:bookmarkEnd w:id="3862"/>
      <w:bookmarkEnd w:id="3863"/>
      <w:bookmarkEnd w:id="3864"/>
      <w:bookmarkEnd w:id="3865"/>
    </w:p>
    <w:p>
      <w:pPr>
        <w:pStyle w:val="ManualHeading1"/>
      </w:pPr>
      <w:bookmarkStart w:id="3866" w:name="_Toc8833783"/>
      <w:bookmarkStart w:id="3867" w:name="_Toc8835610"/>
      <w:bookmarkStart w:id="3868" w:name="_Toc8834240"/>
      <w:bookmarkStart w:id="3869" w:name="_Toc8909703"/>
      <w:bookmarkStart w:id="3870" w:name="_Toc8910915"/>
      <w:bookmarkStart w:id="3871" w:name="_Toc8911952"/>
      <w:bookmarkStart w:id="3872" w:name="_Toc8974773"/>
      <w:bookmarkStart w:id="3873" w:name="_Toc9008426"/>
      <w:bookmarkStart w:id="3874" w:name="_Toc9008829"/>
      <w:bookmarkStart w:id="3875" w:name="_Toc9348825"/>
      <w:bookmarkStart w:id="3876" w:name="_Toc9608276"/>
      <w:bookmarkStart w:id="3877" w:name="_Toc16000834"/>
      <w:r>
        <w:t>1.</w:t>
      </w:r>
      <w:r>
        <w:tab/>
        <w:t>Introduction</w:t>
      </w:r>
      <w:bookmarkEnd w:id="3866"/>
      <w:bookmarkEnd w:id="3867"/>
      <w:bookmarkEnd w:id="3868"/>
      <w:bookmarkEnd w:id="3869"/>
      <w:bookmarkEnd w:id="3870"/>
      <w:bookmarkEnd w:id="3871"/>
      <w:bookmarkEnd w:id="3872"/>
      <w:bookmarkEnd w:id="3873"/>
      <w:bookmarkEnd w:id="3874"/>
      <w:bookmarkEnd w:id="3875"/>
      <w:bookmarkEnd w:id="3876"/>
      <w:bookmarkEnd w:id="3877"/>
    </w:p>
    <w:p>
      <w:pPr>
        <w:autoSpaceDE w:val="0"/>
        <w:autoSpaceDN w:val="0"/>
        <w:adjustRightInd w:val="0"/>
        <w:jc w:val="both"/>
        <w:rPr>
          <w:rFonts w:eastAsia="Calibri"/>
          <w:noProof/>
        </w:rPr>
      </w:pPr>
      <w:r>
        <w:rPr>
          <w:rFonts w:eastAsia="Calibri"/>
          <w:noProof/>
        </w:rPr>
        <w:t xml:space="preserve">The EU-Swiss trade relations are among the deepest worldwide outside the context of a customs union/internal market. For Switzerland, the EU is by far the most important trading partner. For the EU, Switzerland is the third overall trading partner, number 2 for services. </w:t>
      </w:r>
    </w:p>
    <w:p>
      <w:pPr>
        <w:autoSpaceDE w:val="0"/>
        <w:autoSpaceDN w:val="0"/>
        <w:adjustRightInd w:val="0"/>
        <w:jc w:val="both"/>
        <w:rPr>
          <w:rFonts w:eastAsia="Calibri"/>
          <w:noProof/>
        </w:rPr>
      </w:pPr>
    </w:p>
    <w:p>
      <w:pPr>
        <w:autoSpaceDE w:val="0"/>
        <w:autoSpaceDN w:val="0"/>
        <w:adjustRightInd w:val="0"/>
        <w:jc w:val="both"/>
        <w:rPr>
          <w:rFonts w:eastAsia="Calibri"/>
          <w:noProof/>
        </w:rPr>
      </w:pPr>
      <w:r>
        <w:rPr>
          <w:rFonts w:eastAsia="Calibri"/>
          <w:noProof/>
        </w:rPr>
        <w:t xml:space="preserve">The cornerstone of EU-Swiss trade relation is the EU-Switzerland </w:t>
      </w:r>
      <w:r>
        <w:rPr>
          <w:rFonts w:eastAsia="Calibri"/>
          <w:b/>
          <w:bCs/>
          <w:noProof/>
        </w:rPr>
        <w:t>Free Trade Agreement of 1972</w:t>
      </w:r>
      <w:r>
        <w:rPr>
          <w:rFonts w:eastAsia="Calibri"/>
          <w:noProof/>
          <w:vertAlign w:val="superscript"/>
        </w:rPr>
        <w:footnoteReference w:id="94"/>
      </w:r>
      <w:r>
        <w:rPr>
          <w:rFonts w:eastAsia="Calibri"/>
          <w:noProof/>
        </w:rPr>
        <w:t xml:space="preserve">. It concerns </w:t>
      </w:r>
      <w:r>
        <w:rPr>
          <w:rFonts w:eastAsia="Calibri"/>
          <w:b/>
          <w:bCs/>
          <w:noProof/>
        </w:rPr>
        <w:t>goods only</w:t>
      </w:r>
      <w:r>
        <w:rPr>
          <w:rFonts w:eastAsia="Calibri"/>
          <w:noProof/>
        </w:rPr>
        <w:t xml:space="preserve"> and is one of the oldest trade agreements signed by the EU. It does not contain provisions on services, investment, Intellectual Property Rights (IPR), government procurement or social and environmental values. No dispute settlement mechanism is foreseen beyond the regular annual dialogue at Joint Committee meetings. As a consequence of the rejection of EEA membership in 1992 by the Swiss people, Switzerland and the EU agreed on a package of seven sectoral agreements signed in 1999 (known in Switzerland as ‘Bilaterals I’). Some of them are relevant from a trade perspective: </w:t>
      </w:r>
    </w:p>
    <w:p>
      <w:pPr>
        <w:autoSpaceDE w:val="0"/>
        <w:autoSpaceDN w:val="0"/>
        <w:adjustRightInd w:val="0"/>
        <w:jc w:val="both"/>
        <w:rPr>
          <w:rFonts w:eastAsia="Calibri"/>
          <w:noProof/>
        </w:rPr>
      </w:pPr>
    </w:p>
    <w:p>
      <w:pPr>
        <w:numPr>
          <w:ilvl w:val="0"/>
          <w:numId w:val="65"/>
        </w:numPr>
        <w:autoSpaceDE w:val="0"/>
        <w:autoSpaceDN w:val="0"/>
        <w:adjustRightInd w:val="0"/>
        <w:spacing w:after="200" w:line="276" w:lineRule="auto"/>
        <w:contextualSpacing/>
        <w:jc w:val="both"/>
        <w:rPr>
          <w:rFonts w:eastAsia="Calibri"/>
          <w:noProof/>
        </w:rPr>
      </w:pPr>
      <w:r>
        <w:rPr>
          <w:rFonts w:eastAsia="Calibri"/>
          <w:noProof/>
        </w:rPr>
        <w:t>The Free Movement of Persons Agreement</w:t>
      </w:r>
      <w:r>
        <w:rPr>
          <w:rFonts w:eastAsia="Calibri"/>
          <w:noProof/>
          <w:vertAlign w:val="superscript"/>
        </w:rPr>
        <w:footnoteReference w:id="95"/>
      </w:r>
      <w:r>
        <w:rPr>
          <w:rFonts w:eastAsia="Calibri"/>
          <w:noProof/>
        </w:rPr>
        <w:t xml:space="preserve"> allows for the provision of services, limited in time. </w:t>
      </w:r>
    </w:p>
    <w:p>
      <w:pPr>
        <w:numPr>
          <w:ilvl w:val="0"/>
          <w:numId w:val="65"/>
        </w:numPr>
        <w:autoSpaceDE w:val="0"/>
        <w:autoSpaceDN w:val="0"/>
        <w:adjustRightInd w:val="0"/>
        <w:spacing w:after="200" w:line="276" w:lineRule="auto"/>
        <w:contextualSpacing/>
        <w:jc w:val="both"/>
        <w:rPr>
          <w:rFonts w:eastAsia="Calibri"/>
          <w:noProof/>
        </w:rPr>
      </w:pPr>
      <w:r>
        <w:rPr>
          <w:rFonts w:eastAsia="Calibri"/>
          <w:noProof/>
        </w:rPr>
        <w:t>The Mutual Recognition Agreement in relation to conformity assessment</w:t>
      </w:r>
      <w:r>
        <w:rPr>
          <w:rFonts w:eastAsia="Calibri"/>
          <w:noProof/>
          <w:vertAlign w:val="superscript"/>
        </w:rPr>
        <w:footnoteReference w:id="96"/>
      </w:r>
      <w:r>
        <w:rPr>
          <w:rFonts w:eastAsia="Calibri"/>
          <w:noProof/>
        </w:rPr>
        <w:t xml:space="preserve"> ensures that, in twenty regulated sectors, the conformity assessment provided by one party is recognised by the other, which of course facilitates trade between the parties. </w:t>
      </w:r>
    </w:p>
    <w:p>
      <w:pPr>
        <w:numPr>
          <w:ilvl w:val="0"/>
          <w:numId w:val="65"/>
        </w:numPr>
        <w:autoSpaceDE w:val="0"/>
        <w:autoSpaceDN w:val="0"/>
        <w:adjustRightInd w:val="0"/>
        <w:spacing w:after="200" w:line="276" w:lineRule="auto"/>
        <w:contextualSpacing/>
        <w:jc w:val="both"/>
        <w:rPr>
          <w:rFonts w:eastAsia="Calibri"/>
          <w:noProof/>
        </w:rPr>
      </w:pPr>
      <w:r>
        <w:rPr>
          <w:rFonts w:eastAsia="Calibri"/>
          <w:noProof/>
        </w:rPr>
        <w:t>The Public Procurement Agreement</w:t>
      </w:r>
      <w:r>
        <w:rPr>
          <w:rFonts w:eastAsia="Calibri"/>
          <w:noProof/>
          <w:vertAlign w:val="superscript"/>
        </w:rPr>
        <w:footnoteReference w:id="97"/>
      </w:r>
      <w:r>
        <w:rPr>
          <w:rFonts w:eastAsia="Calibri"/>
          <w:noProof/>
        </w:rPr>
        <w:t>, that builds on the WTO Government Procurement Agreement.</w:t>
      </w:r>
    </w:p>
    <w:p>
      <w:pPr>
        <w:numPr>
          <w:ilvl w:val="0"/>
          <w:numId w:val="65"/>
        </w:numPr>
        <w:autoSpaceDE w:val="0"/>
        <w:autoSpaceDN w:val="0"/>
        <w:adjustRightInd w:val="0"/>
        <w:spacing w:after="200" w:line="276" w:lineRule="auto"/>
        <w:contextualSpacing/>
        <w:jc w:val="both"/>
        <w:rPr>
          <w:rFonts w:eastAsia="Calibri"/>
          <w:noProof/>
        </w:rPr>
      </w:pPr>
      <w:r>
        <w:rPr>
          <w:rFonts w:eastAsia="Calibri"/>
          <w:noProof/>
        </w:rPr>
        <w:t>The Agreement on trade in agricultural products</w:t>
      </w:r>
      <w:r>
        <w:rPr>
          <w:rFonts w:eastAsia="Calibri"/>
          <w:noProof/>
          <w:vertAlign w:val="superscript"/>
        </w:rPr>
        <w:footnoteReference w:id="98"/>
      </w:r>
      <w:r>
        <w:rPr>
          <w:rFonts w:eastAsia="Calibri"/>
          <w:noProof/>
        </w:rPr>
        <w:t xml:space="preserve">, which includes sanitary and phytosanitary rules, as well as tariffs and quotas for agricultural products, except for cheese that is liberalised. </w:t>
      </w:r>
    </w:p>
    <w:p>
      <w:pPr>
        <w:numPr>
          <w:ilvl w:val="0"/>
          <w:numId w:val="65"/>
        </w:numPr>
        <w:autoSpaceDE w:val="0"/>
        <w:autoSpaceDN w:val="0"/>
        <w:adjustRightInd w:val="0"/>
        <w:spacing w:after="200" w:line="276" w:lineRule="auto"/>
        <w:contextualSpacing/>
        <w:jc w:val="both"/>
        <w:rPr>
          <w:rFonts w:eastAsia="Calibri"/>
          <w:noProof/>
        </w:rPr>
      </w:pPr>
      <w:r>
        <w:rPr>
          <w:rFonts w:eastAsia="Calibri"/>
          <w:noProof/>
        </w:rPr>
        <w:t>A protocol on processed agricultural products (protocol 2) was also added to the Free Trade Agreement, in 2004. It includes a mechanism whereby in practice Switzerland receives compensation for the very significant price differential of basic agricultural products - which serve as inputs to processed agricultural products - between the EU and Switzerland.</w:t>
      </w:r>
    </w:p>
    <w:p>
      <w:pPr>
        <w:autoSpaceDE w:val="0"/>
        <w:autoSpaceDN w:val="0"/>
        <w:adjustRightInd w:val="0"/>
        <w:jc w:val="both"/>
        <w:rPr>
          <w:rFonts w:eastAsia="Calibri"/>
          <w:noProof/>
        </w:rPr>
      </w:pPr>
    </w:p>
    <w:p>
      <w:pPr>
        <w:autoSpaceDE w:val="0"/>
        <w:autoSpaceDN w:val="0"/>
        <w:adjustRightInd w:val="0"/>
        <w:jc w:val="both"/>
        <w:rPr>
          <w:rFonts w:eastAsia="Calibri"/>
          <w:noProof/>
        </w:rPr>
      </w:pPr>
      <w:r>
        <w:rPr>
          <w:rFonts w:eastAsia="Calibri"/>
          <w:noProof/>
        </w:rPr>
        <w:t>In the last two decades, there was no major evolution to this rather complex setting. The gap is growing between the current legal arrangements of EU and Switzerland and the standards of modern and comprehensive FTAs concluded by the EU and Switzerland/EFTA, respectively. A modernisation of the FTA is needed to unlock potential for further bilateral trade.</w:t>
      </w:r>
    </w:p>
    <w:p>
      <w:pPr>
        <w:autoSpaceDE w:val="0"/>
        <w:autoSpaceDN w:val="0"/>
        <w:adjustRightInd w:val="0"/>
        <w:jc w:val="both"/>
        <w:rPr>
          <w:rFonts w:eastAsia="Calibri"/>
          <w:noProof/>
        </w:rPr>
      </w:pPr>
    </w:p>
    <w:p>
      <w:pPr>
        <w:autoSpaceDE w:val="0"/>
        <w:autoSpaceDN w:val="0"/>
        <w:adjustRightInd w:val="0"/>
        <w:jc w:val="both"/>
        <w:rPr>
          <w:rFonts w:eastAsia="Calibri"/>
          <w:noProof/>
        </w:rPr>
      </w:pPr>
      <w:r>
        <w:rPr>
          <w:rFonts w:eastAsia="Calibri"/>
          <w:noProof/>
        </w:rPr>
        <w:t xml:space="preserve">Between 2014 and 2018, both parties have been negotiating an </w:t>
      </w:r>
      <w:r>
        <w:rPr>
          <w:rFonts w:eastAsia="Calibri"/>
          <w:b/>
          <w:bCs/>
          <w:noProof/>
        </w:rPr>
        <w:t>Institutional Framework Agreement</w:t>
      </w:r>
      <w:r>
        <w:rPr>
          <w:rFonts w:eastAsia="Calibri"/>
          <w:noProof/>
        </w:rPr>
        <w:t xml:space="preserve"> to streamline the operation of some of these agreements. The aim is to provide an overarching framework with clear mechanisms for dynamic acquis take-over, uniform interpretation of rules and an efficient dispute settlement mechanism as well as State aid rules. The negotiation was concluded in November 2018 and was subject to a public consultation in Switzerland in Spring 2019. The Commission expects the consultation to be swift and hope that its outcome will be positive, as this is necessary to put relations between the EU and Switzerland on a solid institutional footing. A Joint declaration is annexed to the International Framework Agreement, where both parties commit to modernise the trade-related agreements, with negotiations starting in 2020. </w:t>
      </w:r>
    </w:p>
    <w:p>
      <w:pPr>
        <w:pStyle w:val="ManualHeading1"/>
      </w:pPr>
      <w:bookmarkStart w:id="3878" w:name="_Toc8833784"/>
      <w:bookmarkStart w:id="3879" w:name="_Toc8835611"/>
      <w:bookmarkStart w:id="3880" w:name="_Toc8834241"/>
      <w:bookmarkStart w:id="3881" w:name="_Toc8909704"/>
      <w:bookmarkStart w:id="3882" w:name="_Toc8910916"/>
      <w:bookmarkStart w:id="3883" w:name="_Toc8911953"/>
      <w:bookmarkStart w:id="3884" w:name="_Toc8974774"/>
      <w:bookmarkStart w:id="3885" w:name="_Toc9008427"/>
      <w:bookmarkStart w:id="3886" w:name="_Toc9008830"/>
      <w:bookmarkStart w:id="3887" w:name="_Toc9348826"/>
      <w:bookmarkStart w:id="3888" w:name="_Toc9608277"/>
      <w:bookmarkStart w:id="3889" w:name="_Toc16000835"/>
      <w:r>
        <w:t>2.</w:t>
      </w:r>
      <w:r>
        <w:tab/>
        <w:t>Evolution of trade</w:t>
      </w:r>
      <w:bookmarkEnd w:id="3878"/>
      <w:bookmarkEnd w:id="3879"/>
      <w:bookmarkEnd w:id="3880"/>
      <w:bookmarkEnd w:id="3881"/>
      <w:bookmarkEnd w:id="3882"/>
      <w:bookmarkEnd w:id="3883"/>
      <w:bookmarkEnd w:id="3884"/>
      <w:bookmarkEnd w:id="3885"/>
      <w:bookmarkEnd w:id="3886"/>
      <w:bookmarkEnd w:id="3887"/>
      <w:bookmarkEnd w:id="3888"/>
      <w:bookmarkEnd w:id="3889"/>
    </w:p>
    <w:p>
      <w:pPr>
        <w:pStyle w:val="ManualHeading2"/>
      </w:pPr>
      <w:bookmarkStart w:id="3890" w:name="_Toc8833785"/>
      <w:bookmarkStart w:id="3891" w:name="_Toc8835612"/>
      <w:bookmarkStart w:id="3892" w:name="_Toc8834242"/>
      <w:bookmarkStart w:id="3893" w:name="_Toc8909705"/>
      <w:bookmarkStart w:id="3894" w:name="_Toc8910917"/>
      <w:bookmarkStart w:id="3895" w:name="_Toc8911954"/>
      <w:bookmarkStart w:id="3896" w:name="_Toc8974775"/>
      <w:bookmarkStart w:id="3897" w:name="_Toc9008428"/>
      <w:bookmarkStart w:id="3898" w:name="_Toc9008831"/>
      <w:bookmarkStart w:id="3899" w:name="_Toc9348827"/>
      <w:bookmarkStart w:id="3900" w:name="_Toc9608278"/>
      <w:bookmarkStart w:id="3901" w:name="_Toc16000836"/>
      <w:r>
        <w:t>2.1.</w:t>
      </w:r>
      <w:r>
        <w:tab/>
        <w:t>Trade in Goods</w:t>
      </w:r>
      <w:bookmarkEnd w:id="3890"/>
      <w:bookmarkEnd w:id="3891"/>
      <w:bookmarkEnd w:id="3892"/>
      <w:bookmarkEnd w:id="3893"/>
      <w:bookmarkEnd w:id="3894"/>
      <w:bookmarkEnd w:id="3895"/>
      <w:bookmarkEnd w:id="3896"/>
      <w:bookmarkEnd w:id="3897"/>
      <w:bookmarkEnd w:id="3898"/>
      <w:bookmarkEnd w:id="3899"/>
      <w:bookmarkEnd w:id="3900"/>
      <w:bookmarkEnd w:id="3901"/>
    </w:p>
    <w:p>
      <w:pPr>
        <w:autoSpaceDE w:val="0"/>
        <w:autoSpaceDN w:val="0"/>
        <w:adjustRightInd w:val="0"/>
        <w:jc w:val="both"/>
        <w:rPr>
          <w:noProof/>
          <w:lang w:eastAsia="en-GB"/>
        </w:rPr>
      </w:pPr>
      <w:r>
        <w:rPr>
          <w:rFonts w:eastAsia="Calibri"/>
          <w:noProof/>
        </w:rPr>
        <w:t>Trade in goods is very dynamic between the EU and Switzerland, amounting to €265 billion in 2018. The EU is Switzerland’s main trading partner by far, representing, in 2018, 62% of its exports of goods, and 44% of its imports. Overall, the EU concentrated 53% of Switzerland’s trade in goods, followed by the United States (with approximately 10%) and China (with around 8%). Switzerland is the EU’s third trading partner, representing 7% of its trade in goods, after the USA (17%) and China (15%)</w:t>
      </w:r>
      <w:r>
        <w:rPr>
          <w:rFonts w:eastAsia="Times New Roman"/>
          <w:noProof/>
        </w:rPr>
        <w:t xml:space="preserve">. </w:t>
      </w:r>
      <w:r>
        <w:rPr>
          <w:rFonts w:eastAsia="Calibri"/>
          <w:noProof/>
        </w:rPr>
        <w:t xml:space="preserve">Trade grew by almost 2% between 2017 and 2018, whereby European exports to Switzerland grew by 4% and its imports decreased by almost 2%. </w:t>
      </w:r>
      <w:r>
        <w:rPr>
          <w:noProof/>
          <w:lang w:eastAsia="en-GB"/>
        </w:rPr>
        <w:t xml:space="preserve">The trade balance has been positive for the EU in the last years, and amounted to almost €48 billion in 2018. </w:t>
      </w:r>
    </w:p>
    <w:p>
      <w:pPr>
        <w:autoSpaceDE w:val="0"/>
        <w:autoSpaceDN w:val="0"/>
        <w:adjustRightInd w:val="0"/>
        <w:jc w:val="both"/>
        <w:rPr>
          <w:noProof/>
          <w:lang w:eastAsia="en-GB"/>
        </w:rPr>
      </w:pPr>
    </w:p>
    <w:p>
      <w:pPr>
        <w:autoSpaceDE w:val="0"/>
        <w:autoSpaceDN w:val="0"/>
        <w:adjustRightInd w:val="0"/>
        <w:jc w:val="both"/>
        <w:rPr>
          <w:noProof/>
          <w:lang w:eastAsia="en-GB"/>
        </w:rPr>
      </w:pPr>
      <w:r>
        <w:rPr>
          <w:noProof/>
          <w:lang w:eastAsia="en-GB"/>
        </w:rPr>
        <w:t xml:space="preserve">71% of EU imports from Switzerland are directed to Germany, France, Italy and the United Kingdom. The biggest exporters to Switzerland are Germany, Italy, the United Kingdom and France, representing 72% of EU exports. </w:t>
      </w:r>
    </w:p>
    <w:p>
      <w:pPr>
        <w:autoSpaceDE w:val="0"/>
        <w:autoSpaceDN w:val="0"/>
        <w:adjustRightInd w:val="0"/>
        <w:jc w:val="both"/>
        <w:rPr>
          <w:noProof/>
          <w:lang w:eastAsia="en-GB"/>
        </w:rPr>
      </w:pPr>
    </w:p>
    <w:p>
      <w:pPr>
        <w:rPr>
          <w:noProof/>
          <w:lang w:eastAsia="en-GB"/>
        </w:rPr>
      </w:pPr>
      <w:r>
        <w:rPr>
          <w:noProof/>
          <w:lang w:eastAsia="en-GB"/>
        </w:rPr>
        <w:t xml:space="preserve">Chemicals and related products represent 39% of EU imports from Switzerland, followed by miscellaneous manufactured articles (20%) and machinery and transport equipment (18%). </w:t>
      </w:r>
    </w:p>
    <w:p>
      <w:pPr>
        <w:rPr>
          <w:noProof/>
          <w:lang w:eastAsia="en-GB"/>
        </w:rPr>
      </w:pPr>
    </w:p>
    <w:p>
      <w:pPr>
        <w:jc w:val="both"/>
        <w:rPr>
          <w:noProof/>
          <w:lang w:eastAsia="en-GB"/>
        </w:rPr>
      </w:pPr>
      <w:r>
        <w:rPr>
          <w:noProof/>
          <w:lang w:eastAsia="en-GB"/>
        </w:rPr>
        <w:t xml:space="preserve">EU exports to Switzerland concentrate on the same product categories: machinery and transport equipment (23%); chemicals and related products (22%) and miscellaneous manufactured articles (20%). </w:t>
      </w:r>
    </w:p>
    <w:p>
      <w:pPr>
        <w:pStyle w:val="ManualHeading2"/>
      </w:pPr>
      <w:bookmarkStart w:id="3902" w:name="_Toc8833786"/>
      <w:bookmarkStart w:id="3903" w:name="_Toc8835613"/>
      <w:bookmarkStart w:id="3904" w:name="_Toc8834243"/>
      <w:bookmarkStart w:id="3905" w:name="_Toc8909706"/>
      <w:bookmarkStart w:id="3906" w:name="_Toc8910918"/>
      <w:bookmarkStart w:id="3907" w:name="_Toc8911955"/>
      <w:bookmarkStart w:id="3908" w:name="_Toc8974776"/>
      <w:bookmarkStart w:id="3909" w:name="_Toc9008429"/>
      <w:bookmarkStart w:id="3910" w:name="_Toc9008832"/>
      <w:bookmarkStart w:id="3911" w:name="_Toc9348828"/>
      <w:bookmarkStart w:id="3912" w:name="_Toc9608279"/>
      <w:bookmarkStart w:id="3913" w:name="_Toc16000837"/>
      <w:r>
        <w:t>2.2.</w:t>
      </w:r>
      <w:r>
        <w:tab/>
        <w:t>Trade in agricultural goods</w:t>
      </w:r>
      <w:bookmarkEnd w:id="3902"/>
      <w:bookmarkEnd w:id="3903"/>
      <w:bookmarkEnd w:id="3904"/>
      <w:bookmarkEnd w:id="3905"/>
      <w:bookmarkEnd w:id="3906"/>
      <w:bookmarkEnd w:id="3907"/>
      <w:bookmarkEnd w:id="3908"/>
      <w:bookmarkEnd w:id="3909"/>
      <w:bookmarkEnd w:id="3910"/>
      <w:bookmarkEnd w:id="3911"/>
      <w:bookmarkEnd w:id="3912"/>
      <w:bookmarkEnd w:id="3913"/>
    </w:p>
    <w:p>
      <w:pPr>
        <w:autoSpaceDE w:val="0"/>
        <w:autoSpaceDN w:val="0"/>
        <w:adjustRightInd w:val="0"/>
        <w:jc w:val="both"/>
        <w:rPr>
          <w:rFonts w:eastAsia="Calibri"/>
          <w:noProof/>
        </w:rPr>
      </w:pPr>
      <w:r>
        <w:rPr>
          <w:rFonts w:eastAsia="Calibri"/>
          <w:noProof/>
        </w:rPr>
        <w:t>With almost €5 billion agri-food products imported in 2018 from Switzerland, representing 4% of the goods imported, and €8 billion exported from the EU to the Swiss market, representing 5% of exported goods, the Swiss and European markets for agricultural products are closely linked.</w:t>
      </w:r>
    </w:p>
    <w:p>
      <w:pPr>
        <w:autoSpaceDE w:val="0"/>
        <w:autoSpaceDN w:val="0"/>
        <w:adjustRightInd w:val="0"/>
        <w:jc w:val="both"/>
        <w:rPr>
          <w:rFonts w:eastAsia="Calibri"/>
          <w:noProof/>
        </w:rPr>
      </w:pPr>
    </w:p>
    <w:p>
      <w:pPr>
        <w:autoSpaceDE w:val="0"/>
        <w:autoSpaceDN w:val="0"/>
        <w:adjustRightInd w:val="0"/>
        <w:jc w:val="both"/>
        <w:rPr>
          <w:rFonts w:eastAsia="Calibri"/>
          <w:noProof/>
        </w:rPr>
      </w:pPr>
      <w:r>
        <w:rPr>
          <w:rFonts w:eastAsia="Calibri"/>
          <w:noProof/>
        </w:rPr>
        <w:t>The EU imports mainly coffee and tea (HS 09), which represent 30% of the agri-food imports, followed by beverages (HS 22) and edible preparations (HS 21). The EU exports mainly beverages (HS 22), fruits &amp; nuts (HS 08) and cereals, flour and starch (HS 19). Between 2017 and 2018, EU agri-food exports to Switzerland grew by 1% whereas EU imports from Switzerland declined by 1%.</w:t>
      </w:r>
    </w:p>
    <w:p>
      <w:pPr>
        <w:autoSpaceDE w:val="0"/>
        <w:autoSpaceDN w:val="0"/>
        <w:adjustRightInd w:val="0"/>
        <w:jc w:val="both"/>
        <w:rPr>
          <w:rFonts w:eastAsia="Calibri"/>
          <w:noProof/>
        </w:rPr>
      </w:pPr>
    </w:p>
    <w:p>
      <w:pPr>
        <w:jc w:val="both"/>
        <w:rPr>
          <w:noProof/>
          <w:lang w:eastAsia="en-GB"/>
        </w:rPr>
      </w:pPr>
      <w:r>
        <w:rPr>
          <w:noProof/>
          <w:lang w:eastAsia="en-GB"/>
        </w:rPr>
        <w:t xml:space="preserve">In general, Switzerland makes little use of the agri-food tariff rate quotas (TRQs) granted by the EU and the use has been decreasing compared to 2017. Out of 32 TRQs, 27 are completely or largely unused (below 10%). The five quotas that are used most are the one for beef (91% fill rate), potatoes (35%), cherries (21%), hams or domestic swine (20%) and cream and yogurt (15%). </w:t>
      </w:r>
    </w:p>
    <w:p>
      <w:pPr>
        <w:jc w:val="both"/>
        <w:rPr>
          <w:noProof/>
          <w:lang w:eastAsia="en-GB"/>
        </w:rPr>
      </w:pPr>
    </w:p>
    <w:p>
      <w:pPr>
        <w:jc w:val="both"/>
        <w:rPr>
          <w:noProof/>
          <w:lang w:eastAsia="en-GB"/>
        </w:rPr>
      </w:pPr>
      <w:r>
        <w:rPr>
          <w:noProof/>
          <w:lang w:eastAsia="en-GB"/>
        </w:rPr>
        <w:t xml:space="preserve">In 2018, the EU fully (100%) utilised 28 out of 50 Swiss agricultural TRQs (including EU key export products such as cured ham &amp; pork products) while the fill rate exceeded 50% for a further 12 of these 50 Swiss TRQs. Five TRQs were utilised between 35-49%, and the remaining five were utilised at a rate below 35%. </w:t>
      </w:r>
    </w:p>
    <w:p>
      <w:pPr>
        <w:pStyle w:val="ManualHeading2"/>
      </w:pPr>
      <w:bookmarkStart w:id="3914" w:name="_Toc8833788"/>
      <w:bookmarkStart w:id="3915" w:name="_Toc8835615"/>
      <w:bookmarkStart w:id="3916" w:name="_Toc8834245"/>
      <w:bookmarkStart w:id="3917" w:name="_Toc8909708"/>
      <w:bookmarkStart w:id="3918" w:name="_Toc8910920"/>
      <w:bookmarkStart w:id="3919" w:name="_Toc8911957"/>
      <w:bookmarkStart w:id="3920" w:name="_Toc8974778"/>
      <w:bookmarkStart w:id="3921" w:name="_Toc9008431"/>
      <w:bookmarkStart w:id="3922" w:name="_Toc9008834"/>
      <w:bookmarkStart w:id="3923" w:name="_Toc9348830"/>
      <w:bookmarkStart w:id="3924" w:name="_Toc9608281"/>
      <w:bookmarkStart w:id="3925" w:name="_Toc16000838"/>
      <w:r>
        <w:t>2.3.</w:t>
      </w:r>
      <w:r>
        <w:tab/>
        <w:t>Trade in Services and Foreign Direct investment (FDIs)</w:t>
      </w:r>
      <w:bookmarkEnd w:id="3914"/>
      <w:bookmarkEnd w:id="3915"/>
      <w:bookmarkEnd w:id="3916"/>
      <w:bookmarkEnd w:id="3917"/>
      <w:bookmarkEnd w:id="3918"/>
      <w:bookmarkEnd w:id="3919"/>
      <w:bookmarkEnd w:id="3920"/>
      <w:bookmarkEnd w:id="3921"/>
      <w:bookmarkEnd w:id="3922"/>
      <w:bookmarkEnd w:id="3923"/>
      <w:bookmarkEnd w:id="3924"/>
      <w:bookmarkEnd w:id="3925"/>
    </w:p>
    <w:p>
      <w:pPr>
        <w:jc w:val="both"/>
        <w:rPr>
          <w:noProof/>
          <w:lang w:eastAsia="en-GB"/>
        </w:rPr>
      </w:pPr>
      <w:r>
        <w:rPr>
          <w:noProof/>
          <w:lang w:eastAsia="en-GB"/>
        </w:rPr>
        <w:t xml:space="preserve">Switzerland is the second trading partner of the EU when it comes to services. The value of the services provided by the EU in Switzerland has been on a constant rise in the past five years, reaching €119 billion in 2017, which represent an increase of 2% compared to 2016. The services provided by Switzerland in the EU were worth €72 billion in 2017, which represented a decrease of 23% compared to the previous year. The balance of trade in services is positive for the EU. </w:t>
      </w:r>
    </w:p>
    <w:p>
      <w:pPr>
        <w:jc w:val="both"/>
        <w:rPr>
          <w:noProof/>
          <w:lang w:eastAsia="en-GB"/>
        </w:rPr>
      </w:pPr>
    </w:p>
    <w:p>
      <w:pPr>
        <w:jc w:val="both"/>
        <w:rPr>
          <w:noProof/>
          <w:lang w:eastAsia="en-GB"/>
        </w:rPr>
      </w:pPr>
      <w:r>
        <w:rPr>
          <w:noProof/>
          <w:lang w:eastAsia="en-GB"/>
        </w:rPr>
        <w:t>The stocks of FDI in the EU held by Switzerland reached in 2017 €802 billion, with an annual average increase of 15% over the past four years. The stocks of FDI of the EU in Switzerland amount to €979 billion in 2017, with an average annual increase of 10%. Switzerland gathers about 13% of the total EU28 stocks invested outside the EU28.</w:t>
      </w:r>
    </w:p>
    <w:p>
      <w:pPr>
        <w:pStyle w:val="ManualHeading1"/>
      </w:pPr>
      <w:bookmarkStart w:id="3926" w:name="_Toc8833789"/>
      <w:bookmarkStart w:id="3927" w:name="_Toc8835616"/>
      <w:bookmarkStart w:id="3928" w:name="_Toc8834246"/>
      <w:bookmarkStart w:id="3929" w:name="_Toc8909709"/>
      <w:bookmarkStart w:id="3930" w:name="_Toc8910921"/>
      <w:bookmarkStart w:id="3931" w:name="_Toc8911958"/>
      <w:bookmarkStart w:id="3932" w:name="_Toc8974779"/>
      <w:bookmarkStart w:id="3933" w:name="_Toc9008432"/>
      <w:bookmarkStart w:id="3934" w:name="_Toc9008835"/>
      <w:bookmarkStart w:id="3935" w:name="_Toc9348831"/>
      <w:bookmarkStart w:id="3936" w:name="_Toc9608282"/>
      <w:bookmarkStart w:id="3937" w:name="_Toc16000839"/>
      <w:r>
        <w:t>3.</w:t>
      </w:r>
      <w:r>
        <w:tab/>
        <w:t>Issues addressed in the annual joint committee meeting</w:t>
      </w:r>
      <w:bookmarkEnd w:id="3926"/>
      <w:bookmarkEnd w:id="3927"/>
      <w:bookmarkEnd w:id="3928"/>
      <w:bookmarkEnd w:id="3929"/>
      <w:bookmarkEnd w:id="3930"/>
      <w:bookmarkEnd w:id="3931"/>
      <w:bookmarkEnd w:id="3932"/>
      <w:bookmarkEnd w:id="3933"/>
      <w:bookmarkEnd w:id="3934"/>
      <w:bookmarkEnd w:id="3935"/>
      <w:bookmarkEnd w:id="3936"/>
      <w:bookmarkEnd w:id="3937"/>
    </w:p>
    <w:p>
      <w:pPr>
        <w:autoSpaceDE w:val="0"/>
        <w:autoSpaceDN w:val="0"/>
        <w:adjustRightInd w:val="0"/>
        <w:jc w:val="both"/>
        <w:rPr>
          <w:rFonts w:eastAsia="Calibri"/>
          <w:noProof/>
        </w:rPr>
      </w:pPr>
      <w:r>
        <w:rPr>
          <w:rFonts w:eastAsia="Calibri"/>
          <w:noProof/>
        </w:rPr>
        <w:t xml:space="preserve">Two FTA Joint Committee meetings took place in 2018 chaired by the Swiss party. </w:t>
      </w:r>
    </w:p>
    <w:p>
      <w:pPr>
        <w:autoSpaceDE w:val="0"/>
        <w:autoSpaceDN w:val="0"/>
        <w:adjustRightInd w:val="0"/>
        <w:jc w:val="both"/>
        <w:rPr>
          <w:rFonts w:eastAsia="Calibri"/>
          <w:noProof/>
        </w:rPr>
      </w:pPr>
    </w:p>
    <w:p>
      <w:pPr>
        <w:autoSpaceDE w:val="0"/>
        <w:autoSpaceDN w:val="0"/>
        <w:adjustRightInd w:val="0"/>
        <w:jc w:val="both"/>
        <w:rPr>
          <w:rFonts w:eastAsia="Calibri"/>
          <w:noProof/>
        </w:rPr>
      </w:pPr>
      <w:r>
        <w:rPr>
          <w:rFonts w:eastAsia="Calibri"/>
          <w:noProof/>
        </w:rPr>
        <w:t xml:space="preserve">At the Joint committee meeting of 17 September 2018, the EU presented the on-going investigation on certain steel products and discussed with its Swiss partners how EU safeguard measures should be shaped to be least distortive to bilateral trade, if such measures were deemed necessary to prevent trade distortion worldwide. </w:t>
      </w:r>
    </w:p>
    <w:p>
      <w:pPr>
        <w:autoSpaceDE w:val="0"/>
        <w:autoSpaceDN w:val="0"/>
        <w:adjustRightInd w:val="0"/>
        <w:jc w:val="both"/>
        <w:rPr>
          <w:rFonts w:eastAsia="Calibri"/>
          <w:noProof/>
        </w:rPr>
      </w:pPr>
    </w:p>
    <w:p>
      <w:pPr>
        <w:autoSpaceDE w:val="0"/>
        <w:autoSpaceDN w:val="0"/>
        <w:adjustRightInd w:val="0"/>
        <w:jc w:val="both"/>
        <w:rPr>
          <w:rFonts w:eastAsia="Calibri"/>
          <w:noProof/>
        </w:rPr>
      </w:pPr>
      <w:r>
        <w:rPr>
          <w:rFonts w:eastAsia="Calibri"/>
          <w:noProof/>
        </w:rPr>
        <w:t xml:space="preserve">At the FTA Joint Committee on 13 November 2018, a wider range of topics were discussed, including the latest price references for processed agricultural products, the Company tax reform and some market access issues. </w:t>
      </w:r>
    </w:p>
    <w:p>
      <w:pPr>
        <w:autoSpaceDE w:val="0"/>
        <w:autoSpaceDN w:val="0"/>
        <w:adjustRightInd w:val="0"/>
        <w:jc w:val="both"/>
        <w:rPr>
          <w:rFonts w:eastAsia="Calibri"/>
          <w:noProof/>
        </w:rPr>
      </w:pPr>
    </w:p>
    <w:p>
      <w:pPr>
        <w:autoSpaceDE w:val="0"/>
        <w:autoSpaceDN w:val="0"/>
        <w:adjustRightInd w:val="0"/>
        <w:jc w:val="both"/>
        <w:rPr>
          <w:rFonts w:eastAsia="Calibri"/>
          <w:noProof/>
          <w:highlight w:val="yellow"/>
        </w:rPr>
      </w:pPr>
      <w:r>
        <w:rPr>
          <w:rFonts w:eastAsia="Calibri"/>
          <w:noProof/>
        </w:rPr>
        <w:t>Joint committees under other bilateral agreements of trade relevance also take place on a regular basis. The Annual Joint Committee meeting on agriculture took place on 11 October 2018 and several working group met on technical issues such as Geographical Indications, organics and wine &amp; spirits drinks.</w:t>
      </w:r>
    </w:p>
    <w:p>
      <w:pPr>
        <w:pStyle w:val="ManualHeading1"/>
      </w:pPr>
      <w:bookmarkStart w:id="3938" w:name="_Toc8833790"/>
      <w:bookmarkStart w:id="3939" w:name="_Toc8835617"/>
      <w:bookmarkStart w:id="3940" w:name="_Toc8834247"/>
      <w:bookmarkStart w:id="3941" w:name="_Toc8909710"/>
      <w:bookmarkStart w:id="3942" w:name="_Toc8910922"/>
      <w:bookmarkStart w:id="3943" w:name="_Toc8911959"/>
      <w:bookmarkStart w:id="3944" w:name="_Toc8974780"/>
      <w:bookmarkStart w:id="3945" w:name="_Toc9008433"/>
      <w:bookmarkStart w:id="3946" w:name="_Toc9008836"/>
      <w:bookmarkStart w:id="3947" w:name="_Toc9348832"/>
      <w:bookmarkStart w:id="3948" w:name="_Toc9608283"/>
      <w:bookmarkStart w:id="3949" w:name="_Toc16000840"/>
      <w:r>
        <w:t>4.</w:t>
      </w:r>
      <w:r>
        <w:tab/>
        <w:t>Specific areas of importance</w:t>
      </w:r>
      <w:bookmarkEnd w:id="3938"/>
      <w:bookmarkEnd w:id="3939"/>
      <w:bookmarkEnd w:id="3940"/>
      <w:bookmarkEnd w:id="3941"/>
      <w:bookmarkEnd w:id="3942"/>
      <w:bookmarkEnd w:id="3943"/>
      <w:bookmarkEnd w:id="3944"/>
      <w:bookmarkEnd w:id="3945"/>
      <w:bookmarkEnd w:id="3946"/>
      <w:bookmarkEnd w:id="3947"/>
      <w:bookmarkEnd w:id="3948"/>
      <w:bookmarkEnd w:id="3949"/>
    </w:p>
    <w:p>
      <w:pPr>
        <w:autoSpaceDE w:val="0"/>
        <w:autoSpaceDN w:val="0"/>
        <w:adjustRightInd w:val="0"/>
        <w:jc w:val="both"/>
        <w:rPr>
          <w:rFonts w:eastAsia="Calibri"/>
          <w:noProof/>
        </w:rPr>
      </w:pPr>
      <w:r>
        <w:rPr>
          <w:rFonts w:eastAsia="Calibri"/>
          <w:noProof/>
        </w:rPr>
        <w:t xml:space="preserve">Unlike the three EEA EFTA countries (Norway, Iceland and Liechtenstein), Switzerland does not have full access to the four freedoms of the Internal market and does not dynamically integrate the EU </w:t>
      </w:r>
      <w:r>
        <w:rPr>
          <w:rFonts w:eastAsia="Calibri"/>
          <w:i/>
          <w:iCs/>
          <w:noProof/>
        </w:rPr>
        <w:t>acquis</w:t>
      </w:r>
      <w:r>
        <w:rPr>
          <w:rFonts w:eastAsia="Calibri"/>
          <w:noProof/>
        </w:rPr>
        <w:t xml:space="preserve">. On the basis of the sectoral bilateral agreements, Switzerland has however access, to a certain extent, to two pillars of the internal market: free movement of goods (with the exception of most agricultural products and approximately half of processed agricultural products, where access is limited), and free movement of persons (which includes also cross-border provision of services limited in time). The sectoral agreements are largely static: the arrangements between Switzerland and the EU are usually based on recognition of the identical or equivalent nature of the EU and Swiss legislation in the sectors. However, the Swiss are taking over – on a contractual or even on an autonomous basis - parts of the EU </w:t>
      </w:r>
      <w:r>
        <w:rPr>
          <w:rFonts w:eastAsia="Calibri"/>
          <w:i/>
          <w:iCs/>
          <w:noProof/>
        </w:rPr>
        <w:t>acquis</w:t>
      </w:r>
      <w:r>
        <w:rPr>
          <w:rFonts w:eastAsia="Calibri"/>
          <w:noProof/>
        </w:rPr>
        <w:t xml:space="preserve">, for example in the area of recognition of professional qualifications. Hence, the need for an Institutional Framework Agreement mentioned above. </w:t>
      </w:r>
    </w:p>
    <w:p>
      <w:pPr>
        <w:pStyle w:val="ManualHeading1"/>
      </w:pPr>
      <w:bookmarkStart w:id="3950" w:name="_Toc8833791"/>
      <w:bookmarkStart w:id="3951" w:name="_Toc8835618"/>
      <w:bookmarkStart w:id="3952" w:name="_Toc8834248"/>
      <w:bookmarkStart w:id="3953" w:name="_Toc8909711"/>
      <w:bookmarkStart w:id="3954" w:name="_Toc8910923"/>
      <w:bookmarkStart w:id="3955" w:name="_Toc8911960"/>
      <w:bookmarkStart w:id="3956" w:name="_Toc8974781"/>
      <w:bookmarkStart w:id="3957" w:name="_Toc9008434"/>
      <w:bookmarkStart w:id="3958" w:name="_Toc9008837"/>
      <w:bookmarkStart w:id="3959" w:name="_Toc9348833"/>
      <w:bookmarkStart w:id="3960" w:name="_Toc9608284"/>
      <w:bookmarkStart w:id="3961" w:name="_Toc16000841"/>
      <w:r>
        <w:t>5.</w:t>
      </w:r>
      <w:r>
        <w:tab/>
        <w:t>Progress made, main open issues and follow-up actions</w:t>
      </w:r>
      <w:bookmarkEnd w:id="3950"/>
      <w:bookmarkEnd w:id="3951"/>
      <w:bookmarkEnd w:id="3952"/>
      <w:bookmarkEnd w:id="3953"/>
      <w:bookmarkEnd w:id="3954"/>
      <w:bookmarkEnd w:id="3955"/>
      <w:bookmarkEnd w:id="3956"/>
      <w:bookmarkEnd w:id="3957"/>
      <w:bookmarkEnd w:id="3958"/>
      <w:bookmarkEnd w:id="3959"/>
      <w:bookmarkEnd w:id="3960"/>
      <w:bookmarkEnd w:id="3961"/>
    </w:p>
    <w:p>
      <w:pPr>
        <w:jc w:val="both"/>
        <w:rPr>
          <w:noProof/>
        </w:rPr>
      </w:pPr>
      <w:r>
        <w:rPr>
          <w:noProof/>
        </w:rPr>
        <w:t xml:space="preserve">Progress was made on several issues: the long-awaited </w:t>
      </w:r>
      <w:r>
        <w:rPr>
          <w:b/>
          <w:bCs/>
          <w:noProof/>
        </w:rPr>
        <w:t>Company tax reform</w:t>
      </w:r>
      <w:r>
        <w:rPr>
          <w:noProof/>
        </w:rPr>
        <w:t>, modifying the discriminatory cantonal fiscal status of companies, which was also problematic from a State aid point of view, was approved by the Swiss Parliament in September 2018 and should enter into force on 1 January 2020.</w:t>
      </w:r>
    </w:p>
    <w:p>
      <w:pPr>
        <w:jc w:val="both"/>
        <w:rPr>
          <w:noProof/>
        </w:rPr>
      </w:pPr>
    </w:p>
    <w:p>
      <w:pPr>
        <w:jc w:val="both"/>
        <w:rPr>
          <w:noProof/>
        </w:rPr>
      </w:pPr>
      <w:r>
        <w:rPr>
          <w:noProof/>
        </w:rPr>
        <w:t xml:space="preserve">In the context of the WTO Nairobi decision on export subsidies, Switzerland abolished by a decision of the Federal Council of September 2018, its </w:t>
      </w:r>
      <w:r>
        <w:rPr>
          <w:b/>
          <w:bCs/>
          <w:noProof/>
        </w:rPr>
        <w:t>agricultural export subsidies</w:t>
      </w:r>
      <w:r>
        <w:rPr>
          <w:noProof/>
        </w:rPr>
        <w:t xml:space="preserve"> laid down in the "loi chocolatière", as of January 2019.</w:t>
      </w:r>
    </w:p>
    <w:p>
      <w:pPr>
        <w:jc w:val="both"/>
        <w:rPr>
          <w:noProof/>
        </w:rPr>
      </w:pPr>
    </w:p>
    <w:p>
      <w:pPr>
        <w:jc w:val="both"/>
        <w:rPr>
          <w:noProof/>
        </w:rPr>
      </w:pPr>
      <w:r>
        <w:rPr>
          <w:noProof/>
        </w:rPr>
        <w:t xml:space="preserve">The process of adapting the price reference of basic agricultural products needed in the context of the price compensation mechanism for </w:t>
      </w:r>
      <w:r>
        <w:rPr>
          <w:b/>
          <w:bCs/>
          <w:noProof/>
        </w:rPr>
        <w:t>processed agricultural products</w:t>
      </w:r>
      <w:r>
        <w:rPr>
          <w:noProof/>
        </w:rPr>
        <w:t xml:space="preserve"> (protocol 2 to the FTA) ran particularly smoothly this year so parties agreed to further develop their methodology, in a spirit of greater transparency and simplicity. </w:t>
      </w:r>
    </w:p>
    <w:p>
      <w:pPr>
        <w:jc w:val="both"/>
        <w:rPr>
          <w:noProof/>
        </w:rPr>
      </w:pPr>
    </w:p>
    <w:p>
      <w:pPr>
        <w:jc w:val="both"/>
        <w:rPr>
          <w:noProof/>
        </w:rPr>
      </w:pPr>
      <w:r>
        <w:rPr>
          <w:noProof/>
        </w:rPr>
        <w:t>Progress was made towards solving the issue related to the Swiss reclassification of “</w:t>
      </w:r>
      <w:r>
        <w:rPr>
          <w:b/>
          <w:bCs/>
          <w:noProof/>
        </w:rPr>
        <w:t>seasoned meat</w:t>
      </w:r>
      <w:r>
        <w:rPr>
          <w:noProof/>
        </w:rPr>
        <w:t xml:space="preserve">”, which resulted in significantly higher import tariffs for seasoned meat, affecting particularly EU exporters. In 2018, Switzerland notified in WTO its intention to launch negotiations to modify the tariff concessions for 'meat not further prepared than seasoned'. The EU negotiating directives were adopted in December 2018, so that progress can be expected in 2019. </w:t>
      </w:r>
    </w:p>
    <w:p>
      <w:pPr>
        <w:jc w:val="both"/>
        <w:rPr>
          <w:noProof/>
        </w:rPr>
      </w:pPr>
    </w:p>
    <w:p>
      <w:pPr>
        <w:autoSpaceDE w:val="0"/>
        <w:autoSpaceDN w:val="0"/>
        <w:adjustRightInd w:val="0"/>
        <w:jc w:val="both"/>
        <w:rPr>
          <w:rFonts w:eastAsia="Calibri"/>
          <w:noProof/>
        </w:rPr>
      </w:pPr>
      <w:r>
        <w:rPr>
          <w:rFonts w:eastAsia="Calibri"/>
          <w:noProof/>
        </w:rPr>
        <w:t xml:space="preserve">Negotiations to extend the scope of the </w:t>
      </w:r>
      <w:r>
        <w:rPr>
          <w:rFonts w:eastAsia="Calibri"/>
          <w:b/>
          <w:bCs/>
          <w:noProof/>
        </w:rPr>
        <w:t>SPS rules</w:t>
      </w:r>
      <w:r>
        <w:rPr>
          <w:rFonts w:eastAsia="Calibri"/>
          <w:noProof/>
        </w:rPr>
        <w:t xml:space="preserve"> currently applicable between Switzerland and the EU made progress in 2018. A new agreement addressing notably labelling or food safety issues could facilitate trade between the parties. </w:t>
      </w:r>
    </w:p>
    <w:p>
      <w:pPr>
        <w:autoSpaceDE w:val="0"/>
        <w:autoSpaceDN w:val="0"/>
        <w:adjustRightInd w:val="0"/>
        <w:jc w:val="both"/>
        <w:rPr>
          <w:rFonts w:eastAsia="Calibri"/>
          <w:noProof/>
        </w:rPr>
      </w:pPr>
    </w:p>
    <w:p>
      <w:pPr>
        <w:autoSpaceDE w:val="0"/>
        <w:autoSpaceDN w:val="0"/>
        <w:adjustRightInd w:val="0"/>
        <w:jc w:val="both"/>
        <w:rPr>
          <w:rFonts w:eastAsia="Calibri"/>
          <w:noProof/>
        </w:rPr>
      </w:pPr>
      <w:r>
        <w:rPr>
          <w:rFonts w:eastAsia="Calibri"/>
          <w:noProof/>
        </w:rPr>
        <w:t xml:space="preserve">The shaping of the </w:t>
      </w:r>
      <w:r>
        <w:rPr>
          <w:rFonts w:eastAsia="Calibri"/>
          <w:b/>
          <w:bCs/>
          <w:noProof/>
        </w:rPr>
        <w:t>EU safeguard measures</w:t>
      </w:r>
      <w:r>
        <w:rPr>
          <w:rFonts w:eastAsia="Calibri"/>
          <w:noProof/>
        </w:rPr>
        <w:t xml:space="preserve"> on certain products of steel was subject to intense discussions with Switzerland in order to find a solution that is as least distortive to trade as possible. Their implementation will be closely monitored in the coming months. </w:t>
      </w:r>
    </w:p>
    <w:p>
      <w:pPr>
        <w:autoSpaceDE w:val="0"/>
        <w:autoSpaceDN w:val="0"/>
        <w:adjustRightInd w:val="0"/>
        <w:jc w:val="both"/>
        <w:rPr>
          <w:rFonts w:eastAsia="Calibri"/>
          <w:noProof/>
        </w:rPr>
      </w:pPr>
    </w:p>
    <w:p>
      <w:pPr>
        <w:jc w:val="both"/>
        <w:rPr>
          <w:rFonts w:eastAsia="Times New Roman"/>
          <w:noProof/>
        </w:rPr>
      </w:pPr>
      <w:r>
        <w:rPr>
          <w:noProof/>
        </w:rPr>
        <w:t xml:space="preserve">When it comes to market access barriers, the Parliament of the Ticino region abolished in November 2018 the </w:t>
      </w:r>
      <w:r>
        <w:rPr>
          <w:b/>
          <w:bCs/>
          <w:noProof/>
        </w:rPr>
        <w:t>law on artisanal enterprises</w:t>
      </w:r>
      <w:r>
        <w:rPr>
          <w:noProof/>
        </w:rPr>
        <w:t xml:space="preserve">, which was welcomed by the EU as it represented a trade barrier to European cross-border service providers. </w:t>
      </w:r>
      <w:r>
        <w:rPr>
          <w:rFonts w:eastAsia="Times New Roman"/>
          <w:noProof/>
        </w:rPr>
        <w:t>However, the issue will have to be monitored closely since there have been voices in Ticino asking for similar measures to be reintroduced.</w:t>
      </w:r>
    </w:p>
    <w:p>
      <w:pPr>
        <w:jc w:val="both"/>
        <w:rPr>
          <w:noProof/>
        </w:rPr>
      </w:pPr>
    </w:p>
    <w:p>
      <w:pPr>
        <w:autoSpaceDE w:val="0"/>
        <w:autoSpaceDN w:val="0"/>
        <w:adjustRightInd w:val="0"/>
        <w:jc w:val="both"/>
        <w:rPr>
          <w:rFonts w:eastAsia="Calibri"/>
          <w:noProof/>
        </w:rPr>
      </w:pPr>
      <w:r>
        <w:rPr>
          <w:rFonts w:eastAsia="Calibri"/>
          <w:b/>
          <w:bCs/>
          <w:noProof/>
        </w:rPr>
        <w:t>Access to market in the services sector remains however a major issue.</w:t>
      </w:r>
      <w:r>
        <w:rPr>
          <w:rFonts w:eastAsia="Calibri"/>
          <w:noProof/>
        </w:rPr>
        <w:t xml:space="preserve"> The so-called “flanking measures” that the Swiss put in place to accompany the implementation of the EU-Switzerland Free Movement of Persons Agreement</w:t>
      </w:r>
      <w:r>
        <w:rPr>
          <w:rFonts w:eastAsia="Calibri"/>
          <w:noProof/>
          <w:vertAlign w:val="superscript"/>
        </w:rPr>
        <w:footnoteReference w:id="99"/>
      </w:r>
      <w:r>
        <w:rPr>
          <w:rFonts w:eastAsia="Calibri"/>
          <w:noProof/>
        </w:rPr>
        <w:t xml:space="preserve"> are a long-standing issue, as the EU considers them burdensome and disproportionate. A compromise solution was found in the context of the EU-Swiss Institutional Framework Agreement, which the EU side hopes will be endorsed politically in Switzerland at the end of the consultation process. </w:t>
      </w:r>
    </w:p>
    <w:p>
      <w:pPr>
        <w:autoSpaceDE w:val="0"/>
        <w:autoSpaceDN w:val="0"/>
        <w:adjustRightInd w:val="0"/>
        <w:jc w:val="both"/>
        <w:rPr>
          <w:rFonts w:eastAsia="Calibri"/>
          <w:noProof/>
        </w:rPr>
      </w:pPr>
      <w:r>
        <w:rPr>
          <w:rFonts w:eastAsia="Calibri"/>
          <w:noProof/>
        </w:rPr>
        <w:t xml:space="preserve">The lack of a </w:t>
      </w:r>
      <w:r>
        <w:rPr>
          <w:rFonts w:eastAsia="Calibri"/>
          <w:b/>
          <w:noProof/>
        </w:rPr>
        <w:t>level playing field as regards State aid</w:t>
      </w:r>
      <w:r>
        <w:rPr>
          <w:rFonts w:eastAsia="Calibri"/>
          <w:noProof/>
        </w:rPr>
        <w:t xml:space="preserve"> also remains an issue, as existing agreements between the EU and Switzerland do not include effective State aid rules. A solution was found in the context of the EU-Swiss Institutional Framework Agreement, which includes State aid rules for existing and future market access agreements between the EU and Switzerland.</w:t>
      </w:r>
    </w:p>
    <w:p>
      <w:pPr>
        <w:pStyle w:val="ManualHeading1"/>
      </w:pPr>
      <w:bookmarkStart w:id="3962" w:name="_Toc8833792"/>
      <w:bookmarkStart w:id="3963" w:name="_Toc8835619"/>
      <w:bookmarkStart w:id="3964" w:name="_Toc8834249"/>
      <w:bookmarkStart w:id="3965" w:name="_Toc8909712"/>
      <w:bookmarkStart w:id="3966" w:name="_Toc8910924"/>
      <w:bookmarkStart w:id="3967" w:name="_Toc8911961"/>
      <w:bookmarkStart w:id="3968" w:name="_Toc8974782"/>
      <w:bookmarkStart w:id="3969" w:name="_Toc9008435"/>
      <w:bookmarkStart w:id="3970" w:name="_Toc9008838"/>
      <w:bookmarkStart w:id="3971" w:name="_Toc9348834"/>
      <w:bookmarkStart w:id="3972" w:name="_Toc9608285"/>
      <w:bookmarkStart w:id="3973" w:name="_Toc16000842"/>
      <w:r>
        <w:t>6.</w:t>
      </w:r>
      <w:r>
        <w:tab/>
        <w:t>Conclusions and outlook</w:t>
      </w:r>
      <w:bookmarkEnd w:id="3962"/>
      <w:bookmarkEnd w:id="3963"/>
      <w:bookmarkEnd w:id="3964"/>
      <w:bookmarkEnd w:id="3965"/>
      <w:bookmarkEnd w:id="3966"/>
      <w:bookmarkEnd w:id="3967"/>
      <w:bookmarkEnd w:id="3968"/>
      <w:bookmarkEnd w:id="3969"/>
      <w:bookmarkEnd w:id="3970"/>
      <w:bookmarkEnd w:id="3971"/>
      <w:bookmarkEnd w:id="3972"/>
      <w:bookmarkEnd w:id="3973"/>
    </w:p>
    <w:p>
      <w:pPr>
        <w:jc w:val="both"/>
        <w:rPr>
          <w:noProof/>
        </w:rPr>
      </w:pPr>
      <w:r>
        <w:rPr>
          <w:noProof/>
        </w:rPr>
        <w:t>The Council adopted on 19 February 2019 the following conclusions</w:t>
      </w:r>
      <w:r>
        <w:rPr>
          <w:rStyle w:val="FootnoteReference"/>
          <w:noProof/>
        </w:rPr>
        <w:footnoteReference w:id="100"/>
      </w:r>
      <w:r>
        <w:rPr>
          <w:noProof/>
        </w:rPr>
        <w:t xml:space="preserve"> that summarise the situation and will guide Commission work in the coming months.</w:t>
      </w:r>
    </w:p>
    <w:p>
      <w:pPr>
        <w:jc w:val="both"/>
        <w:rPr>
          <w:noProof/>
        </w:rPr>
      </w:pPr>
    </w:p>
    <w:p>
      <w:pPr>
        <w:jc w:val="both"/>
        <w:rPr>
          <w:noProof/>
        </w:rPr>
      </w:pPr>
      <w:r>
        <w:rPr>
          <w:noProof/>
        </w:rPr>
        <w:t xml:space="preserve">On the Institutional Framework: </w:t>
      </w:r>
    </w:p>
    <w:p>
      <w:pPr>
        <w:jc w:val="both"/>
        <w:rPr>
          <w:noProof/>
        </w:rPr>
      </w:pPr>
      <w:r>
        <w:rPr>
          <w:noProof/>
        </w:rPr>
        <w:t>“</w:t>
      </w:r>
      <w:r>
        <w:rPr>
          <w:i/>
          <w:noProof/>
        </w:rPr>
        <w:t>In May 2014, the EU and Switzerland have entered into negotiations on a common institutional framework for existing and future agreements, with a view to consolidating the bilateral approach and to developing the EU-Swiss comprehensive partnership to its full potential. After more than four years, negotiations have come to a close at the end of 2018. Negotiators have found fair and balanced solutions in areas such as the rules for dynamic take-over of EU acquis by Switzerland, the mechanism for independent dispute settlement and the provisions to ensure increased legal certainty, as well as a level playing field for our citizens and economic operators. The Council strongly regrets that the Swiss Federal Council did not endorse this outcome in December 2018 and calls on the Federal Council to stand behind the negotiated text of the Institutional Framework Agreement and submit it for adoption to the Federal Assembly as soon as the consultation of stakeholders is completed in spring 2019. The Council emphasises that the conclusion of the Institutional Framework Agreement on the basis of the present text is a precondition for the EU for the conclusion of future agreements on Swiss participation in the EU's internal market and also an essential element for deciding upon further progress towards mutually beneficial market access. This will allow for a consolidation of the bilateral approach, in such a way as to ensure its sustainability and further development</w:t>
      </w:r>
      <w:r>
        <w:rPr>
          <w:noProof/>
        </w:rPr>
        <w:t xml:space="preserve">”. </w:t>
      </w:r>
    </w:p>
    <w:p>
      <w:pPr>
        <w:jc w:val="both"/>
        <w:rPr>
          <w:noProof/>
        </w:rPr>
      </w:pPr>
    </w:p>
    <w:p>
      <w:pPr>
        <w:jc w:val="both"/>
        <w:rPr>
          <w:noProof/>
        </w:rPr>
      </w:pPr>
      <w:r>
        <w:rPr>
          <w:noProof/>
        </w:rPr>
        <w:t xml:space="preserve">On the trade relationship: </w:t>
      </w:r>
    </w:p>
    <w:p>
      <w:pPr>
        <w:jc w:val="both"/>
        <w:rPr>
          <w:noProof/>
        </w:rPr>
      </w:pPr>
      <w:r>
        <w:rPr>
          <w:noProof/>
        </w:rPr>
        <w:t>“</w:t>
      </w:r>
      <w:r>
        <w:rPr>
          <w:i/>
          <w:noProof/>
        </w:rPr>
        <w:t>The EU and Switzerland continue to enjoy a strong and stable trading relationship, to the benefit of both sides. However, the free trade agreement of 1972, which is at the basis of our close economic relationship, has not been adjusted to developments in international trade rules since. The Council therefore calls for embarking on a path of modernising the agreements governing the trade relations between Switzerland and the European Union, in particular the free trade agreement. Enhanced access to the Swiss market for operators from the EU, notably in the agri-food and services sectors, should be urgently addressed</w:t>
      </w:r>
      <w:r>
        <w:rPr>
          <w:noProof/>
        </w:rPr>
        <w:t>”.</w:t>
      </w:r>
    </w:p>
    <w:p>
      <w:pPr>
        <w:pStyle w:val="ManualHeading1"/>
      </w:pPr>
      <w:bookmarkStart w:id="3974" w:name="_Toc16000843"/>
      <w:r>
        <w:t>7.</w:t>
      </w:r>
      <w:r>
        <w:tab/>
        <w:t>Statistics</w:t>
      </w:r>
      <w:bookmarkEnd w:id="3974"/>
    </w:p>
    <w:tbl>
      <w:tblPr>
        <w:tblW w:w="6993" w:type="dxa"/>
        <w:tblInd w:w="108" w:type="dxa"/>
        <w:tblLook w:val="04A0" w:firstRow="1" w:lastRow="0" w:firstColumn="1" w:lastColumn="0" w:noHBand="0" w:noVBand="1"/>
      </w:tblPr>
      <w:tblGrid>
        <w:gridCol w:w="3974"/>
        <w:gridCol w:w="736"/>
        <w:gridCol w:w="736"/>
        <w:gridCol w:w="736"/>
        <w:gridCol w:w="736"/>
        <w:gridCol w:w="736"/>
      </w:tblGrid>
      <w:tr>
        <w:trPr>
          <w:trHeight w:val="210"/>
        </w:trPr>
        <w:tc>
          <w:tcPr>
            <w:tcW w:w="6993"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Merchandise trade EU28 2014-2018</w:t>
            </w:r>
          </w:p>
        </w:tc>
      </w:tr>
      <w:tr>
        <w:trPr>
          <w:trHeight w:val="210"/>
        </w:trPr>
        <w:tc>
          <w:tcPr>
            <w:tcW w:w="3974" w:type="dxa"/>
            <w:tcBorders>
              <w:top w:val="single" w:sz="4" w:space="0" w:color="auto"/>
              <w:left w:val="nil"/>
              <w:bottom w:val="single" w:sz="4" w:space="0" w:color="auto"/>
              <w:right w:val="nil"/>
            </w:tcBorders>
            <w:shd w:val="clear" w:color="000000" w:fill="FFFFFF"/>
            <w:noWrap/>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 </w:t>
            </w:r>
          </w:p>
        </w:tc>
        <w:tc>
          <w:tcPr>
            <w:tcW w:w="579"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579"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579"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579"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703"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r>
      <w:tr>
        <w:trPr>
          <w:trHeight w:val="210"/>
        </w:trPr>
        <w:tc>
          <w:tcPr>
            <w:tcW w:w="3974" w:type="dxa"/>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de-DE" w:eastAsia="en-IE"/>
              </w:rPr>
            </w:pPr>
            <w:r>
              <w:rPr>
                <w:rFonts w:eastAsia="Times New Roman"/>
                <w:b/>
                <w:bCs/>
                <w:i/>
                <w:iCs/>
                <w:noProof/>
                <w:sz w:val="16"/>
                <w:szCs w:val="16"/>
                <w:lang w:val="de-DE" w:eastAsia="en-IE"/>
              </w:rPr>
              <w:t>EU28 trade with Switzerland (mio €)</w:t>
            </w:r>
          </w:p>
        </w:tc>
        <w:tc>
          <w:tcPr>
            <w:tcW w:w="579"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de-DE" w:eastAsia="en-IE"/>
              </w:rPr>
            </w:pPr>
          </w:p>
        </w:tc>
        <w:tc>
          <w:tcPr>
            <w:tcW w:w="579" w:type="dxa"/>
            <w:tcBorders>
              <w:top w:val="nil"/>
              <w:left w:val="nil"/>
              <w:bottom w:val="nil"/>
              <w:right w:val="nil"/>
            </w:tcBorders>
            <w:shd w:val="clear" w:color="000000" w:fill="FFFFFF"/>
            <w:noWrap/>
            <w:vAlign w:val="center"/>
            <w:hideMark/>
          </w:tcPr>
          <w:p>
            <w:pPr>
              <w:rPr>
                <w:rFonts w:eastAsia="Times New Roman"/>
                <w:b/>
                <w:bCs/>
                <w:i/>
                <w:iCs/>
                <w:noProof/>
                <w:sz w:val="16"/>
                <w:szCs w:val="16"/>
                <w:lang w:val="de-DE" w:eastAsia="en-IE"/>
              </w:rPr>
            </w:pPr>
            <w:r>
              <w:rPr>
                <w:rFonts w:eastAsia="Times New Roman"/>
                <w:b/>
                <w:bCs/>
                <w:i/>
                <w:iCs/>
                <w:noProof/>
                <w:sz w:val="16"/>
                <w:szCs w:val="16"/>
                <w:lang w:val="de-DE" w:eastAsia="en-IE"/>
              </w:rPr>
              <w:t> </w:t>
            </w:r>
          </w:p>
        </w:tc>
        <w:tc>
          <w:tcPr>
            <w:tcW w:w="579" w:type="dxa"/>
            <w:tcBorders>
              <w:top w:val="nil"/>
              <w:left w:val="nil"/>
              <w:bottom w:val="nil"/>
              <w:right w:val="nil"/>
            </w:tcBorders>
            <w:shd w:val="clear" w:color="000000" w:fill="FFFFFF"/>
            <w:noWrap/>
            <w:vAlign w:val="center"/>
            <w:hideMark/>
          </w:tcPr>
          <w:p>
            <w:pPr>
              <w:rPr>
                <w:rFonts w:eastAsia="Times New Roman"/>
                <w:b/>
                <w:bCs/>
                <w:i/>
                <w:iCs/>
                <w:noProof/>
                <w:sz w:val="16"/>
                <w:szCs w:val="16"/>
                <w:lang w:val="de-DE" w:eastAsia="en-IE"/>
              </w:rPr>
            </w:pPr>
            <w:r>
              <w:rPr>
                <w:rFonts w:eastAsia="Times New Roman"/>
                <w:b/>
                <w:bCs/>
                <w:i/>
                <w:iCs/>
                <w:noProof/>
                <w:sz w:val="16"/>
                <w:szCs w:val="16"/>
                <w:lang w:val="de-DE" w:eastAsia="en-IE"/>
              </w:rPr>
              <w:t> </w:t>
            </w:r>
          </w:p>
        </w:tc>
        <w:tc>
          <w:tcPr>
            <w:tcW w:w="579" w:type="dxa"/>
            <w:tcBorders>
              <w:top w:val="nil"/>
              <w:left w:val="nil"/>
              <w:bottom w:val="nil"/>
              <w:right w:val="nil"/>
            </w:tcBorders>
            <w:shd w:val="clear" w:color="000000" w:fill="FFFFFF"/>
            <w:noWrap/>
            <w:vAlign w:val="center"/>
            <w:hideMark/>
          </w:tcPr>
          <w:p>
            <w:pPr>
              <w:rPr>
                <w:rFonts w:eastAsia="Times New Roman"/>
                <w:b/>
                <w:bCs/>
                <w:i/>
                <w:iCs/>
                <w:noProof/>
                <w:sz w:val="16"/>
                <w:szCs w:val="16"/>
                <w:lang w:val="de-DE" w:eastAsia="en-IE"/>
              </w:rPr>
            </w:pPr>
            <w:r>
              <w:rPr>
                <w:rFonts w:eastAsia="Times New Roman"/>
                <w:b/>
                <w:bCs/>
                <w:i/>
                <w:iCs/>
                <w:noProof/>
                <w:sz w:val="16"/>
                <w:szCs w:val="16"/>
                <w:lang w:val="de-DE" w:eastAsia="en-IE"/>
              </w:rPr>
              <w:t> </w:t>
            </w:r>
          </w:p>
        </w:tc>
        <w:tc>
          <w:tcPr>
            <w:tcW w:w="703" w:type="dxa"/>
            <w:tcBorders>
              <w:top w:val="nil"/>
              <w:left w:val="nil"/>
              <w:bottom w:val="nil"/>
              <w:right w:val="nil"/>
            </w:tcBorders>
            <w:shd w:val="clear" w:color="000000" w:fill="FFFFFF"/>
            <w:noWrap/>
            <w:vAlign w:val="center"/>
            <w:hideMark/>
          </w:tcPr>
          <w:p>
            <w:pPr>
              <w:rPr>
                <w:rFonts w:eastAsia="Times New Roman"/>
                <w:b/>
                <w:bCs/>
                <w:i/>
                <w:iCs/>
                <w:noProof/>
                <w:sz w:val="16"/>
                <w:szCs w:val="16"/>
                <w:lang w:val="de-DE" w:eastAsia="en-IE"/>
              </w:rPr>
            </w:pPr>
            <w:r>
              <w:rPr>
                <w:rFonts w:eastAsia="Times New Roman"/>
                <w:b/>
                <w:bCs/>
                <w:i/>
                <w:iCs/>
                <w:noProof/>
                <w:sz w:val="16"/>
                <w:szCs w:val="16"/>
                <w:lang w:val="de-DE" w:eastAsia="en-IE"/>
              </w:rPr>
              <w:t> </w:t>
            </w:r>
          </w:p>
        </w:tc>
      </w:tr>
      <w:tr>
        <w:trPr>
          <w:trHeight w:val="210"/>
        </w:trPr>
        <w:tc>
          <w:tcPr>
            <w:tcW w:w="397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96.546</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102.356</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121.371</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110.728</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108.980</w:t>
            </w:r>
          </w:p>
        </w:tc>
      </w:tr>
      <w:tr>
        <w:trPr>
          <w:trHeight w:val="210"/>
        </w:trPr>
        <w:tc>
          <w:tcPr>
            <w:tcW w:w="397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140.288</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150.513</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142.218</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150.245</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156.484</w:t>
            </w:r>
          </w:p>
        </w:tc>
      </w:tr>
      <w:tr>
        <w:trPr>
          <w:trHeight w:val="210"/>
        </w:trPr>
        <w:tc>
          <w:tcPr>
            <w:tcW w:w="397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43.742</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48.157</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20.847</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39.517</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47.504</w:t>
            </w:r>
          </w:p>
        </w:tc>
      </w:tr>
      <w:tr>
        <w:trPr>
          <w:trHeight w:val="210"/>
        </w:trPr>
        <w:tc>
          <w:tcPr>
            <w:tcW w:w="3974" w:type="dxa"/>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Share Switzerland in EU28 trade with Extra-EU28</w:t>
            </w:r>
          </w:p>
        </w:tc>
        <w:tc>
          <w:tcPr>
            <w:tcW w:w="579"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n-IE" w:eastAsia="en-IE"/>
              </w:rPr>
            </w:pPr>
          </w:p>
        </w:tc>
        <w:tc>
          <w:tcPr>
            <w:tcW w:w="579"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579"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579"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703"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r>
      <w:tr>
        <w:trPr>
          <w:trHeight w:val="210"/>
        </w:trPr>
        <w:tc>
          <w:tcPr>
            <w:tcW w:w="397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5,7%</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5,9%</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7,1%</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6,0%</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5,5%</w:t>
            </w:r>
          </w:p>
        </w:tc>
      </w:tr>
      <w:tr>
        <w:trPr>
          <w:trHeight w:val="210"/>
        </w:trPr>
        <w:tc>
          <w:tcPr>
            <w:tcW w:w="397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8,2%</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8,4%</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8,1%</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8,0%</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8,0%</w:t>
            </w:r>
          </w:p>
        </w:tc>
      </w:tr>
      <w:tr>
        <w:trPr>
          <w:trHeight w:val="210"/>
        </w:trPr>
        <w:tc>
          <w:tcPr>
            <w:tcW w:w="397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7,0%</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7,2%</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7,6%</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7,0%</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6,7%</w:t>
            </w:r>
          </w:p>
        </w:tc>
      </w:tr>
      <w:tr>
        <w:trPr>
          <w:trHeight w:val="210"/>
        </w:trPr>
        <w:tc>
          <w:tcPr>
            <w:tcW w:w="6993"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Share EU28 in trade Switzerland with world</w:t>
            </w:r>
          </w:p>
        </w:tc>
      </w:tr>
      <w:tr>
        <w:trPr>
          <w:trHeight w:val="210"/>
        </w:trPr>
        <w:tc>
          <w:tcPr>
            <w:tcW w:w="397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66,3%</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64,6%</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55,8%</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59,7%</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63,0%</w:t>
            </w:r>
          </w:p>
        </w:tc>
      </w:tr>
      <w:tr>
        <w:trPr>
          <w:trHeight w:val="210"/>
        </w:trPr>
        <w:tc>
          <w:tcPr>
            <w:tcW w:w="397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45,2%</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43,5%</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48,4%</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45,3%</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44,4%</w:t>
            </w:r>
          </w:p>
        </w:tc>
      </w:tr>
      <w:tr>
        <w:trPr>
          <w:trHeight w:val="210"/>
        </w:trPr>
        <w:tc>
          <w:tcPr>
            <w:tcW w:w="397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55,1%</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53,3%</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51,9%</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52,1%</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53,1%</w:t>
            </w:r>
          </w:p>
        </w:tc>
      </w:tr>
      <w:tr>
        <w:trPr>
          <w:trHeight w:val="225"/>
        </w:trPr>
        <w:tc>
          <w:tcPr>
            <w:tcW w:w="5132" w:type="dxa"/>
            <w:gridSpan w:val="3"/>
            <w:tcBorders>
              <w:top w:val="single" w:sz="4" w:space="0" w:color="auto"/>
              <w:left w:val="nil"/>
              <w:bottom w:val="nil"/>
              <w:right w:val="nil"/>
            </w:tcBorders>
            <w:shd w:val="clear" w:color="000000" w:fill="FFFFFF"/>
            <w:noWrap/>
            <w:vAlign w:val="bottom"/>
            <w:hideMark/>
          </w:tcPr>
          <w:p>
            <w:pPr>
              <w:rPr>
                <w:rFonts w:eastAsia="Times New Roman"/>
                <w:noProof/>
                <w:sz w:val="12"/>
                <w:szCs w:val="12"/>
                <w:lang w:val="en-IE" w:eastAsia="en-IE"/>
              </w:rPr>
            </w:pPr>
            <w:r>
              <w:rPr>
                <w:rFonts w:eastAsia="Times New Roman"/>
                <w:noProof/>
                <w:sz w:val="12"/>
                <w:szCs w:val="12"/>
                <w:lang w:val="en-IE" w:eastAsia="en-IE"/>
              </w:rPr>
              <w:t xml:space="preserve">Source Trade G2 Statistics/ISDB </w:t>
            </w:r>
          </w:p>
        </w:tc>
        <w:tc>
          <w:tcPr>
            <w:tcW w:w="579"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579"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703" w:type="dxa"/>
            <w:tcBorders>
              <w:top w:val="single" w:sz="4" w:space="0" w:color="auto"/>
              <w:left w:val="nil"/>
              <w:bottom w:val="nil"/>
              <w:right w:val="nil"/>
            </w:tcBorders>
            <w:shd w:val="clear" w:color="000000" w:fill="FFFFFF"/>
            <w:noWrap/>
            <w:hideMark/>
          </w:tcPr>
          <w:p>
            <w:pPr>
              <w:jc w:val="right"/>
              <w:rPr>
                <w:rFonts w:eastAsia="Times New Roman"/>
                <w:noProof/>
                <w:sz w:val="12"/>
                <w:szCs w:val="12"/>
                <w:lang w:val="en-IE" w:eastAsia="en-IE"/>
              </w:rPr>
            </w:pPr>
            <w:r>
              <w:rPr>
                <w:rFonts w:eastAsia="Times New Roman"/>
                <w:noProof/>
                <w:sz w:val="12"/>
                <w:szCs w:val="12"/>
                <w:lang w:val="en-IE" w:eastAsia="en-IE"/>
              </w:rPr>
              <w:t>25-mars-19</w:t>
            </w:r>
          </w:p>
        </w:tc>
      </w:tr>
      <w:tr>
        <w:trPr>
          <w:trHeight w:val="210"/>
        </w:trPr>
        <w:tc>
          <w:tcPr>
            <w:tcW w:w="6290" w:type="dxa"/>
            <w:gridSpan w:val="5"/>
            <w:tcBorders>
              <w:top w:val="nil"/>
              <w:left w:val="nil"/>
              <w:bottom w:val="nil"/>
              <w:right w:val="nil"/>
            </w:tcBorders>
            <w:shd w:val="clear" w:color="000000" w:fill="FFFFFF"/>
            <w:noWrap/>
            <w:hideMark/>
          </w:tcPr>
          <w:p>
            <w:pPr>
              <w:rPr>
                <w:rFonts w:eastAsia="Times New Roman"/>
                <w:noProof/>
                <w:color w:val="000000"/>
                <w:sz w:val="12"/>
                <w:szCs w:val="12"/>
                <w:lang w:val="en-IE" w:eastAsia="en-IE"/>
              </w:rPr>
            </w:pPr>
            <w:r>
              <w:rPr>
                <w:rFonts w:eastAsia="Times New Roman"/>
                <w:noProof/>
                <w:color w:val="000000"/>
                <w:sz w:val="12"/>
                <w:szCs w:val="12"/>
                <w:lang w:val="en-IE" w:eastAsia="en-IE"/>
              </w:rPr>
              <w:t>Trade EU28: Eurostat COMEXT;  Trade Switzerland: IMF Dots</w:t>
            </w:r>
          </w:p>
        </w:tc>
        <w:tc>
          <w:tcPr>
            <w:tcW w:w="703"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10"/>
        </w:trPr>
        <w:tc>
          <w:tcPr>
            <w:tcW w:w="3974"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579"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579"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579"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579"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25"/>
        </w:trPr>
        <w:tc>
          <w:tcPr>
            <w:tcW w:w="6993"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Total merchandise trade EU28 with Switzerland (mio €)</w:t>
            </w:r>
          </w:p>
        </w:tc>
      </w:tr>
      <w:tr>
        <w:trPr>
          <w:trHeight w:val="225"/>
        </w:trPr>
        <w:tc>
          <w:tcPr>
            <w:tcW w:w="4553"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Switzerland</w:t>
            </w:r>
          </w:p>
        </w:tc>
        <w:tc>
          <w:tcPr>
            <w:tcW w:w="579"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579"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28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553"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579"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579"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579"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97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57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110.728</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108.980</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-1.749</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w:t>
            </w:r>
          </w:p>
        </w:tc>
      </w:tr>
      <w:tr>
        <w:trPr>
          <w:trHeight w:val="225"/>
        </w:trPr>
        <w:tc>
          <w:tcPr>
            <w:tcW w:w="397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57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150.245</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156.484</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6.239</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4,2%</w:t>
            </w:r>
          </w:p>
        </w:tc>
      </w:tr>
      <w:tr>
        <w:trPr>
          <w:trHeight w:val="225"/>
        </w:trPr>
        <w:tc>
          <w:tcPr>
            <w:tcW w:w="397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57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39.517</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47.504</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7.988</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974"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579"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579"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260.973</w:t>
            </w:r>
          </w:p>
        </w:tc>
        <w:tc>
          <w:tcPr>
            <w:tcW w:w="579"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265.464</w:t>
            </w:r>
          </w:p>
        </w:tc>
        <w:tc>
          <w:tcPr>
            <w:tcW w:w="579"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4.490</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w:t>
            </w:r>
          </w:p>
        </w:tc>
      </w:tr>
      <w:tr>
        <w:trPr>
          <w:trHeight w:val="240"/>
        </w:trPr>
        <w:tc>
          <w:tcPr>
            <w:tcW w:w="5711"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579"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6993"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Agrifood trade EU28 with Switzerland (mio €)</w:t>
            </w:r>
          </w:p>
        </w:tc>
      </w:tr>
      <w:tr>
        <w:trPr>
          <w:trHeight w:val="255"/>
        </w:trPr>
        <w:tc>
          <w:tcPr>
            <w:tcW w:w="4553"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Switzerland</w:t>
            </w:r>
          </w:p>
        </w:tc>
        <w:tc>
          <w:tcPr>
            <w:tcW w:w="579"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579"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28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553"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579"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579"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579"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97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57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4.660</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4.593</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-67</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w:t>
            </w:r>
          </w:p>
        </w:tc>
      </w:tr>
      <w:tr>
        <w:trPr>
          <w:trHeight w:val="225"/>
        </w:trPr>
        <w:tc>
          <w:tcPr>
            <w:tcW w:w="397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57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8.204</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8.254</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51</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0,6%</w:t>
            </w:r>
          </w:p>
        </w:tc>
      </w:tr>
      <w:tr>
        <w:trPr>
          <w:trHeight w:val="225"/>
        </w:trPr>
        <w:tc>
          <w:tcPr>
            <w:tcW w:w="397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57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3.543</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3.661</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118</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974"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57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579"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12.864</w:t>
            </w:r>
          </w:p>
        </w:tc>
        <w:tc>
          <w:tcPr>
            <w:tcW w:w="579"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12.847</w:t>
            </w:r>
          </w:p>
        </w:tc>
        <w:tc>
          <w:tcPr>
            <w:tcW w:w="579"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r>
      <w:tr>
        <w:trPr>
          <w:trHeight w:val="240"/>
        </w:trPr>
        <w:tc>
          <w:tcPr>
            <w:tcW w:w="5711"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579"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6993"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NAMA trade EU28 with Switzerland (mio €)</w:t>
            </w:r>
          </w:p>
        </w:tc>
      </w:tr>
      <w:tr>
        <w:trPr>
          <w:trHeight w:val="225"/>
        </w:trPr>
        <w:tc>
          <w:tcPr>
            <w:tcW w:w="4553"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Switzerland</w:t>
            </w:r>
          </w:p>
        </w:tc>
        <w:tc>
          <w:tcPr>
            <w:tcW w:w="579"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579"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28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553"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579"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579"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579"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4553"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imports</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106.068</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104.387</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-1.681</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w:t>
            </w:r>
          </w:p>
        </w:tc>
      </w:tr>
      <w:tr>
        <w:trPr>
          <w:trHeight w:val="225"/>
        </w:trPr>
        <w:tc>
          <w:tcPr>
            <w:tcW w:w="4553"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exports</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142.041</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148.230</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6.189</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4,4%</w:t>
            </w:r>
          </w:p>
        </w:tc>
      </w:tr>
      <w:tr>
        <w:trPr>
          <w:trHeight w:val="225"/>
        </w:trPr>
        <w:tc>
          <w:tcPr>
            <w:tcW w:w="397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57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35.973</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43.843</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7.870</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97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57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248.110</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252.617</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4.507</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w:t>
            </w:r>
          </w:p>
        </w:tc>
      </w:tr>
      <w:tr>
        <w:trPr>
          <w:trHeight w:val="240"/>
        </w:trPr>
        <w:tc>
          <w:tcPr>
            <w:tcW w:w="5711"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579" w:type="dxa"/>
            <w:tcBorders>
              <w:top w:val="single" w:sz="4" w:space="0" w:color="auto"/>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5711" w:type="dxa"/>
            <w:gridSpan w:val="4"/>
            <w:tcBorders>
              <w:top w:val="nil"/>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Services trade EU28 with Switzerland (mio €)</w:t>
            </w:r>
          </w:p>
        </w:tc>
        <w:tc>
          <w:tcPr>
            <w:tcW w:w="579" w:type="dxa"/>
            <w:tcBorders>
              <w:top w:val="nil"/>
              <w:left w:val="nil"/>
              <w:bottom w:val="nil"/>
              <w:right w:val="nil"/>
            </w:tcBorders>
            <w:shd w:val="clear" w:color="000000" w:fill="FFFFFF"/>
            <w:noWrap/>
            <w:vAlign w:val="center"/>
            <w:hideMark/>
          </w:tcPr>
          <w:p>
            <w:pPr>
              <w:rPr>
                <w:rFonts w:eastAsia="Times New Roman"/>
                <w:b/>
                <w:bCs/>
                <w:noProof/>
                <w:sz w:val="16"/>
                <w:szCs w:val="16"/>
                <w:lang w:val="en-IE" w:eastAsia="en-IE"/>
              </w:rPr>
            </w:pPr>
            <w:r>
              <w:rPr>
                <w:rFonts w:eastAsia="Times New Roman"/>
                <w:b/>
                <w:bCs/>
                <w:noProof/>
                <w:sz w:val="16"/>
                <w:szCs w:val="16"/>
                <w:lang w:val="en-IE" w:eastAsia="en-IE"/>
              </w:rPr>
              <w:t> </w:t>
            </w:r>
          </w:p>
        </w:tc>
        <w:tc>
          <w:tcPr>
            <w:tcW w:w="703" w:type="dxa"/>
            <w:tcBorders>
              <w:top w:val="nil"/>
              <w:left w:val="nil"/>
              <w:bottom w:val="nil"/>
              <w:right w:val="nil"/>
            </w:tcBorders>
            <w:shd w:val="clear" w:color="000000" w:fill="FFFFFF"/>
            <w:noWrap/>
            <w:vAlign w:val="center"/>
            <w:hideMark/>
          </w:tcPr>
          <w:p>
            <w:pPr>
              <w:rPr>
                <w:rFonts w:eastAsia="Times New Roman"/>
                <w:b/>
                <w:bCs/>
                <w:noProof/>
                <w:sz w:val="16"/>
                <w:szCs w:val="16"/>
                <w:lang w:val="en-IE" w:eastAsia="en-IE"/>
              </w:rPr>
            </w:pPr>
            <w:r>
              <w:rPr>
                <w:rFonts w:eastAsia="Times New Roman"/>
                <w:b/>
                <w:bCs/>
                <w:noProof/>
                <w:sz w:val="16"/>
                <w:szCs w:val="16"/>
                <w:lang w:val="en-IE" w:eastAsia="en-IE"/>
              </w:rPr>
              <w:t> </w:t>
            </w:r>
          </w:p>
        </w:tc>
      </w:tr>
      <w:tr>
        <w:trPr>
          <w:trHeight w:val="225"/>
        </w:trPr>
        <w:tc>
          <w:tcPr>
            <w:tcW w:w="4553"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Switzerland</w:t>
            </w:r>
          </w:p>
        </w:tc>
        <w:tc>
          <w:tcPr>
            <w:tcW w:w="579"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579"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128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553"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579"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579"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579"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97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57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93.080</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71.676</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-21.404</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-23,0%</w:t>
            </w:r>
          </w:p>
        </w:tc>
      </w:tr>
      <w:tr>
        <w:trPr>
          <w:trHeight w:val="225"/>
        </w:trPr>
        <w:tc>
          <w:tcPr>
            <w:tcW w:w="397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57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116.568</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118.986</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2.418</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w:t>
            </w:r>
          </w:p>
        </w:tc>
      </w:tr>
      <w:tr>
        <w:trPr>
          <w:trHeight w:val="225"/>
        </w:trPr>
        <w:tc>
          <w:tcPr>
            <w:tcW w:w="397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57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23.487</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47.309</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23.822</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974"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579"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579"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209.648</w:t>
            </w:r>
          </w:p>
        </w:tc>
        <w:tc>
          <w:tcPr>
            <w:tcW w:w="579"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190.662</w:t>
            </w:r>
          </w:p>
        </w:tc>
        <w:tc>
          <w:tcPr>
            <w:tcW w:w="579"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-18.986</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-9,1%</w:t>
            </w:r>
          </w:p>
        </w:tc>
      </w:tr>
      <w:tr>
        <w:trPr>
          <w:trHeight w:val="240"/>
        </w:trPr>
        <w:tc>
          <w:tcPr>
            <w:tcW w:w="6290" w:type="dxa"/>
            <w:gridSpan w:val="5"/>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703"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40"/>
        </w:trPr>
        <w:tc>
          <w:tcPr>
            <w:tcW w:w="6993"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Services trade EU28 with Switzerland (mio €)</w:t>
            </w:r>
          </w:p>
        </w:tc>
      </w:tr>
      <w:tr>
        <w:trPr>
          <w:trHeight w:val="225"/>
        </w:trPr>
        <w:tc>
          <w:tcPr>
            <w:tcW w:w="3974"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579"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579"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579"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579"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703"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397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54.252</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62.897</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73.017</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93.080</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71.676</w:t>
            </w:r>
          </w:p>
        </w:tc>
      </w:tr>
      <w:tr>
        <w:trPr>
          <w:trHeight w:val="225"/>
        </w:trPr>
        <w:tc>
          <w:tcPr>
            <w:tcW w:w="397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101.554</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107.363</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115.139</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116.568</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118.986</w:t>
            </w:r>
          </w:p>
        </w:tc>
      </w:tr>
      <w:tr>
        <w:trPr>
          <w:trHeight w:val="225"/>
        </w:trPr>
        <w:tc>
          <w:tcPr>
            <w:tcW w:w="397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47.302</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44.465</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42.122</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23.487</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47.309</w:t>
            </w:r>
          </w:p>
        </w:tc>
      </w:tr>
      <w:tr>
        <w:trPr>
          <w:trHeight w:val="225"/>
        </w:trPr>
        <w:tc>
          <w:tcPr>
            <w:tcW w:w="3974"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579"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155.806</w:t>
            </w:r>
          </w:p>
        </w:tc>
        <w:tc>
          <w:tcPr>
            <w:tcW w:w="579"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170.260</w:t>
            </w:r>
          </w:p>
        </w:tc>
        <w:tc>
          <w:tcPr>
            <w:tcW w:w="579"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188.155</w:t>
            </w:r>
          </w:p>
        </w:tc>
        <w:tc>
          <w:tcPr>
            <w:tcW w:w="579"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209.648</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190.662</w:t>
            </w:r>
          </w:p>
        </w:tc>
      </w:tr>
      <w:tr>
        <w:trPr>
          <w:trHeight w:val="225"/>
        </w:trPr>
        <w:tc>
          <w:tcPr>
            <w:tcW w:w="3974"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579"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 </w:t>
            </w:r>
          </w:p>
        </w:tc>
        <w:tc>
          <w:tcPr>
            <w:tcW w:w="57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57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57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6993"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de-DE" w:eastAsia="en-IE"/>
              </w:rPr>
            </w:pPr>
            <w:r>
              <w:rPr>
                <w:rFonts w:eastAsia="Times New Roman"/>
                <w:b/>
                <w:bCs/>
                <w:noProof/>
                <w:sz w:val="16"/>
                <w:szCs w:val="16"/>
                <w:lang w:val="de-DE" w:eastAsia="en-IE"/>
              </w:rPr>
              <w:t>FDI EU28 with Switzerland (mio €)</w:t>
            </w:r>
          </w:p>
        </w:tc>
      </w:tr>
      <w:tr>
        <w:trPr>
          <w:trHeight w:val="225"/>
        </w:trPr>
        <w:tc>
          <w:tcPr>
            <w:tcW w:w="3974"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val="de-DE" w:eastAsia="en-IE"/>
              </w:rPr>
            </w:pPr>
            <w:r>
              <w:rPr>
                <w:rFonts w:eastAsia="Times New Roman"/>
                <w:noProof/>
                <w:sz w:val="16"/>
                <w:szCs w:val="16"/>
                <w:lang w:val="de-DE" w:eastAsia="en-IE"/>
              </w:rPr>
              <w:t> </w:t>
            </w:r>
          </w:p>
        </w:tc>
        <w:tc>
          <w:tcPr>
            <w:tcW w:w="579"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579"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579"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579"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703"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6993"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Stocks</w:t>
            </w:r>
          </w:p>
        </w:tc>
      </w:tr>
      <w:tr>
        <w:trPr>
          <w:trHeight w:val="225"/>
        </w:trPr>
        <w:tc>
          <w:tcPr>
            <w:tcW w:w="397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503.054</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516.232</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685.515</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762.270</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802.444</w:t>
            </w:r>
          </w:p>
        </w:tc>
      </w:tr>
      <w:tr>
        <w:trPr>
          <w:trHeight w:val="225"/>
        </w:trPr>
        <w:tc>
          <w:tcPr>
            <w:tcW w:w="397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709.272</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731.320</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894.365</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984.936</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978.969</w:t>
            </w:r>
          </w:p>
        </w:tc>
      </w:tr>
      <w:tr>
        <w:trPr>
          <w:trHeight w:val="225"/>
        </w:trPr>
        <w:tc>
          <w:tcPr>
            <w:tcW w:w="6993"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Flows</w:t>
            </w:r>
          </w:p>
        </w:tc>
      </w:tr>
      <w:tr>
        <w:trPr>
          <w:trHeight w:val="225"/>
        </w:trPr>
        <w:tc>
          <w:tcPr>
            <w:tcW w:w="397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24.911</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38.329</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121.712</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100.848</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28.383</w:t>
            </w:r>
          </w:p>
        </w:tc>
      </w:tr>
      <w:tr>
        <w:trPr>
          <w:trHeight w:val="225"/>
        </w:trPr>
        <w:tc>
          <w:tcPr>
            <w:tcW w:w="397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579"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35.934</w:t>
            </w:r>
          </w:p>
        </w:tc>
        <w:tc>
          <w:tcPr>
            <w:tcW w:w="579"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-30.615</w:t>
            </w:r>
          </w:p>
        </w:tc>
        <w:tc>
          <w:tcPr>
            <w:tcW w:w="579"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56.335</w:t>
            </w:r>
          </w:p>
        </w:tc>
        <w:tc>
          <w:tcPr>
            <w:tcW w:w="579"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98.349</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18.315</w:t>
            </w:r>
          </w:p>
        </w:tc>
      </w:tr>
      <w:tr>
        <w:trPr>
          <w:trHeight w:val="225"/>
        </w:trPr>
        <w:tc>
          <w:tcPr>
            <w:tcW w:w="3974" w:type="dxa"/>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579"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 </w:t>
            </w:r>
          </w:p>
        </w:tc>
        <w:tc>
          <w:tcPr>
            <w:tcW w:w="57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57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57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bl>
    <w:p>
      <w:pPr>
        <w:jc w:val="both"/>
        <w:rPr>
          <w:noProof/>
        </w:rPr>
      </w:pPr>
      <w:r>
        <w:rPr>
          <w:noProof/>
        </w:rPr>
        <w:br w:type="page"/>
      </w:r>
    </w:p>
    <w:p>
      <w:pPr>
        <w:pStyle w:val="ChapterHead"/>
        <w:rPr>
          <w:b/>
          <w:noProof/>
        </w:rPr>
      </w:pPr>
      <w:bookmarkStart w:id="3975" w:name="_Toc8833793"/>
      <w:bookmarkStart w:id="3976" w:name="_Toc8835620"/>
      <w:bookmarkStart w:id="3977" w:name="_Toc8834250"/>
      <w:bookmarkStart w:id="3978" w:name="_Toc8909713"/>
      <w:bookmarkStart w:id="3979" w:name="_Toc8910925"/>
      <w:bookmarkStart w:id="3980" w:name="_Toc8911962"/>
      <w:bookmarkStart w:id="3981" w:name="_Toc8974783"/>
      <w:bookmarkStart w:id="3982" w:name="_Toc9008436"/>
      <w:bookmarkStart w:id="3983" w:name="_Toc9008839"/>
      <w:bookmarkStart w:id="3984" w:name="_Toc9348835"/>
      <w:bookmarkStart w:id="3985" w:name="_Toc9608286"/>
      <w:bookmarkStart w:id="3986" w:name="_Toc16000844"/>
      <w:r>
        <w:rPr>
          <w:b/>
          <w:noProof/>
        </w:rPr>
        <w:t>THE CUSTOMS UNION WITH TURKEY</w:t>
      </w:r>
      <w:bookmarkEnd w:id="3975"/>
      <w:bookmarkEnd w:id="3976"/>
      <w:bookmarkEnd w:id="3977"/>
      <w:bookmarkEnd w:id="3978"/>
      <w:bookmarkEnd w:id="3979"/>
      <w:bookmarkEnd w:id="3980"/>
      <w:bookmarkEnd w:id="3981"/>
      <w:bookmarkEnd w:id="3982"/>
      <w:bookmarkEnd w:id="3983"/>
      <w:bookmarkEnd w:id="3984"/>
      <w:bookmarkEnd w:id="3985"/>
      <w:bookmarkEnd w:id="3986"/>
    </w:p>
    <w:p>
      <w:pPr>
        <w:spacing w:after="200" w:line="276" w:lineRule="auto"/>
        <w:rPr>
          <w:noProof/>
        </w:rPr>
      </w:pPr>
      <w:r>
        <w:rPr>
          <w:noProof/>
        </w:rPr>
        <w:br w:type="page"/>
      </w:r>
    </w:p>
    <w:p>
      <w:pPr>
        <w:pStyle w:val="ChapterHead"/>
        <w:rPr>
          <w:b/>
          <w:noProof/>
        </w:rPr>
      </w:pPr>
      <w:bookmarkStart w:id="3987" w:name="_Toc8833794"/>
      <w:bookmarkStart w:id="3988" w:name="_Toc8835621"/>
      <w:bookmarkStart w:id="3989" w:name="_Toc8834251"/>
      <w:bookmarkStart w:id="3990" w:name="_Toc8909714"/>
      <w:bookmarkStart w:id="3991" w:name="_Toc8910926"/>
      <w:bookmarkStart w:id="3992" w:name="_Toc8911963"/>
      <w:bookmarkStart w:id="3993" w:name="_Toc8974784"/>
      <w:bookmarkStart w:id="3994" w:name="_Toc9008437"/>
      <w:bookmarkStart w:id="3995" w:name="_Toc9008840"/>
      <w:bookmarkStart w:id="3996" w:name="_Toc9348836"/>
      <w:bookmarkStart w:id="3997" w:name="_Toc9608287"/>
      <w:bookmarkStart w:id="3998" w:name="_Toc16000845"/>
      <w:r>
        <w:rPr>
          <w:b/>
          <w:noProof/>
        </w:rPr>
        <w:t>ANNUAL INFO SHEET ON IMPLEMENTATION OF THE EU-TURKEY CUSTOMS UNION AND TRADE AGREEMENTS</w:t>
      </w:r>
      <w:bookmarkEnd w:id="3987"/>
      <w:bookmarkEnd w:id="3988"/>
      <w:bookmarkEnd w:id="3989"/>
      <w:bookmarkEnd w:id="3990"/>
      <w:bookmarkEnd w:id="3991"/>
      <w:bookmarkEnd w:id="3992"/>
      <w:bookmarkEnd w:id="3993"/>
      <w:bookmarkEnd w:id="3994"/>
      <w:bookmarkEnd w:id="3995"/>
      <w:bookmarkEnd w:id="3996"/>
      <w:bookmarkEnd w:id="3997"/>
      <w:bookmarkEnd w:id="3998"/>
    </w:p>
    <w:p>
      <w:pPr>
        <w:jc w:val="both"/>
        <w:rPr>
          <w:noProof/>
        </w:rPr>
      </w:pPr>
      <w:r>
        <w:rPr>
          <w:noProof/>
        </w:rPr>
        <w:t xml:space="preserve">The contractual relations between the EU and Turkey date back to 1963 when the European Economic Community (i.e. the EU’s predecessor) and Turkey signed an </w:t>
      </w:r>
      <w:r>
        <w:rPr>
          <w:b/>
          <w:bCs/>
          <w:noProof/>
        </w:rPr>
        <w:t>Association Agreement</w:t>
      </w:r>
      <w:r>
        <w:rPr>
          <w:noProof/>
        </w:rPr>
        <w:t xml:space="preserve"> (the ‘Ankara Agreement’), in which both parties agreed to progressively establish a </w:t>
      </w:r>
      <w:r>
        <w:rPr>
          <w:b/>
          <w:bCs/>
          <w:noProof/>
        </w:rPr>
        <w:t>Customs Union</w:t>
      </w:r>
      <w:r>
        <w:rPr>
          <w:noProof/>
        </w:rPr>
        <w:t xml:space="preserve"> over a period of several years. An Additional Protocol was signed in November 1970, setting out a timetable for the abolition of tariffs and quotas on industrial goods circulating between the parties. The final phase of the Customs Union was completed on 1 January 1996 in the shape of the EU-Turkey Association Council Decision No 1/95, which is currently in force.</w:t>
      </w:r>
      <w:r>
        <w:rPr>
          <w:noProof/>
          <w:vertAlign w:val="superscript"/>
        </w:rPr>
        <w:footnoteReference w:id="101"/>
      </w:r>
    </w:p>
    <w:p>
      <w:pPr>
        <w:jc w:val="both"/>
        <w:rPr>
          <w:noProof/>
        </w:rPr>
      </w:pPr>
    </w:p>
    <w:p>
      <w:pPr>
        <w:jc w:val="both"/>
        <w:rPr>
          <w:rFonts w:eastAsia="Times New Roman"/>
          <w:noProof/>
        </w:rPr>
      </w:pPr>
      <w:r>
        <w:rPr>
          <w:rFonts w:eastAsia="Times New Roman"/>
          <w:noProof/>
        </w:rPr>
        <w:t xml:space="preserve">The Customs Union ensures the free movement of all industrial goods and certain processed agricultural products between the EU and Turkey. It also established a requirement for Turkey’s alignment to the EU’s customs tariffs and rules, commercial policy, competition and State aid policy and intellectual property rights, as well as to the EU’s technical legislation related to the scope of the Customs Union. The Customs Union with Turkey therefore goes well beyond the traditional free trade agreements which the EU has concluded with other third countries. </w:t>
      </w:r>
    </w:p>
    <w:p>
      <w:pPr>
        <w:jc w:val="both"/>
        <w:rPr>
          <w:rFonts w:eastAsia="Times New Roman"/>
          <w:noProof/>
        </w:rPr>
      </w:pPr>
    </w:p>
    <w:p>
      <w:pPr>
        <w:jc w:val="both"/>
        <w:rPr>
          <w:rFonts w:eastAsia="Times New Roman"/>
          <w:noProof/>
          <w:color w:val="000000" w:themeColor="text1"/>
        </w:rPr>
      </w:pPr>
      <w:r>
        <w:rPr>
          <w:rFonts w:eastAsia="Times New Roman"/>
          <w:noProof/>
        </w:rPr>
        <w:t xml:space="preserve">In addition to the Customs Union, the EU and Turkey concluded two further bilateral preferential trade agreements. </w:t>
      </w:r>
      <w:r>
        <w:rPr>
          <w:rFonts w:eastAsia="Times New Roman"/>
          <w:noProof/>
          <w:color w:val="000000" w:themeColor="text1"/>
        </w:rPr>
        <w:t xml:space="preserve">The Agreement between the European Coal and Steel Community (ECSC) and Turkey on trade in products covered by the Treaty establishing the ECSC established a </w:t>
      </w:r>
      <w:r>
        <w:rPr>
          <w:rFonts w:eastAsia="Times New Roman"/>
          <w:b/>
          <w:bCs/>
          <w:noProof/>
          <w:color w:val="000000" w:themeColor="text1"/>
        </w:rPr>
        <w:t>Free trade agreement for coal, iron and steel products</w:t>
      </w:r>
      <w:r>
        <w:rPr>
          <w:rFonts w:eastAsia="Times New Roman"/>
          <w:b/>
          <w:bCs/>
          <w:noProof/>
          <w:color w:val="000000" w:themeColor="text1"/>
          <w:vertAlign w:val="superscript"/>
        </w:rPr>
        <w:footnoteReference w:id="102"/>
      </w:r>
      <w:r>
        <w:rPr>
          <w:rFonts w:eastAsia="Times New Roman"/>
          <w:b/>
          <w:bCs/>
          <w:noProof/>
          <w:color w:val="000000" w:themeColor="text1"/>
        </w:rPr>
        <w:t xml:space="preserve"> </w:t>
      </w:r>
      <w:r>
        <w:rPr>
          <w:rFonts w:eastAsia="Times New Roman"/>
          <w:noProof/>
          <w:color w:val="000000" w:themeColor="text1"/>
        </w:rPr>
        <w:t xml:space="preserve">in 1996, along with relevant competition rules. The </w:t>
      </w:r>
      <w:r>
        <w:rPr>
          <w:rFonts w:eastAsia="Times New Roman"/>
          <w:b/>
          <w:bCs/>
          <w:noProof/>
          <w:color w:val="000000" w:themeColor="text1"/>
        </w:rPr>
        <w:t>Association Council Decision No 1/98</w:t>
      </w:r>
      <w:r>
        <w:rPr>
          <w:rFonts w:eastAsia="Times New Roman"/>
          <w:b/>
          <w:bCs/>
          <w:noProof/>
          <w:color w:val="000000" w:themeColor="text1"/>
          <w:vertAlign w:val="superscript"/>
        </w:rPr>
        <w:footnoteReference w:id="103"/>
      </w:r>
      <w:r>
        <w:rPr>
          <w:rFonts w:eastAsia="Times New Roman"/>
          <w:b/>
          <w:bCs/>
          <w:noProof/>
          <w:color w:val="000000" w:themeColor="text1"/>
        </w:rPr>
        <w:t xml:space="preserve"> (amended by Decision No 2/2006</w:t>
      </w:r>
      <w:r>
        <w:rPr>
          <w:rFonts w:eastAsia="Times New Roman"/>
          <w:b/>
          <w:bCs/>
          <w:noProof/>
          <w:color w:val="000000" w:themeColor="text1"/>
          <w:vertAlign w:val="superscript"/>
        </w:rPr>
        <w:footnoteReference w:id="104"/>
      </w:r>
      <w:r>
        <w:rPr>
          <w:rFonts w:eastAsia="Times New Roman"/>
          <w:b/>
          <w:bCs/>
          <w:noProof/>
          <w:color w:val="000000" w:themeColor="text1"/>
        </w:rPr>
        <w:t>)</w:t>
      </w:r>
      <w:r>
        <w:rPr>
          <w:rFonts w:eastAsia="Times New Roman"/>
          <w:noProof/>
          <w:color w:val="000000" w:themeColor="text1"/>
        </w:rPr>
        <w:t xml:space="preserve"> provides for preferential concessions on trade in certain agricultural and fishery products.</w:t>
      </w:r>
    </w:p>
    <w:p>
      <w:pPr>
        <w:jc w:val="both"/>
        <w:rPr>
          <w:rFonts w:eastAsia="Times New Roman"/>
          <w:noProof/>
          <w:color w:val="000000" w:themeColor="text1"/>
        </w:rPr>
      </w:pPr>
    </w:p>
    <w:p>
      <w:pPr>
        <w:jc w:val="both"/>
        <w:rPr>
          <w:b/>
          <w:bCs/>
          <w:noProof/>
        </w:rPr>
      </w:pPr>
      <w:r>
        <w:rPr>
          <w:rFonts w:eastAsia="Times New Roman"/>
          <w:noProof/>
        </w:rPr>
        <w:t xml:space="preserve">On 21 December 2016, the European Commission adopted its Recommendation for a Council Decision authorising the opening of negotiations with Turkey on an </w:t>
      </w:r>
      <w:r>
        <w:rPr>
          <w:rFonts w:eastAsia="Times New Roman"/>
          <w:b/>
          <w:bCs/>
          <w:noProof/>
        </w:rPr>
        <w:t>Agreement on the extension of the scope of the bilateral preferential trade relationship</w:t>
      </w:r>
      <w:r>
        <w:rPr>
          <w:rFonts w:eastAsia="Times New Roman"/>
          <w:noProof/>
        </w:rPr>
        <w:t xml:space="preserve"> and on the modernisation of the Customs Union. The negotiations can start once the Council adopts the related negotiating directives. The proposal is pending authorisation by the Council. In that respect, the conclusions of the General Affairs Council meeting of 26 June 2018 noted that </w:t>
      </w:r>
      <w:r>
        <w:rPr>
          <w:rFonts w:eastAsia="Times New Roman"/>
          <w:i/>
          <w:iCs/>
          <w:noProof/>
        </w:rPr>
        <w:t>"Turkey has been moving further away from the European Union. Turkey's accession negotiations have therefore effectively come to a standstill and no further chapters can be considered for opening or closing and no further work towards the modernisation of the EU-Turkey Customs Union is foreseen."</w:t>
      </w:r>
    </w:p>
    <w:p>
      <w:pPr>
        <w:pStyle w:val="ManualHeading1"/>
      </w:pPr>
      <w:bookmarkStart w:id="3999" w:name="_Toc8833795"/>
      <w:bookmarkStart w:id="4000" w:name="_Toc8835622"/>
      <w:bookmarkStart w:id="4001" w:name="_Toc8834252"/>
      <w:bookmarkStart w:id="4002" w:name="_Toc8909715"/>
      <w:bookmarkStart w:id="4003" w:name="_Toc8910927"/>
      <w:bookmarkStart w:id="4004" w:name="_Toc8911964"/>
      <w:bookmarkStart w:id="4005" w:name="_Toc8974785"/>
      <w:bookmarkStart w:id="4006" w:name="_Toc9008438"/>
      <w:bookmarkStart w:id="4007" w:name="_Toc9008841"/>
      <w:bookmarkStart w:id="4008" w:name="_Toc9348837"/>
      <w:bookmarkStart w:id="4009" w:name="_Toc9608288"/>
      <w:bookmarkStart w:id="4010" w:name="_Toc16000846"/>
      <w:r>
        <w:t>1.</w:t>
      </w:r>
      <w:r>
        <w:tab/>
        <w:t>Evolution of trade</w:t>
      </w:r>
      <w:bookmarkEnd w:id="3999"/>
      <w:bookmarkEnd w:id="4000"/>
      <w:bookmarkEnd w:id="4001"/>
      <w:bookmarkEnd w:id="4002"/>
      <w:bookmarkEnd w:id="4003"/>
      <w:bookmarkEnd w:id="4004"/>
      <w:bookmarkEnd w:id="4005"/>
      <w:bookmarkEnd w:id="4006"/>
      <w:bookmarkEnd w:id="4007"/>
      <w:bookmarkEnd w:id="4008"/>
      <w:bookmarkEnd w:id="4009"/>
      <w:bookmarkEnd w:id="4010"/>
    </w:p>
    <w:p>
      <w:pPr>
        <w:jc w:val="both"/>
        <w:rPr>
          <w:rFonts w:eastAsia="Times New Roman"/>
          <w:noProof/>
          <w:color w:val="000000" w:themeColor="text1"/>
        </w:rPr>
      </w:pPr>
      <w:r>
        <w:rPr>
          <w:rFonts w:eastAsia="Times New Roman"/>
          <w:noProof/>
        </w:rPr>
        <w:t>The Customs Union has led to substantial increase in trade between the EU and Turkey. Since its entry into force in 1996, the value of bilateral trade increased more than fourfold</w:t>
      </w:r>
      <w:r>
        <w:rPr>
          <w:rFonts w:eastAsia="Times New Roman"/>
          <w:noProof/>
          <w:vertAlign w:val="superscript"/>
        </w:rPr>
        <w:footnoteReference w:id="105"/>
      </w:r>
      <w:r>
        <w:rPr>
          <w:rFonts w:eastAsia="Times New Roman"/>
          <w:noProof/>
        </w:rPr>
        <w:t xml:space="preserve">. </w:t>
      </w:r>
      <w:r>
        <w:rPr>
          <w:rFonts w:eastAsia="Times New Roman"/>
          <w:noProof/>
          <w:color w:val="000000"/>
        </w:rPr>
        <w:t>The rise in Foreign Direct investment (FDI) to Turkey from the EU has been similarly significant, as has been the deeper integration in production networks between Turkish and European firms. In 2018, Turkey remained the EU’s 5</w:t>
      </w:r>
      <w:r>
        <w:rPr>
          <w:rFonts w:eastAsia="Times New Roman"/>
          <w:noProof/>
          <w:color w:val="000000"/>
          <w:vertAlign w:val="superscript"/>
        </w:rPr>
        <w:t>th</w:t>
      </w:r>
      <w:r>
        <w:rPr>
          <w:rFonts w:eastAsia="Times New Roman"/>
          <w:noProof/>
          <w:color w:val="000000"/>
        </w:rPr>
        <w:t xml:space="preserve"> largest trading partner overall (it is the EU’s 5</w:t>
      </w:r>
      <w:r>
        <w:rPr>
          <w:rFonts w:eastAsia="Times New Roman"/>
          <w:noProof/>
          <w:color w:val="000000"/>
          <w:vertAlign w:val="superscript"/>
        </w:rPr>
        <w:t>th</w:t>
      </w:r>
      <w:r>
        <w:rPr>
          <w:rFonts w:eastAsia="Times New Roman"/>
          <w:noProof/>
          <w:color w:val="000000"/>
        </w:rPr>
        <w:t xml:space="preserve"> biggest export market as well as source of imports), while the EU is by far Turkey’s most important trading partner. </w:t>
      </w:r>
      <w:r>
        <w:rPr>
          <w:noProof/>
          <w:color w:val="000000" w:themeColor="text1"/>
        </w:rPr>
        <w:t>The share of Turkish exports going to the EU increased from 47% to 50%, while the share of Turkish imports coming from the EU declined marginally from 36.4% to 36.2% between 2017 and 2018.</w:t>
      </w:r>
    </w:p>
    <w:p>
      <w:pPr>
        <w:pStyle w:val="ManualHeading2"/>
      </w:pPr>
      <w:bookmarkStart w:id="4011" w:name="_Toc8833796"/>
      <w:bookmarkStart w:id="4012" w:name="_Toc8835623"/>
      <w:bookmarkStart w:id="4013" w:name="_Toc8834253"/>
      <w:bookmarkStart w:id="4014" w:name="_Toc8909716"/>
      <w:bookmarkStart w:id="4015" w:name="_Toc8910928"/>
      <w:bookmarkStart w:id="4016" w:name="_Toc8911965"/>
      <w:bookmarkStart w:id="4017" w:name="_Toc8974786"/>
      <w:bookmarkStart w:id="4018" w:name="_Toc9008439"/>
      <w:bookmarkStart w:id="4019" w:name="_Toc9008842"/>
      <w:bookmarkStart w:id="4020" w:name="_Toc9348838"/>
      <w:bookmarkStart w:id="4021" w:name="_Toc9608289"/>
      <w:bookmarkStart w:id="4022" w:name="_Toc16000847"/>
      <w:r>
        <w:t>1.1</w:t>
      </w:r>
      <w:r>
        <w:tab/>
        <w:t>Trade in Goods</w:t>
      </w:r>
      <w:bookmarkEnd w:id="4011"/>
      <w:bookmarkEnd w:id="4012"/>
      <w:bookmarkEnd w:id="4013"/>
      <w:bookmarkEnd w:id="4014"/>
      <w:bookmarkEnd w:id="4015"/>
      <w:bookmarkEnd w:id="4016"/>
      <w:bookmarkEnd w:id="4017"/>
      <w:bookmarkEnd w:id="4018"/>
      <w:bookmarkEnd w:id="4019"/>
      <w:bookmarkEnd w:id="4020"/>
      <w:bookmarkEnd w:id="4021"/>
      <w:bookmarkEnd w:id="4022"/>
    </w:p>
    <w:p>
      <w:pPr>
        <w:jc w:val="both"/>
        <w:rPr>
          <w:rFonts w:eastAsia="Times New Roman"/>
          <w:noProof/>
        </w:rPr>
      </w:pPr>
      <w:r>
        <w:rPr>
          <w:rFonts w:eastAsia="Times New Roman"/>
          <w:noProof/>
        </w:rPr>
        <w:t>While EU-Turkey bilateral trade in goods increased rapidly in recent years, in 2018 trade showed a mixed picture, in particular due to the Turkish lira losing as much as 40% of its value against the euro over summer - before recovering some of its losses. This lead to an overall decrease in Turkish imports while at the same time facilitating exports, resulting in an improvement in the Turkish current account deficit. According to Eurostat data, EU goods exports to Turkey hence fell by 9% to €77 billion while imports from Turkey rose by 9% to €76 billion. Overall trade in goods thus amounted to €153 billion in 2018, down slightly from €154.5 billion in 2017.</w:t>
      </w:r>
    </w:p>
    <w:p>
      <w:pPr>
        <w:jc w:val="both"/>
        <w:rPr>
          <w:rFonts w:eastAsia="Times New Roman"/>
          <w:noProof/>
        </w:rPr>
      </w:pPr>
    </w:p>
    <w:p>
      <w:pPr>
        <w:jc w:val="both"/>
        <w:rPr>
          <w:rFonts w:eastAsia="Times New Roman"/>
          <w:noProof/>
        </w:rPr>
      </w:pPr>
      <w:r>
        <w:rPr>
          <w:rFonts w:eastAsia="Times New Roman"/>
          <w:noProof/>
        </w:rPr>
        <w:t>Regarding the sectoral split, the EU’s biggest export category in 2018 was machinery and appliances (26% of overall EU exports), followed by transport equipment (14%), base metals and article thereof (13%) and chemical products (12%). Turkey’s biggest export sector was transport equipment (26%), followed by textiles and textile articles (19%) and machinery and appliances (17%).</w:t>
      </w:r>
    </w:p>
    <w:p>
      <w:pPr>
        <w:jc w:val="both"/>
        <w:rPr>
          <w:rFonts w:eastAsia="Times New Roman"/>
          <w:noProof/>
        </w:rPr>
      </w:pPr>
    </w:p>
    <w:p>
      <w:pPr>
        <w:jc w:val="both"/>
        <w:rPr>
          <w:rFonts w:eastAsia="Times New Roman"/>
          <w:noProof/>
        </w:rPr>
      </w:pPr>
      <w:r>
        <w:rPr>
          <w:rFonts w:eastAsia="Times New Roman"/>
          <w:noProof/>
        </w:rPr>
        <w:t xml:space="preserve">On the basis of this diverse set of goods, Turkey has a significant trade relationship with many Member States, almost all of which were affected by the general trend reflected in the overall figure in 2018, i.e. falling exports to and increasing imports from Turkey. </w:t>
      </w:r>
    </w:p>
    <w:p>
      <w:pPr>
        <w:pStyle w:val="Heading2"/>
        <w:tabs>
          <w:tab w:val="clear" w:pos="4570"/>
        </w:tabs>
        <w:ind w:left="567"/>
      </w:pPr>
      <w:bookmarkStart w:id="4023" w:name="_Toc8833797"/>
      <w:bookmarkStart w:id="4024" w:name="_Toc8835624"/>
      <w:bookmarkStart w:id="4025" w:name="_Toc8834254"/>
      <w:bookmarkStart w:id="4026" w:name="_Toc8909717"/>
      <w:bookmarkStart w:id="4027" w:name="_Toc8910929"/>
      <w:bookmarkStart w:id="4028" w:name="_Toc8911966"/>
      <w:bookmarkStart w:id="4029" w:name="_Toc8974787"/>
      <w:bookmarkStart w:id="4030" w:name="_Toc9008440"/>
      <w:bookmarkStart w:id="4031" w:name="_Toc9008843"/>
      <w:bookmarkStart w:id="4032" w:name="_Toc9348839"/>
      <w:bookmarkStart w:id="4033" w:name="_Toc9608290"/>
      <w:bookmarkStart w:id="4034" w:name="_Toc16000848"/>
      <w:r>
        <w:t>1.2 Trade in agricultural goods</w:t>
      </w:r>
      <w:bookmarkEnd w:id="4023"/>
      <w:bookmarkEnd w:id="4024"/>
      <w:bookmarkEnd w:id="4025"/>
      <w:bookmarkEnd w:id="4026"/>
      <w:bookmarkEnd w:id="4027"/>
      <w:bookmarkEnd w:id="4028"/>
      <w:bookmarkEnd w:id="4029"/>
      <w:bookmarkEnd w:id="4030"/>
      <w:bookmarkEnd w:id="4031"/>
      <w:bookmarkEnd w:id="4032"/>
      <w:bookmarkEnd w:id="4033"/>
      <w:bookmarkEnd w:id="4034"/>
    </w:p>
    <w:p>
      <w:pPr>
        <w:jc w:val="both"/>
        <w:rPr>
          <w:rFonts w:eastAsia="Times New Roman"/>
          <w:noProof/>
        </w:rPr>
      </w:pPr>
      <w:r>
        <w:rPr>
          <w:rFonts w:eastAsia="Times New Roman"/>
          <w:noProof/>
        </w:rPr>
        <w:t>In 2018, Turkey was the EU’s 7</w:t>
      </w:r>
      <w:r>
        <w:rPr>
          <w:rFonts w:eastAsia="Times New Roman"/>
          <w:noProof/>
          <w:vertAlign w:val="superscript"/>
        </w:rPr>
        <w:t>th</w:t>
      </w:r>
      <w:r>
        <w:rPr>
          <w:rFonts w:eastAsia="Times New Roman"/>
          <w:noProof/>
        </w:rPr>
        <w:t xml:space="preserve"> largest supplier of agricultural goods, but is no longer in the top 10 export destination countries. The EU had a trade deficit in agriculture with Turkey of €1.3 billion, considerably widened from €823 million in 2017 due to a sharp decline in exports.</w:t>
      </w:r>
    </w:p>
    <w:p>
      <w:pPr>
        <w:jc w:val="both"/>
        <w:rPr>
          <w:rFonts w:eastAsia="Times New Roman"/>
          <w:noProof/>
        </w:rPr>
      </w:pPr>
    </w:p>
    <w:p>
      <w:pPr>
        <w:jc w:val="both"/>
        <w:rPr>
          <w:rFonts w:eastAsia="Times New Roman"/>
          <w:noProof/>
        </w:rPr>
      </w:pPr>
      <w:r>
        <w:rPr>
          <w:rFonts w:eastAsia="Times New Roman"/>
          <w:noProof/>
        </w:rPr>
        <w:t>EU agri-food exports to Turkey are well diversified, with only one category exceeding 10% of all extra-EU agri-food exports in 2018, namely live animals (13%). Agri-food imports from Turkey are also diverse</w:t>
      </w:r>
      <w:r>
        <w:rPr>
          <w:rFonts w:eastAsia="Times New Roman"/>
          <w:noProof/>
          <w:u w:val="single"/>
        </w:rPr>
        <w:t>,</w:t>
      </w:r>
      <w:r>
        <w:rPr>
          <w:rFonts w:eastAsia="Times New Roman"/>
          <w:noProof/>
        </w:rPr>
        <w:t xml:space="preserve"> with the top category ‘preparations of vegetables, fruits, nuts and plants’ accounting for 19% of all imports. </w:t>
      </w:r>
    </w:p>
    <w:p>
      <w:pPr>
        <w:pStyle w:val="ManualHeading2"/>
      </w:pPr>
      <w:bookmarkStart w:id="4035" w:name="_Toc8833799"/>
      <w:bookmarkStart w:id="4036" w:name="_Toc8835626"/>
      <w:bookmarkStart w:id="4037" w:name="_Toc8834256"/>
      <w:bookmarkStart w:id="4038" w:name="_Toc8909719"/>
      <w:bookmarkStart w:id="4039" w:name="_Toc8910931"/>
      <w:bookmarkStart w:id="4040" w:name="_Toc8911968"/>
      <w:bookmarkStart w:id="4041" w:name="_Toc8974789"/>
      <w:bookmarkStart w:id="4042" w:name="_Toc9008442"/>
      <w:bookmarkStart w:id="4043" w:name="_Toc9008845"/>
      <w:bookmarkStart w:id="4044" w:name="_Toc9348841"/>
      <w:bookmarkStart w:id="4045" w:name="_Toc9608292"/>
      <w:bookmarkStart w:id="4046" w:name="_Toc16000849"/>
      <w:r>
        <w:t>1.3</w:t>
      </w:r>
      <w:r>
        <w:tab/>
        <w:t>Trade in Services and Foreign Direct investment (FDIs)</w:t>
      </w:r>
      <w:bookmarkEnd w:id="4035"/>
      <w:bookmarkEnd w:id="4036"/>
      <w:bookmarkEnd w:id="4037"/>
      <w:bookmarkEnd w:id="4038"/>
      <w:bookmarkEnd w:id="4039"/>
      <w:bookmarkEnd w:id="4040"/>
      <w:bookmarkEnd w:id="4041"/>
      <w:bookmarkEnd w:id="4042"/>
      <w:bookmarkEnd w:id="4043"/>
      <w:bookmarkEnd w:id="4044"/>
      <w:bookmarkEnd w:id="4045"/>
      <w:bookmarkEnd w:id="4046"/>
    </w:p>
    <w:p>
      <w:pPr>
        <w:jc w:val="both"/>
        <w:rPr>
          <w:rFonts w:eastAsia="Times New Roman"/>
          <w:noProof/>
        </w:rPr>
      </w:pPr>
      <w:r>
        <w:rPr>
          <w:rFonts w:eastAsia="Times New Roman"/>
          <w:noProof/>
        </w:rPr>
        <w:t xml:space="preserve">The EU-Turkey Customs Union only covers trade in industrial goods and certain processed agricultural products. Services and investment are not covered under the current agreement. </w:t>
      </w:r>
    </w:p>
    <w:p>
      <w:pPr>
        <w:jc w:val="both"/>
        <w:rPr>
          <w:rFonts w:eastAsia="Times New Roman"/>
          <w:noProof/>
        </w:rPr>
      </w:pPr>
    </w:p>
    <w:p>
      <w:pPr>
        <w:jc w:val="both"/>
        <w:rPr>
          <w:rFonts w:eastAsia="Times New Roman"/>
          <w:noProof/>
        </w:rPr>
      </w:pPr>
      <w:r>
        <w:rPr>
          <w:rFonts w:eastAsia="Times New Roman"/>
          <w:noProof/>
        </w:rPr>
        <w:t>As regards trade in services, the latest data available cover the year 2017. As the table in Section 7 sets out, data continue to show a substantial trade surplus for Turkey, although down from earlier years in large part due to the decrease in Turkey-bound tourism in the aftermath of the attempted coup and terrorist attacks. These will therefore likely show a rebound in 2018. Besides the importance of the tourism sector, however, the figures also reflect the high barriers to enter the Turkish services market.</w:t>
      </w:r>
    </w:p>
    <w:p>
      <w:pPr>
        <w:jc w:val="both"/>
        <w:rPr>
          <w:noProof/>
          <w:lang w:eastAsia="en-GB"/>
        </w:rPr>
      </w:pPr>
    </w:p>
    <w:p>
      <w:pPr>
        <w:jc w:val="both"/>
        <w:rPr>
          <w:rFonts w:eastAsia="Times New Roman"/>
          <w:noProof/>
        </w:rPr>
      </w:pPr>
      <w:r>
        <w:rPr>
          <w:rFonts w:eastAsia="Times New Roman"/>
          <w:noProof/>
        </w:rPr>
        <w:t>As for foreign direct investment (FDI), the EU remained by far the biggest source in Turkey, though the total FDI stock shrank significantly to €69 billion in 2017. While FDI flows with Turkey are relatively volatile, some of the decrease in stock is likely due to the same instability factors that affected trade in 2016 and 2017. In 2017, European investment in Turkey was along the same limited lines as in the previous year at €1 billion, down significantly from the previous trend. Another notable development over the longer term is the sustained increase of Turkish FDI in the EU, with stocks at €19 billion in 2017.</w:t>
      </w:r>
    </w:p>
    <w:p>
      <w:pPr>
        <w:pStyle w:val="ManualHeading1"/>
      </w:pPr>
      <w:bookmarkStart w:id="4047" w:name="_Toc8833800"/>
      <w:bookmarkStart w:id="4048" w:name="_Toc8835627"/>
      <w:bookmarkStart w:id="4049" w:name="_Toc8834257"/>
      <w:bookmarkStart w:id="4050" w:name="_Toc8909720"/>
      <w:bookmarkStart w:id="4051" w:name="_Toc8910932"/>
      <w:bookmarkStart w:id="4052" w:name="_Toc8911969"/>
      <w:bookmarkStart w:id="4053" w:name="_Toc8974790"/>
      <w:bookmarkStart w:id="4054" w:name="_Toc9008443"/>
      <w:bookmarkStart w:id="4055" w:name="_Toc9008846"/>
      <w:bookmarkStart w:id="4056" w:name="_Toc9348842"/>
      <w:bookmarkStart w:id="4057" w:name="_Toc9608293"/>
      <w:bookmarkStart w:id="4058" w:name="_Toc16000850"/>
      <w:r>
        <w:t>2</w:t>
      </w:r>
      <w:r>
        <w:tab/>
        <w:t>Issues addressed in the Committee Meetings</w:t>
      </w:r>
      <w:bookmarkEnd w:id="4047"/>
      <w:bookmarkEnd w:id="4048"/>
      <w:bookmarkEnd w:id="4049"/>
      <w:bookmarkEnd w:id="4050"/>
      <w:bookmarkEnd w:id="4051"/>
      <w:bookmarkEnd w:id="4052"/>
      <w:bookmarkEnd w:id="4053"/>
      <w:bookmarkEnd w:id="4054"/>
      <w:bookmarkEnd w:id="4055"/>
      <w:bookmarkEnd w:id="4056"/>
      <w:bookmarkEnd w:id="4057"/>
      <w:bookmarkEnd w:id="4058"/>
    </w:p>
    <w:p>
      <w:pPr>
        <w:jc w:val="both"/>
        <w:rPr>
          <w:rFonts w:eastAsia="Times New Roman"/>
          <w:noProof/>
        </w:rPr>
      </w:pPr>
      <w:r>
        <w:rPr>
          <w:rFonts w:eastAsia="Times New Roman"/>
          <w:noProof/>
        </w:rPr>
        <w:t>The 36</w:t>
      </w:r>
      <w:r>
        <w:rPr>
          <w:rFonts w:eastAsia="Times New Roman"/>
          <w:noProof/>
          <w:vertAlign w:val="superscript"/>
        </w:rPr>
        <w:t>th</w:t>
      </w:r>
      <w:r>
        <w:rPr>
          <w:rFonts w:eastAsia="Times New Roman"/>
          <w:noProof/>
        </w:rPr>
        <w:t xml:space="preserve"> Customs Union Joint Committee (CUJC) meetings took place on 16 and 17 May 2018 in Ankara, and was already included in the 2018 FTA Implementation Report. The parties discussed issues linked to the proper functioning of the Customs Union, including the following:</w:t>
      </w:r>
    </w:p>
    <w:p>
      <w:pPr>
        <w:jc w:val="both"/>
        <w:rPr>
          <w:rFonts w:eastAsia="Times New Roman"/>
          <w:noProof/>
        </w:rPr>
      </w:pPr>
    </w:p>
    <w:p>
      <w:pPr>
        <w:numPr>
          <w:ilvl w:val="0"/>
          <w:numId w:val="33"/>
        </w:numPr>
        <w:spacing w:after="240"/>
        <w:jc w:val="both"/>
        <w:rPr>
          <w:rFonts w:eastAsia="Times New Roman"/>
          <w:noProof/>
        </w:rPr>
      </w:pPr>
      <w:r>
        <w:rPr>
          <w:rFonts w:eastAsia="Times New Roman"/>
          <w:noProof/>
        </w:rPr>
        <w:t xml:space="preserve">The state of play of the Commission’s proposal in the Council, as regards future negotiations on the modernisation of the EU-Turkey Customs Union. </w:t>
      </w:r>
    </w:p>
    <w:p>
      <w:pPr>
        <w:numPr>
          <w:ilvl w:val="0"/>
          <w:numId w:val="33"/>
        </w:numPr>
        <w:spacing w:after="240"/>
        <w:jc w:val="both"/>
        <w:rPr>
          <w:rFonts w:eastAsia="Times New Roman"/>
          <w:noProof/>
        </w:rPr>
      </w:pPr>
      <w:r>
        <w:rPr>
          <w:rFonts w:eastAsia="Times New Roman"/>
          <w:noProof/>
        </w:rPr>
        <w:t xml:space="preserve">Increasing number of trade barriers and breaches of the Customs Union by Turkey, including measures such as additional duties imposed on imports of products from third countries which, however, are already put into free circulation in the EU, surveillance measures of certain products, export restrictions of copper and aluminium, unnecessary testing requirements and customs procedures, Turkey’s localisation policy in the pharmaceutical sector, IPR enforcement, etc. </w:t>
      </w:r>
    </w:p>
    <w:p>
      <w:pPr>
        <w:numPr>
          <w:ilvl w:val="0"/>
          <w:numId w:val="33"/>
        </w:numPr>
        <w:spacing w:after="240"/>
        <w:jc w:val="both"/>
        <w:rPr>
          <w:rFonts w:eastAsia="Times New Roman"/>
          <w:noProof/>
        </w:rPr>
      </w:pPr>
      <w:r>
        <w:rPr>
          <w:rFonts w:eastAsia="Times New Roman"/>
          <w:noProof/>
        </w:rPr>
        <w:t>The shortcomings of the Intellectual Property Rights (IPR) enforcement regime in Turkey and the new international exhaustion regime while participating in the Customs Union with the EU.</w:t>
      </w:r>
    </w:p>
    <w:p>
      <w:pPr>
        <w:numPr>
          <w:ilvl w:val="0"/>
          <w:numId w:val="33"/>
        </w:numPr>
        <w:spacing w:after="240"/>
        <w:jc w:val="both"/>
        <w:rPr>
          <w:rFonts w:eastAsia="Times New Roman"/>
          <w:noProof/>
        </w:rPr>
      </w:pPr>
      <w:r>
        <w:rPr>
          <w:rFonts w:eastAsia="Times New Roman"/>
          <w:noProof/>
        </w:rPr>
        <w:t>Turkey’s alignment to EU technical legislation in areas, which are essential for the functioning of the Customs Union such as State aid.</w:t>
      </w:r>
    </w:p>
    <w:p>
      <w:pPr>
        <w:numPr>
          <w:ilvl w:val="0"/>
          <w:numId w:val="33"/>
        </w:numPr>
        <w:spacing w:after="240"/>
        <w:jc w:val="both"/>
        <w:rPr>
          <w:rFonts w:eastAsia="Times New Roman"/>
          <w:noProof/>
        </w:rPr>
      </w:pPr>
      <w:r>
        <w:rPr>
          <w:rFonts w:eastAsia="Times New Roman"/>
          <w:noProof/>
        </w:rPr>
        <w:t xml:space="preserve">Update on recent EU trade policy developments, in particular as regards negotiations of free trade agreements with third countries, linked to Turkey’s obligation to align with the EU’s commercial policy. </w:t>
      </w:r>
    </w:p>
    <w:p>
      <w:pPr>
        <w:numPr>
          <w:ilvl w:val="0"/>
          <w:numId w:val="33"/>
        </w:numPr>
        <w:spacing w:after="240"/>
        <w:jc w:val="both"/>
        <w:rPr>
          <w:rFonts w:eastAsia="Times New Roman"/>
          <w:noProof/>
        </w:rPr>
      </w:pPr>
      <w:r>
        <w:rPr>
          <w:noProof/>
        </w:rPr>
        <w:t>The non-discriminatory implementation of the Additional Protocol to the Association Agreement towards all Member States including the Republic of Cyprus.</w:t>
      </w:r>
    </w:p>
    <w:p>
      <w:pPr>
        <w:rPr>
          <w:noProof/>
        </w:rPr>
      </w:pPr>
      <w:r>
        <w:rPr>
          <w:noProof/>
        </w:rPr>
        <w:t>In addition, the 49</w:t>
      </w:r>
      <w:r>
        <w:rPr>
          <w:noProof/>
          <w:vertAlign w:val="superscript"/>
        </w:rPr>
        <w:t>th</w:t>
      </w:r>
      <w:r>
        <w:rPr>
          <w:noProof/>
        </w:rPr>
        <w:t xml:space="preserve"> meeting of the EU-Turkey Customs Co-operation Committee (CCC) took place in Ankara on 29 November 2018. The main topics addressed by the Committee were the following:</w:t>
      </w:r>
    </w:p>
    <w:p>
      <w:pPr>
        <w:rPr>
          <w:noProof/>
        </w:rPr>
      </w:pPr>
    </w:p>
    <w:p>
      <w:pPr>
        <w:numPr>
          <w:ilvl w:val="0"/>
          <w:numId w:val="33"/>
        </w:numPr>
        <w:spacing w:after="240"/>
        <w:jc w:val="both"/>
        <w:rPr>
          <w:noProof/>
        </w:rPr>
      </w:pPr>
      <w:r>
        <w:rPr>
          <w:noProof/>
        </w:rPr>
        <w:t>Recent developments in relation to customs legislation.</w:t>
      </w:r>
    </w:p>
    <w:p>
      <w:pPr>
        <w:numPr>
          <w:ilvl w:val="0"/>
          <w:numId w:val="33"/>
        </w:numPr>
        <w:spacing w:after="240"/>
        <w:jc w:val="both"/>
        <w:rPr>
          <w:noProof/>
        </w:rPr>
      </w:pPr>
      <w:r>
        <w:rPr>
          <w:noProof/>
        </w:rPr>
        <w:t>Updates regarding rules of origin, including the state of play regarding their internal procedures for the linkage to the Regional Convention on pan-Euro-Mediterranean preferential rules of origin.</w:t>
      </w:r>
    </w:p>
    <w:p>
      <w:pPr>
        <w:numPr>
          <w:ilvl w:val="0"/>
          <w:numId w:val="33"/>
        </w:numPr>
        <w:spacing w:after="240"/>
        <w:jc w:val="both"/>
        <w:rPr>
          <w:noProof/>
        </w:rPr>
      </w:pPr>
      <w:r>
        <w:rPr>
          <w:noProof/>
        </w:rPr>
        <w:t>Implementation issues around the electronic issuance of movement certificates (A.TR, EUR.1, and EUR-MED).</w:t>
      </w:r>
    </w:p>
    <w:p>
      <w:pPr>
        <w:numPr>
          <w:ilvl w:val="0"/>
          <w:numId w:val="33"/>
        </w:numPr>
        <w:spacing w:after="240"/>
        <w:jc w:val="both"/>
        <w:rPr>
          <w:noProof/>
        </w:rPr>
      </w:pPr>
      <w:r>
        <w:rPr>
          <w:noProof/>
        </w:rPr>
        <w:t xml:space="preserve">Trade barriers and breaches of the Customs Union by Turkey that affect customs, including in particular the requirement of proof of origin applied by Turkey and additional documentation requirements at customs. </w:t>
      </w:r>
    </w:p>
    <w:p>
      <w:pPr>
        <w:numPr>
          <w:ilvl w:val="0"/>
          <w:numId w:val="33"/>
        </w:numPr>
        <w:spacing w:after="240"/>
        <w:jc w:val="both"/>
        <w:rPr>
          <w:noProof/>
        </w:rPr>
      </w:pPr>
      <w:r>
        <w:rPr>
          <w:noProof/>
        </w:rPr>
        <w:t>Information exchange on recent legislative developments and on the risk analysis customs enforcement of IPR in Turkey and in the EU.</w:t>
      </w:r>
    </w:p>
    <w:p>
      <w:pPr>
        <w:pStyle w:val="ManualHeading1"/>
      </w:pPr>
      <w:bookmarkStart w:id="4059" w:name="_Toc8833801"/>
      <w:bookmarkStart w:id="4060" w:name="_Toc8835628"/>
      <w:bookmarkStart w:id="4061" w:name="_Toc8834258"/>
      <w:bookmarkStart w:id="4062" w:name="_Toc8909721"/>
      <w:bookmarkStart w:id="4063" w:name="_Toc8910933"/>
      <w:bookmarkStart w:id="4064" w:name="_Toc8911970"/>
      <w:bookmarkStart w:id="4065" w:name="_Toc8974791"/>
      <w:bookmarkStart w:id="4066" w:name="_Toc9008444"/>
      <w:bookmarkStart w:id="4067" w:name="_Toc9008847"/>
      <w:bookmarkStart w:id="4068" w:name="_Toc9348843"/>
      <w:bookmarkStart w:id="4069" w:name="_Toc9608294"/>
      <w:bookmarkStart w:id="4070" w:name="_Toc16000851"/>
      <w:r>
        <w:t>3</w:t>
      </w:r>
      <w:r>
        <w:tab/>
        <w:t>Specific areas of importance</w:t>
      </w:r>
      <w:bookmarkEnd w:id="4059"/>
      <w:bookmarkEnd w:id="4060"/>
      <w:bookmarkEnd w:id="4061"/>
      <w:bookmarkEnd w:id="4062"/>
      <w:bookmarkEnd w:id="4063"/>
      <w:bookmarkEnd w:id="4064"/>
      <w:bookmarkEnd w:id="4065"/>
      <w:bookmarkEnd w:id="4066"/>
      <w:bookmarkEnd w:id="4067"/>
      <w:bookmarkEnd w:id="4068"/>
      <w:bookmarkEnd w:id="4069"/>
      <w:bookmarkEnd w:id="4070"/>
    </w:p>
    <w:p>
      <w:pPr>
        <w:jc w:val="both"/>
        <w:rPr>
          <w:noProof/>
        </w:rPr>
      </w:pPr>
      <w:r>
        <w:rPr>
          <w:noProof/>
        </w:rPr>
        <w:t>Turkey had a difficult year 2018, as the economy slowed markedly during the year after strong growth in the preceding years. From 2013 to 2017, GDP grew by 5% a year on average and per capita income converged significantly with EU levels, from 52% in 2010 to 65% in 2017. However, against the backdrop of Turkish public policy choices, investors lost confidence in the sustainability of this boom, which led to a sharp deterioration in external financing conditions, and in turn to a rapid depreciation in the Turkish lira, high inflation and a technical recession from the third quarter of 2018. In line with this, the current account reversed to a surplus as imports contracted and exports increased. Over the entire year 2018, Turkey still recorded a current account deficit of 3.6% of GDP, but the trade balance in particular with the EU changed drastically to a now quite balanced relationship.</w:t>
      </w:r>
    </w:p>
    <w:p>
      <w:pPr>
        <w:jc w:val="both"/>
        <w:rPr>
          <w:noProof/>
        </w:rPr>
      </w:pPr>
    </w:p>
    <w:p>
      <w:pPr>
        <w:jc w:val="both"/>
        <w:rPr>
          <w:noProof/>
        </w:rPr>
      </w:pPr>
      <w:r>
        <w:rPr>
          <w:noProof/>
        </w:rPr>
        <w:t>Of particular importance regarding the implementation of both the Customs Union and the ECSC-Turkey free trade agreement for coal, iron and steel products in 2018 was the imposition of safeguard measures. As a response to the 25% import duties on steel applied by the United States from 23 March 2018, both Turkey and the EU initiated a safeguard procedure. After concluding its investigation, the European Commission instated first a provisional measure on 17 July 2018, and then definitive safeguard measures that entered into force on 2 February 2019. These take the form of a Tariff Rate Quota and a 25% out-of-quota duty on certain steel products, and were designed to be the least disturbing to trade in accordance with WTO rules and bilateral agreements. Turkey on 20 September 2018 also adopted provisional safeguard measures and continued its investigation. A series of exchanges and consultations took place in 2018 in that regard.</w:t>
      </w:r>
    </w:p>
    <w:p>
      <w:pPr>
        <w:pStyle w:val="ManualHeading1"/>
      </w:pPr>
      <w:bookmarkStart w:id="4071" w:name="_Toc8833802"/>
      <w:bookmarkStart w:id="4072" w:name="_Toc8835629"/>
      <w:bookmarkStart w:id="4073" w:name="_Toc8834259"/>
      <w:bookmarkStart w:id="4074" w:name="_Toc8909722"/>
      <w:bookmarkStart w:id="4075" w:name="_Toc8910934"/>
      <w:bookmarkStart w:id="4076" w:name="_Toc8911971"/>
      <w:bookmarkStart w:id="4077" w:name="_Toc8974792"/>
      <w:bookmarkStart w:id="4078" w:name="_Toc9008445"/>
      <w:bookmarkStart w:id="4079" w:name="_Toc9008848"/>
      <w:bookmarkStart w:id="4080" w:name="_Toc9348844"/>
      <w:bookmarkStart w:id="4081" w:name="_Toc9608295"/>
      <w:bookmarkStart w:id="4082" w:name="_Toc16000852"/>
      <w:r>
        <w:t>4</w:t>
      </w:r>
      <w:r>
        <w:tab/>
        <w:t>Progress made, main open issues and follow-up actions</w:t>
      </w:r>
      <w:bookmarkEnd w:id="4071"/>
      <w:bookmarkEnd w:id="4072"/>
      <w:bookmarkEnd w:id="4073"/>
      <w:bookmarkEnd w:id="4074"/>
      <w:bookmarkEnd w:id="4075"/>
      <w:bookmarkEnd w:id="4076"/>
      <w:bookmarkEnd w:id="4077"/>
      <w:bookmarkEnd w:id="4078"/>
      <w:bookmarkEnd w:id="4079"/>
      <w:bookmarkEnd w:id="4080"/>
      <w:bookmarkEnd w:id="4081"/>
      <w:bookmarkEnd w:id="4082"/>
    </w:p>
    <w:p>
      <w:pPr>
        <w:jc w:val="both"/>
        <w:rPr>
          <w:rFonts w:eastAsia="Times New Roman"/>
          <w:noProof/>
        </w:rPr>
      </w:pPr>
      <w:r>
        <w:rPr>
          <w:rFonts w:eastAsia="Times New Roman"/>
          <w:noProof/>
        </w:rPr>
        <w:t xml:space="preserve">As regards the implementation of the existing bilateral preferential trade framework, limited progress was achieved in 2018 on several relatively minor issues, such as the rules on management of tariff quotas. </w:t>
      </w:r>
    </w:p>
    <w:p>
      <w:pPr>
        <w:jc w:val="both"/>
        <w:rPr>
          <w:rFonts w:eastAsia="Times New Roman"/>
          <w:noProof/>
        </w:rPr>
      </w:pPr>
    </w:p>
    <w:p>
      <w:pPr>
        <w:jc w:val="both"/>
        <w:rPr>
          <w:rFonts w:eastAsia="Times New Roman"/>
          <w:noProof/>
        </w:rPr>
      </w:pPr>
      <w:r>
        <w:rPr>
          <w:rFonts w:eastAsia="Times New Roman"/>
          <w:noProof/>
        </w:rPr>
        <w:t xml:space="preserve">However, on balance Turkey created further market access barriers in breach of the Customs Union rules, and aggravated previous open issues in 2018. Overall, Turkey thus continued its course of maintaining and introducing trade barriers that also affect European companies. </w:t>
      </w:r>
    </w:p>
    <w:p>
      <w:pPr>
        <w:jc w:val="both"/>
        <w:rPr>
          <w:rFonts w:eastAsia="Times New Roman"/>
          <w:noProof/>
        </w:rPr>
      </w:pPr>
    </w:p>
    <w:p>
      <w:pPr>
        <w:jc w:val="both"/>
        <w:rPr>
          <w:rFonts w:eastAsia="Times New Roman"/>
          <w:noProof/>
        </w:rPr>
      </w:pPr>
      <w:r>
        <w:rPr>
          <w:rFonts w:eastAsia="Times New Roman"/>
          <w:noProof/>
        </w:rPr>
        <w:t>Turkey has notably upheld trade barriers that breach the Customs Union agreement in continuing - and broadening - its deviation from the common customs tariff through additional duties on products originating outside the EU or Turkey’s FTA partners. These additional duties by now cover a large part of all product lines that are subject to the Customs Union, including more sophisticated products that potentially affect not only logistics and distribution, but also assembly in the EU. In addition, given this practice as well as other documentation requirements, Turkey imposes a proof of origin contrary to Customs Union rules. Other main open issues concern the continued localisation policy in the pharmaceutical sector, discrimination against EU exports of tractors and export restrictions on leather products.</w:t>
      </w:r>
    </w:p>
    <w:p>
      <w:pPr>
        <w:jc w:val="both"/>
        <w:rPr>
          <w:rFonts w:eastAsia="Times New Roman"/>
          <w:noProof/>
        </w:rPr>
      </w:pPr>
    </w:p>
    <w:p>
      <w:pPr>
        <w:spacing w:after="120"/>
        <w:jc w:val="both"/>
        <w:rPr>
          <w:noProof/>
        </w:rPr>
      </w:pPr>
      <w:r>
        <w:rPr>
          <w:rFonts w:eastAsia="Times New Roman"/>
          <w:noProof/>
        </w:rPr>
        <w:t>As reflected in the above, the European Commission has raised concerns about these barriers in various fora, including the Customs Union Joint Committee and other bilateral meetings as well as in written exchanges. It will continue to follow up on these and any arising issues in detail with the Turkish authorities, as well as all relevant stakeholders. In the case of the localisation requirements in the pharmaceutical sector imposed by Turkey that are in clear breach not only of bilateral agreements, but also WTO rules, the European Commission, as a last resort, after repeated warnings, decided to bring this case to WTO dispute settlement and, on</w:t>
      </w:r>
      <w:r>
        <w:rPr>
          <w:noProof/>
        </w:rPr>
        <w:t xml:space="preserve"> 2 April 2019, requested WTO </w:t>
      </w:r>
      <w:hyperlink r:id="rId48" w:history="1">
        <w:r>
          <w:rPr>
            <w:rStyle w:val="Hyperlink"/>
            <w:noProof/>
          </w:rPr>
          <w:t>consultations</w:t>
        </w:r>
      </w:hyperlink>
      <w:r>
        <w:rPr>
          <w:noProof/>
        </w:rPr>
        <w:t xml:space="preserve"> with Turkey. The case is ongoing.</w:t>
      </w:r>
    </w:p>
    <w:p>
      <w:pPr>
        <w:jc w:val="both"/>
        <w:rPr>
          <w:rFonts w:eastAsia="Times New Roman"/>
          <w:noProof/>
        </w:rPr>
      </w:pPr>
    </w:p>
    <w:p>
      <w:pPr>
        <w:jc w:val="both"/>
        <w:rPr>
          <w:noProof/>
        </w:rPr>
      </w:pPr>
      <w:r>
        <w:rPr>
          <w:rFonts w:eastAsia="Times New Roman"/>
          <w:noProof/>
        </w:rPr>
        <w:t>Finally, another area of concern is state aid control. Turkey has not adopted the necessary secondary legislation, and therefore there is no control of state aid, contrary to Turkey’s obligations under the Customs Union Agreement.</w:t>
      </w:r>
    </w:p>
    <w:p>
      <w:pPr>
        <w:pStyle w:val="ManualHeading1"/>
      </w:pPr>
      <w:bookmarkStart w:id="4083" w:name="_Toc8833803"/>
      <w:bookmarkStart w:id="4084" w:name="_Toc8835630"/>
      <w:bookmarkStart w:id="4085" w:name="_Toc8834260"/>
      <w:bookmarkStart w:id="4086" w:name="_Toc8909723"/>
      <w:bookmarkStart w:id="4087" w:name="_Toc8910935"/>
      <w:bookmarkStart w:id="4088" w:name="_Toc8911972"/>
      <w:bookmarkStart w:id="4089" w:name="_Toc8974793"/>
      <w:bookmarkStart w:id="4090" w:name="_Toc9008446"/>
      <w:bookmarkStart w:id="4091" w:name="_Toc9008849"/>
      <w:bookmarkStart w:id="4092" w:name="_Toc9348845"/>
      <w:bookmarkStart w:id="4093" w:name="_Toc9608296"/>
      <w:bookmarkStart w:id="4094" w:name="_Toc16000853"/>
      <w:r>
        <w:t>5</w:t>
      </w:r>
      <w:r>
        <w:tab/>
        <w:t>Conclusions and outlook</w:t>
      </w:r>
      <w:bookmarkEnd w:id="4083"/>
      <w:bookmarkEnd w:id="4084"/>
      <w:bookmarkEnd w:id="4085"/>
      <w:bookmarkEnd w:id="4086"/>
      <w:bookmarkEnd w:id="4087"/>
      <w:bookmarkEnd w:id="4088"/>
      <w:bookmarkEnd w:id="4089"/>
      <w:bookmarkEnd w:id="4090"/>
      <w:bookmarkEnd w:id="4091"/>
      <w:bookmarkEnd w:id="4092"/>
      <w:bookmarkEnd w:id="4093"/>
      <w:bookmarkEnd w:id="4094"/>
    </w:p>
    <w:p>
      <w:pPr>
        <w:jc w:val="both"/>
        <w:rPr>
          <w:rFonts w:eastAsia="Times New Roman"/>
          <w:noProof/>
        </w:rPr>
      </w:pPr>
      <w:r>
        <w:rPr>
          <w:rFonts w:eastAsia="Times New Roman"/>
          <w:noProof/>
        </w:rPr>
        <w:t xml:space="preserve">Turkey’s obligation to align to the EU’s common customs tariff, as well as to EU technical legislation which are important for the free movement of goods, go much beyond classic trade agreements and thus make the bilateral trade relationship unique. The Customs Union has therefore led not only to significant increase in bilateral trade over the last 20 years, but also to important investment and production links between the two parties. However, the economic and trading environment has changed substantially since the creation of the Customs Union and it has become less well equipped to deal with the modern day challenges of trade integration. This is reflected in the open issues discussed above. The European Commission had therefore adopted on 21 December 2016 a proposal to modernise the Customs Union to improve its functioning and to further extend the scope of the bilateral preferential trade arrangements in line with its approach to modern free trade agreements, also covering areas such as services, public procurement, specific rules for SMEs and sustainable development, as well as further liberalisation of agricultural products. A modernised Customs Union would also need to contain an effective dispute settlement mechanism to address the increasing number of trade and market access problems faced by European companies. </w:t>
      </w:r>
    </w:p>
    <w:p>
      <w:pPr>
        <w:jc w:val="both"/>
        <w:rPr>
          <w:rFonts w:eastAsia="Times New Roman"/>
          <w:noProof/>
        </w:rPr>
      </w:pPr>
    </w:p>
    <w:p>
      <w:pPr>
        <w:jc w:val="both"/>
        <w:rPr>
          <w:noProof/>
        </w:rPr>
      </w:pPr>
      <w:r>
        <w:rPr>
          <w:rFonts w:eastAsia="Times New Roman"/>
          <w:noProof/>
        </w:rPr>
        <w:t>While the Commission proposal is pending adoption by the Council given political circumstances, Turkish measures diverging from the present agreements have to be remedied, and in particular the present trend of increasing market access barriers has to be reversed.</w:t>
      </w:r>
    </w:p>
    <w:p>
      <w:pPr>
        <w:pStyle w:val="ManualHeading1"/>
      </w:pPr>
      <w:bookmarkStart w:id="4095" w:name="_Toc8833804"/>
      <w:bookmarkStart w:id="4096" w:name="_Toc8835631"/>
      <w:bookmarkStart w:id="4097" w:name="_Toc8834261"/>
      <w:bookmarkStart w:id="4098" w:name="_Toc8909724"/>
      <w:bookmarkStart w:id="4099" w:name="_Toc8910936"/>
      <w:bookmarkStart w:id="4100" w:name="_Toc8911973"/>
      <w:bookmarkStart w:id="4101" w:name="_Toc8974794"/>
      <w:bookmarkStart w:id="4102" w:name="_Toc9008447"/>
      <w:bookmarkStart w:id="4103" w:name="_Toc9008850"/>
      <w:bookmarkStart w:id="4104" w:name="_Toc9348846"/>
      <w:bookmarkStart w:id="4105" w:name="_Toc9608297"/>
      <w:bookmarkStart w:id="4106" w:name="_Toc16000854"/>
      <w:r>
        <w:t>6.</w:t>
      </w:r>
      <w:r>
        <w:tab/>
        <w:t>Statistics</w:t>
      </w:r>
      <w:bookmarkEnd w:id="4095"/>
      <w:bookmarkEnd w:id="4096"/>
      <w:bookmarkEnd w:id="4097"/>
      <w:bookmarkEnd w:id="4098"/>
      <w:bookmarkEnd w:id="4099"/>
      <w:bookmarkEnd w:id="4100"/>
      <w:bookmarkEnd w:id="4101"/>
      <w:bookmarkEnd w:id="4102"/>
      <w:bookmarkEnd w:id="4103"/>
      <w:bookmarkEnd w:id="4104"/>
      <w:bookmarkEnd w:id="4105"/>
      <w:bookmarkEnd w:id="4106"/>
    </w:p>
    <w:tbl>
      <w:tblPr>
        <w:tblW w:w="6467" w:type="dxa"/>
        <w:tblInd w:w="108" w:type="dxa"/>
        <w:tblLook w:val="04A0" w:firstRow="1" w:lastRow="0" w:firstColumn="1" w:lastColumn="0" w:noHBand="0" w:noVBand="1"/>
      </w:tblPr>
      <w:tblGrid>
        <w:gridCol w:w="3573"/>
        <w:gridCol w:w="656"/>
        <w:gridCol w:w="736"/>
        <w:gridCol w:w="736"/>
        <w:gridCol w:w="656"/>
        <w:gridCol w:w="703"/>
      </w:tblGrid>
      <w:tr>
        <w:trPr>
          <w:trHeight w:val="210"/>
        </w:trPr>
        <w:tc>
          <w:tcPr>
            <w:tcW w:w="6467"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Merchandise trade EU28 2014-2018</w:t>
            </w:r>
          </w:p>
        </w:tc>
      </w:tr>
      <w:tr>
        <w:trPr>
          <w:trHeight w:val="210"/>
        </w:trPr>
        <w:tc>
          <w:tcPr>
            <w:tcW w:w="3573" w:type="dxa"/>
            <w:tcBorders>
              <w:top w:val="single" w:sz="4" w:space="0" w:color="auto"/>
              <w:left w:val="nil"/>
              <w:bottom w:val="single" w:sz="4" w:space="0" w:color="auto"/>
              <w:right w:val="nil"/>
            </w:tcBorders>
            <w:shd w:val="clear" w:color="000000" w:fill="FFFFFF"/>
            <w:noWrap/>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 </w:t>
            </w:r>
          </w:p>
        </w:tc>
        <w:tc>
          <w:tcPr>
            <w:tcW w:w="490"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579"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579"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543"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703"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r>
      <w:tr>
        <w:trPr>
          <w:trHeight w:val="210"/>
        </w:trPr>
        <w:tc>
          <w:tcPr>
            <w:tcW w:w="3573" w:type="dxa"/>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EU28 trade with Turkey (mio €)</w:t>
            </w:r>
          </w:p>
        </w:tc>
        <w:tc>
          <w:tcPr>
            <w:tcW w:w="490"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n-IE" w:eastAsia="en-IE"/>
              </w:rPr>
            </w:pPr>
          </w:p>
        </w:tc>
        <w:tc>
          <w:tcPr>
            <w:tcW w:w="579"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579"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543"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703"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r>
      <w:tr>
        <w:trPr>
          <w:trHeight w:val="210"/>
        </w:trPr>
        <w:tc>
          <w:tcPr>
            <w:tcW w:w="357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54.409</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61.696</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66.592</w:t>
            </w:r>
          </w:p>
        </w:tc>
        <w:tc>
          <w:tcPr>
            <w:tcW w:w="54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69.784</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76.139</w:t>
            </w:r>
          </w:p>
        </w:tc>
      </w:tr>
      <w:tr>
        <w:trPr>
          <w:trHeight w:val="210"/>
        </w:trPr>
        <w:tc>
          <w:tcPr>
            <w:tcW w:w="357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74.757</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78.964</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77.919</w:t>
            </w:r>
          </w:p>
        </w:tc>
        <w:tc>
          <w:tcPr>
            <w:tcW w:w="54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84.827</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77.270</w:t>
            </w:r>
          </w:p>
        </w:tc>
      </w:tr>
      <w:tr>
        <w:trPr>
          <w:trHeight w:val="210"/>
        </w:trPr>
        <w:tc>
          <w:tcPr>
            <w:tcW w:w="357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20.347</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17.269</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11.327</w:t>
            </w:r>
          </w:p>
        </w:tc>
        <w:tc>
          <w:tcPr>
            <w:tcW w:w="54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15.043</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1.131</w:t>
            </w:r>
          </w:p>
        </w:tc>
      </w:tr>
      <w:tr>
        <w:trPr>
          <w:trHeight w:val="210"/>
        </w:trPr>
        <w:tc>
          <w:tcPr>
            <w:tcW w:w="3573" w:type="dxa"/>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Share Turkey in EU28 trade with Extra-EU28</w:t>
            </w:r>
          </w:p>
        </w:tc>
        <w:tc>
          <w:tcPr>
            <w:tcW w:w="490"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n-IE" w:eastAsia="en-IE"/>
              </w:rPr>
            </w:pPr>
          </w:p>
        </w:tc>
        <w:tc>
          <w:tcPr>
            <w:tcW w:w="579"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579"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543"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703"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r>
      <w:tr>
        <w:trPr>
          <w:trHeight w:val="210"/>
        </w:trPr>
        <w:tc>
          <w:tcPr>
            <w:tcW w:w="357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3,2%</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3,6%</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3,9%</w:t>
            </w:r>
          </w:p>
        </w:tc>
        <w:tc>
          <w:tcPr>
            <w:tcW w:w="54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3,8%</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3,8%</w:t>
            </w:r>
          </w:p>
        </w:tc>
      </w:tr>
      <w:tr>
        <w:trPr>
          <w:trHeight w:val="210"/>
        </w:trPr>
        <w:tc>
          <w:tcPr>
            <w:tcW w:w="357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4,4%</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4,4%</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4,5%</w:t>
            </w:r>
          </w:p>
        </w:tc>
        <w:tc>
          <w:tcPr>
            <w:tcW w:w="54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4,5%</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4,0%</w:t>
            </w:r>
          </w:p>
        </w:tc>
      </w:tr>
      <w:tr>
        <w:trPr>
          <w:trHeight w:val="210"/>
        </w:trPr>
        <w:tc>
          <w:tcPr>
            <w:tcW w:w="357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3,8%</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4,0%</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4,2%</w:t>
            </w:r>
          </w:p>
        </w:tc>
        <w:tc>
          <w:tcPr>
            <w:tcW w:w="54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4,1%</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3,9%</w:t>
            </w:r>
          </w:p>
        </w:tc>
      </w:tr>
      <w:tr>
        <w:trPr>
          <w:trHeight w:val="210"/>
        </w:trPr>
        <w:tc>
          <w:tcPr>
            <w:tcW w:w="6467"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Share EU28 in trade Turkey with world</w:t>
            </w:r>
          </w:p>
        </w:tc>
      </w:tr>
      <w:tr>
        <w:trPr>
          <w:trHeight w:val="210"/>
        </w:trPr>
        <w:tc>
          <w:tcPr>
            <w:tcW w:w="357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36,7%</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38,0%</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39,0%</w:t>
            </w:r>
          </w:p>
        </w:tc>
        <w:tc>
          <w:tcPr>
            <w:tcW w:w="54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36,4%</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36,2%</w:t>
            </w:r>
          </w:p>
        </w:tc>
      </w:tr>
      <w:tr>
        <w:trPr>
          <w:trHeight w:val="210"/>
        </w:trPr>
        <w:tc>
          <w:tcPr>
            <w:tcW w:w="357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43,5%</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44,5%</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48,0%</w:t>
            </w:r>
          </w:p>
        </w:tc>
        <w:tc>
          <w:tcPr>
            <w:tcW w:w="54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47,1%</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50,0%</w:t>
            </w:r>
          </w:p>
        </w:tc>
      </w:tr>
      <w:tr>
        <w:trPr>
          <w:trHeight w:val="210"/>
        </w:trPr>
        <w:tc>
          <w:tcPr>
            <w:tcW w:w="357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39,3%</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40,6%</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42,8%</w:t>
            </w:r>
          </w:p>
        </w:tc>
        <w:tc>
          <w:tcPr>
            <w:tcW w:w="54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40,7%</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42,1%</w:t>
            </w:r>
          </w:p>
        </w:tc>
      </w:tr>
      <w:tr>
        <w:trPr>
          <w:trHeight w:val="225"/>
        </w:trPr>
        <w:tc>
          <w:tcPr>
            <w:tcW w:w="4642" w:type="dxa"/>
            <w:gridSpan w:val="3"/>
            <w:tcBorders>
              <w:top w:val="single" w:sz="4" w:space="0" w:color="auto"/>
              <w:left w:val="nil"/>
              <w:bottom w:val="nil"/>
              <w:right w:val="nil"/>
            </w:tcBorders>
            <w:shd w:val="clear" w:color="000000" w:fill="FFFFFF"/>
            <w:noWrap/>
            <w:vAlign w:val="bottom"/>
            <w:hideMark/>
          </w:tcPr>
          <w:p>
            <w:pPr>
              <w:rPr>
                <w:rFonts w:eastAsia="Times New Roman"/>
                <w:noProof/>
                <w:sz w:val="12"/>
                <w:szCs w:val="12"/>
                <w:lang w:val="en-IE" w:eastAsia="en-IE"/>
              </w:rPr>
            </w:pPr>
            <w:r>
              <w:rPr>
                <w:rFonts w:eastAsia="Times New Roman"/>
                <w:noProof/>
                <w:sz w:val="12"/>
                <w:szCs w:val="12"/>
                <w:lang w:val="en-IE" w:eastAsia="en-IE"/>
              </w:rPr>
              <w:t xml:space="preserve">Source Trade G2 Statistics/ISDB </w:t>
            </w:r>
          </w:p>
        </w:tc>
        <w:tc>
          <w:tcPr>
            <w:tcW w:w="579"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543"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703" w:type="dxa"/>
            <w:tcBorders>
              <w:top w:val="single" w:sz="4" w:space="0" w:color="auto"/>
              <w:left w:val="nil"/>
              <w:bottom w:val="nil"/>
              <w:right w:val="nil"/>
            </w:tcBorders>
            <w:shd w:val="clear" w:color="000000" w:fill="FFFFFF"/>
            <w:noWrap/>
            <w:hideMark/>
          </w:tcPr>
          <w:p>
            <w:pPr>
              <w:jc w:val="right"/>
              <w:rPr>
                <w:rFonts w:eastAsia="Times New Roman"/>
                <w:noProof/>
                <w:sz w:val="12"/>
                <w:szCs w:val="12"/>
                <w:lang w:val="en-IE" w:eastAsia="en-IE"/>
              </w:rPr>
            </w:pPr>
            <w:r>
              <w:rPr>
                <w:rFonts w:eastAsia="Times New Roman"/>
                <w:noProof/>
                <w:sz w:val="12"/>
                <w:szCs w:val="12"/>
                <w:lang w:val="en-IE" w:eastAsia="en-IE"/>
              </w:rPr>
              <w:t>25-mars-19</w:t>
            </w:r>
          </w:p>
        </w:tc>
      </w:tr>
      <w:tr>
        <w:trPr>
          <w:trHeight w:val="210"/>
        </w:trPr>
        <w:tc>
          <w:tcPr>
            <w:tcW w:w="5221" w:type="dxa"/>
            <w:gridSpan w:val="4"/>
            <w:tcBorders>
              <w:top w:val="nil"/>
              <w:left w:val="nil"/>
              <w:bottom w:val="nil"/>
              <w:right w:val="nil"/>
            </w:tcBorders>
            <w:shd w:val="clear" w:color="000000" w:fill="FFFFFF"/>
            <w:noWrap/>
            <w:hideMark/>
          </w:tcPr>
          <w:p>
            <w:pPr>
              <w:rPr>
                <w:rFonts w:eastAsia="Times New Roman"/>
                <w:noProof/>
                <w:color w:val="000000"/>
                <w:sz w:val="12"/>
                <w:szCs w:val="12"/>
                <w:lang w:val="en-IE" w:eastAsia="en-IE"/>
              </w:rPr>
            </w:pPr>
            <w:r>
              <w:rPr>
                <w:rFonts w:eastAsia="Times New Roman"/>
                <w:noProof/>
                <w:color w:val="000000"/>
                <w:sz w:val="12"/>
                <w:szCs w:val="12"/>
                <w:lang w:val="en-IE" w:eastAsia="en-IE"/>
              </w:rPr>
              <w:t>Trade EU28: Eurostat COMEXT;  Trade Turkey: IMF Dots</w:t>
            </w:r>
          </w:p>
        </w:tc>
        <w:tc>
          <w:tcPr>
            <w:tcW w:w="543"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10"/>
        </w:trPr>
        <w:tc>
          <w:tcPr>
            <w:tcW w:w="3573"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490"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579"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579"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543"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25"/>
        </w:trPr>
        <w:tc>
          <w:tcPr>
            <w:tcW w:w="6467"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Total merchandise trade EU28 with Turkey (mio €)</w:t>
            </w:r>
          </w:p>
        </w:tc>
      </w:tr>
      <w:tr>
        <w:trPr>
          <w:trHeight w:val="225"/>
        </w:trPr>
        <w:tc>
          <w:tcPr>
            <w:tcW w:w="4063"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Turkey</w:t>
            </w:r>
          </w:p>
        </w:tc>
        <w:tc>
          <w:tcPr>
            <w:tcW w:w="579"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579"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246"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063"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579"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579"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54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57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69.784</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76.139</w:t>
            </w:r>
          </w:p>
        </w:tc>
        <w:tc>
          <w:tcPr>
            <w:tcW w:w="54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6.355</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9,1%</w:t>
            </w:r>
          </w:p>
        </w:tc>
      </w:tr>
      <w:tr>
        <w:trPr>
          <w:trHeight w:val="225"/>
        </w:trPr>
        <w:tc>
          <w:tcPr>
            <w:tcW w:w="357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84.827</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77.270</w:t>
            </w:r>
          </w:p>
        </w:tc>
        <w:tc>
          <w:tcPr>
            <w:tcW w:w="54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-7.556</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-8,9%</w:t>
            </w:r>
          </w:p>
        </w:tc>
      </w:tr>
      <w:tr>
        <w:trPr>
          <w:trHeight w:val="225"/>
        </w:trPr>
        <w:tc>
          <w:tcPr>
            <w:tcW w:w="357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15.043</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1.131</w:t>
            </w:r>
          </w:p>
        </w:tc>
        <w:tc>
          <w:tcPr>
            <w:tcW w:w="54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-13.912</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573"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90"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579"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154.610</w:t>
            </w:r>
          </w:p>
        </w:tc>
        <w:tc>
          <w:tcPr>
            <w:tcW w:w="579"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153.409</w:t>
            </w:r>
          </w:p>
        </w:tc>
        <w:tc>
          <w:tcPr>
            <w:tcW w:w="54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-1.201</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-0,8%</w:t>
            </w:r>
          </w:p>
        </w:tc>
      </w:tr>
      <w:tr>
        <w:trPr>
          <w:trHeight w:val="240"/>
        </w:trPr>
        <w:tc>
          <w:tcPr>
            <w:tcW w:w="5221"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543"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6467"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Agrifood trade EU28 with Turkey (mio €)</w:t>
            </w:r>
          </w:p>
        </w:tc>
      </w:tr>
      <w:tr>
        <w:trPr>
          <w:trHeight w:val="255"/>
        </w:trPr>
        <w:tc>
          <w:tcPr>
            <w:tcW w:w="4063"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Turkey</w:t>
            </w:r>
          </w:p>
        </w:tc>
        <w:tc>
          <w:tcPr>
            <w:tcW w:w="579"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579"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246"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063"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579"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579"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54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57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4.492</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4.482</w:t>
            </w:r>
          </w:p>
        </w:tc>
        <w:tc>
          <w:tcPr>
            <w:tcW w:w="54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r>
      <w:tr>
        <w:trPr>
          <w:trHeight w:val="225"/>
        </w:trPr>
        <w:tc>
          <w:tcPr>
            <w:tcW w:w="357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3.669</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3.147</w:t>
            </w:r>
          </w:p>
        </w:tc>
        <w:tc>
          <w:tcPr>
            <w:tcW w:w="54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-522</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-14,2%</w:t>
            </w:r>
          </w:p>
        </w:tc>
      </w:tr>
      <w:tr>
        <w:trPr>
          <w:trHeight w:val="225"/>
        </w:trPr>
        <w:tc>
          <w:tcPr>
            <w:tcW w:w="357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-823</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-1.335</w:t>
            </w:r>
          </w:p>
        </w:tc>
        <w:tc>
          <w:tcPr>
            <w:tcW w:w="54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-512</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573"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579"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8.161</w:t>
            </w:r>
          </w:p>
        </w:tc>
        <w:tc>
          <w:tcPr>
            <w:tcW w:w="579"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7.629</w:t>
            </w:r>
          </w:p>
        </w:tc>
        <w:tc>
          <w:tcPr>
            <w:tcW w:w="54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-531</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-6,5%</w:t>
            </w:r>
          </w:p>
        </w:tc>
      </w:tr>
      <w:tr>
        <w:trPr>
          <w:trHeight w:val="240"/>
        </w:trPr>
        <w:tc>
          <w:tcPr>
            <w:tcW w:w="5221"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543"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6467"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NAMA trade EU28 with Turkey (mio €)</w:t>
            </w:r>
          </w:p>
        </w:tc>
      </w:tr>
      <w:tr>
        <w:trPr>
          <w:trHeight w:val="225"/>
        </w:trPr>
        <w:tc>
          <w:tcPr>
            <w:tcW w:w="4063"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Turkey</w:t>
            </w:r>
          </w:p>
        </w:tc>
        <w:tc>
          <w:tcPr>
            <w:tcW w:w="579"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579"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246"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063"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579"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579"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54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4063"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imports</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65.292</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71.657</w:t>
            </w:r>
          </w:p>
        </w:tc>
        <w:tc>
          <w:tcPr>
            <w:tcW w:w="54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6.365</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9,7%</w:t>
            </w:r>
          </w:p>
        </w:tc>
      </w:tr>
      <w:tr>
        <w:trPr>
          <w:trHeight w:val="225"/>
        </w:trPr>
        <w:tc>
          <w:tcPr>
            <w:tcW w:w="4063"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exports</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81.158</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74.123</w:t>
            </w:r>
          </w:p>
        </w:tc>
        <w:tc>
          <w:tcPr>
            <w:tcW w:w="54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-7.035</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-8,7%</w:t>
            </w:r>
          </w:p>
        </w:tc>
      </w:tr>
      <w:tr>
        <w:trPr>
          <w:trHeight w:val="225"/>
        </w:trPr>
        <w:tc>
          <w:tcPr>
            <w:tcW w:w="357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15.866</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2.466</w:t>
            </w:r>
          </w:p>
        </w:tc>
        <w:tc>
          <w:tcPr>
            <w:tcW w:w="54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-13.400</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57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146.450</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145.780</w:t>
            </w:r>
          </w:p>
        </w:tc>
        <w:tc>
          <w:tcPr>
            <w:tcW w:w="54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-670</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-0,5%</w:t>
            </w:r>
          </w:p>
        </w:tc>
      </w:tr>
      <w:tr>
        <w:trPr>
          <w:trHeight w:val="240"/>
        </w:trPr>
        <w:tc>
          <w:tcPr>
            <w:tcW w:w="5221"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543" w:type="dxa"/>
            <w:tcBorders>
              <w:top w:val="single" w:sz="4" w:space="0" w:color="auto"/>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5221" w:type="dxa"/>
            <w:gridSpan w:val="4"/>
            <w:tcBorders>
              <w:top w:val="nil"/>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Services trade EU28 with Turkey (mio €)</w:t>
            </w:r>
          </w:p>
        </w:tc>
        <w:tc>
          <w:tcPr>
            <w:tcW w:w="543" w:type="dxa"/>
            <w:tcBorders>
              <w:top w:val="nil"/>
              <w:left w:val="nil"/>
              <w:bottom w:val="nil"/>
              <w:right w:val="nil"/>
            </w:tcBorders>
            <w:shd w:val="clear" w:color="000000" w:fill="FFFFFF"/>
            <w:noWrap/>
            <w:vAlign w:val="center"/>
            <w:hideMark/>
          </w:tcPr>
          <w:p>
            <w:pPr>
              <w:rPr>
                <w:rFonts w:eastAsia="Times New Roman"/>
                <w:b/>
                <w:bCs/>
                <w:noProof/>
                <w:sz w:val="16"/>
                <w:szCs w:val="16"/>
                <w:lang w:val="en-IE" w:eastAsia="en-IE"/>
              </w:rPr>
            </w:pPr>
            <w:r>
              <w:rPr>
                <w:rFonts w:eastAsia="Times New Roman"/>
                <w:b/>
                <w:bCs/>
                <w:noProof/>
                <w:sz w:val="16"/>
                <w:szCs w:val="16"/>
                <w:lang w:val="en-IE" w:eastAsia="en-IE"/>
              </w:rPr>
              <w:t> </w:t>
            </w:r>
          </w:p>
        </w:tc>
        <w:tc>
          <w:tcPr>
            <w:tcW w:w="703" w:type="dxa"/>
            <w:tcBorders>
              <w:top w:val="nil"/>
              <w:left w:val="nil"/>
              <w:bottom w:val="nil"/>
              <w:right w:val="nil"/>
            </w:tcBorders>
            <w:shd w:val="clear" w:color="000000" w:fill="FFFFFF"/>
            <w:noWrap/>
            <w:vAlign w:val="center"/>
            <w:hideMark/>
          </w:tcPr>
          <w:p>
            <w:pPr>
              <w:rPr>
                <w:rFonts w:eastAsia="Times New Roman"/>
                <w:b/>
                <w:bCs/>
                <w:noProof/>
                <w:sz w:val="16"/>
                <w:szCs w:val="16"/>
                <w:lang w:val="en-IE" w:eastAsia="en-IE"/>
              </w:rPr>
            </w:pPr>
            <w:r>
              <w:rPr>
                <w:rFonts w:eastAsia="Times New Roman"/>
                <w:b/>
                <w:bCs/>
                <w:noProof/>
                <w:sz w:val="16"/>
                <w:szCs w:val="16"/>
                <w:lang w:val="en-IE" w:eastAsia="en-IE"/>
              </w:rPr>
              <w:t> </w:t>
            </w:r>
          </w:p>
        </w:tc>
      </w:tr>
      <w:tr>
        <w:trPr>
          <w:trHeight w:val="225"/>
        </w:trPr>
        <w:tc>
          <w:tcPr>
            <w:tcW w:w="4063"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Turkey</w:t>
            </w:r>
          </w:p>
        </w:tc>
        <w:tc>
          <w:tcPr>
            <w:tcW w:w="579"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579"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1246"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063"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579"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579"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54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57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14.041</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14.109</w:t>
            </w:r>
          </w:p>
        </w:tc>
        <w:tc>
          <w:tcPr>
            <w:tcW w:w="54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68</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0,5%</w:t>
            </w:r>
          </w:p>
        </w:tc>
      </w:tr>
      <w:tr>
        <w:trPr>
          <w:trHeight w:val="225"/>
        </w:trPr>
        <w:tc>
          <w:tcPr>
            <w:tcW w:w="357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12.644</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12.557</w:t>
            </w:r>
          </w:p>
        </w:tc>
        <w:tc>
          <w:tcPr>
            <w:tcW w:w="54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-87</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-0,7%</w:t>
            </w:r>
          </w:p>
        </w:tc>
      </w:tr>
      <w:tr>
        <w:trPr>
          <w:trHeight w:val="225"/>
        </w:trPr>
        <w:tc>
          <w:tcPr>
            <w:tcW w:w="357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90"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-1.398</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-1.552</w:t>
            </w:r>
          </w:p>
        </w:tc>
        <w:tc>
          <w:tcPr>
            <w:tcW w:w="54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-155</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573"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90"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579"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26.685</w:t>
            </w:r>
          </w:p>
        </w:tc>
        <w:tc>
          <w:tcPr>
            <w:tcW w:w="579"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26.666</w:t>
            </w:r>
          </w:p>
        </w:tc>
        <w:tc>
          <w:tcPr>
            <w:tcW w:w="54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r>
      <w:tr>
        <w:trPr>
          <w:trHeight w:val="240"/>
        </w:trPr>
        <w:tc>
          <w:tcPr>
            <w:tcW w:w="5764" w:type="dxa"/>
            <w:gridSpan w:val="5"/>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703"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40"/>
        </w:trPr>
        <w:tc>
          <w:tcPr>
            <w:tcW w:w="6467"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Services trade EU28 with Turkey (mio €)</w:t>
            </w:r>
          </w:p>
        </w:tc>
      </w:tr>
      <w:tr>
        <w:trPr>
          <w:trHeight w:val="225"/>
        </w:trPr>
        <w:tc>
          <w:tcPr>
            <w:tcW w:w="3573"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579"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579"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543"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703"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357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15.295</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15.890</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16.725</w:t>
            </w:r>
          </w:p>
        </w:tc>
        <w:tc>
          <w:tcPr>
            <w:tcW w:w="54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14.041</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14.109</w:t>
            </w:r>
          </w:p>
        </w:tc>
      </w:tr>
      <w:tr>
        <w:trPr>
          <w:trHeight w:val="225"/>
        </w:trPr>
        <w:tc>
          <w:tcPr>
            <w:tcW w:w="357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10.387</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10.662</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13.055</w:t>
            </w:r>
          </w:p>
        </w:tc>
        <w:tc>
          <w:tcPr>
            <w:tcW w:w="54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12.644</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12.557</w:t>
            </w:r>
          </w:p>
        </w:tc>
      </w:tr>
      <w:tr>
        <w:trPr>
          <w:trHeight w:val="225"/>
        </w:trPr>
        <w:tc>
          <w:tcPr>
            <w:tcW w:w="357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-4.908</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-5.228</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-3.670</w:t>
            </w:r>
          </w:p>
        </w:tc>
        <w:tc>
          <w:tcPr>
            <w:tcW w:w="54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-1.398</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-1.552</w:t>
            </w:r>
          </w:p>
        </w:tc>
      </w:tr>
      <w:tr>
        <w:trPr>
          <w:trHeight w:val="225"/>
        </w:trPr>
        <w:tc>
          <w:tcPr>
            <w:tcW w:w="3573"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25.682</w:t>
            </w:r>
          </w:p>
        </w:tc>
        <w:tc>
          <w:tcPr>
            <w:tcW w:w="579"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26.551</w:t>
            </w:r>
          </w:p>
        </w:tc>
        <w:tc>
          <w:tcPr>
            <w:tcW w:w="579"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29.780</w:t>
            </w:r>
          </w:p>
        </w:tc>
        <w:tc>
          <w:tcPr>
            <w:tcW w:w="54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26.685</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26.666</w:t>
            </w:r>
          </w:p>
        </w:tc>
      </w:tr>
      <w:tr>
        <w:trPr>
          <w:trHeight w:val="225"/>
        </w:trPr>
        <w:tc>
          <w:tcPr>
            <w:tcW w:w="3573"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490"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 </w:t>
            </w:r>
          </w:p>
        </w:tc>
        <w:tc>
          <w:tcPr>
            <w:tcW w:w="57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57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54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6467"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FDI EU28 with Turkey (mio €)</w:t>
            </w:r>
          </w:p>
        </w:tc>
      </w:tr>
      <w:tr>
        <w:trPr>
          <w:trHeight w:val="225"/>
        </w:trPr>
        <w:tc>
          <w:tcPr>
            <w:tcW w:w="3573"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490"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579"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579"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543"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703"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6467"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Stocks</w:t>
            </w:r>
          </w:p>
        </w:tc>
      </w:tr>
      <w:tr>
        <w:trPr>
          <w:trHeight w:val="225"/>
        </w:trPr>
        <w:tc>
          <w:tcPr>
            <w:tcW w:w="357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7.977</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9.210</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12.200</w:t>
            </w:r>
          </w:p>
        </w:tc>
        <w:tc>
          <w:tcPr>
            <w:tcW w:w="54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21.733</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19.477</w:t>
            </w:r>
          </w:p>
        </w:tc>
      </w:tr>
      <w:tr>
        <w:trPr>
          <w:trHeight w:val="225"/>
        </w:trPr>
        <w:tc>
          <w:tcPr>
            <w:tcW w:w="357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62.288</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66.889</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77.723</w:t>
            </w:r>
          </w:p>
        </w:tc>
        <w:tc>
          <w:tcPr>
            <w:tcW w:w="54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75.921</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68.701</w:t>
            </w:r>
          </w:p>
        </w:tc>
      </w:tr>
      <w:tr>
        <w:trPr>
          <w:trHeight w:val="225"/>
        </w:trPr>
        <w:tc>
          <w:tcPr>
            <w:tcW w:w="6467"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Flows</w:t>
            </w:r>
          </w:p>
        </w:tc>
      </w:tr>
      <w:tr>
        <w:trPr>
          <w:trHeight w:val="225"/>
        </w:trPr>
        <w:tc>
          <w:tcPr>
            <w:tcW w:w="357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490"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3.095</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1.743</w:t>
            </w:r>
          </w:p>
        </w:tc>
        <w:tc>
          <w:tcPr>
            <w:tcW w:w="579"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1.522</w:t>
            </w:r>
          </w:p>
        </w:tc>
        <w:tc>
          <w:tcPr>
            <w:tcW w:w="54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867</w:t>
            </w:r>
          </w:p>
        </w:tc>
        <w:tc>
          <w:tcPr>
            <w:tcW w:w="703"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303</w:t>
            </w:r>
          </w:p>
        </w:tc>
      </w:tr>
      <w:tr>
        <w:trPr>
          <w:trHeight w:val="225"/>
        </w:trPr>
        <w:tc>
          <w:tcPr>
            <w:tcW w:w="357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49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5.947</w:t>
            </w:r>
          </w:p>
        </w:tc>
        <w:tc>
          <w:tcPr>
            <w:tcW w:w="579"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4.727</w:t>
            </w:r>
          </w:p>
        </w:tc>
        <w:tc>
          <w:tcPr>
            <w:tcW w:w="579"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12.364</w:t>
            </w:r>
          </w:p>
        </w:tc>
        <w:tc>
          <w:tcPr>
            <w:tcW w:w="54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1.132</w:t>
            </w:r>
          </w:p>
        </w:tc>
        <w:tc>
          <w:tcPr>
            <w:tcW w:w="70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1.042</w:t>
            </w:r>
          </w:p>
        </w:tc>
      </w:tr>
      <w:tr>
        <w:trPr>
          <w:trHeight w:val="225"/>
        </w:trPr>
        <w:tc>
          <w:tcPr>
            <w:tcW w:w="3573" w:type="dxa"/>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490"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 </w:t>
            </w:r>
          </w:p>
        </w:tc>
        <w:tc>
          <w:tcPr>
            <w:tcW w:w="57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57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54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03"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bl>
    <w:p>
      <w:pPr>
        <w:pStyle w:val="ChapterHead"/>
        <w:jc w:val="both"/>
        <w:rPr>
          <w:b/>
          <w:noProof/>
        </w:rPr>
      </w:pPr>
      <w:bookmarkStart w:id="4107" w:name="_Toc8833805"/>
      <w:bookmarkStart w:id="4108" w:name="_Toc8835632"/>
      <w:bookmarkStart w:id="4109" w:name="_Toc8834262"/>
      <w:bookmarkStart w:id="4110" w:name="_Toc8909725"/>
      <w:bookmarkStart w:id="4111" w:name="_Toc8910937"/>
      <w:bookmarkStart w:id="4112" w:name="_Toc8911974"/>
      <w:bookmarkStart w:id="4113" w:name="_Toc8974795"/>
      <w:bookmarkStart w:id="4114" w:name="_Toc9008448"/>
      <w:bookmarkStart w:id="4115" w:name="_Toc9008851"/>
      <w:bookmarkStart w:id="4116" w:name="_Toc9348847"/>
      <w:bookmarkStart w:id="4117" w:name="_Toc9608298"/>
      <w:bookmarkStart w:id="4118" w:name="_Toc16000855"/>
      <w:r>
        <w:rPr>
          <w:b/>
          <w:noProof/>
        </w:rPr>
        <w:t>PART IV: ANNUAL INFO SHEET ON THE IMPLEMENTATION OF THE ECONOMIC PARTNERSHIP AGREEMENTS (EPAs) WITH AFRICAN, CARRIBEAN AND PACIFIC COUNTRIES</w:t>
      </w:r>
      <w:bookmarkEnd w:id="4107"/>
      <w:bookmarkEnd w:id="4108"/>
      <w:bookmarkEnd w:id="4109"/>
      <w:bookmarkEnd w:id="4110"/>
      <w:bookmarkEnd w:id="4111"/>
      <w:bookmarkEnd w:id="4112"/>
      <w:bookmarkEnd w:id="4113"/>
      <w:bookmarkEnd w:id="4114"/>
      <w:bookmarkEnd w:id="4115"/>
      <w:bookmarkEnd w:id="4116"/>
      <w:bookmarkEnd w:id="4117"/>
      <w:bookmarkEnd w:id="4118"/>
    </w:p>
    <w:p>
      <w:pPr>
        <w:spacing w:after="200" w:line="276" w:lineRule="auto"/>
        <w:rPr>
          <w:noProof/>
        </w:rPr>
      </w:pPr>
      <w:r>
        <w:rPr>
          <w:noProof/>
        </w:rPr>
        <w:br w:type="page"/>
      </w:r>
    </w:p>
    <w:p>
      <w:pPr>
        <w:pStyle w:val="ChapterHead"/>
        <w:jc w:val="both"/>
        <w:rPr>
          <w:b/>
          <w:noProof/>
        </w:rPr>
      </w:pPr>
      <w:bookmarkStart w:id="4119" w:name="_Toc8833806"/>
      <w:bookmarkStart w:id="4120" w:name="_Toc8835633"/>
      <w:bookmarkStart w:id="4121" w:name="_Toc8834263"/>
      <w:bookmarkStart w:id="4122" w:name="_Toc8909726"/>
      <w:bookmarkStart w:id="4123" w:name="_Toc8910938"/>
      <w:bookmarkStart w:id="4124" w:name="_Toc8911975"/>
      <w:bookmarkStart w:id="4125" w:name="_Toc8974796"/>
      <w:bookmarkStart w:id="4126" w:name="_Toc9008449"/>
      <w:bookmarkStart w:id="4127" w:name="_Toc9008852"/>
      <w:bookmarkStart w:id="4128" w:name="_Toc9348848"/>
      <w:bookmarkStart w:id="4129" w:name="_Toc9608299"/>
      <w:bookmarkStart w:id="4130" w:name="_Toc16000856"/>
      <w:r>
        <w:rPr>
          <w:b/>
          <w:noProof/>
        </w:rPr>
        <w:t>ANNUAL INFO SHEET ON THE IMPLEMENTATION OF THE ECONOMIC PARTNERSHIP AGREEMENT (EPA) BETWEEN THE EU AND THE SOUTHERN AFRICAN DEVELOPMENT COMMUNITY (SADC)</w:t>
      </w:r>
      <w:bookmarkEnd w:id="4119"/>
      <w:bookmarkEnd w:id="4120"/>
      <w:bookmarkEnd w:id="4121"/>
      <w:bookmarkEnd w:id="4122"/>
      <w:bookmarkEnd w:id="4123"/>
      <w:bookmarkEnd w:id="4124"/>
      <w:bookmarkEnd w:id="4125"/>
      <w:bookmarkEnd w:id="4126"/>
      <w:bookmarkEnd w:id="4127"/>
      <w:bookmarkEnd w:id="4128"/>
      <w:bookmarkEnd w:id="4129"/>
      <w:bookmarkEnd w:id="4130"/>
    </w:p>
    <w:p>
      <w:pPr>
        <w:pStyle w:val="ManualHeading1"/>
      </w:pPr>
      <w:bookmarkStart w:id="4131" w:name="_Toc8833807"/>
      <w:bookmarkStart w:id="4132" w:name="_Toc8835634"/>
      <w:bookmarkStart w:id="4133" w:name="_Toc8834264"/>
      <w:bookmarkStart w:id="4134" w:name="_Toc8909727"/>
      <w:bookmarkStart w:id="4135" w:name="_Toc8910939"/>
      <w:bookmarkStart w:id="4136" w:name="_Toc8911976"/>
      <w:bookmarkStart w:id="4137" w:name="_Toc8974797"/>
      <w:bookmarkStart w:id="4138" w:name="_Toc9008450"/>
      <w:bookmarkStart w:id="4139" w:name="_Toc9008853"/>
      <w:bookmarkStart w:id="4140" w:name="_Toc9348849"/>
      <w:bookmarkStart w:id="4141" w:name="_Toc9608300"/>
      <w:bookmarkStart w:id="4142" w:name="_Toc16000857"/>
      <w:r>
        <w:t>1.</w:t>
      </w:r>
      <w:r>
        <w:tab/>
        <w:t>Introduction</w:t>
      </w:r>
      <w:bookmarkEnd w:id="4131"/>
      <w:bookmarkEnd w:id="4132"/>
      <w:bookmarkEnd w:id="4133"/>
      <w:bookmarkEnd w:id="4134"/>
      <w:bookmarkEnd w:id="4135"/>
      <w:bookmarkEnd w:id="4136"/>
      <w:bookmarkEnd w:id="4137"/>
      <w:bookmarkEnd w:id="4138"/>
      <w:bookmarkEnd w:id="4139"/>
      <w:bookmarkEnd w:id="4140"/>
      <w:bookmarkEnd w:id="4141"/>
      <w:bookmarkEnd w:id="4142"/>
    </w:p>
    <w:p>
      <w:pPr>
        <w:jc w:val="both"/>
        <w:rPr>
          <w:noProof/>
        </w:rPr>
      </w:pPr>
      <w:r>
        <w:rPr>
          <w:noProof/>
        </w:rPr>
        <w:t xml:space="preserve">The EU-SADC EPA is an agreement between the EU and six countries from the Southern African Development Community (SADC): Botswana, Eswatini, Lesotho, Mozambique, Namibia and South Africa. It was signed on 10 June 2016 and entered into provisional application on 10 October 2016 for all Parties to the Agreement except for Mozambique. It entered into provisional application for Mozambique on 4 February 2018. Hence, 2018 was the first year in which all SADC EPA states fully implement the agreement. </w:t>
      </w:r>
    </w:p>
    <w:p>
      <w:pPr>
        <w:jc w:val="both"/>
        <w:rPr>
          <w:noProof/>
        </w:rPr>
      </w:pPr>
    </w:p>
    <w:p>
      <w:pPr>
        <w:jc w:val="both"/>
        <w:rPr>
          <w:noProof/>
        </w:rPr>
      </w:pPr>
      <w:r>
        <w:rPr>
          <w:noProof/>
        </w:rPr>
        <w:t>The EU-SADC EPA ("the Agreement") is the first and only regional EPA in Africa to be fully operational (all partners are implementing the tariff cuts foreseen by the EPA). The Agreement replaces all the trade provisions of the former bilateral Trade and Development Cooperation Agreement (TDCA) between the EU and South Africa.</w:t>
      </w:r>
    </w:p>
    <w:p>
      <w:pPr>
        <w:jc w:val="both"/>
        <w:rPr>
          <w:noProof/>
        </w:rPr>
      </w:pPr>
    </w:p>
    <w:p>
      <w:pPr>
        <w:jc w:val="both"/>
        <w:rPr>
          <w:noProof/>
        </w:rPr>
      </w:pPr>
      <w:r>
        <w:rPr>
          <w:noProof/>
        </w:rPr>
        <w:t>Under the EU-SADC EPA, the Southern African Customs Union (SACU)</w:t>
      </w:r>
      <w:r>
        <w:rPr>
          <w:rStyle w:val="FootnoteReference"/>
          <w:noProof/>
        </w:rPr>
        <w:footnoteReference w:id="106"/>
      </w:r>
      <w:r>
        <w:rPr>
          <w:noProof/>
        </w:rPr>
        <w:t xml:space="preserve"> grants duty free and quota free treatment to 84.9% of products exported by the EU to the region. An additional 12.9% of EU exports benefits from partial liberalisation (reduced tariffs or tariff rate quotas). As a least developed country, Mozambique liberalises a smaller percentage of exports from the EU. All SADC EPA States except South Africa receive duty free and quota free treatment for all their goods (except arms and ammunition) imported into the EU. South Africa receives such treatment for 96% of its exports to the EU and an additional 2.7% of exports from South Africa benefits from reduced tariffs or from preferential tariff rate quotas. </w:t>
      </w:r>
    </w:p>
    <w:p>
      <w:pPr>
        <w:pStyle w:val="ManualHeading1"/>
      </w:pPr>
      <w:bookmarkStart w:id="4143" w:name="_Toc8833808"/>
      <w:bookmarkStart w:id="4144" w:name="_Toc8835635"/>
      <w:bookmarkStart w:id="4145" w:name="_Toc8834265"/>
      <w:bookmarkStart w:id="4146" w:name="_Toc8909728"/>
      <w:bookmarkStart w:id="4147" w:name="_Toc8910940"/>
      <w:bookmarkStart w:id="4148" w:name="_Toc8911977"/>
      <w:bookmarkStart w:id="4149" w:name="_Toc8974798"/>
      <w:bookmarkStart w:id="4150" w:name="_Toc9008451"/>
      <w:bookmarkStart w:id="4151" w:name="_Toc9008854"/>
      <w:bookmarkStart w:id="4152" w:name="_Toc9348850"/>
      <w:bookmarkStart w:id="4153" w:name="_Toc9608301"/>
      <w:bookmarkStart w:id="4154" w:name="_Toc16000858"/>
      <w:r>
        <w:t>2.</w:t>
      </w:r>
      <w:r>
        <w:tab/>
        <w:t>Evolution of trade</w:t>
      </w:r>
      <w:bookmarkEnd w:id="4143"/>
      <w:bookmarkEnd w:id="4144"/>
      <w:bookmarkEnd w:id="4145"/>
      <w:bookmarkEnd w:id="4146"/>
      <w:bookmarkEnd w:id="4147"/>
      <w:bookmarkEnd w:id="4148"/>
      <w:bookmarkEnd w:id="4149"/>
      <w:bookmarkEnd w:id="4150"/>
      <w:bookmarkEnd w:id="4151"/>
      <w:bookmarkEnd w:id="4152"/>
      <w:bookmarkEnd w:id="4153"/>
      <w:bookmarkEnd w:id="4154"/>
    </w:p>
    <w:p>
      <w:pPr>
        <w:pStyle w:val="Heading2"/>
        <w:ind w:left="0" w:firstLine="0"/>
      </w:pPr>
      <w:bookmarkStart w:id="4155" w:name="_Toc8833809"/>
      <w:bookmarkStart w:id="4156" w:name="_Toc8835636"/>
      <w:bookmarkStart w:id="4157" w:name="_Toc8834267"/>
      <w:bookmarkStart w:id="4158" w:name="_Toc8909729"/>
      <w:bookmarkStart w:id="4159" w:name="_Toc8910941"/>
      <w:bookmarkStart w:id="4160" w:name="_Toc8911978"/>
      <w:bookmarkStart w:id="4161" w:name="_Toc8974799"/>
      <w:bookmarkStart w:id="4162" w:name="_Toc9008452"/>
      <w:bookmarkStart w:id="4163" w:name="_Toc9008855"/>
      <w:bookmarkStart w:id="4164" w:name="_Toc9348851"/>
      <w:bookmarkStart w:id="4165" w:name="_Toc9608302"/>
      <w:bookmarkStart w:id="4166" w:name="_Toc16000859"/>
      <w:r>
        <w:t>2.1 Trade in goods</w:t>
      </w:r>
      <w:bookmarkEnd w:id="4155"/>
      <w:bookmarkEnd w:id="4156"/>
      <w:bookmarkEnd w:id="4157"/>
      <w:bookmarkEnd w:id="4158"/>
      <w:bookmarkEnd w:id="4159"/>
      <w:bookmarkEnd w:id="4160"/>
      <w:bookmarkEnd w:id="4161"/>
      <w:bookmarkEnd w:id="4162"/>
      <w:bookmarkEnd w:id="4163"/>
      <w:bookmarkEnd w:id="4164"/>
      <w:bookmarkEnd w:id="4165"/>
      <w:bookmarkEnd w:id="4166"/>
    </w:p>
    <w:p>
      <w:pPr>
        <w:jc w:val="both"/>
        <w:rPr>
          <w:noProof/>
          <w:lang w:val="en-US"/>
        </w:rPr>
      </w:pPr>
      <w:r>
        <w:rPr>
          <w:noProof/>
          <w:lang w:val="en-US"/>
        </w:rPr>
        <w:t xml:space="preserve">The EU remains the main trading partner for the six SADC EPA States, accounting for 24% of their exports (ahead of China with 8.5%, the US with 6% and India with 5.8%) and 25% of their imports (ahead of China with 16% and South Africa with 9.7%). </w:t>
      </w:r>
    </w:p>
    <w:p>
      <w:pPr>
        <w:jc w:val="both"/>
        <w:rPr>
          <w:noProof/>
          <w:lang w:val="en-US"/>
        </w:rPr>
      </w:pPr>
    </w:p>
    <w:p>
      <w:pPr>
        <w:jc w:val="both"/>
        <w:rPr>
          <w:noProof/>
          <w:lang w:val="en-US"/>
        </w:rPr>
      </w:pPr>
      <w:r>
        <w:rPr>
          <w:noProof/>
          <w:lang w:val="en-US"/>
        </w:rPr>
        <w:t xml:space="preserve">Main destination for SADC EPA States’ exports within the EU are the UK (25%), Germany (24%), Belgium (18%) and the Netherlands (10%), followed by Italy (7.5%) and Spain (5.6%). EU exports to SADC EPA States come from Germany (36%), the Netherlands (9.5%), the UK (9%), Italy (8.2%) and France (6.8%). </w:t>
      </w:r>
    </w:p>
    <w:p>
      <w:pPr>
        <w:jc w:val="both"/>
        <w:rPr>
          <w:noProof/>
          <w:lang w:val="en-US"/>
        </w:rPr>
      </w:pPr>
    </w:p>
    <w:p>
      <w:pPr>
        <w:jc w:val="both"/>
        <w:rPr>
          <w:noProof/>
          <w:lang w:val="en-US"/>
        </w:rPr>
      </w:pPr>
      <w:r>
        <w:rPr>
          <w:b/>
          <w:noProof/>
          <w:lang w:val="en-US"/>
        </w:rPr>
        <w:t>Total trade between the EU and SADC EPA States</w:t>
      </w:r>
      <w:r>
        <w:rPr>
          <w:noProof/>
          <w:lang w:val="en-US"/>
        </w:rPr>
        <w:t xml:space="preserve"> has been increasing since implementation of the EPA. In particular, EU imports from SADC EPA states have increased continuously over the past five years, while EU exports have evolved irregularly with a slight decrease since November 2016. The balance of trade is positive for SADC EPA states, for both agrifood and non-agricultural trade, and even increasing since the implementation of the EPA. South Africa accounts for 83% of EU imports from and 94% of EU exports to SADC EPA States. The trade balance with South Africa is positive for the EU but the surplus has been shrinking (down to €100 million in 2018).  </w:t>
      </w:r>
    </w:p>
    <w:p>
      <w:pPr>
        <w:jc w:val="both"/>
        <w:rPr>
          <w:noProof/>
          <w:lang w:val="en-US"/>
        </w:rPr>
      </w:pPr>
      <w:r>
        <w:rPr>
          <w:noProof/>
          <w:color w:val="FF0000"/>
          <w:lang w:eastAsia="en-GB"/>
        </w:rPr>
        <w:drawing>
          <wp:anchor distT="0" distB="0" distL="114300" distR="114300" simplePos="0" relativeHeight="251653120" behindDoc="0" locked="0" layoutInCell="1" allowOverlap="1">
            <wp:simplePos x="0" y="0"/>
            <wp:positionH relativeFrom="column">
              <wp:posOffset>14325</wp:posOffset>
            </wp:positionH>
            <wp:positionV relativeFrom="paragraph">
              <wp:posOffset>393567</wp:posOffset>
            </wp:positionV>
            <wp:extent cx="4124960" cy="2496185"/>
            <wp:effectExtent l="0" t="0" r="889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24960" cy="249618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rPr>
        <w:t>In 2018, EU imports from SADC EPA States increased by €1.5 billion or 5.5% to €28.9 billion, while EU exports to SADC EPA States slightly contracted by €98 million or 0.4% to €25.7 billion. EU imports from Lesotho, South Africa, Mozambique and Namibia increased or remained stable, while imports from Botswana and Eswatini decreased. EU exports to Botswana and Mozambique increased, while exports to Lesotho, Namibia, South Africa and Eswatini decreased.</w:t>
      </w:r>
    </w:p>
    <w:p>
      <w:pPr>
        <w:jc w:val="both"/>
        <w:rPr>
          <w:noProof/>
          <w:lang w:val="en-US"/>
        </w:rPr>
      </w:pPr>
    </w:p>
    <w:p>
      <w:pPr>
        <w:jc w:val="both"/>
        <w:rPr>
          <w:noProof/>
          <w:lang w:val="en-US"/>
        </w:rPr>
      </w:pPr>
      <w:r>
        <w:rPr>
          <w:noProof/>
          <w:lang w:val="en-US"/>
        </w:rPr>
        <w:t xml:space="preserve">In 2018, imports from </w:t>
      </w:r>
      <w:r>
        <w:rPr>
          <w:b/>
          <w:noProof/>
          <w:lang w:val="en-US"/>
        </w:rPr>
        <w:t>Botswana</w:t>
      </w:r>
      <w:r>
        <w:rPr>
          <w:noProof/>
          <w:lang w:val="en-US"/>
        </w:rPr>
        <w:t xml:space="preserve"> decreased by €90 million (-6.5%) to €1.3 billion due to a decrease in diamond exports (-€101 million or -7.5%), offset only slightly by re-exports of aircraft (+€12 million). Exports of the only other significant export to the EU, fresh or frozen beef, decreased by €2 million to €28 million. </w:t>
      </w:r>
    </w:p>
    <w:p>
      <w:pPr>
        <w:jc w:val="both"/>
        <w:rPr>
          <w:noProof/>
          <w:lang w:val="en-US"/>
        </w:rPr>
      </w:pPr>
    </w:p>
    <w:p>
      <w:pPr>
        <w:jc w:val="both"/>
        <w:rPr>
          <w:noProof/>
          <w:lang w:val="en-US"/>
        </w:rPr>
      </w:pPr>
      <w:r>
        <w:rPr>
          <w:noProof/>
          <w:lang w:val="en-US"/>
        </w:rPr>
        <w:t xml:space="preserve">EU imports from </w:t>
      </w:r>
      <w:r>
        <w:rPr>
          <w:b/>
          <w:noProof/>
          <w:lang w:val="en-US"/>
        </w:rPr>
        <w:t>Mozambique</w:t>
      </w:r>
      <w:r>
        <w:rPr>
          <w:noProof/>
          <w:lang w:val="en-US"/>
        </w:rPr>
        <w:t xml:space="preserve"> increased by €203 million (+12%) to €1.7 billion, mostly fueled by increasing raw material exports, such as aluminium (+9.7%), mineral fuels (+25%), ores (+30%) and salt (+40%). Main exports in 2018 were aluminium (€1 billion), mineral fuels (€431 million) and tobacco products (€120 million). Other agri-food exports in 2018 were crustaceans (€31 million, -17%), sugar (€16 million, -46%) and cashew nuts (€11 million, +76%). </w:t>
      </w:r>
    </w:p>
    <w:p>
      <w:pPr>
        <w:jc w:val="both"/>
        <w:rPr>
          <w:noProof/>
          <w:lang w:val="en-US"/>
        </w:rPr>
      </w:pPr>
    </w:p>
    <w:p>
      <w:pPr>
        <w:jc w:val="both"/>
        <w:rPr>
          <w:noProof/>
          <w:lang w:val="en-US"/>
        </w:rPr>
      </w:pPr>
      <w:r>
        <w:rPr>
          <w:noProof/>
          <w:lang w:val="en-US"/>
        </w:rPr>
        <w:t xml:space="preserve">EU imports from </w:t>
      </w:r>
      <w:r>
        <w:rPr>
          <w:b/>
          <w:noProof/>
          <w:lang w:val="en-US"/>
        </w:rPr>
        <w:t>Namibia</w:t>
      </w:r>
      <w:r>
        <w:rPr>
          <w:noProof/>
          <w:lang w:val="en-US"/>
        </w:rPr>
        <w:t xml:space="preserve"> have increased continuously over the past years (from €963 million in 2014 to €1.3 billion in 2018). Most important exports in 2018 were copper (€528 million, +6%), fish and crustaceans (€341 million, +6%), diamonds (€114 million, -10%), zinc (€110 million, +9%) and grapes (€65 million, +28%). Exports of inorganic chemicals (Uranium) are down €61 million or 92%. </w:t>
      </w:r>
    </w:p>
    <w:p>
      <w:pPr>
        <w:jc w:val="both"/>
        <w:rPr>
          <w:noProof/>
          <w:lang w:val="en-US"/>
        </w:rPr>
      </w:pPr>
    </w:p>
    <w:p>
      <w:pPr>
        <w:jc w:val="both"/>
        <w:rPr>
          <w:noProof/>
          <w:lang w:val="en-US"/>
        </w:rPr>
      </w:pPr>
      <w:r>
        <w:rPr>
          <w:noProof/>
          <w:lang w:val="en-US"/>
        </w:rPr>
        <w:t xml:space="preserve">Both Lesotho and Eswatini trade mostly with South Africa. EU imports of diamonds from </w:t>
      </w:r>
      <w:r>
        <w:rPr>
          <w:b/>
          <w:noProof/>
          <w:lang w:val="en-US"/>
        </w:rPr>
        <w:t>Lesotho</w:t>
      </w:r>
      <w:r>
        <w:rPr>
          <w:noProof/>
          <w:lang w:val="en-US"/>
        </w:rPr>
        <w:t xml:space="preserve"> increased by €81 million (or 30%) to €345 million in 2018 – accounting for 98% of Lesotho's total exports to the EU. The remaining exports are mostly apparel and clothing, and some tropical fruits. EU imports of sugar from </w:t>
      </w:r>
      <w:r>
        <w:rPr>
          <w:b/>
          <w:noProof/>
          <w:lang w:val="en-US"/>
        </w:rPr>
        <w:t>Eswatini</w:t>
      </w:r>
      <w:r>
        <w:rPr>
          <w:noProof/>
          <w:lang w:val="en-US"/>
        </w:rPr>
        <w:t xml:space="preserve"> (accounting for 50% of total EU imports) decreased for the fifth year in a row, by €24million or -42.6%. However, Eswatini is slowly diversifying its exports to the EU, with increasing exports of citrus fruit (+€3 million, +72%), rum (+€4 million, +435%) and exports of prepared or preserved fruits and nuts, including fruit juices (+€2 million, +21%).</w:t>
      </w:r>
    </w:p>
    <w:p>
      <w:pPr>
        <w:jc w:val="both"/>
        <w:rPr>
          <w:noProof/>
          <w:lang w:val="en-US"/>
        </w:rPr>
      </w:pPr>
    </w:p>
    <w:p>
      <w:pPr>
        <w:jc w:val="both"/>
        <w:rPr>
          <w:noProof/>
          <w:lang w:val="en-US"/>
        </w:rPr>
      </w:pPr>
      <w:r>
        <w:rPr>
          <w:noProof/>
          <w:lang w:val="en-US"/>
        </w:rPr>
        <w:t xml:space="preserve">EU imports from </w:t>
      </w:r>
      <w:r>
        <w:rPr>
          <w:b/>
          <w:noProof/>
          <w:lang w:val="en-US"/>
        </w:rPr>
        <w:t>South Africa</w:t>
      </w:r>
      <w:r>
        <w:rPr>
          <w:noProof/>
          <w:lang w:val="en-US"/>
        </w:rPr>
        <w:t xml:space="preserve"> continued to increase in 2018, by €1.3 billion or 6% to a new total of €24 billion. Main imports in 2018 were precious stones and metals (€8 billion, +6.4%), motor vehicles (€5.2 billion, +24%), edible fruits and nuts (€1.9 billion, +5%), ores, slag and ash (€1.5 billion, +4%), machinery and mechanical appliances (€1.2 billion, +2.8%) and iron and steel (€1.1 billion, -9.7%)</w:t>
      </w:r>
    </w:p>
    <w:p>
      <w:pPr>
        <w:jc w:val="both"/>
        <w:rPr>
          <w:noProof/>
          <w:lang w:val="en-US"/>
        </w:rPr>
      </w:pPr>
    </w:p>
    <w:p>
      <w:pPr>
        <w:jc w:val="both"/>
        <w:rPr>
          <w:noProof/>
          <w:lang w:val="en-US"/>
        </w:rPr>
      </w:pPr>
      <w:r>
        <w:rPr>
          <w:noProof/>
          <w:lang w:val="en-US"/>
        </w:rPr>
        <w:t xml:space="preserve">Strongest increases in absolute terms: motor vehicles (+€1 billion or 24%), precious stones and metals (+€481 million or 6%) and chemical products (+€146 or 159%). Strongest decreases in absolute terms: mineral fuels (-€218 million or 33%), iron and steel (-€117 million or 10%) and electrical machinery and equipment (-€40 million or 25%). </w:t>
      </w:r>
    </w:p>
    <w:p>
      <w:pPr>
        <w:jc w:val="both"/>
        <w:rPr>
          <w:noProof/>
          <w:lang w:val="en-US"/>
        </w:rPr>
      </w:pPr>
    </w:p>
    <w:p>
      <w:pPr>
        <w:jc w:val="both"/>
        <w:rPr>
          <w:noProof/>
          <w:lang w:val="en-US"/>
        </w:rPr>
      </w:pPr>
      <w:r>
        <w:rPr>
          <w:noProof/>
          <w:lang w:eastAsia="en-GB"/>
        </w:rPr>
        <w:drawing>
          <wp:anchor distT="0" distB="0" distL="114300" distR="114300" simplePos="0" relativeHeight="251655168" behindDoc="1" locked="0" layoutInCell="1" allowOverlap="1">
            <wp:simplePos x="0" y="0"/>
            <wp:positionH relativeFrom="margin">
              <wp:posOffset>-4445</wp:posOffset>
            </wp:positionH>
            <wp:positionV relativeFrom="paragraph">
              <wp:posOffset>473710</wp:posOffset>
            </wp:positionV>
            <wp:extent cx="3315970" cy="2076450"/>
            <wp:effectExtent l="0" t="0" r="0" b="0"/>
            <wp:wrapTight wrapText="bothSides">
              <wp:wrapPolygon edited="0">
                <wp:start x="0" y="0"/>
                <wp:lineTo x="0" y="21402"/>
                <wp:lineTo x="21468" y="21402"/>
                <wp:lineTo x="2146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15970" cy="207645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rPr>
        <w:t xml:space="preserve">Main </w:t>
      </w:r>
      <w:r>
        <w:rPr>
          <w:b/>
          <w:noProof/>
          <w:lang w:val="en-US"/>
        </w:rPr>
        <w:t>agri-food imports from South Africa</w:t>
      </w:r>
      <w:r>
        <w:rPr>
          <w:noProof/>
          <w:lang w:val="en-US"/>
        </w:rPr>
        <w:t xml:space="preserve"> in 2018 were fresh grapes (€471 million, -1.5%), wine (€405 million, +7.2%) and fresh sweet oranges (€333 million, -5.2%). </w:t>
      </w:r>
    </w:p>
    <w:p>
      <w:pPr>
        <w:jc w:val="both"/>
        <w:rPr>
          <w:noProof/>
          <w:lang w:val="en-US"/>
        </w:rPr>
      </w:pPr>
    </w:p>
    <w:p>
      <w:pPr>
        <w:jc w:val="both"/>
        <w:rPr>
          <w:noProof/>
          <w:lang w:val="en-US"/>
        </w:rPr>
      </w:pPr>
      <w:r>
        <w:rPr>
          <w:noProof/>
          <w:lang w:eastAsia="en-GB"/>
        </w:rPr>
        <w:drawing>
          <wp:anchor distT="0" distB="0" distL="114300" distR="114300" simplePos="0" relativeHeight="251659264" behindDoc="1" locked="0" layoutInCell="1" allowOverlap="1">
            <wp:simplePos x="0" y="0"/>
            <wp:positionH relativeFrom="column">
              <wp:posOffset>-918390</wp:posOffset>
            </wp:positionH>
            <wp:positionV relativeFrom="paragraph">
              <wp:posOffset>2749287</wp:posOffset>
            </wp:positionV>
            <wp:extent cx="3361055" cy="2105025"/>
            <wp:effectExtent l="0" t="0" r="0" b="9525"/>
            <wp:wrapTight wrapText="bothSides">
              <wp:wrapPolygon edited="0">
                <wp:start x="0" y="0"/>
                <wp:lineTo x="0" y="21502"/>
                <wp:lineTo x="21425" y="21502"/>
                <wp:lineTo x="21425" y="0"/>
                <wp:lineTo x="0" y="0"/>
              </wp:wrapPolygon>
            </wp:wrapTight>
            <wp:docPr id="84719522" name="Picture 84719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61055" cy="21050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t>Cuttle fish and squid (+€45 million), maize (+€41), lemons (+€32 million), avocados (+€26) and apples (+€25 million) saw the strongest increases in absolute values. In relative terms</w:t>
      </w:r>
      <w:r>
        <w:rPr>
          <w:rStyle w:val="FootnoteReference"/>
          <w:noProof/>
          <w:lang w:val="en-US"/>
        </w:rPr>
        <w:footnoteReference w:id="107"/>
      </w:r>
      <w:r>
        <w:rPr>
          <w:noProof/>
          <w:lang w:val="en-US"/>
        </w:rPr>
        <w:t>, exports of maize (+1413%), fresh cut flowers (+472%), grapefruit juice (+118%) and citrus fruit (+72%) went up the most. South Africa faced slight losses in absolute values for its exports of oranges (-€18 million), fresh pears (-€15 million) and other fresh tropical fruits (-€12 million).</w:t>
      </w:r>
    </w:p>
    <w:p>
      <w:pPr>
        <w:jc w:val="both"/>
        <w:rPr>
          <w:noProof/>
          <w:lang w:val="en-US"/>
        </w:rPr>
      </w:pPr>
    </w:p>
    <w:p>
      <w:pPr>
        <w:jc w:val="both"/>
        <w:rPr>
          <w:noProof/>
          <w:lang w:val="en-US"/>
        </w:rPr>
      </w:pPr>
      <w:r>
        <w:rPr>
          <w:noProof/>
          <w:lang w:val="en-US"/>
        </w:rPr>
        <w:t xml:space="preserve">South Africa has benefited from </w:t>
      </w:r>
      <w:r>
        <w:rPr>
          <w:b/>
          <w:noProof/>
          <w:lang w:val="en-US"/>
        </w:rPr>
        <w:t>new and additional preferences</w:t>
      </w:r>
      <w:r>
        <w:rPr>
          <w:noProof/>
          <w:lang w:val="en-US"/>
        </w:rPr>
        <w:t xml:space="preserve"> </w:t>
      </w:r>
      <w:r>
        <w:rPr>
          <w:b/>
          <w:noProof/>
          <w:lang w:val="en-US"/>
        </w:rPr>
        <w:t xml:space="preserve">for a number of its agri-food exports </w:t>
      </w:r>
      <w:r>
        <w:rPr>
          <w:noProof/>
          <w:lang w:val="en-US"/>
        </w:rPr>
        <w:t xml:space="preserve">to the EU. Exports of </w:t>
      </w:r>
      <w:r>
        <w:rPr>
          <w:b/>
          <w:noProof/>
          <w:lang w:val="en-US"/>
        </w:rPr>
        <w:t>wine</w:t>
      </w:r>
      <w:r>
        <w:rPr>
          <w:noProof/>
          <w:lang w:val="en-US"/>
        </w:rPr>
        <w:t xml:space="preserve"> have increased strongly to €405 million in 2018, due to expanded tariff rate quotas. Fill rates for 2018 were 95%. </w:t>
      </w:r>
      <w:r>
        <w:rPr>
          <w:b/>
          <w:noProof/>
          <w:lang w:val="en-US"/>
        </w:rPr>
        <w:t>Sugar</w:t>
      </w:r>
      <w:r>
        <w:rPr>
          <w:noProof/>
          <w:lang w:val="en-US"/>
        </w:rPr>
        <w:t xml:space="preserve"> exports from South Africa have considerably increased due to new zero duty tariff rate quotas: while there were only 2,400 tonnes imported in 2016, in 2018 the tariff rate quotas of 150,000 tonnes were fully used by South African operators. Export earnings in values have decreased slightly in 2018 compared to 2017 (from €57 million to €50 million) due to market prices. Finally, South Africa fully or nearly fully used the EU tariff rate quotas for </w:t>
      </w:r>
      <w:r>
        <w:rPr>
          <w:b/>
          <w:noProof/>
          <w:lang w:val="en-US"/>
        </w:rPr>
        <w:t>frozen orange juice</w:t>
      </w:r>
      <w:r>
        <w:rPr>
          <w:noProof/>
          <w:lang w:val="en-US"/>
        </w:rPr>
        <w:t xml:space="preserve"> and </w:t>
      </w:r>
      <w:r>
        <w:rPr>
          <w:b/>
          <w:noProof/>
          <w:lang w:val="en-US"/>
        </w:rPr>
        <w:t>apple juice</w:t>
      </w:r>
      <w:r>
        <w:rPr>
          <w:noProof/>
          <w:lang w:val="en-US"/>
        </w:rPr>
        <w:t>. Other tariff rates quotas were not used or used only partially.</w:t>
      </w:r>
    </w:p>
    <w:p>
      <w:pPr>
        <w:jc w:val="both"/>
        <w:rPr>
          <w:noProof/>
          <w:lang w:val="en-US"/>
        </w:rPr>
      </w:pPr>
    </w:p>
    <w:p>
      <w:pPr>
        <w:rPr>
          <w:b/>
          <w:noProof/>
        </w:rPr>
      </w:pPr>
      <w:r>
        <w:rPr>
          <w:b/>
          <w:noProof/>
        </w:rPr>
        <w:t>TRQs granted and TRQ usage for South African exports to the EU in 2018</w:t>
      </w:r>
    </w:p>
    <w:tbl>
      <w:tblPr>
        <w:tblStyle w:val="TableGrid"/>
        <w:tblW w:w="0" w:type="auto"/>
        <w:tblLook w:val="04A0" w:firstRow="1" w:lastRow="0" w:firstColumn="1" w:lastColumn="0" w:noHBand="0" w:noVBand="1"/>
      </w:tblPr>
      <w:tblGrid>
        <w:gridCol w:w="3369"/>
        <w:gridCol w:w="2126"/>
        <w:gridCol w:w="1601"/>
        <w:gridCol w:w="1552"/>
      </w:tblGrid>
      <w:tr>
        <w:trPr>
          <w:trHeight w:val="261"/>
        </w:trPr>
        <w:tc>
          <w:tcPr>
            <w:tcW w:w="3369" w:type="dxa"/>
          </w:tcPr>
          <w:p>
            <w:pPr>
              <w:jc w:val="center"/>
              <w:rPr>
                <w:rFonts w:eastAsia="Times New Roman"/>
                <w:b/>
                <w:noProof/>
                <w:sz w:val="18"/>
                <w:szCs w:val="18"/>
                <w:lang w:eastAsia="en-GB"/>
              </w:rPr>
            </w:pPr>
            <w:r>
              <w:rPr>
                <w:rFonts w:eastAsia="Times New Roman"/>
                <w:b/>
                <w:noProof/>
                <w:sz w:val="18"/>
                <w:szCs w:val="18"/>
                <w:lang w:eastAsia="en-GB"/>
              </w:rPr>
              <w:t>Description</w:t>
            </w:r>
          </w:p>
        </w:tc>
        <w:tc>
          <w:tcPr>
            <w:tcW w:w="2126" w:type="dxa"/>
            <w:noWrap/>
          </w:tcPr>
          <w:p>
            <w:pPr>
              <w:jc w:val="center"/>
              <w:rPr>
                <w:rFonts w:eastAsia="Times New Roman"/>
                <w:b/>
                <w:noProof/>
                <w:sz w:val="18"/>
                <w:szCs w:val="18"/>
                <w:lang w:eastAsia="en-GB"/>
              </w:rPr>
            </w:pPr>
            <w:r>
              <w:rPr>
                <w:rFonts w:eastAsia="Times New Roman"/>
                <w:b/>
                <w:noProof/>
                <w:sz w:val="18"/>
                <w:szCs w:val="18"/>
                <w:lang w:eastAsia="en-GB"/>
              </w:rPr>
              <w:t>Volume of TRQ in 2018 (t)</w:t>
            </w:r>
          </w:p>
        </w:tc>
        <w:tc>
          <w:tcPr>
            <w:tcW w:w="1601" w:type="dxa"/>
            <w:noWrap/>
          </w:tcPr>
          <w:p>
            <w:pPr>
              <w:jc w:val="center"/>
              <w:rPr>
                <w:rFonts w:eastAsia="Times New Roman"/>
                <w:b/>
                <w:noProof/>
                <w:color w:val="000000"/>
                <w:sz w:val="18"/>
                <w:szCs w:val="18"/>
                <w:lang w:eastAsia="en-GB"/>
              </w:rPr>
            </w:pPr>
            <w:r>
              <w:rPr>
                <w:rFonts w:eastAsia="Times New Roman"/>
                <w:b/>
                <w:noProof/>
                <w:color w:val="000000"/>
                <w:sz w:val="18"/>
                <w:szCs w:val="18"/>
                <w:lang w:eastAsia="en-GB"/>
              </w:rPr>
              <w:t>Imports in 2018 (t)</w:t>
            </w:r>
          </w:p>
        </w:tc>
        <w:tc>
          <w:tcPr>
            <w:tcW w:w="1552" w:type="dxa"/>
            <w:noWrap/>
          </w:tcPr>
          <w:p>
            <w:pPr>
              <w:jc w:val="center"/>
              <w:rPr>
                <w:rFonts w:eastAsia="Times New Roman"/>
                <w:b/>
                <w:noProof/>
                <w:color w:val="000000"/>
                <w:sz w:val="18"/>
                <w:szCs w:val="18"/>
                <w:lang w:eastAsia="en-GB"/>
              </w:rPr>
            </w:pPr>
            <w:r>
              <w:rPr>
                <w:rFonts w:eastAsia="Times New Roman"/>
                <w:b/>
                <w:noProof/>
                <w:color w:val="000000"/>
                <w:sz w:val="18"/>
                <w:szCs w:val="18"/>
                <w:lang w:eastAsia="en-GB"/>
              </w:rPr>
              <w:t xml:space="preserve">2018 quota fill </w:t>
            </w:r>
          </w:p>
        </w:tc>
      </w:tr>
      <w:tr>
        <w:trPr>
          <w:trHeight w:val="261"/>
        </w:trPr>
        <w:tc>
          <w:tcPr>
            <w:tcW w:w="3369" w:type="dxa"/>
            <w:hideMark/>
          </w:tcPr>
          <w:p>
            <w:pPr>
              <w:rPr>
                <w:noProof/>
                <w:sz w:val="18"/>
                <w:szCs w:val="18"/>
              </w:rPr>
            </w:pPr>
            <w:r>
              <w:rPr>
                <w:noProof/>
                <w:sz w:val="18"/>
                <w:szCs w:val="18"/>
              </w:rPr>
              <w:t>Skimmed milk powder</w:t>
            </w:r>
          </w:p>
        </w:tc>
        <w:tc>
          <w:tcPr>
            <w:tcW w:w="2126" w:type="dxa"/>
            <w:noWrap/>
            <w:hideMark/>
          </w:tcPr>
          <w:p>
            <w:pPr>
              <w:jc w:val="right"/>
              <w:rPr>
                <w:noProof/>
                <w:sz w:val="18"/>
                <w:szCs w:val="18"/>
              </w:rPr>
            </w:pPr>
            <w:r>
              <w:rPr>
                <w:noProof/>
                <w:sz w:val="18"/>
                <w:szCs w:val="18"/>
              </w:rPr>
              <w:t>500</w:t>
            </w:r>
          </w:p>
        </w:tc>
        <w:tc>
          <w:tcPr>
            <w:tcW w:w="1601" w:type="dxa"/>
            <w:noWrap/>
            <w:hideMark/>
          </w:tcPr>
          <w:p>
            <w:pPr>
              <w:jc w:val="right"/>
              <w:rPr>
                <w:noProof/>
                <w:sz w:val="18"/>
                <w:szCs w:val="18"/>
              </w:rPr>
            </w:pPr>
            <w:r>
              <w:rPr>
                <w:noProof/>
                <w:sz w:val="18"/>
                <w:szCs w:val="18"/>
              </w:rPr>
              <w:t>0</w:t>
            </w:r>
          </w:p>
        </w:tc>
        <w:tc>
          <w:tcPr>
            <w:tcW w:w="1552" w:type="dxa"/>
            <w:noWrap/>
            <w:hideMark/>
          </w:tcPr>
          <w:p>
            <w:pPr>
              <w:jc w:val="right"/>
              <w:rPr>
                <w:noProof/>
                <w:sz w:val="18"/>
                <w:szCs w:val="18"/>
              </w:rPr>
            </w:pPr>
            <w:r>
              <w:rPr>
                <w:noProof/>
                <w:sz w:val="18"/>
                <w:szCs w:val="18"/>
              </w:rPr>
              <w:t>0,0%</w:t>
            </w:r>
          </w:p>
        </w:tc>
      </w:tr>
      <w:tr>
        <w:trPr>
          <w:trHeight w:val="265"/>
        </w:trPr>
        <w:tc>
          <w:tcPr>
            <w:tcW w:w="3369" w:type="dxa"/>
            <w:hideMark/>
          </w:tcPr>
          <w:p>
            <w:pPr>
              <w:rPr>
                <w:noProof/>
                <w:sz w:val="18"/>
                <w:szCs w:val="18"/>
              </w:rPr>
            </w:pPr>
            <w:r>
              <w:rPr>
                <w:noProof/>
                <w:sz w:val="18"/>
                <w:szCs w:val="18"/>
              </w:rPr>
              <w:t>Butter</w:t>
            </w:r>
          </w:p>
        </w:tc>
        <w:tc>
          <w:tcPr>
            <w:tcW w:w="2126" w:type="dxa"/>
            <w:noWrap/>
            <w:hideMark/>
          </w:tcPr>
          <w:p>
            <w:pPr>
              <w:jc w:val="right"/>
              <w:rPr>
                <w:noProof/>
                <w:sz w:val="18"/>
                <w:szCs w:val="18"/>
              </w:rPr>
            </w:pPr>
            <w:r>
              <w:rPr>
                <w:noProof/>
                <w:sz w:val="18"/>
                <w:szCs w:val="18"/>
              </w:rPr>
              <w:t>500</w:t>
            </w:r>
          </w:p>
        </w:tc>
        <w:tc>
          <w:tcPr>
            <w:tcW w:w="1601" w:type="dxa"/>
            <w:noWrap/>
            <w:hideMark/>
          </w:tcPr>
          <w:p>
            <w:pPr>
              <w:jc w:val="right"/>
              <w:rPr>
                <w:noProof/>
                <w:sz w:val="18"/>
                <w:szCs w:val="18"/>
              </w:rPr>
            </w:pPr>
            <w:r>
              <w:rPr>
                <w:noProof/>
                <w:sz w:val="18"/>
                <w:szCs w:val="18"/>
              </w:rPr>
              <w:t>0</w:t>
            </w:r>
          </w:p>
        </w:tc>
        <w:tc>
          <w:tcPr>
            <w:tcW w:w="1552" w:type="dxa"/>
            <w:noWrap/>
            <w:hideMark/>
          </w:tcPr>
          <w:p>
            <w:pPr>
              <w:jc w:val="right"/>
              <w:rPr>
                <w:noProof/>
                <w:sz w:val="18"/>
                <w:szCs w:val="18"/>
              </w:rPr>
            </w:pPr>
            <w:r>
              <w:rPr>
                <w:noProof/>
                <w:sz w:val="18"/>
                <w:szCs w:val="18"/>
              </w:rPr>
              <w:t>0,0%</w:t>
            </w:r>
          </w:p>
        </w:tc>
      </w:tr>
      <w:tr>
        <w:trPr>
          <w:trHeight w:val="265"/>
        </w:trPr>
        <w:tc>
          <w:tcPr>
            <w:tcW w:w="3369" w:type="dxa"/>
            <w:hideMark/>
          </w:tcPr>
          <w:p>
            <w:pPr>
              <w:rPr>
                <w:noProof/>
                <w:sz w:val="18"/>
                <w:szCs w:val="18"/>
              </w:rPr>
            </w:pPr>
            <w:r>
              <w:rPr>
                <w:noProof/>
                <w:sz w:val="18"/>
                <w:szCs w:val="18"/>
              </w:rPr>
              <w:t>Strawberries, frozen</w:t>
            </w:r>
          </w:p>
        </w:tc>
        <w:tc>
          <w:tcPr>
            <w:tcW w:w="2126" w:type="dxa"/>
            <w:noWrap/>
            <w:hideMark/>
          </w:tcPr>
          <w:p>
            <w:pPr>
              <w:jc w:val="right"/>
              <w:rPr>
                <w:noProof/>
                <w:sz w:val="18"/>
                <w:szCs w:val="18"/>
              </w:rPr>
            </w:pPr>
            <w:r>
              <w:rPr>
                <w:noProof/>
                <w:sz w:val="18"/>
                <w:szCs w:val="18"/>
              </w:rPr>
              <w:t>392,5</w:t>
            </w:r>
          </w:p>
        </w:tc>
        <w:tc>
          <w:tcPr>
            <w:tcW w:w="1601" w:type="dxa"/>
            <w:noWrap/>
            <w:hideMark/>
          </w:tcPr>
          <w:p>
            <w:pPr>
              <w:jc w:val="right"/>
              <w:rPr>
                <w:noProof/>
                <w:sz w:val="18"/>
                <w:szCs w:val="18"/>
              </w:rPr>
            </w:pPr>
            <w:r>
              <w:rPr>
                <w:noProof/>
                <w:sz w:val="18"/>
                <w:szCs w:val="18"/>
              </w:rPr>
              <w:t>0</w:t>
            </w:r>
          </w:p>
        </w:tc>
        <w:tc>
          <w:tcPr>
            <w:tcW w:w="1552" w:type="dxa"/>
            <w:noWrap/>
            <w:hideMark/>
          </w:tcPr>
          <w:p>
            <w:pPr>
              <w:jc w:val="right"/>
              <w:rPr>
                <w:noProof/>
                <w:sz w:val="18"/>
                <w:szCs w:val="18"/>
              </w:rPr>
            </w:pPr>
            <w:r>
              <w:rPr>
                <w:noProof/>
                <w:sz w:val="18"/>
                <w:szCs w:val="18"/>
              </w:rPr>
              <w:t>0,0%</w:t>
            </w:r>
          </w:p>
        </w:tc>
      </w:tr>
      <w:tr>
        <w:trPr>
          <w:trHeight w:val="261"/>
        </w:trPr>
        <w:tc>
          <w:tcPr>
            <w:tcW w:w="3369" w:type="dxa"/>
            <w:hideMark/>
          </w:tcPr>
          <w:p>
            <w:pPr>
              <w:rPr>
                <w:noProof/>
                <w:sz w:val="18"/>
                <w:szCs w:val="18"/>
              </w:rPr>
            </w:pPr>
            <w:r>
              <w:rPr>
                <w:noProof/>
                <w:sz w:val="18"/>
                <w:szCs w:val="18"/>
              </w:rPr>
              <w:t>Cane sugar for refining and white sugar</w:t>
            </w:r>
          </w:p>
        </w:tc>
        <w:tc>
          <w:tcPr>
            <w:tcW w:w="2126" w:type="dxa"/>
            <w:noWrap/>
            <w:hideMark/>
          </w:tcPr>
          <w:p>
            <w:pPr>
              <w:jc w:val="right"/>
              <w:rPr>
                <w:noProof/>
                <w:sz w:val="18"/>
                <w:szCs w:val="18"/>
              </w:rPr>
            </w:pPr>
            <w:r>
              <w:rPr>
                <w:noProof/>
                <w:sz w:val="18"/>
                <w:szCs w:val="18"/>
              </w:rPr>
              <w:t>50.000</w:t>
            </w:r>
          </w:p>
        </w:tc>
        <w:tc>
          <w:tcPr>
            <w:tcW w:w="1601" w:type="dxa"/>
            <w:noWrap/>
            <w:hideMark/>
          </w:tcPr>
          <w:p>
            <w:pPr>
              <w:jc w:val="right"/>
              <w:rPr>
                <w:noProof/>
                <w:sz w:val="18"/>
                <w:szCs w:val="18"/>
              </w:rPr>
            </w:pPr>
            <w:r>
              <w:rPr>
                <w:noProof/>
                <w:sz w:val="18"/>
                <w:szCs w:val="18"/>
              </w:rPr>
              <w:t>49.725</w:t>
            </w:r>
          </w:p>
        </w:tc>
        <w:tc>
          <w:tcPr>
            <w:tcW w:w="1552" w:type="dxa"/>
            <w:noWrap/>
            <w:hideMark/>
          </w:tcPr>
          <w:p>
            <w:pPr>
              <w:jc w:val="right"/>
              <w:rPr>
                <w:noProof/>
                <w:sz w:val="18"/>
                <w:szCs w:val="18"/>
              </w:rPr>
            </w:pPr>
            <w:r>
              <w:rPr>
                <w:noProof/>
                <w:sz w:val="18"/>
                <w:szCs w:val="18"/>
              </w:rPr>
              <w:t>99,4%</w:t>
            </w:r>
          </w:p>
        </w:tc>
      </w:tr>
      <w:tr>
        <w:trPr>
          <w:trHeight w:val="261"/>
        </w:trPr>
        <w:tc>
          <w:tcPr>
            <w:tcW w:w="3369" w:type="dxa"/>
            <w:hideMark/>
          </w:tcPr>
          <w:p>
            <w:pPr>
              <w:rPr>
                <w:noProof/>
                <w:sz w:val="18"/>
                <w:szCs w:val="18"/>
              </w:rPr>
            </w:pPr>
            <w:r>
              <w:rPr>
                <w:noProof/>
                <w:sz w:val="18"/>
                <w:szCs w:val="18"/>
              </w:rPr>
              <w:t>Cane sugar for refining</w:t>
            </w:r>
          </w:p>
        </w:tc>
        <w:tc>
          <w:tcPr>
            <w:tcW w:w="2126" w:type="dxa"/>
            <w:noWrap/>
            <w:hideMark/>
          </w:tcPr>
          <w:p>
            <w:pPr>
              <w:jc w:val="right"/>
              <w:rPr>
                <w:noProof/>
                <w:sz w:val="18"/>
                <w:szCs w:val="18"/>
              </w:rPr>
            </w:pPr>
            <w:r>
              <w:rPr>
                <w:noProof/>
                <w:sz w:val="18"/>
                <w:szCs w:val="18"/>
              </w:rPr>
              <w:t>100.000</w:t>
            </w:r>
          </w:p>
        </w:tc>
        <w:tc>
          <w:tcPr>
            <w:tcW w:w="1601" w:type="dxa"/>
            <w:noWrap/>
            <w:hideMark/>
          </w:tcPr>
          <w:p>
            <w:pPr>
              <w:jc w:val="right"/>
              <w:rPr>
                <w:noProof/>
                <w:sz w:val="18"/>
                <w:szCs w:val="18"/>
              </w:rPr>
            </w:pPr>
            <w:r>
              <w:rPr>
                <w:noProof/>
                <w:sz w:val="18"/>
                <w:szCs w:val="18"/>
              </w:rPr>
              <w:t>100.000</w:t>
            </w:r>
          </w:p>
        </w:tc>
        <w:tc>
          <w:tcPr>
            <w:tcW w:w="1552" w:type="dxa"/>
            <w:noWrap/>
            <w:hideMark/>
          </w:tcPr>
          <w:p>
            <w:pPr>
              <w:jc w:val="right"/>
              <w:rPr>
                <w:noProof/>
                <w:sz w:val="18"/>
                <w:szCs w:val="18"/>
              </w:rPr>
            </w:pPr>
            <w:r>
              <w:rPr>
                <w:noProof/>
                <w:sz w:val="18"/>
                <w:szCs w:val="18"/>
              </w:rPr>
              <w:t>100,0%</w:t>
            </w:r>
          </w:p>
        </w:tc>
      </w:tr>
      <w:tr>
        <w:trPr>
          <w:trHeight w:val="261"/>
        </w:trPr>
        <w:tc>
          <w:tcPr>
            <w:tcW w:w="3369" w:type="dxa"/>
            <w:hideMark/>
          </w:tcPr>
          <w:p>
            <w:pPr>
              <w:rPr>
                <w:noProof/>
                <w:sz w:val="18"/>
                <w:szCs w:val="18"/>
              </w:rPr>
            </w:pPr>
            <w:r>
              <w:rPr>
                <w:noProof/>
                <w:sz w:val="18"/>
                <w:szCs w:val="18"/>
              </w:rPr>
              <w:t>White cristalline powder</w:t>
            </w:r>
          </w:p>
        </w:tc>
        <w:tc>
          <w:tcPr>
            <w:tcW w:w="2126" w:type="dxa"/>
            <w:noWrap/>
            <w:hideMark/>
          </w:tcPr>
          <w:p>
            <w:pPr>
              <w:jc w:val="right"/>
              <w:rPr>
                <w:noProof/>
                <w:sz w:val="18"/>
                <w:szCs w:val="18"/>
              </w:rPr>
            </w:pPr>
            <w:r>
              <w:rPr>
                <w:noProof/>
                <w:sz w:val="18"/>
                <w:szCs w:val="18"/>
              </w:rPr>
              <w:t>500</w:t>
            </w:r>
          </w:p>
        </w:tc>
        <w:tc>
          <w:tcPr>
            <w:tcW w:w="1601" w:type="dxa"/>
            <w:noWrap/>
            <w:hideMark/>
          </w:tcPr>
          <w:p>
            <w:pPr>
              <w:jc w:val="right"/>
              <w:rPr>
                <w:noProof/>
                <w:sz w:val="18"/>
                <w:szCs w:val="18"/>
              </w:rPr>
            </w:pPr>
            <w:r>
              <w:rPr>
                <w:noProof/>
                <w:sz w:val="18"/>
                <w:szCs w:val="18"/>
              </w:rPr>
              <w:t>0</w:t>
            </w:r>
          </w:p>
        </w:tc>
        <w:tc>
          <w:tcPr>
            <w:tcW w:w="1552" w:type="dxa"/>
            <w:noWrap/>
            <w:hideMark/>
          </w:tcPr>
          <w:p>
            <w:pPr>
              <w:jc w:val="right"/>
              <w:rPr>
                <w:noProof/>
                <w:sz w:val="18"/>
                <w:szCs w:val="18"/>
              </w:rPr>
            </w:pPr>
            <w:r>
              <w:rPr>
                <w:noProof/>
                <w:sz w:val="18"/>
                <w:szCs w:val="18"/>
              </w:rPr>
              <w:t>0,0%</w:t>
            </w:r>
          </w:p>
        </w:tc>
      </w:tr>
      <w:tr>
        <w:trPr>
          <w:trHeight w:val="261"/>
        </w:trPr>
        <w:tc>
          <w:tcPr>
            <w:tcW w:w="3369" w:type="dxa"/>
            <w:hideMark/>
          </w:tcPr>
          <w:p>
            <w:pPr>
              <w:rPr>
                <w:noProof/>
                <w:sz w:val="18"/>
                <w:szCs w:val="18"/>
              </w:rPr>
            </w:pPr>
            <w:r>
              <w:rPr>
                <w:noProof/>
                <w:sz w:val="18"/>
                <w:szCs w:val="18"/>
              </w:rPr>
              <w:t>White cristalline powder</w:t>
            </w:r>
          </w:p>
        </w:tc>
        <w:tc>
          <w:tcPr>
            <w:tcW w:w="2126" w:type="dxa"/>
            <w:noWrap/>
            <w:hideMark/>
          </w:tcPr>
          <w:p>
            <w:pPr>
              <w:jc w:val="right"/>
              <w:rPr>
                <w:noProof/>
                <w:sz w:val="18"/>
                <w:szCs w:val="18"/>
              </w:rPr>
            </w:pPr>
            <w:r>
              <w:rPr>
                <w:noProof/>
                <w:sz w:val="18"/>
                <w:szCs w:val="18"/>
              </w:rPr>
              <w:t>500</w:t>
            </w:r>
          </w:p>
        </w:tc>
        <w:tc>
          <w:tcPr>
            <w:tcW w:w="1601" w:type="dxa"/>
            <w:noWrap/>
            <w:hideMark/>
          </w:tcPr>
          <w:p>
            <w:pPr>
              <w:jc w:val="right"/>
              <w:rPr>
                <w:noProof/>
                <w:sz w:val="18"/>
                <w:szCs w:val="18"/>
              </w:rPr>
            </w:pPr>
            <w:r>
              <w:rPr>
                <w:noProof/>
                <w:sz w:val="18"/>
                <w:szCs w:val="18"/>
              </w:rPr>
              <w:t>0</w:t>
            </w:r>
          </w:p>
        </w:tc>
        <w:tc>
          <w:tcPr>
            <w:tcW w:w="1552" w:type="dxa"/>
            <w:noWrap/>
            <w:hideMark/>
          </w:tcPr>
          <w:p>
            <w:pPr>
              <w:jc w:val="right"/>
              <w:rPr>
                <w:noProof/>
                <w:sz w:val="18"/>
                <w:szCs w:val="18"/>
              </w:rPr>
            </w:pPr>
            <w:r>
              <w:rPr>
                <w:noProof/>
                <w:sz w:val="18"/>
                <w:szCs w:val="18"/>
              </w:rPr>
              <w:t>0%</w:t>
            </w:r>
          </w:p>
        </w:tc>
      </w:tr>
      <w:tr>
        <w:trPr>
          <w:trHeight w:val="261"/>
        </w:trPr>
        <w:tc>
          <w:tcPr>
            <w:tcW w:w="3369" w:type="dxa"/>
            <w:hideMark/>
          </w:tcPr>
          <w:p>
            <w:pPr>
              <w:rPr>
                <w:noProof/>
                <w:sz w:val="18"/>
                <w:szCs w:val="18"/>
              </w:rPr>
            </w:pPr>
            <w:r>
              <w:rPr>
                <w:noProof/>
                <w:sz w:val="18"/>
                <w:szCs w:val="18"/>
              </w:rPr>
              <w:t xml:space="preserve">Citrus jams </w:t>
            </w:r>
          </w:p>
        </w:tc>
        <w:tc>
          <w:tcPr>
            <w:tcW w:w="2126" w:type="dxa"/>
            <w:noWrap/>
            <w:hideMark/>
          </w:tcPr>
          <w:p>
            <w:pPr>
              <w:jc w:val="right"/>
              <w:rPr>
                <w:noProof/>
                <w:sz w:val="18"/>
                <w:szCs w:val="18"/>
              </w:rPr>
            </w:pPr>
            <w:r>
              <w:rPr>
                <w:noProof/>
                <w:sz w:val="18"/>
                <w:szCs w:val="18"/>
              </w:rPr>
              <w:t>100</w:t>
            </w:r>
          </w:p>
        </w:tc>
        <w:tc>
          <w:tcPr>
            <w:tcW w:w="1601" w:type="dxa"/>
            <w:noWrap/>
            <w:hideMark/>
          </w:tcPr>
          <w:p>
            <w:pPr>
              <w:jc w:val="right"/>
              <w:rPr>
                <w:noProof/>
                <w:sz w:val="18"/>
                <w:szCs w:val="18"/>
              </w:rPr>
            </w:pPr>
            <w:r>
              <w:rPr>
                <w:noProof/>
                <w:sz w:val="18"/>
                <w:szCs w:val="18"/>
              </w:rPr>
              <w:t>0</w:t>
            </w:r>
          </w:p>
        </w:tc>
        <w:tc>
          <w:tcPr>
            <w:tcW w:w="1552" w:type="dxa"/>
            <w:noWrap/>
            <w:hideMark/>
          </w:tcPr>
          <w:p>
            <w:pPr>
              <w:jc w:val="right"/>
              <w:rPr>
                <w:noProof/>
                <w:sz w:val="18"/>
                <w:szCs w:val="18"/>
              </w:rPr>
            </w:pPr>
            <w:r>
              <w:rPr>
                <w:noProof/>
                <w:sz w:val="18"/>
                <w:szCs w:val="18"/>
              </w:rPr>
              <w:t>0%</w:t>
            </w:r>
          </w:p>
        </w:tc>
      </w:tr>
      <w:tr>
        <w:trPr>
          <w:trHeight w:val="265"/>
        </w:trPr>
        <w:tc>
          <w:tcPr>
            <w:tcW w:w="3369" w:type="dxa"/>
            <w:hideMark/>
          </w:tcPr>
          <w:p>
            <w:pPr>
              <w:rPr>
                <w:noProof/>
                <w:sz w:val="18"/>
                <w:szCs w:val="18"/>
              </w:rPr>
            </w:pPr>
            <w:r>
              <w:rPr>
                <w:noProof/>
                <w:sz w:val="18"/>
                <w:szCs w:val="18"/>
              </w:rPr>
              <w:t>Canned fruit, except tropical canned fruit</w:t>
            </w:r>
          </w:p>
        </w:tc>
        <w:tc>
          <w:tcPr>
            <w:tcW w:w="2126" w:type="dxa"/>
            <w:noWrap/>
            <w:hideMark/>
          </w:tcPr>
          <w:p>
            <w:pPr>
              <w:jc w:val="right"/>
              <w:rPr>
                <w:noProof/>
                <w:sz w:val="18"/>
                <w:szCs w:val="18"/>
              </w:rPr>
            </w:pPr>
            <w:r>
              <w:rPr>
                <w:noProof/>
                <w:sz w:val="18"/>
                <w:szCs w:val="18"/>
              </w:rPr>
              <w:t>57.156</w:t>
            </w:r>
          </w:p>
        </w:tc>
        <w:tc>
          <w:tcPr>
            <w:tcW w:w="1601" w:type="dxa"/>
            <w:noWrap/>
            <w:hideMark/>
          </w:tcPr>
          <w:p>
            <w:pPr>
              <w:jc w:val="right"/>
              <w:rPr>
                <w:noProof/>
                <w:sz w:val="18"/>
                <w:szCs w:val="18"/>
              </w:rPr>
            </w:pPr>
            <w:r>
              <w:rPr>
                <w:noProof/>
                <w:sz w:val="18"/>
                <w:szCs w:val="18"/>
              </w:rPr>
              <w:t>25.406</w:t>
            </w:r>
          </w:p>
        </w:tc>
        <w:tc>
          <w:tcPr>
            <w:tcW w:w="1552" w:type="dxa"/>
            <w:noWrap/>
            <w:hideMark/>
          </w:tcPr>
          <w:p>
            <w:pPr>
              <w:jc w:val="right"/>
              <w:rPr>
                <w:noProof/>
                <w:sz w:val="18"/>
                <w:szCs w:val="18"/>
              </w:rPr>
            </w:pPr>
            <w:r>
              <w:rPr>
                <w:noProof/>
                <w:sz w:val="18"/>
                <w:szCs w:val="18"/>
              </w:rPr>
              <w:t>44,5%</w:t>
            </w:r>
          </w:p>
        </w:tc>
      </w:tr>
      <w:tr>
        <w:trPr>
          <w:trHeight w:val="265"/>
        </w:trPr>
        <w:tc>
          <w:tcPr>
            <w:tcW w:w="3369" w:type="dxa"/>
            <w:hideMark/>
          </w:tcPr>
          <w:p>
            <w:pPr>
              <w:rPr>
                <w:noProof/>
                <w:sz w:val="18"/>
                <w:szCs w:val="18"/>
              </w:rPr>
            </w:pPr>
            <w:r>
              <w:rPr>
                <w:noProof/>
                <w:sz w:val="18"/>
                <w:szCs w:val="18"/>
              </w:rPr>
              <w:t>Tropical canned fruit</w:t>
            </w:r>
          </w:p>
        </w:tc>
        <w:tc>
          <w:tcPr>
            <w:tcW w:w="2126" w:type="dxa"/>
            <w:noWrap/>
            <w:hideMark/>
          </w:tcPr>
          <w:p>
            <w:pPr>
              <w:jc w:val="right"/>
              <w:rPr>
                <w:noProof/>
                <w:sz w:val="18"/>
                <w:szCs w:val="18"/>
              </w:rPr>
            </w:pPr>
            <w:r>
              <w:rPr>
                <w:noProof/>
                <w:sz w:val="18"/>
                <w:szCs w:val="18"/>
              </w:rPr>
              <w:t>3.080</w:t>
            </w:r>
          </w:p>
        </w:tc>
        <w:tc>
          <w:tcPr>
            <w:tcW w:w="1601" w:type="dxa"/>
            <w:noWrap/>
            <w:hideMark/>
          </w:tcPr>
          <w:p>
            <w:pPr>
              <w:jc w:val="right"/>
              <w:rPr>
                <w:noProof/>
                <w:sz w:val="18"/>
                <w:szCs w:val="18"/>
              </w:rPr>
            </w:pPr>
            <w:r>
              <w:rPr>
                <w:noProof/>
                <w:sz w:val="18"/>
                <w:szCs w:val="18"/>
              </w:rPr>
              <w:t>237</w:t>
            </w:r>
          </w:p>
        </w:tc>
        <w:tc>
          <w:tcPr>
            <w:tcW w:w="1552" w:type="dxa"/>
            <w:noWrap/>
            <w:hideMark/>
          </w:tcPr>
          <w:p>
            <w:pPr>
              <w:jc w:val="right"/>
              <w:rPr>
                <w:noProof/>
                <w:sz w:val="18"/>
                <w:szCs w:val="18"/>
              </w:rPr>
            </w:pPr>
            <w:r>
              <w:rPr>
                <w:noProof/>
                <w:sz w:val="18"/>
                <w:szCs w:val="18"/>
              </w:rPr>
              <w:t>7,7%</w:t>
            </w:r>
          </w:p>
        </w:tc>
      </w:tr>
      <w:tr>
        <w:trPr>
          <w:trHeight w:val="265"/>
        </w:trPr>
        <w:tc>
          <w:tcPr>
            <w:tcW w:w="3369" w:type="dxa"/>
            <w:hideMark/>
          </w:tcPr>
          <w:p>
            <w:pPr>
              <w:rPr>
                <w:noProof/>
                <w:sz w:val="18"/>
                <w:szCs w:val="18"/>
              </w:rPr>
            </w:pPr>
            <w:r>
              <w:rPr>
                <w:noProof/>
                <w:sz w:val="18"/>
                <w:szCs w:val="18"/>
              </w:rPr>
              <w:t>Frozen orange juice</w:t>
            </w:r>
          </w:p>
        </w:tc>
        <w:tc>
          <w:tcPr>
            <w:tcW w:w="2126" w:type="dxa"/>
            <w:noWrap/>
            <w:hideMark/>
          </w:tcPr>
          <w:p>
            <w:pPr>
              <w:jc w:val="right"/>
              <w:rPr>
                <w:noProof/>
                <w:sz w:val="18"/>
                <w:szCs w:val="18"/>
              </w:rPr>
            </w:pPr>
            <w:r>
              <w:rPr>
                <w:noProof/>
                <w:sz w:val="18"/>
                <w:szCs w:val="18"/>
              </w:rPr>
              <w:t>1.078</w:t>
            </w:r>
          </w:p>
        </w:tc>
        <w:tc>
          <w:tcPr>
            <w:tcW w:w="1601" w:type="dxa"/>
            <w:noWrap/>
            <w:hideMark/>
          </w:tcPr>
          <w:p>
            <w:pPr>
              <w:jc w:val="right"/>
              <w:rPr>
                <w:noProof/>
                <w:sz w:val="18"/>
                <w:szCs w:val="18"/>
              </w:rPr>
            </w:pPr>
            <w:r>
              <w:rPr>
                <w:noProof/>
                <w:sz w:val="18"/>
                <w:szCs w:val="18"/>
              </w:rPr>
              <w:t>1.078</w:t>
            </w:r>
          </w:p>
        </w:tc>
        <w:tc>
          <w:tcPr>
            <w:tcW w:w="1552" w:type="dxa"/>
            <w:noWrap/>
            <w:hideMark/>
          </w:tcPr>
          <w:p>
            <w:pPr>
              <w:jc w:val="right"/>
              <w:rPr>
                <w:noProof/>
                <w:sz w:val="18"/>
                <w:szCs w:val="18"/>
              </w:rPr>
            </w:pPr>
            <w:r>
              <w:rPr>
                <w:noProof/>
                <w:sz w:val="18"/>
                <w:szCs w:val="18"/>
              </w:rPr>
              <w:t>100%</w:t>
            </w:r>
          </w:p>
        </w:tc>
      </w:tr>
      <w:tr>
        <w:trPr>
          <w:trHeight w:val="265"/>
        </w:trPr>
        <w:tc>
          <w:tcPr>
            <w:tcW w:w="3369" w:type="dxa"/>
            <w:hideMark/>
          </w:tcPr>
          <w:p>
            <w:pPr>
              <w:rPr>
                <w:noProof/>
                <w:sz w:val="18"/>
                <w:szCs w:val="18"/>
              </w:rPr>
            </w:pPr>
            <w:r>
              <w:rPr>
                <w:noProof/>
                <w:sz w:val="18"/>
                <w:szCs w:val="18"/>
              </w:rPr>
              <w:t>Apple juice</w:t>
            </w:r>
          </w:p>
        </w:tc>
        <w:tc>
          <w:tcPr>
            <w:tcW w:w="2126" w:type="dxa"/>
            <w:noWrap/>
            <w:hideMark/>
          </w:tcPr>
          <w:p>
            <w:pPr>
              <w:jc w:val="right"/>
              <w:rPr>
                <w:noProof/>
                <w:sz w:val="18"/>
                <w:szCs w:val="18"/>
              </w:rPr>
            </w:pPr>
            <w:r>
              <w:rPr>
                <w:noProof/>
                <w:sz w:val="18"/>
                <w:szCs w:val="18"/>
              </w:rPr>
              <w:t>3.712</w:t>
            </w:r>
          </w:p>
        </w:tc>
        <w:tc>
          <w:tcPr>
            <w:tcW w:w="1601" w:type="dxa"/>
            <w:noWrap/>
            <w:hideMark/>
          </w:tcPr>
          <w:p>
            <w:pPr>
              <w:jc w:val="right"/>
              <w:rPr>
                <w:noProof/>
                <w:sz w:val="18"/>
                <w:szCs w:val="18"/>
              </w:rPr>
            </w:pPr>
            <w:r>
              <w:rPr>
                <w:noProof/>
                <w:sz w:val="18"/>
                <w:szCs w:val="18"/>
              </w:rPr>
              <w:t>3.199</w:t>
            </w:r>
          </w:p>
        </w:tc>
        <w:tc>
          <w:tcPr>
            <w:tcW w:w="1552" w:type="dxa"/>
            <w:noWrap/>
            <w:hideMark/>
          </w:tcPr>
          <w:p>
            <w:pPr>
              <w:jc w:val="right"/>
              <w:rPr>
                <w:noProof/>
                <w:sz w:val="18"/>
                <w:szCs w:val="18"/>
              </w:rPr>
            </w:pPr>
            <w:r>
              <w:rPr>
                <w:noProof/>
                <w:sz w:val="18"/>
                <w:szCs w:val="18"/>
              </w:rPr>
              <w:t>86,2%</w:t>
            </w:r>
          </w:p>
        </w:tc>
      </w:tr>
      <w:tr>
        <w:trPr>
          <w:trHeight w:val="261"/>
        </w:trPr>
        <w:tc>
          <w:tcPr>
            <w:tcW w:w="3369" w:type="dxa"/>
            <w:hideMark/>
          </w:tcPr>
          <w:p>
            <w:pPr>
              <w:rPr>
                <w:noProof/>
                <w:sz w:val="18"/>
                <w:szCs w:val="18"/>
              </w:rPr>
            </w:pPr>
            <w:r>
              <w:rPr>
                <w:noProof/>
                <w:sz w:val="18"/>
                <w:szCs w:val="18"/>
              </w:rPr>
              <w:t>Active yeast</w:t>
            </w:r>
          </w:p>
        </w:tc>
        <w:tc>
          <w:tcPr>
            <w:tcW w:w="2126" w:type="dxa"/>
            <w:noWrap/>
            <w:hideMark/>
          </w:tcPr>
          <w:p>
            <w:pPr>
              <w:jc w:val="right"/>
              <w:rPr>
                <w:noProof/>
                <w:sz w:val="18"/>
                <w:szCs w:val="18"/>
              </w:rPr>
            </w:pPr>
            <w:r>
              <w:rPr>
                <w:noProof/>
                <w:sz w:val="18"/>
                <w:szCs w:val="18"/>
              </w:rPr>
              <w:t>350</w:t>
            </w:r>
          </w:p>
        </w:tc>
        <w:tc>
          <w:tcPr>
            <w:tcW w:w="1601" w:type="dxa"/>
            <w:noWrap/>
            <w:hideMark/>
          </w:tcPr>
          <w:p>
            <w:pPr>
              <w:jc w:val="right"/>
              <w:rPr>
                <w:noProof/>
                <w:sz w:val="18"/>
                <w:szCs w:val="18"/>
              </w:rPr>
            </w:pPr>
            <w:r>
              <w:rPr>
                <w:noProof/>
                <w:sz w:val="18"/>
                <w:szCs w:val="18"/>
              </w:rPr>
              <w:t>74</w:t>
            </w:r>
          </w:p>
        </w:tc>
        <w:tc>
          <w:tcPr>
            <w:tcW w:w="1552" w:type="dxa"/>
            <w:noWrap/>
            <w:hideMark/>
          </w:tcPr>
          <w:p>
            <w:pPr>
              <w:jc w:val="right"/>
              <w:rPr>
                <w:noProof/>
                <w:sz w:val="18"/>
                <w:szCs w:val="18"/>
              </w:rPr>
            </w:pPr>
            <w:r>
              <w:rPr>
                <w:noProof/>
                <w:sz w:val="18"/>
                <w:szCs w:val="18"/>
              </w:rPr>
              <w:t>21,2%</w:t>
            </w:r>
          </w:p>
        </w:tc>
      </w:tr>
      <w:tr>
        <w:trPr>
          <w:trHeight w:val="260"/>
        </w:trPr>
        <w:tc>
          <w:tcPr>
            <w:tcW w:w="3369" w:type="dxa"/>
            <w:hideMark/>
          </w:tcPr>
          <w:p>
            <w:pPr>
              <w:rPr>
                <w:noProof/>
                <w:sz w:val="18"/>
                <w:szCs w:val="18"/>
              </w:rPr>
            </w:pPr>
            <w:r>
              <w:rPr>
                <w:noProof/>
                <w:sz w:val="18"/>
                <w:szCs w:val="18"/>
              </w:rPr>
              <w:t>Wines - quota A (in hectolitres)</w:t>
            </w:r>
          </w:p>
        </w:tc>
        <w:tc>
          <w:tcPr>
            <w:tcW w:w="2126" w:type="dxa"/>
            <w:noWrap/>
            <w:hideMark/>
          </w:tcPr>
          <w:p>
            <w:pPr>
              <w:jc w:val="right"/>
              <w:rPr>
                <w:noProof/>
                <w:sz w:val="18"/>
                <w:szCs w:val="18"/>
              </w:rPr>
            </w:pPr>
            <w:r>
              <w:rPr>
                <w:noProof/>
                <w:sz w:val="18"/>
                <w:szCs w:val="18"/>
              </w:rPr>
              <w:t>784.826</w:t>
            </w:r>
          </w:p>
        </w:tc>
        <w:tc>
          <w:tcPr>
            <w:tcW w:w="1601" w:type="dxa"/>
            <w:noWrap/>
            <w:hideMark/>
          </w:tcPr>
          <w:p>
            <w:pPr>
              <w:jc w:val="right"/>
              <w:rPr>
                <w:noProof/>
                <w:sz w:val="18"/>
                <w:szCs w:val="18"/>
              </w:rPr>
            </w:pPr>
            <w:r>
              <w:rPr>
                <w:noProof/>
                <w:sz w:val="18"/>
                <w:szCs w:val="18"/>
              </w:rPr>
              <w:t>722.816</w:t>
            </w:r>
          </w:p>
        </w:tc>
        <w:tc>
          <w:tcPr>
            <w:tcW w:w="1552" w:type="dxa"/>
            <w:noWrap/>
            <w:hideMark/>
          </w:tcPr>
          <w:p>
            <w:pPr>
              <w:jc w:val="right"/>
              <w:rPr>
                <w:noProof/>
                <w:sz w:val="18"/>
                <w:szCs w:val="18"/>
              </w:rPr>
            </w:pPr>
            <w:r>
              <w:rPr>
                <w:noProof/>
                <w:sz w:val="18"/>
                <w:szCs w:val="18"/>
              </w:rPr>
              <w:t>92,1%</w:t>
            </w:r>
          </w:p>
        </w:tc>
      </w:tr>
      <w:tr>
        <w:trPr>
          <w:trHeight w:val="265"/>
        </w:trPr>
        <w:tc>
          <w:tcPr>
            <w:tcW w:w="3369" w:type="dxa"/>
            <w:hideMark/>
          </w:tcPr>
          <w:p>
            <w:pPr>
              <w:rPr>
                <w:noProof/>
                <w:sz w:val="18"/>
                <w:szCs w:val="18"/>
              </w:rPr>
            </w:pPr>
            <w:r>
              <w:rPr>
                <w:noProof/>
                <w:sz w:val="18"/>
                <w:szCs w:val="18"/>
              </w:rPr>
              <w:t>Wines - quota B  (in hectolitres)</w:t>
            </w:r>
          </w:p>
        </w:tc>
        <w:tc>
          <w:tcPr>
            <w:tcW w:w="2126" w:type="dxa"/>
            <w:noWrap/>
            <w:hideMark/>
          </w:tcPr>
          <w:p>
            <w:pPr>
              <w:jc w:val="right"/>
              <w:rPr>
                <w:noProof/>
                <w:sz w:val="18"/>
                <w:szCs w:val="18"/>
              </w:rPr>
            </w:pPr>
            <w:r>
              <w:rPr>
                <w:noProof/>
                <w:sz w:val="18"/>
                <w:szCs w:val="18"/>
              </w:rPr>
              <w:t>336.354</w:t>
            </w:r>
          </w:p>
        </w:tc>
        <w:tc>
          <w:tcPr>
            <w:tcW w:w="1601" w:type="dxa"/>
            <w:noWrap/>
            <w:hideMark/>
          </w:tcPr>
          <w:p>
            <w:pPr>
              <w:jc w:val="right"/>
              <w:rPr>
                <w:noProof/>
                <w:sz w:val="18"/>
                <w:szCs w:val="18"/>
              </w:rPr>
            </w:pPr>
            <w:r>
              <w:rPr>
                <w:noProof/>
                <w:sz w:val="18"/>
                <w:szCs w:val="18"/>
              </w:rPr>
              <w:t>336.354</w:t>
            </w:r>
          </w:p>
        </w:tc>
        <w:tc>
          <w:tcPr>
            <w:tcW w:w="1552" w:type="dxa"/>
            <w:noWrap/>
            <w:hideMark/>
          </w:tcPr>
          <w:p>
            <w:pPr>
              <w:jc w:val="right"/>
              <w:rPr>
                <w:noProof/>
                <w:sz w:val="18"/>
                <w:szCs w:val="18"/>
              </w:rPr>
            </w:pPr>
            <w:r>
              <w:rPr>
                <w:noProof/>
                <w:sz w:val="18"/>
                <w:szCs w:val="18"/>
              </w:rPr>
              <w:t>100%</w:t>
            </w:r>
          </w:p>
        </w:tc>
      </w:tr>
    </w:tbl>
    <w:p>
      <w:pPr>
        <w:rPr>
          <w:i/>
          <w:noProof/>
          <w:sz w:val="20"/>
          <w:szCs w:val="20"/>
        </w:rPr>
      </w:pPr>
      <w:r>
        <w:rPr>
          <w:i/>
          <w:noProof/>
          <w:sz w:val="20"/>
          <w:szCs w:val="20"/>
        </w:rPr>
        <w:t>Source: DG AGRI, DG TAXUD</w:t>
      </w:r>
    </w:p>
    <w:p>
      <w:pPr>
        <w:rPr>
          <w:i/>
          <w:noProof/>
          <w:sz w:val="20"/>
          <w:szCs w:val="20"/>
        </w:rPr>
      </w:pPr>
    </w:p>
    <w:p>
      <w:pPr>
        <w:jc w:val="both"/>
        <w:rPr>
          <w:noProof/>
          <w:lang w:eastAsia="en-GB"/>
        </w:rPr>
      </w:pPr>
      <w:r>
        <w:rPr>
          <w:noProof/>
          <w:lang w:eastAsia="en-GB"/>
        </w:rPr>
        <w:drawing>
          <wp:anchor distT="0" distB="0" distL="114300" distR="114300" simplePos="0" relativeHeight="251663360" behindDoc="1" locked="0" layoutInCell="1" allowOverlap="1">
            <wp:simplePos x="0" y="0"/>
            <wp:positionH relativeFrom="column">
              <wp:posOffset>-6985</wp:posOffset>
            </wp:positionH>
            <wp:positionV relativeFrom="paragraph">
              <wp:posOffset>447675</wp:posOffset>
            </wp:positionV>
            <wp:extent cx="4149725" cy="2785110"/>
            <wp:effectExtent l="0" t="0" r="3175" b="0"/>
            <wp:wrapTight wrapText="bothSides">
              <wp:wrapPolygon edited="0">
                <wp:start x="0" y="0"/>
                <wp:lineTo x="0" y="21423"/>
                <wp:lineTo x="21517" y="21423"/>
                <wp:lineTo x="2151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49725" cy="2785110"/>
                    </a:xfrm>
                    <a:prstGeom prst="rect">
                      <a:avLst/>
                    </a:prstGeom>
                    <a:noFill/>
                  </pic:spPr>
                </pic:pic>
              </a:graphicData>
            </a:graphic>
            <wp14:sizeRelH relativeFrom="margin">
              <wp14:pctWidth>0</wp14:pctWidth>
            </wp14:sizeRelH>
            <wp14:sizeRelV relativeFrom="margin">
              <wp14:pctHeight>0</wp14:pctHeight>
            </wp14:sizeRelV>
          </wp:anchor>
        </w:drawing>
      </w:r>
      <w:r>
        <w:rPr>
          <w:b/>
          <w:noProof/>
          <w:lang w:eastAsia="en-GB"/>
        </w:rPr>
        <w:t>Exports of SADC EPA States to the EU are still little</w:t>
      </w:r>
      <w:r>
        <w:rPr>
          <w:noProof/>
          <w:lang w:eastAsia="en-GB"/>
        </w:rPr>
        <w:t xml:space="preserve"> </w:t>
      </w:r>
      <w:r>
        <w:rPr>
          <w:b/>
          <w:noProof/>
          <w:lang w:eastAsia="en-GB"/>
        </w:rPr>
        <w:t>diversified</w:t>
      </w:r>
      <w:r>
        <w:rPr>
          <w:noProof/>
          <w:lang w:eastAsia="en-GB"/>
        </w:rPr>
        <w:t>. The share of fuels, mining products and precious stones and metals in total SADC exports to the EU has slightly decreased since implementation of the EPA, but nevertheless remains dominant. Exports are largely concentrated in a few products: the share of the top 10 export products in their total exports to the EU is relatively low for South Africa (46.4%), but extremely high for Botswana (99.7%), Lesotho (99.9%) and Mozambique (94.2%). Eswatini (88.8%) and Namibia (87.3%) are showing signs of diversification.</w:t>
      </w:r>
    </w:p>
    <w:p>
      <w:pPr>
        <w:jc w:val="both"/>
        <w:rPr>
          <w:noProof/>
          <w:lang w:eastAsia="en-GB"/>
        </w:rPr>
      </w:pPr>
    </w:p>
    <w:p>
      <w:pPr>
        <w:jc w:val="both"/>
        <w:rPr>
          <w:noProof/>
          <w:lang w:val="en-US"/>
        </w:rPr>
      </w:pPr>
      <w:r>
        <w:rPr>
          <w:b/>
          <w:noProof/>
          <w:lang w:val="en-US"/>
        </w:rPr>
        <w:t>Preference utilization rates (PUR)</w:t>
      </w:r>
      <w:r>
        <w:rPr>
          <w:noProof/>
          <w:lang w:val="en-US"/>
        </w:rPr>
        <w:t xml:space="preserve"> for exports to the EU are in the 92-99% range for Botswana, Lesotho, Mozambique and Namibia. They were a bit lower for Eswatini and South Africa in 2018 where they stood at about 86%.</w:t>
      </w:r>
    </w:p>
    <w:p>
      <w:pPr>
        <w:jc w:val="both"/>
        <w:rPr>
          <w:noProof/>
          <w:lang w:val="en-US"/>
        </w:rPr>
      </w:pPr>
    </w:p>
    <w:p>
      <w:pPr>
        <w:jc w:val="both"/>
        <w:rPr>
          <w:noProof/>
          <w:lang w:val="en-US"/>
        </w:rPr>
      </w:pPr>
      <w:r>
        <w:rPr>
          <w:noProof/>
          <w:lang w:val="en-US"/>
        </w:rPr>
        <w:t xml:space="preserve">In 2018, total </w:t>
      </w:r>
      <w:r>
        <w:rPr>
          <w:b/>
          <w:noProof/>
          <w:lang w:val="en-US"/>
        </w:rPr>
        <w:t>EU exports</w:t>
      </w:r>
      <w:r>
        <w:rPr>
          <w:noProof/>
          <w:lang w:val="en-US"/>
        </w:rPr>
        <w:t xml:space="preserve"> </w:t>
      </w:r>
      <w:r>
        <w:rPr>
          <w:b/>
          <w:noProof/>
          <w:lang w:val="en-US"/>
        </w:rPr>
        <w:t>to SADC EPA States</w:t>
      </w:r>
      <w:r>
        <w:rPr>
          <w:noProof/>
          <w:lang w:val="en-US"/>
        </w:rPr>
        <w:t xml:space="preserve"> were €25.7 billion. EU exports to Botswana, Eswatini, Lesotho, Mozambique and Namibia increased by €159 million (12%) to €1.51 billion, while EU exports to South Africa decreased by €257 million to €24.2 billion. Main exports were machinery and mechanical appliances (€5.3 billion, -2%), motor vehicles (€4.5 billion, -3.6%), electrical machinery and equipment (€2.5 billion, -1.4%) and pharmaceutical products (€1.2 billion, +0.3%). </w:t>
      </w:r>
    </w:p>
    <w:p>
      <w:pPr>
        <w:jc w:val="both"/>
        <w:rPr>
          <w:noProof/>
          <w:lang w:val="en-US"/>
        </w:rPr>
      </w:pPr>
    </w:p>
    <w:p>
      <w:pPr>
        <w:jc w:val="both"/>
        <w:rPr>
          <w:noProof/>
          <w:lang w:val="en-US"/>
        </w:rPr>
      </w:pPr>
      <w:r>
        <w:rPr>
          <w:noProof/>
          <w:lang w:val="en-US"/>
        </w:rPr>
        <w:t>Main increases in exports to SADC EPA States in absolute terms: mineral fuels (+€125 million, +13%), precious stones and metals (+€92 million, +29%), inorganic chemicals (+€55 million, +15%), plastics (+€49 million, +5%) and iron and steel (+€47 million, +16%). Main increases in relative terms</w:t>
      </w:r>
      <w:r>
        <w:rPr>
          <w:rStyle w:val="FootnoteReference"/>
          <w:noProof/>
          <w:lang w:val="en-US"/>
        </w:rPr>
        <w:footnoteReference w:id="108"/>
      </w:r>
      <w:r>
        <w:rPr>
          <w:noProof/>
          <w:lang w:val="en-US"/>
        </w:rPr>
        <w:t xml:space="preserve">: ships, boats and floating structures (+102%), live trees and other plants (+94%), pulp of wood (+57%), fish (+41%), precious stones and metals (+29%) and sugar (+22.5%) </w:t>
      </w:r>
    </w:p>
    <w:p>
      <w:pPr>
        <w:jc w:val="both"/>
        <w:rPr>
          <w:noProof/>
          <w:lang w:val="en-US"/>
        </w:rPr>
      </w:pPr>
    </w:p>
    <w:p>
      <w:pPr>
        <w:jc w:val="both"/>
        <w:rPr>
          <w:noProof/>
          <w:lang w:val="en-US"/>
        </w:rPr>
      </w:pPr>
      <w:r>
        <w:rPr>
          <w:noProof/>
          <w:lang w:val="en-US"/>
        </w:rPr>
        <w:t>Exports of aircraft (-€200 million, -61%), motor vehicles (-€166 million, -3.6%), machinery and mechanical appliances (-€108 million, -2%) and cereals (-€84 million, -34%) have shown the largest absolute losses in 2018. In relative terms</w:t>
      </w:r>
      <w:r>
        <w:rPr>
          <w:rStyle w:val="FootnoteReference"/>
          <w:noProof/>
          <w:lang w:val="en-US"/>
        </w:rPr>
        <w:footnoteReference w:id="109"/>
      </w:r>
      <w:r>
        <w:rPr>
          <w:noProof/>
          <w:lang w:val="en-US"/>
        </w:rPr>
        <w:t xml:space="preserve">, exports of aircrafts (-61%), products of animal origin (-40%), animal feed (-32%) and diary produce (-23%) decreased the most. </w:t>
      </w:r>
    </w:p>
    <w:p>
      <w:pPr>
        <w:jc w:val="both"/>
        <w:rPr>
          <w:noProof/>
          <w:lang w:val="en-US"/>
        </w:rPr>
      </w:pPr>
    </w:p>
    <w:p>
      <w:pPr>
        <w:jc w:val="both"/>
        <w:rPr>
          <w:noProof/>
          <w:lang w:val="en-US"/>
        </w:rPr>
      </w:pPr>
      <w:r>
        <w:rPr>
          <w:noProof/>
          <w:lang w:val="en-US"/>
        </w:rPr>
        <w:t xml:space="preserve">According to South African statistics, </w:t>
      </w:r>
      <w:r>
        <w:rPr>
          <w:b/>
          <w:noProof/>
          <w:lang w:val="en-US"/>
        </w:rPr>
        <w:t>preference utilization rates (PUR)</w:t>
      </w:r>
      <w:r>
        <w:rPr>
          <w:noProof/>
          <w:lang w:val="en-US"/>
        </w:rPr>
        <w:t xml:space="preserve"> for EU exports to South Africa (hence to SACU overall) stood at around 64% in 2018 compared to 60% in 2017. </w:t>
      </w:r>
    </w:p>
    <w:p>
      <w:pPr>
        <w:jc w:val="both"/>
        <w:rPr>
          <w:noProof/>
          <w:lang w:val="en-US"/>
        </w:rPr>
      </w:pPr>
    </w:p>
    <w:p>
      <w:pPr>
        <w:jc w:val="both"/>
        <w:rPr>
          <w:noProof/>
          <w:lang w:val="en-US"/>
        </w:rPr>
      </w:pPr>
      <w:r>
        <w:rPr>
          <w:b/>
          <w:noProof/>
          <w:lang w:val="en-US"/>
        </w:rPr>
        <w:t>EU</w:t>
      </w:r>
      <w:r>
        <w:rPr>
          <w:noProof/>
          <w:lang w:val="en-US"/>
        </w:rPr>
        <w:t xml:space="preserve"> </w:t>
      </w:r>
      <w:r>
        <w:rPr>
          <w:b/>
          <w:noProof/>
          <w:lang w:val="en-US"/>
        </w:rPr>
        <w:t>agri-food exports</w:t>
      </w:r>
      <w:r>
        <w:rPr>
          <w:noProof/>
          <w:lang w:val="en-US"/>
        </w:rPr>
        <w:t xml:space="preserve"> account for 7.7% of total exports to SADC EPA states. EU agrifood exports to SADC EPA states shrank by €94 million or 4.8% in 2018. Main agri-food exports in 2018 were wheat (€160 million), whiskies (€154 million), food preparations (€100 million), frozen chicken parts (€80 million) and sunflower oil (€73 million). </w:t>
      </w:r>
    </w:p>
    <w:p>
      <w:pPr>
        <w:jc w:val="both"/>
        <w:rPr>
          <w:noProof/>
          <w:lang w:val="en-US"/>
        </w:rPr>
      </w:pPr>
    </w:p>
    <w:p>
      <w:pPr>
        <w:jc w:val="both"/>
        <w:rPr>
          <w:noProof/>
          <w:lang w:val="en-US"/>
        </w:rPr>
      </w:pPr>
      <w:r>
        <w:rPr>
          <w:noProof/>
          <w:lang w:val="en-US"/>
        </w:rPr>
        <w:t xml:space="preserve">Export increases in absolute values were highest for beer (+€32 million), spirits obtained by distilling grape wine or marc (+€13 million) and food preparations (+€12.5 million). In relative terms, apple juice (+1113%), gin (+191%) and beer (+158%) increased the most. </w:t>
      </w:r>
    </w:p>
    <w:p>
      <w:pPr>
        <w:jc w:val="both"/>
        <w:rPr>
          <w:noProof/>
          <w:lang w:val="en-US"/>
        </w:rPr>
      </w:pPr>
    </w:p>
    <w:p>
      <w:pPr>
        <w:jc w:val="both"/>
        <w:rPr>
          <w:noProof/>
          <w:lang w:val="en-US"/>
        </w:rPr>
      </w:pPr>
      <w:r>
        <w:rPr>
          <w:noProof/>
          <w:lang w:val="en-US"/>
        </w:rPr>
        <w:t xml:space="preserve">Export decreases in absolute terms were highest for wheat (-€78 million, -33%), animal feed (-€34 million, -32%), whiskies (-€17 million, -10%), sunflower oil (-€14 million, -65%) and cheese (-€12 million, -46%). In relative terms, sunflower oil (-65%), milk and cream (-63%) and crude soya oil (-51%) decreased the most. </w:t>
      </w:r>
    </w:p>
    <w:p>
      <w:pPr>
        <w:jc w:val="both"/>
        <w:rPr>
          <w:noProof/>
          <w:lang w:val="en-US"/>
        </w:rPr>
      </w:pPr>
    </w:p>
    <w:p>
      <w:pPr>
        <w:jc w:val="both"/>
        <w:rPr>
          <w:noProof/>
          <w:lang w:val="en-US"/>
        </w:rPr>
      </w:pPr>
      <w:r>
        <w:rPr>
          <w:noProof/>
          <w:lang w:val="en-US"/>
        </w:rPr>
        <w:t xml:space="preserve">Since 2015, SADC EPA States poultry imports from the EU have decreased dramatically by more than 72%. The adoption of anti-dumping and safeguard measures by SADC against EU imports, as well as bans by South Africa allegedly based on SPS considerations are behind this trend. </w:t>
      </w:r>
    </w:p>
    <w:p>
      <w:pPr>
        <w:jc w:val="both"/>
        <w:rPr>
          <w:noProof/>
        </w:rPr>
      </w:pPr>
    </w:p>
    <w:p>
      <w:pPr>
        <w:jc w:val="both"/>
        <w:rPr>
          <w:noProof/>
          <w:lang w:val="en-US"/>
        </w:rPr>
      </w:pPr>
      <w:r>
        <w:rPr>
          <w:noProof/>
          <w:lang w:val="en-US"/>
        </w:rPr>
        <w:t xml:space="preserve">Even though the available data for the use of TRQs granted by SACU to the EU do not cover the whole year 2018, they indicate high use of the quotas for pork, pig fat, butter and wheat. </w:t>
      </w:r>
    </w:p>
    <w:p>
      <w:pPr>
        <w:jc w:val="both"/>
        <w:rPr>
          <w:noProof/>
          <w:lang w:val="en-US"/>
        </w:rPr>
      </w:pPr>
    </w:p>
    <w:p>
      <w:pPr>
        <w:rPr>
          <w:b/>
          <w:noProof/>
        </w:rPr>
      </w:pPr>
      <w:r>
        <w:rPr>
          <w:b/>
          <w:noProof/>
        </w:rPr>
        <w:t>Usage of TRQs granted by SACU to the EU from 1 January to 31 August 2018</w:t>
      </w:r>
    </w:p>
    <w:tbl>
      <w:tblPr>
        <w:tblStyle w:val="TableGrid"/>
        <w:tblW w:w="0" w:type="auto"/>
        <w:tblLook w:val="04A0" w:firstRow="1" w:lastRow="0" w:firstColumn="1" w:lastColumn="0" w:noHBand="0" w:noVBand="1"/>
      </w:tblPr>
      <w:tblGrid>
        <w:gridCol w:w="3096"/>
        <w:gridCol w:w="3096"/>
        <w:gridCol w:w="3096"/>
      </w:tblGrid>
      <w:tr>
        <w:tc>
          <w:tcPr>
            <w:tcW w:w="3096" w:type="dxa"/>
          </w:tcPr>
          <w:p>
            <w:pPr>
              <w:jc w:val="center"/>
              <w:rPr>
                <w:b/>
                <w:noProof/>
                <w:sz w:val="18"/>
                <w:szCs w:val="18"/>
              </w:rPr>
            </w:pPr>
            <w:r>
              <w:rPr>
                <w:b/>
                <w:noProof/>
                <w:sz w:val="18"/>
                <w:szCs w:val="18"/>
              </w:rPr>
              <w:t>Product</w:t>
            </w:r>
          </w:p>
        </w:tc>
        <w:tc>
          <w:tcPr>
            <w:tcW w:w="3096" w:type="dxa"/>
          </w:tcPr>
          <w:p>
            <w:pPr>
              <w:jc w:val="center"/>
              <w:rPr>
                <w:b/>
                <w:noProof/>
                <w:sz w:val="18"/>
                <w:szCs w:val="18"/>
              </w:rPr>
            </w:pPr>
            <w:r>
              <w:rPr>
                <w:b/>
                <w:noProof/>
                <w:sz w:val="18"/>
                <w:szCs w:val="18"/>
              </w:rPr>
              <w:t>Annual quota in 2018 (t)</w:t>
            </w:r>
          </w:p>
        </w:tc>
        <w:tc>
          <w:tcPr>
            <w:tcW w:w="3096" w:type="dxa"/>
          </w:tcPr>
          <w:p>
            <w:pPr>
              <w:jc w:val="center"/>
              <w:rPr>
                <w:b/>
                <w:noProof/>
                <w:sz w:val="18"/>
                <w:szCs w:val="18"/>
                <w:lang w:val="sv-SE"/>
              </w:rPr>
            </w:pPr>
            <w:r>
              <w:rPr>
                <w:b/>
                <w:noProof/>
                <w:sz w:val="18"/>
                <w:szCs w:val="18"/>
                <w:lang w:val="sv-SE"/>
              </w:rPr>
              <w:t>Quota fill till 31 August 2018 (t)</w:t>
            </w:r>
          </w:p>
        </w:tc>
      </w:tr>
      <w:tr>
        <w:tc>
          <w:tcPr>
            <w:tcW w:w="3096" w:type="dxa"/>
          </w:tcPr>
          <w:p>
            <w:pPr>
              <w:rPr>
                <w:noProof/>
                <w:sz w:val="18"/>
                <w:szCs w:val="18"/>
              </w:rPr>
            </w:pPr>
            <w:r>
              <w:rPr>
                <w:noProof/>
                <w:sz w:val="18"/>
                <w:szCs w:val="18"/>
              </w:rPr>
              <w:t>Pork</w:t>
            </w:r>
          </w:p>
        </w:tc>
        <w:tc>
          <w:tcPr>
            <w:tcW w:w="3096" w:type="dxa"/>
          </w:tcPr>
          <w:p>
            <w:pPr>
              <w:jc w:val="right"/>
              <w:rPr>
                <w:noProof/>
                <w:sz w:val="18"/>
                <w:szCs w:val="18"/>
              </w:rPr>
            </w:pPr>
            <w:r>
              <w:rPr>
                <w:noProof/>
                <w:sz w:val="18"/>
                <w:szCs w:val="18"/>
              </w:rPr>
              <w:t>1 500</w:t>
            </w:r>
          </w:p>
        </w:tc>
        <w:tc>
          <w:tcPr>
            <w:tcW w:w="3096" w:type="dxa"/>
          </w:tcPr>
          <w:p>
            <w:pPr>
              <w:jc w:val="right"/>
              <w:rPr>
                <w:noProof/>
                <w:sz w:val="18"/>
                <w:szCs w:val="18"/>
              </w:rPr>
            </w:pPr>
            <w:r>
              <w:rPr>
                <w:noProof/>
                <w:sz w:val="18"/>
                <w:szCs w:val="18"/>
              </w:rPr>
              <w:t>1 275</w:t>
            </w:r>
          </w:p>
        </w:tc>
      </w:tr>
      <w:tr>
        <w:tc>
          <w:tcPr>
            <w:tcW w:w="3096" w:type="dxa"/>
          </w:tcPr>
          <w:p>
            <w:pPr>
              <w:rPr>
                <w:noProof/>
                <w:sz w:val="18"/>
                <w:szCs w:val="18"/>
              </w:rPr>
            </w:pPr>
            <w:r>
              <w:rPr>
                <w:noProof/>
                <w:sz w:val="18"/>
                <w:szCs w:val="18"/>
              </w:rPr>
              <w:t>Pig fat</w:t>
            </w:r>
          </w:p>
        </w:tc>
        <w:tc>
          <w:tcPr>
            <w:tcW w:w="3096" w:type="dxa"/>
          </w:tcPr>
          <w:p>
            <w:pPr>
              <w:jc w:val="right"/>
              <w:rPr>
                <w:noProof/>
                <w:sz w:val="18"/>
                <w:szCs w:val="18"/>
              </w:rPr>
            </w:pPr>
            <w:r>
              <w:rPr>
                <w:noProof/>
                <w:sz w:val="18"/>
                <w:szCs w:val="18"/>
              </w:rPr>
              <w:t>200</w:t>
            </w:r>
          </w:p>
        </w:tc>
        <w:tc>
          <w:tcPr>
            <w:tcW w:w="3096" w:type="dxa"/>
          </w:tcPr>
          <w:p>
            <w:pPr>
              <w:jc w:val="right"/>
              <w:rPr>
                <w:noProof/>
                <w:sz w:val="18"/>
                <w:szCs w:val="18"/>
              </w:rPr>
            </w:pPr>
            <w:r>
              <w:rPr>
                <w:noProof/>
                <w:sz w:val="18"/>
                <w:szCs w:val="18"/>
              </w:rPr>
              <w:t>140</w:t>
            </w:r>
          </w:p>
        </w:tc>
      </w:tr>
      <w:tr>
        <w:tc>
          <w:tcPr>
            <w:tcW w:w="3096" w:type="dxa"/>
          </w:tcPr>
          <w:p>
            <w:pPr>
              <w:rPr>
                <w:noProof/>
                <w:sz w:val="18"/>
                <w:szCs w:val="18"/>
              </w:rPr>
            </w:pPr>
            <w:r>
              <w:rPr>
                <w:noProof/>
                <w:sz w:val="18"/>
                <w:szCs w:val="18"/>
              </w:rPr>
              <w:t>Butter</w:t>
            </w:r>
          </w:p>
        </w:tc>
        <w:tc>
          <w:tcPr>
            <w:tcW w:w="3096" w:type="dxa"/>
          </w:tcPr>
          <w:p>
            <w:pPr>
              <w:jc w:val="right"/>
              <w:rPr>
                <w:noProof/>
                <w:sz w:val="18"/>
                <w:szCs w:val="18"/>
              </w:rPr>
            </w:pPr>
            <w:r>
              <w:rPr>
                <w:noProof/>
                <w:sz w:val="18"/>
                <w:szCs w:val="18"/>
              </w:rPr>
              <w:t>500</w:t>
            </w:r>
          </w:p>
        </w:tc>
        <w:tc>
          <w:tcPr>
            <w:tcW w:w="3096" w:type="dxa"/>
          </w:tcPr>
          <w:p>
            <w:pPr>
              <w:jc w:val="right"/>
              <w:rPr>
                <w:noProof/>
                <w:sz w:val="18"/>
                <w:szCs w:val="18"/>
              </w:rPr>
            </w:pPr>
            <w:r>
              <w:rPr>
                <w:noProof/>
                <w:sz w:val="18"/>
                <w:szCs w:val="18"/>
              </w:rPr>
              <w:t>350</w:t>
            </w:r>
          </w:p>
        </w:tc>
      </w:tr>
      <w:tr>
        <w:tc>
          <w:tcPr>
            <w:tcW w:w="3096" w:type="dxa"/>
          </w:tcPr>
          <w:p>
            <w:pPr>
              <w:rPr>
                <w:noProof/>
                <w:sz w:val="18"/>
                <w:szCs w:val="18"/>
              </w:rPr>
            </w:pPr>
            <w:r>
              <w:rPr>
                <w:noProof/>
                <w:sz w:val="18"/>
                <w:szCs w:val="18"/>
              </w:rPr>
              <w:t>Cheese</w:t>
            </w:r>
          </w:p>
        </w:tc>
        <w:tc>
          <w:tcPr>
            <w:tcW w:w="3096" w:type="dxa"/>
          </w:tcPr>
          <w:p>
            <w:pPr>
              <w:jc w:val="right"/>
              <w:rPr>
                <w:noProof/>
                <w:sz w:val="18"/>
                <w:szCs w:val="18"/>
              </w:rPr>
            </w:pPr>
            <w:r>
              <w:rPr>
                <w:noProof/>
                <w:sz w:val="18"/>
                <w:szCs w:val="18"/>
              </w:rPr>
              <w:t>7 700</w:t>
            </w:r>
          </w:p>
        </w:tc>
        <w:tc>
          <w:tcPr>
            <w:tcW w:w="3096" w:type="dxa"/>
          </w:tcPr>
          <w:p>
            <w:pPr>
              <w:jc w:val="right"/>
              <w:rPr>
                <w:noProof/>
                <w:sz w:val="18"/>
                <w:szCs w:val="18"/>
              </w:rPr>
            </w:pPr>
            <w:r>
              <w:rPr>
                <w:noProof/>
                <w:sz w:val="18"/>
                <w:szCs w:val="18"/>
              </w:rPr>
              <w:t>2 377</w:t>
            </w:r>
          </w:p>
        </w:tc>
      </w:tr>
      <w:tr>
        <w:tc>
          <w:tcPr>
            <w:tcW w:w="3096" w:type="dxa"/>
          </w:tcPr>
          <w:p>
            <w:pPr>
              <w:rPr>
                <w:noProof/>
                <w:sz w:val="18"/>
                <w:szCs w:val="18"/>
              </w:rPr>
            </w:pPr>
            <w:r>
              <w:rPr>
                <w:noProof/>
                <w:sz w:val="18"/>
                <w:szCs w:val="18"/>
              </w:rPr>
              <w:t>Wheat</w:t>
            </w:r>
          </w:p>
        </w:tc>
        <w:tc>
          <w:tcPr>
            <w:tcW w:w="3096" w:type="dxa"/>
          </w:tcPr>
          <w:p>
            <w:pPr>
              <w:jc w:val="right"/>
              <w:rPr>
                <w:noProof/>
                <w:sz w:val="18"/>
                <w:szCs w:val="18"/>
              </w:rPr>
            </w:pPr>
            <w:r>
              <w:rPr>
                <w:noProof/>
                <w:sz w:val="18"/>
                <w:szCs w:val="18"/>
              </w:rPr>
              <w:t>300 000</w:t>
            </w:r>
          </w:p>
        </w:tc>
        <w:tc>
          <w:tcPr>
            <w:tcW w:w="3096" w:type="dxa"/>
          </w:tcPr>
          <w:p>
            <w:pPr>
              <w:jc w:val="right"/>
              <w:rPr>
                <w:noProof/>
                <w:sz w:val="18"/>
                <w:szCs w:val="18"/>
              </w:rPr>
            </w:pPr>
            <w:r>
              <w:rPr>
                <w:noProof/>
                <w:sz w:val="18"/>
                <w:szCs w:val="18"/>
              </w:rPr>
              <w:t>264 495</w:t>
            </w:r>
          </w:p>
        </w:tc>
      </w:tr>
      <w:tr>
        <w:tc>
          <w:tcPr>
            <w:tcW w:w="3096" w:type="dxa"/>
          </w:tcPr>
          <w:p>
            <w:pPr>
              <w:rPr>
                <w:noProof/>
                <w:sz w:val="18"/>
                <w:szCs w:val="18"/>
              </w:rPr>
            </w:pPr>
            <w:r>
              <w:rPr>
                <w:noProof/>
                <w:sz w:val="18"/>
                <w:szCs w:val="18"/>
              </w:rPr>
              <w:t>Barley</w:t>
            </w:r>
          </w:p>
        </w:tc>
        <w:tc>
          <w:tcPr>
            <w:tcW w:w="3096" w:type="dxa"/>
          </w:tcPr>
          <w:p>
            <w:pPr>
              <w:jc w:val="right"/>
              <w:rPr>
                <w:noProof/>
                <w:sz w:val="18"/>
                <w:szCs w:val="18"/>
              </w:rPr>
            </w:pPr>
            <w:r>
              <w:rPr>
                <w:noProof/>
                <w:sz w:val="18"/>
                <w:szCs w:val="18"/>
              </w:rPr>
              <w:t>10 000</w:t>
            </w:r>
          </w:p>
        </w:tc>
        <w:tc>
          <w:tcPr>
            <w:tcW w:w="3096" w:type="dxa"/>
          </w:tcPr>
          <w:p>
            <w:pPr>
              <w:jc w:val="right"/>
              <w:rPr>
                <w:noProof/>
                <w:sz w:val="18"/>
                <w:szCs w:val="18"/>
              </w:rPr>
            </w:pPr>
            <w:r>
              <w:rPr>
                <w:noProof/>
                <w:sz w:val="18"/>
                <w:szCs w:val="18"/>
              </w:rPr>
              <w:t>0</w:t>
            </w:r>
          </w:p>
        </w:tc>
      </w:tr>
      <w:tr>
        <w:tc>
          <w:tcPr>
            <w:tcW w:w="3096" w:type="dxa"/>
          </w:tcPr>
          <w:p>
            <w:pPr>
              <w:rPr>
                <w:noProof/>
                <w:sz w:val="18"/>
                <w:szCs w:val="18"/>
              </w:rPr>
            </w:pPr>
            <w:r>
              <w:rPr>
                <w:noProof/>
                <w:sz w:val="18"/>
                <w:szCs w:val="18"/>
              </w:rPr>
              <w:t>Cereal Based Food Preparations</w:t>
            </w:r>
          </w:p>
        </w:tc>
        <w:tc>
          <w:tcPr>
            <w:tcW w:w="3096" w:type="dxa"/>
          </w:tcPr>
          <w:p>
            <w:pPr>
              <w:jc w:val="right"/>
              <w:rPr>
                <w:noProof/>
                <w:sz w:val="18"/>
                <w:szCs w:val="18"/>
              </w:rPr>
            </w:pPr>
            <w:r>
              <w:rPr>
                <w:noProof/>
                <w:sz w:val="18"/>
                <w:szCs w:val="18"/>
              </w:rPr>
              <w:t>2 300</w:t>
            </w:r>
          </w:p>
        </w:tc>
        <w:tc>
          <w:tcPr>
            <w:tcW w:w="3096" w:type="dxa"/>
          </w:tcPr>
          <w:p>
            <w:pPr>
              <w:jc w:val="right"/>
              <w:rPr>
                <w:noProof/>
                <w:sz w:val="18"/>
                <w:szCs w:val="18"/>
              </w:rPr>
            </w:pPr>
            <w:r>
              <w:rPr>
                <w:noProof/>
                <w:sz w:val="18"/>
                <w:szCs w:val="18"/>
              </w:rPr>
              <w:t>0</w:t>
            </w:r>
          </w:p>
        </w:tc>
      </w:tr>
      <w:tr>
        <w:tc>
          <w:tcPr>
            <w:tcW w:w="3096" w:type="dxa"/>
          </w:tcPr>
          <w:p>
            <w:pPr>
              <w:rPr>
                <w:noProof/>
                <w:sz w:val="18"/>
                <w:szCs w:val="18"/>
              </w:rPr>
            </w:pPr>
            <w:r>
              <w:rPr>
                <w:noProof/>
                <w:sz w:val="18"/>
                <w:szCs w:val="18"/>
              </w:rPr>
              <w:t>Ice cream</w:t>
            </w:r>
          </w:p>
        </w:tc>
        <w:tc>
          <w:tcPr>
            <w:tcW w:w="3096" w:type="dxa"/>
          </w:tcPr>
          <w:p>
            <w:pPr>
              <w:jc w:val="right"/>
              <w:rPr>
                <w:noProof/>
                <w:sz w:val="18"/>
                <w:szCs w:val="18"/>
              </w:rPr>
            </w:pPr>
            <w:r>
              <w:rPr>
                <w:noProof/>
                <w:sz w:val="18"/>
                <w:szCs w:val="18"/>
              </w:rPr>
              <w:t>150</w:t>
            </w:r>
          </w:p>
        </w:tc>
        <w:tc>
          <w:tcPr>
            <w:tcW w:w="3096" w:type="dxa"/>
          </w:tcPr>
          <w:p>
            <w:pPr>
              <w:jc w:val="right"/>
              <w:rPr>
                <w:noProof/>
                <w:sz w:val="18"/>
                <w:szCs w:val="18"/>
              </w:rPr>
            </w:pPr>
            <w:r>
              <w:rPr>
                <w:noProof/>
                <w:sz w:val="18"/>
                <w:szCs w:val="18"/>
              </w:rPr>
              <w:t>80</w:t>
            </w:r>
          </w:p>
        </w:tc>
      </w:tr>
      <w:tr>
        <w:tc>
          <w:tcPr>
            <w:tcW w:w="3096" w:type="dxa"/>
          </w:tcPr>
          <w:p>
            <w:pPr>
              <w:rPr>
                <w:noProof/>
                <w:sz w:val="18"/>
                <w:szCs w:val="18"/>
              </w:rPr>
            </w:pPr>
            <w:r>
              <w:rPr>
                <w:noProof/>
                <w:sz w:val="18"/>
                <w:szCs w:val="18"/>
              </w:rPr>
              <w:t>Mortadella Bologna</w:t>
            </w:r>
          </w:p>
        </w:tc>
        <w:tc>
          <w:tcPr>
            <w:tcW w:w="3096" w:type="dxa"/>
          </w:tcPr>
          <w:p>
            <w:pPr>
              <w:jc w:val="right"/>
              <w:rPr>
                <w:noProof/>
                <w:sz w:val="18"/>
                <w:szCs w:val="18"/>
              </w:rPr>
            </w:pPr>
            <w:r>
              <w:rPr>
                <w:noProof/>
                <w:sz w:val="18"/>
                <w:szCs w:val="18"/>
              </w:rPr>
              <w:t>100</w:t>
            </w:r>
          </w:p>
        </w:tc>
        <w:tc>
          <w:tcPr>
            <w:tcW w:w="3096" w:type="dxa"/>
          </w:tcPr>
          <w:p>
            <w:pPr>
              <w:jc w:val="right"/>
              <w:rPr>
                <w:noProof/>
                <w:sz w:val="18"/>
                <w:szCs w:val="18"/>
              </w:rPr>
            </w:pPr>
            <w:r>
              <w:rPr>
                <w:noProof/>
                <w:sz w:val="18"/>
                <w:szCs w:val="18"/>
              </w:rPr>
              <w:t>0</w:t>
            </w:r>
          </w:p>
        </w:tc>
      </w:tr>
    </w:tbl>
    <w:p>
      <w:pPr>
        <w:rPr>
          <w:i/>
          <w:noProof/>
          <w:sz w:val="18"/>
          <w:szCs w:val="18"/>
        </w:rPr>
      </w:pPr>
      <w:r>
        <w:rPr>
          <w:i/>
          <w:noProof/>
          <w:sz w:val="18"/>
          <w:szCs w:val="18"/>
        </w:rPr>
        <w:t>Source: Ministry of Investment, Trade and Industry, Republic of Botswana</w:t>
      </w:r>
    </w:p>
    <w:p>
      <w:pPr>
        <w:pStyle w:val="Heading2"/>
        <w:ind w:left="0" w:firstLine="0"/>
      </w:pPr>
      <w:bookmarkStart w:id="4167" w:name="_Toc8833811"/>
      <w:bookmarkStart w:id="4168" w:name="_Toc8835638"/>
      <w:bookmarkStart w:id="4169" w:name="_Toc8834269"/>
      <w:bookmarkStart w:id="4170" w:name="_Toc8909730"/>
      <w:bookmarkStart w:id="4171" w:name="_Toc8910942"/>
      <w:bookmarkStart w:id="4172" w:name="_Toc8911979"/>
      <w:bookmarkStart w:id="4173" w:name="_Toc8974800"/>
      <w:bookmarkStart w:id="4174" w:name="_Toc9008453"/>
      <w:bookmarkStart w:id="4175" w:name="_Toc9008856"/>
      <w:bookmarkStart w:id="4176" w:name="_Toc9348852"/>
      <w:bookmarkStart w:id="4177" w:name="_Toc9608303"/>
      <w:bookmarkStart w:id="4178" w:name="_Toc16000860"/>
      <w:r>
        <w:t>2.2 Trade in services</w:t>
      </w:r>
      <w:bookmarkEnd w:id="4167"/>
      <w:bookmarkEnd w:id="4168"/>
      <w:bookmarkEnd w:id="4169"/>
      <w:bookmarkEnd w:id="4170"/>
      <w:bookmarkEnd w:id="4171"/>
      <w:bookmarkEnd w:id="4172"/>
      <w:bookmarkEnd w:id="4173"/>
      <w:bookmarkEnd w:id="4174"/>
      <w:bookmarkEnd w:id="4175"/>
      <w:bookmarkEnd w:id="4176"/>
      <w:bookmarkEnd w:id="4177"/>
      <w:bookmarkEnd w:id="4178"/>
    </w:p>
    <w:p>
      <w:pPr>
        <w:jc w:val="both"/>
        <w:rPr>
          <w:noProof/>
          <w:lang w:eastAsia="en-GB"/>
        </w:rPr>
      </w:pPr>
      <w:bookmarkStart w:id="4179" w:name="_Toc9008454"/>
      <w:bookmarkStart w:id="4180" w:name="_Toc9008857"/>
      <w:r>
        <w:rPr>
          <w:noProof/>
          <w:lang w:eastAsia="en-GB"/>
        </w:rPr>
        <w:t xml:space="preserve">The EPA does not cover trade in services. Total services trade with </w:t>
      </w:r>
      <w:r>
        <w:rPr>
          <w:b/>
          <w:noProof/>
          <w:lang w:eastAsia="en-GB"/>
        </w:rPr>
        <w:t>South Africa</w:t>
      </w:r>
      <w:r>
        <w:rPr>
          <w:noProof/>
          <w:lang w:eastAsia="en-GB"/>
        </w:rPr>
        <w:t xml:space="preserve"> increased by 8.7% to </w:t>
      </w:r>
      <w:r>
        <w:rPr>
          <w:noProof/>
          <w:lang w:val="en-US"/>
        </w:rPr>
        <w:t>€</w:t>
      </w:r>
      <w:r>
        <w:rPr>
          <w:noProof/>
          <w:lang w:eastAsia="en-GB"/>
        </w:rPr>
        <w:t xml:space="preserve">14.5 billion in 2017 (latest year for which data is available), with EU imports from South Africa increasing by 5% to </w:t>
      </w:r>
      <w:r>
        <w:rPr>
          <w:noProof/>
          <w:lang w:val="en-US"/>
        </w:rPr>
        <w:t>€</w:t>
      </w:r>
      <w:r>
        <w:rPr>
          <w:noProof/>
          <w:lang w:eastAsia="en-GB"/>
        </w:rPr>
        <w:t xml:space="preserve">5.4 billion and EU exports increasing by 11% to </w:t>
      </w:r>
      <w:r>
        <w:rPr>
          <w:noProof/>
          <w:lang w:val="en-US"/>
        </w:rPr>
        <w:t>€</w:t>
      </w:r>
      <w:r>
        <w:rPr>
          <w:noProof/>
          <w:lang w:eastAsia="en-GB"/>
        </w:rPr>
        <w:t xml:space="preserve">9.1 billion. The balance of trade is positive for the EU and increasing. </w:t>
      </w:r>
    </w:p>
    <w:p>
      <w:pPr>
        <w:jc w:val="both"/>
        <w:rPr>
          <w:noProof/>
          <w:lang w:eastAsia="en-GB"/>
        </w:rPr>
      </w:pPr>
    </w:p>
    <w:p>
      <w:pPr>
        <w:jc w:val="both"/>
        <w:rPr>
          <w:noProof/>
          <w:lang w:eastAsia="en-GB"/>
        </w:rPr>
      </w:pPr>
      <w:r>
        <w:rPr>
          <w:noProof/>
          <w:lang w:eastAsia="en-GB"/>
        </w:rPr>
        <w:t xml:space="preserve">Trade in services with </w:t>
      </w:r>
      <w:r>
        <w:rPr>
          <w:b/>
          <w:noProof/>
          <w:lang w:eastAsia="en-GB"/>
        </w:rPr>
        <w:t>Botswana, Eswatini, Lesotho, Mozambique and Namibia</w:t>
      </w:r>
      <w:r>
        <w:rPr>
          <w:noProof/>
          <w:lang w:eastAsia="en-GB"/>
        </w:rPr>
        <w:t xml:space="preserve"> is marginal: </w:t>
      </w:r>
      <w:r>
        <w:rPr>
          <w:noProof/>
          <w:lang w:val="en-US"/>
        </w:rPr>
        <w:t xml:space="preserve">€583 million with Botswana (+58%), €153 with Eswatini (-7%), €12 million with Lesotho (+66.5%), €716 million with Mozambique (-5.5%) and €669 million with Namibia (+15%) (Figures for 2017). EU services imports from Botswana and Namibia are increasing (mostly tourism), albeit from very low levels. </w:t>
      </w:r>
    </w:p>
    <w:p>
      <w:pPr>
        <w:pStyle w:val="Heading2"/>
        <w:ind w:left="0" w:firstLine="0"/>
      </w:pPr>
      <w:bookmarkStart w:id="4181" w:name="_Toc8833812"/>
      <w:bookmarkStart w:id="4182" w:name="_Toc8835639"/>
      <w:bookmarkStart w:id="4183" w:name="_Toc8834270"/>
      <w:bookmarkStart w:id="4184" w:name="_Toc8909731"/>
      <w:bookmarkStart w:id="4185" w:name="_Toc8910943"/>
      <w:bookmarkStart w:id="4186" w:name="_Toc8911980"/>
      <w:bookmarkStart w:id="4187" w:name="_Toc8974801"/>
      <w:bookmarkStart w:id="4188" w:name="_Toc9348853"/>
      <w:bookmarkStart w:id="4189" w:name="_Toc9608304"/>
      <w:bookmarkStart w:id="4190" w:name="_Toc16000861"/>
      <w:r>
        <w:t>2.3 Foreign Direct Investment (FDI)</w:t>
      </w:r>
      <w:bookmarkEnd w:id="4179"/>
      <w:bookmarkEnd w:id="4180"/>
      <w:bookmarkEnd w:id="4181"/>
      <w:bookmarkEnd w:id="4182"/>
      <w:bookmarkEnd w:id="4183"/>
      <w:bookmarkEnd w:id="4184"/>
      <w:bookmarkEnd w:id="4185"/>
      <w:bookmarkEnd w:id="4186"/>
      <w:bookmarkEnd w:id="4187"/>
      <w:bookmarkEnd w:id="4188"/>
      <w:bookmarkEnd w:id="4189"/>
      <w:bookmarkEnd w:id="4190"/>
    </w:p>
    <w:p>
      <w:pPr>
        <w:jc w:val="both"/>
        <w:rPr>
          <w:noProof/>
          <w:lang w:val="en-US"/>
        </w:rPr>
      </w:pPr>
      <w:r>
        <w:rPr>
          <w:noProof/>
          <w:lang w:eastAsia="en-GB"/>
        </w:rPr>
        <w:t xml:space="preserve">The EU-SADC EPA does not contain provisions on investment. Most EU investment is concentrated in </w:t>
      </w:r>
      <w:r>
        <w:rPr>
          <w:b/>
          <w:noProof/>
          <w:lang w:eastAsia="en-GB"/>
        </w:rPr>
        <w:t>South Africa</w:t>
      </w:r>
      <w:r>
        <w:rPr>
          <w:noProof/>
          <w:lang w:eastAsia="en-GB"/>
        </w:rPr>
        <w:t xml:space="preserve">, with current stocks of </w:t>
      </w:r>
      <w:r>
        <w:rPr>
          <w:noProof/>
          <w:lang w:val="en-US"/>
        </w:rPr>
        <w:t>€</w:t>
      </w:r>
      <w:r>
        <w:rPr>
          <w:noProof/>
          <w:lang w:eastAsia="en-GB"/>
        </w:rPr>
        <w:t xml:space="preserve">59.8 billion. </w:t>
      </w:r>
      <w:r>
        <w:rPr>
          <w:noProof/>
          <w:lang w:val="en-US"/>
        </w:rPr>
        <w:t xml:space="preserve">EU investment in South Africa has slowed down since 2013. </w:t>
      </w:r>
      <w:r>
        <w:rPr>
          <w:noProof/>
          <w:lang w:eastAsia="en-GB"/>
        </w:rPr>
        <w:t>According to Eurostat, FDI inflows in 2017 were negative, at -</w:t>
      </w:r>
      <w:r>
        <w:rPr>
          <w:noProof/>
          <w:lang w:val="en-US"/>
        </w:rPr>
        <w:t xml:space="preserve">€8.4 billion (taking into account de-commitments). New commitments, according to South African national statistics, amounted to €1.16 billion in 2017 and €6.2 billion in 2018.  </w:t>
      </w:r>
    </w:p>
    <w:p>
      <w:pPr>
        <w:jc w:val="both"/>
        <w:rPr>
          <w:noProof/>
          <w:lang w:val="en-US"/>
        </w:rPr>
      </w:pPr>
    </w:p>
    <w:p>
      <w:pPr>
        <w:jc w:val="both"/>
        <w:rPr>
          <w:noProof/>
          <w:lang w:val="en-US"/>
        </w:rPr>
      </w:pPr>
      <w:r>
        <w:rPr>
          <w:noProof/>
          <w:lang w:val="en-US"/>
        </w:rPr>
        <w:t>EU presence (more than 2,000 companies) is spread over almost all sectors of the economy. The largest shares of FDI stock are in finance (45%), mining (20%), manufacturing (20%) and transport (10%). FDI stock in finance and mining has stalled in recent years due to the economic situation and legislative uncertainty; most new investment has taken place in manufacturing (mainly in the automotive, machinery and food sectors).</w:t>
      </w:r>
    </w:p>
    <w:p>
      <w:pPr>
        <w:jc w:val="both"/>
        <w:rPr>
          <w:noProof/>
          <w:lang w:val="en-US"/>
        </w:rPr>
      </w:pPr>
    </w:p>
    <w:p>
      <w:pPr>
        <w:jc w:val="both"/>
        <w:rPr>
          <w:noProof/>
          <w:lang w:val="en-US"/>
        </w:rPr>
      </w:pPr>
      <w:r>
        <w:rPr>
          <w:noProof/>
          <w:lang w:val="en-US"/>
        </w:rPr>
        <w:t xml:space="preserve">A number of new investments were announced in 2017-2019, including: </w:t>
      </w:r>
    </w:p>
    <w:p>
      <w:pPr>
        <w:pStyle w:val="ListParagraph"/>
        <w:numPr>
          <w:ilvl w:val="0"/>
          <w:numId w:val="39"/>
        </w:numPr>
        <w:rPr>
          <w:rFonts w:ascii="Times New Roman" w:hAnsi="Times New Roman" w:cs="Times New Roman"/>
          <w:noProof/>
          <w:sz w:val="24"/>
          <w:szCs w:val="24"/>
          <w:lang w:val="en-US"/>
        </w:rPr>
      </w:pPr>
      <w:r>
        <w:rPr>
          <w:rFonts w:ascii="Times New Roman" w:hAnsi="Times New Roman" w:cs="Times New Roman"/>
          <w:noProof/>
          <w:sz w:val="24"/>
          <w:szCs w:val="24"/>
          <w:lang w:val="en-US"/>
        </w:rPr>
        <w:t>BMW completed a €350 million (ZAR 6.2 billion) investment in its assembly plant towards the X3 model which launched in 2018.</w:t>
      </w:r>
    </w:p>
    <w:p>
      <w:pPr>
        <w:pStyle w:val="ListParagraph"/>
        <w:numPr>
          <w:ilvl w:val="0"/>
          <w:numId w:val="39"/>
        </w:numPr>
        <w:spacing w:before="120" w:after="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Mercedes-Benz announced in 2018 that it will invest €600 million (ZAR 10 billion) in expanding its South African plant to accommodate production of the new generation of C-Class model that will now be exported to the EU instead of the United States.</w:t>
      </w:r>
    </w:p>
    <w:p>
      <w:pPr>
        <w:pStyle w:val="ListParagraph"/>
        <w:numPr>
          <w:ilvl w:val="0"/>
          <w:numId w:val="39"/>
        </w:numPr>
        <w:spacing w:before="120" w:after="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VW invested € 350 million (ZAR 6.1 billion) in its new plant to launch in 2018 the new Polo.</w:t>
      </w:r>
    </w:p>
    <w:p>
      <w:pPr>
        <w:pStyle w:val="ListParagraph"/>
        <w:numPr>
          <w:ilvl w:val="0"/>
          <w:numId w:val="39"/>
        </w:numPr>
        <w:spacing w:before="120" w:after="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In the renewables sector, 27 new projects were signed in 2018 under the 4</w:t>
      </w:r>
      <w:r>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bidding round of the South African Renewable Energy Independent Power Producer Procurement Programme (REIPPP), with a total planned investment of €3.3 billion (ZAR 56 billion) – an important part of which is European direct investment. </w:t>
      </w:r>
    </w:p>
    <w:p>
      <w:pPr>
        <w:pStyle w:val="ListParagraph"/>
        <w:spacing w:before="120" w:after="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Since 2011, a total of 92 projects, amounting to €17 billion, have been signed, with a number of prominent EU contractors (often setting up subsidiary companies in South Africa), including: Vestas (Denmark); Acciona, ACS Cobra, Abengoa, Iberdrola, Gestamp (Spain); Juwi Renewable Energies and Nordex Energy (Germany), Enel Green Power and Temi Energia (Italy). The main suppliers of wind towers and turbines and PV equipment include Vestas (Denmark), Siemens, SMA Solar Tech, AEG and Nordex (German), ABB (Sweden), 3 Sun (UK).</w:t>
      </w:r>
    </w:p>
    <w:p>
      <w:pPr>
        <w:spacing w:before="120"/>
        <w:jc w:val="both"/>
        <w:rPr>
          <w:noProof/>
        </w:rPr>
      </w:pPr>
    </w:p>
    <w:p>
      <w:pPr>
        <w:jc w:val="both"/>
        <w:rPr>
          <w:noProof/>
          <w:lang w:val="en-US"/>
        </w:rPr>
      </w:pPr>
      <w:r>
        <w:rPr>
          <w:noProof/>
          <w:lang w:val="en-US"/>
        </w:rPr>
        <w:t xml:space="preserve">The penetration of small and medium sized companies (SMEs) in the South African economy is still low. Nevertheless, in 2018 different EU SMEs have again announced investment in South Africa: </w:t>
      </w:r>
    </w:p>
    <w:p>
      <w:pPr>
        <w:pStyle w:val="ListParagraph"/>
        <w:numPr>
          <w:ilvl w:val="0"/>
          <w:numId w:val="39"/>
        </w:numPr>
        <w:spacing w:before="120" w:after="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Industrial silicon tubes: Spanish company Venair has opened in 2018 its first subsidiary in South Africa.</w:t>
      </w:r>
    </w:p>
    <w:p>
      <w:pPr>
        <w:pStyle w:val="ListParagraph"/>
        <w:numPr>
          <w:ilvl w:val="0"/>
          <w:numId w:val="39"/>
        </w:numPr>
        <w:spacing w:before="120" w:after="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Spunmelt nonwoven: Czech company Pegas Nonvwovens, the largest producer of spunmelt nonwovens in Europe, the Middle East and Africa, is investing ZAR 1.3 billion (production to start in 2019).</w:t>
      </w:r>
    </w:p>
    <w:p>
      <w:pPr>
        <w:pStyle w:val="ListParagraph"/>
        <w:numPr>
          <w:ilvl w:val="0"/>
          <w:numId w:val="39"/>
        </w:numPr>
        <w:spacing w:before="120" w:after="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PV module manufacturing: In 2018, Seraphim Southern Africa, a joint venture by Chinese Jiangsu Seraphim Solar System Co. Ltd. and Spanish ILB Helios (with IDC collaboration), will establish a €12.3 billion new PV module manufacturing factory in East London IDZ.</w:t>
      </w:r>
    </w:p>
    <w:p>
      <w:pPr>
        <w:pStyle w:val="ListParagraph"/>
        <w:numPr>
          <w:ilvl w:val="0"/>
          <w:numId w:val="39"/>
        </w:numPr>
        <w:spacing w:before="120" w:after="0" w:line="240" w:lineRule="auto"/>
        <w:contextualSpacing w:val="0"/>
        <w:jc w:val="both"/>
        <w:rPr>
          <w:rFonts w:ascii="Times New Roman" w:hAnsi="Times New Roman" w:cs="Times New Roman"/>
          <w:noProof/>
          <w:sz w:val="24"/>
          <w:szCs w:val="24"/>
        </w:rPr>
      </w:pPr>
      <w:r>
        <w:rPr>
          <w:rFonts w:ascii="Times New Roman" w:hAnsi="Times New Roman" w:cs="Times New Roman"/>
          <w:noProof/>
          <w:sz w:val="24"/>
          <w:szCs w:val="24"/>
        </w:rPr>
        <w:t>Automotive components: Austrian automotive supplier the Polytec Group is investing €10m in a new parts production plant in South Africa to supply German OEM. Production is scheduled to start in for 2021.</w:t>
      </w:r>
    </w:p>
    <w:p>
      <w:pPr>
        <w:pStyle w:val="ListParagraph"/>
        <w:spacing w:before="120" w:after="0" w:line="240" w:lineRule="auto"/>
        <w:contextualSpacing w:val="0"/>
        <w:jc w:val="both"/>
        <w:rPr>
          <w:rFonts w:ascii="Times New Roman" w:hAnsi="Times New Roman" w:cs="Times New Roman"/>
          <w:noProof/>
          <w:sz w:val="24"/>
          <w:szCs w:val="24"/>
        </w:rPr>
      </w:pPr>
    </w:p>
    <w:p>
      <w:pPr>
        <w:jc w:val="both"/>
        <w:rPr>
          <w:noProof/>
          <w:lang w:val="en-US"/>
        </w:rPr>
      </w:pPr>
      <w:r>
        <w:rPr>
          <w:noProof/>
          <w:lang w:val="en-US"/>
        </w:rPr>
        <w:t>South African FDI in the EU stood at €12.1 billion in 2017, with also negative inflows of -€31 million.</w:t>
      </w:r>
    </w:p>
    <w:p>
      <w:pPr>
        <w:jc w:val="both"/>
        <w:rPr>
          <w:noProof/>
          <w:lang w:val="en-US"/>
        </w:rPr>
      </w:pPr>
    </w:p>
    <w:p>
      <w:pPr>
        <w:jc w:val="both"/>
        <w:rPr>
          <w:noProof/>
          <w:lang w:val="en-US"/>
        </w:rPr>
      </w:pPr>
      <w:r>
        <w:rPr>
          <w:noProof/>
          <w:lang w:eastAsia="en-GB"/>
        </w:rPr>
        <w:t xml:space="preserve">FDI stocks in </w:t>
      </w:r>
      <w:r>
        <w:rPr>
          <w:b/>
          <w:noProof/>
          <w:lang w:eastAsia="en-GB"/>
        </w:rPr>
        <w:t>Botswana, Eswatini, Lesotho, Mozambique and Namibia</w:t>
      </w:r>
      <w:r>
        <w:rPr>
          <w:noProof/>
          <w:lang w:eastAsia="en-GB"/>
        </w:rPr>
        <w:t xml:space="preserve"> are mostly tied to extractive industries. EU FDI stocks are highest in </w:t>
      </w:r>
      <w:r>
        <w:rPr>
          <w:b/>
          <w:noProof/>
          <w:lang w:eastAsia="en-GB"/>
        </w:rPr>
        <w:t>Mozambique</w:t>
      </w:r>
      <w:r>
        <w:rPr>
          <w:noProof/>
          <w:lang w:eastAsia="en-GB"/>
        </w:rPr>
        <w:t xml:space="preserve">, at </w:t>
      </w:r>
      <w:r>
        <w:rPr>
          <w:noProof/>
          <w:lang w:val="en-US"/>
        </w:rPr>
        <w:t>€</w:t>
      </w:r>
      <w:r>
        <w:rPr>
          <w:noProof/>
          <w:lang w:eastAsia="en-GB"/>
        </w:rPr>
        <w:t xml:space="preserve">1.9 billion, with new inflows of </w:t>
      </w:r>
      <w:r>
        <w:rPr>
          <w:noProof/>
          <w:lang w:val="en-US"/>
        </w:rPr>
        <w:t>€84 million in 2017.</w:t>
      </w:r>
      <w:r>
        <w:rPr>
          <w:noProof/>
          <w:lang w:eastAsia="en-GB"/>
        </w:rPr>
        <w:t xml:space="preserve"> Dominant investment partner for all five countries is South Africa. In </w:t>
      </w:r>
      <w:r>
        <w:rPr>
          <w:b/>
          <w:noProof/>
          <w:lang w:eastAsia="en-GB"/>
        </w:rPr>
        <w:t>Namibia</w:t>
      </w:r>
      <w:r>
        <w:rPr>
          <w:noProof/>
          <w:lang w:eastAsia="en-GB"/>
        </w:rPr>
        <w:t xml:space="preserve"> (EU investment stock in 2017 was </w:t>
      </w:r>
      <w:r>
        <w:rPr>
          <w:noProof/>
          <w:lang w:val="en-US"/>
        </w:rPr>
        <w:t>€283 million), Spain is mostly investing in the fishery sector and the UK in extractives (zinc and copper). Recent EU investments were also in renewable energy, such as the Ombepo wind farm and two major solar plants, funded by a French-Namibian joint venture. French Peugeot built an assembly plant, inaugurated in 2018; Namibian-assembled vehicles will be sold mainly within SACU.</w:t>
      </w:r>
    </w:p>
    <w:p>
      <w:pPr>
        <w:jc w:val="both"/>
        <w:rPr>
          <w:noProof/>
          <w:lang w:eastAsia="en-GB"/>
        </w:rPr>
      </w:pPr>
    </w:p>
    <w:tbl>
      <w:tblPr>
        <w:tblStyle w:val="TableGrid"/>
        <w:tblW w:w="0" w:type="auto"/>
        <w:tblInd w:w="392" w:type="dxa"/>
        <w:tblLook w:val="04A0" w:firstRow="1" w:lastRow="0" w:firstColumn="1" w:lastColumn="0" w:noHBand="0" w:noVBand="1"/>
      </w:tblPr>
      <w:tblGrid>
        <w:gridCol w:w="8647"/>
      </w:tblGrid>
      <w:tr>
        <w:tc>
          <w:tcPr>
            <w:tcW w:w="8647" w:type="dxa"/>
          </w:tcPr>
          <w:p>
            <w:pPr>
              <w:jc w:val="both"/>
              <w:rPr>
                <w:b/>
                <w:noProof/>
                <w:sz w:val="20"/>
                <w:szCs w:val="20"/>
                <w:lang w:eastAsia="en-GB"/>
              </w:rPr>
            </w:pPr>
            <w:r>
              <w:rPr>
                <w:b/>
                <w:noProof/>
                <w:sz w:val="20"/>
                <w:szCs w:val="20"/>
                <w:lang w:eastAsia="en-GB"/>
              </w:rPr>
              <w:t>The EU-SADC EPA facilitating the localisation and transformation of the South African automotive sector</w:t>
            </w:r>
          </w:p>
          <w:p>
            <w:pPr>
              <w:jc w:val="both"/>
              <w:rPr>
                <w:noProof/>
                <w:sz w:val="20"/>
                <w:szCs w:val="20"/>
                <w:lang w:eastAsia="en-GB"/>
              </w:rPr>
            </w:pPr>
            <w:r>
              <w:rPr>
                <w:noProof/>
                <w:sz w:val="20"/>
                <w:szCs w:val="20"/>
                <w:lang w:eastAsia="en-GB"/>
              </w:rPr>
              <w:t>South Africa is the dominant vehicle producer on the African continent, with an automotive industry that is highly export oriented and FDI dependant; thus strategically relying on modern free trade agreements to flourish.</w:t>
            </w:r>
          </w:p>
          <w:p>
            <w:pPr>
              <w:jc w:val="both"/>
              <w:rPr>
                <w:noProof/>
                <w:sz w:val="20"/>
                <w:szCs w:val="20"/>
                <w:lang w:eastAsia="en-GB"/>
              </w:rPr>
            </w:pPr>
          </w:p>
          <w:p>
            <w:pPr>
              <w:jc w:val="both"/>
              <w:rPr>
                <w:noProof/>
                <w:sz w:val="20"/>
                <w:szCs w:val="20"/>
              </w:rPr>
            </w:pPr>
            <w:r>
              <w:rPr>
                <w:noProof/>
                <w:sz w:val="20"/>
                <w:szCs w:val="20"/>
              </w:rPr>
              <w:t xml:space="preserve">South Africa now produces more than 600,000 vehicles annually, of which more than half are exported. Exports of motor vehicles, parts and accessories contribute more than 13% to the national export basket. More than half of South African vehicles exports are to the EU (66% in 2018). EU imports of motor vehicles and components from South Africa increased to €5.1 billion in 2018 (up from €1.8 billion in 2014). Motor cars for passenger transport account for €4.1 billion of this sum. </w:t>
            </w:r>
          </w:p>
          <w:p>
            <w:pPr>
              <w:jc w:val="both"/>
              <w:rPr>
                <w:noProof/>
                <w:sz w:val="20"/>
                <w:szCs w:val="20"/>
              </w:rPr>
            </w:pPr>
          </w:p>
          <w:p>
            <w:pPr>
              <w:spacing w:after="120"/>
              <w:jc w:val="both"/>
              <w:rPr>
                <w:noProof/>
                <w:sz w:val="20"/>
                <w:szCs w:val="20"/>
              </w:rPr>
            </w:pPr>
            <w:r>
              <w:rPr>
                <w:noProof/>
                <w:sz w:val="20"/>
                <w:szCs w:val="20"/>
              </w:rPr>
              <w:t>The automotive sector is therefore highly anchored in the EU-SADC EPA which provides for duty free export of cars and components to the EU. Four of the seven Original Equipment Manufacturers (OEM) present in South Africa are European (see newly announced investments above).</w:t>
            </w:r>
          </w:p>
          <w:p>
            <w:pPr>
              <w:spacing w:after="120"/>
              <w:jc w:val="both"/>
              <w:rPr>
                <w:noProof/>
                <w:sz w:val="20"/>
                <w:szCs w:val="20"/>
              </w:rPr>
            </w:pPr>
            <w:r>
              <w:rPr>
                <w:noProof/>
                <w:sz w:val="20"/>
                <w:szCs w:val="20"/>
              </w:rPr>
              <w:t>The automotive industry not only impacts directly on the GDP (7% GDP) and employment (+110,000 jobs), it increasingly plays an important strategic and catalytic role in the overall South African economy. Through its integration into the global supply chains of OEMs, the sector contributes to overall skills development, technology penetration and innovation intensity in the economy.</w:t>
            </w:r>
          </w:p>
          <w:p>
            <w:pPr>
              <w:spacing w:after="120"/>
              <w:jc w:val="both"/>
              <w:rPr>
                <w:noProof/>
                <w:sz w:val="20"/>
                <w:szCs w:val="20"/>
              </w:rPr>
            </w:pPr>
            <w:r>
              <w:rPr>
                <w:noProof/>
                <w:sz w:val="20"/>
                <w:szCs w:val="20"/>
              </w:rPr>
              <w:t>A number of initiatives are underway to strengthen the localisation and foster transformation of the automotive industry in the country. The Automotive Supply Chain Competitiveness Initiative (ASCCI) is a collaborative initiative between the OEMs, suppliers, government and labour, with the specific task of coordinating supply chain development activities in the South African auto industry, to increase the share and value added of locally based suppliers. In Gauteng province, the automotive incubation centres create hubs linked to a single OEM where the participants are subcontracted to Tier 1 component suppliers who provide technical mentoring for black entrepreneurs or black-owned suppliers until they are ready to supply directly to the OEM’s production line.</w:t>
            </w:r>
          </w:p>
        </w:tc>
      </w:tr>
    </w:tbl>
    <w:p>
      <w:pPr>
        <w:pStyle w:val="ManualHeading1"/>
      </w:pPr>
      <w:bookmarkStart w:id="4191" w:name="_Toc8833813"/>
      <w:bookmarkStart w:id="4192" w:name="_Toc8835640"/>
      <w:bookmarkStart w:id="4193" w:name="_Toc8834271"/>
      <w:bookmarkStart w:id="4194" w:name="_Toc8909732"/>
      <w:bookmarkStart w:id="4195" w:name="_Toc8910944"/>
      <w:bookmarkStart w:id="4196" w:name="_Toc8911981"/>
      <w:bookmarkStart w:id="4197" w:name="_Toc8974802"/>
      <w:bookmarkStart w:id="4198" w:name="_Toc9008455"/>
      <w:bookmarkStart w:id="4199" w:name="_Toc9008858"/>
      <w:bookmarkStart w:id="4200" w:name="_Toc9348854"/>
      <w:bookmarkStart w:id="4201" w:name="_Toc9608305"/>
      <w:bookmarkStart w:id="4202" w:name="_Toc16000862"/>
      <w:r>
        <w:t>3.</w:t>
      </w:r>
      <w:r>
        <w:tab/>
        <w:t>Issues addressed in the annual EPA Committee meeting</w:t>
      </w:r>
      <w:bookmarkEnd w:id="4191"/>
      <w:bookmarkEnd w:id="4192"/>
      <w:bookmarkEnd w:id="4193"/>
      <w:bookmarkEnd w:id="4194"/>
      <w:bookmarkEnd w:id="4195"/>
      <w:bookmarkEnd w:id="4196"/>
      <w:bookmarkEnd w:id="4197"/>
      <w:bookmarkEnd w:id="4198"/>
      <w:bookmarkEnd w:id="4199"/>
      <w:bookmarkEnd w:id="4200"/>
      <w:bookmarkEnd w:id="4201"/>
      <w:bookmarkEnd w:id="4202"/>
    </w:p>
    <w:p>
      <w:pPr>
        <w:jc w:val="both"/>
        <w:rPr>
          <w:noProof/>
        </w:rPr>
      </w:pPr>
      <w:r>
        <w:rPr>
          <w:noProof/>
        </w:rPr>
        <w:t xml:space="preserve">Since the EPA entered into force in October 2016, the </w:t>
      </w:r>
      <w:r>
        <w:rPr>
          <w:b/>
          <w:noProof/>
        </w:rPr>
        <w:t>Trade and Development Committee</w:t>
      </w:r>
      <w:r>
        <w:rPr>
          <w:noProof/>
        </w:rPr>
        <w:t xml:space="preserve"> (at senior official level) has met five times (in February 2017, October 2017, February 2018, November 2018 and February 2019). Moreover, on 19 February 2019 the first meeting of the EU-SADC EPA </w:t>
      </w:r>
      <w:r>
        <w:rPr>
          <w:b/>
          <w:noProof/>
        </w:rPr>
        <w:t>Joint Council</w:t>
      </w:r>
      <w:r>
        <w:rPr>
          <w:noProof/>
        </w:rPr>
        <w:t xml:space="preserve"> (at ministerial level) took place. This first meeting of the Joint Council in particular allowed for the adoption of the ‘institutional set-up’ of the Agreement, notably the rules of procedure for the bodies under the agreement and the procedural rules for dispute settlement. Moreover, at its latest meeting, the Trade and Development Committee also adopted the list of arbitrators for dispute settlement. </w:t>
      </w:r>
    </w:p>
    <w:p>
      <w:pPr>
        <w:jc w:val="both"/>
        <w:rPr>
          <w:noProof/>
        </w:rPr>
      </w:pPr>
    </w:p>
    <w:p>
      <w:pPr>
        <w:jc w:val="both"/>
        <w:rPr>
          <w:noProof/>
        </w:rPr>
      </w:pPr>
      <w:r>
        <w:rPr>
          <w:noProof/>
        </w:rPr>
        <w:t>Other issues discussed at the first meeting of the Joint Council and the different meetings of the Trade and Development Committee included: differences of interpretation on specific provisions of the Agreement (in particular on the bilateral safeguard measure against imports of EU poultry products and on tariff dismantling concerning certain textile products), the setting up of annual meetings with non-state actors on the implementation of the EPA, monitoring of the EPA, tariff rate quota management, cumulation of origin</w:t>
      </w:r>
      <w:r>
        <w:rPr>
          <w:rStyle w:val="FootnoteReference"/>
          <w:noProof/>
        </w:rPr>
        <w:footnoteReference w:id="110"/>
      </w:r>
      <w:r>
        <w:rPr>
          <w:noProof/>
        </w:rPr>
        <w:t xml:space="preserve">, trade-related development cooperation  and the agricultural safeguard. </w:t>
      </w:r>
    </w:p>
    <w:p>
      <w:pPr>
        <w:jc w:val="both"/>
        <w:rPr>
          <w:noProof/>
        </w:rPr>
      </w:pPr>
    </w:p>
    <w:p>
      <w:pPr>
        <w:jc w:val="both"/>
        <w:rPr>
          <w:noProof/>
        </w:rPr>
      </w:pPr>
      <w:r>
        <w:rPr>
          <w:noProof/>
        </w:rPr>
        <w:t xml:space="preserve">Since the entry into provisional application, there have also been two meetings of the </w:t>
      </w:r>
      <w:r>
        <w:rPr>
          <w:b/>
          <w:noProof/>
        </w:rPr>
        <w:t>Special Committee on Trade Facilitation and Customs Cooperation (SCTFCC),</w:t>
      </w:r>
      <w:r>
        <w:rPr>
          <w:noProof/>
        </w:rPr>
        <w:t xml:space="preserve"> three meetings of the </w:t>
      </w:r>
      <w:r>
        <w:rPr>
          <w:b/>
          <w:noProof/>
        </w:rPr>
        <w:t>Special Committee on Geographical Indications and Trade in Wines and Spirits</w:t>
      </w:r>
      <w:r>
        <w:rPr>
          <w:noProof/>
        </w:rPr>
        <w:t xml:space="preserve"> (a bilateral Committee with South Africa only) and one meeting of the </w:t>
      </w:r>
      <w:r>
        <w:rPr>
          <w:b/>
          <w:noProof/>
        </w:rPr>
        <w:t>Agricultural Partnership</w:t>
      </w:r>
      <w:r>
        <w:rPr>
          <w:noProof/>
        </w:rPr>
        <w:t>. The meeting of the SCTFCC allowed partners to advance preparatory work for the start of diagonal cumulation of origin, but this work is not finalised yet. The meetings of the Special Committee on Geographical Indications and Trade in Wines and Spirits in particular discussed updates on protection of different Geographical Indications (GIs) and on the divergent interpretation concerning the laws and regulations governing oenological practices and restrictions in South Africa.</w:t>
      </w:r>
    </w:p>
    <w:p>
      <w:pPr>
        <w:jc w:val="both"/>
        <w:rPr>
          <w:noProof/>
        </w:rPr>
      </w:pPr>
    </w:p>
    <w:p>
      <w:pPr>
        <w:jc w:val="both"/>
        <w:rPr>
          <w:noProof/>
        </w:rPr>
      </w:pPr>
      <w:r>
        <w:rPr>
          <w:noProof/>
        </w:rPr>
        <w:t xml:space="preserve">In November 2018, non-state actors from both the EU and SADC held a second </w:t>
      </w:r>
      <w:r>
        <w:rPr>
          <w:b/>
          <w:noProof/>
        </w:rPr>
        <w:t>Civil Society Dialogue Meeting</w:t>
      </w:r>
      <w:r>
        <w:rPr>
          <w:noProof/>
        </w:rPr>
        <w:t xml:space="preserve"> in Windhoek, Namibia. Stakeholders elaborated recommendations on a range of trade and EPA related topics relevant to EPA implementation and monitoring. </w:t>
      </w:r>
    </w:p>
    <w:p>
      <w:pPr>
        <w:pStyle w:val="ManualHeading1"/>
      </w:pPr>
      <w:bookmarkStart w:id="4203" w:name="_Toc8833814"/>
      <w:bookmarkStart w:id="4204" w:name="_Toc8835641"/>
      <w:bookmarkStart w:id="4205" w:name="_Toc8834272"/>
      <w:bookmarkStart w:id="4206" w:name="_Toc8909733"/>
      <w:bookmarkStart w:id="4207" w:name="_Toc8910945"/>
      <w:bookmarkStart w:id="4208" w:name="_Toc8911982"/>
      <w:bookmarkStart w:id="4209" w:name="_Toc8974803"/>
      <w:bookmarkStart w:id="4210" w:name="_Toc9008456"/>
      <w:bookmarkStart w:id="4211" w:name="_Toc9008859"/>
      <w:bookmarkStart w:id="4212" w:name="_Toc9348855"/>
      <w:bookmarkStart w:id="4213" w:name="_Toc9608306"/>
      <w:bookmarkStart w:id="4214" w:name="_Toc16000863"/>
      <w:r>
        <w:t>4.</w:t>
      </w:r>
      <w:r>
        <w:tab/>
        <w:t>Specific areas of importance</w:t>
      </w:r>
      <w:bookmarkEnd w:id="4203"/>
      <w:bookmarkEnd w:id="4204"/>
      <w:bookmarkEnd w:id="4205"/>
      <w:bookmarkEnd w:id="4206"/>
      <w:bookmarkEnd w:id="4207"/>
      <w:bookmarkEnd w:id="4208"/>
      <w:bookmarkEnd w:id="4209"/>
      <w:bookmarkEnd w:id="4210"/>
      <w:bookmarkEnd w:id="4211"/>
      <w:bookmarkEnd w:id="4212"/>
      <w:bookmarkEnd w:id="4213"/>
      <w:bookmarkEnd w:id="4214"/>
    </w:p>
    <w:p>
      <w:pPr>
        <w:jc w:val="both"/>
        <w:rPr>
          <w:noProof/>
        </w:rPr>
      </w:pPr>
      <w:r>
        <w:rPr>
          <w:b/>
          <w:bCs/>
          <w:i/>
          <w:iCs/>
          <w:noProof/>
        </w:rPr>
        <w:t>Sanitary and Phytosanitary Standards</w:t>
      </w:r>
      <w:r>
        <w:rPr>
          <w:noProof/>
        </w:rPr>
        <w:t>: SPS issues concern primarily EU trade with South Africa and are discussed mostly bilaterally with South Africa. Foremost among the issues related to the EU exports was the suspension of nearly all exports of EU poultry (which had reached over €200 billion in 2015 and 2016) by South Africa following the avian influenza (HPAI) outbreaks of the winter of 2016-2017. The Commission has been actively pressuring the South African authorities to recognise the HPAI-free status of Member States and to recognise regionalisation in future outbreaks instead of imposing country-wide bans. However, South Africa has made the re-opening of market conditional on audit visits to EU Member States, some of which took place in 2018. On that basis, South Africa has reopened trade from two of the eight banned Member States, but it has not indicated how it plans to proceed for the remaining six Member States. As regards to South African exports, South Africa regained market access on the EU territory for Ostrich meat in March 2019 (Annex of Decision 2011/163).</w:t>
      </w:r>
    </w:p>
    <w:p>
      <w:pPr>
        <w:jc w:val="both"/>
        <w:rPr>
          <w:noProof/>
        </w:rPr>
      </w:pPr>
    </w:p>
    <w:p>
      <w:pPr>
        <w:jc w:val="both"/>
        <w:rPr>
          <w:noProof/>
        </w:rPr>
      </w:pPr>
      <w:r>
        <w:rPr>
          <w:b/>
          <w:bCs/>
          <w:i/>
          <w:iCs/>
          <w:noProof/>
        </w:rPr>
        <w:t>Development Cooperation:</w:t>
      </w:r>
      <w:r>
        <w:rPr>
          <w:b/>
          <w:bCs/>
          <w:noProof/>
        </w:rPr>
        <w:t xml:space="preserve"> </w:t>
      </w:r>
      <w:r>
        <w:rPr>
          <w:noProof/>
        </w:rPr>
        <w:t>Trade-related technical assistance and other relevant support measures are an integral part of the EPA. Regional economic integration was a key focal sector under the 10</w:t>
      </w:r>
      <w:r>
        <w:rPr>
          <w:noProof/>
          <w:vertAlign w:val="superscript"/>
        </w:rPr>
        <w:t>th</w:t>
      </w:r>
      <w:r>
        <w:rPr>
          <w:noProof/>
        </w:rPr>
        <w:t xml:space="preserve"> European Development Fund (EDF) for the SADC region.</w:t>
      </w:r>
      <w:r>
        <w:rPr>
          <w:rStyle w:val="FootnoteReference"/>
          <w:noProof/>
        </w:rPr>
        <w:footnoteReference w:id="111"/>
      </w:r>
      <w:r>
        <w:rPr>
          <w:noProof/>
        </w:rPr>
        <w:t xml:space="preserve"> In 2018, implementation of the </w:t>
      </w:r>
      <w:r>
        <w:rPr>
          <w:b/>
          <w:bCs/>
          <w:noProof/>
        </w:rPr>
        <w:t>Trade Related Facility (TRF) (€32 million)</w:t>
      </w:r>
      <w:r>
        <w:rPr>
          <w:bCs/>
          <w:noProof/>
        </w:rPr>
        <w:t xml:space="preserve"> continued</w:t>
      </w:r>
      <w:r>
        <w:rPr>
          <w:noProof/>
        </w:rPr>
        <w:t>, supporting national administrations to better implement regional integration policies at national level, such as the SADC Trade Protocol.</w:t>
      </w:r>
    </w:p>
    <w:p>
      <w:pPr>
        <w:jc w:val="both"/>
        <w:rPr>
          <w:noProof/>
        </w:rPr>
      </w:pPr>
    </w:p>
    <w:p>
      <w:pPr>
        <w:jc w:val="both"/>
        <w:rPr>
          <w:noProof/>
        </w:rPr>
      </w:pPr>
      <w:r>
        <w:rPr>
          <w:noProof/>
        </w:rPr>
        <w:t xml:space="preserve">SADC Member States currently also implement the </w:t>
      </w:r>
      <w:r>
        <w:rPr>
          <w:b/>
          <w:bCs/>
          <w:noProof/>
        </w:rPr>
        <w:t>Eastern and Southern Africa Transport and Transit Facilitation Programme (€18 million):</w:t>
      </w:r>
      <w:r>
        <w:rPr>
          <w:noProof/>
        </w:rPr>
        <w:t xml:space="preserve"> This programme promotes the implementation of harmonised road transport policies, laws, regulations, systems and standards in the countries of the EA-SA region with the aim to facilitate increased trade.</w:t>
      </w:r>
    </w:p>
    <w:p>
      <w:pPr>
        <w:jc w:val="both"/>
        <w:rPr>
          <w:noProof/>
        </w:rPr>
      </w:pPr>
    </w:p>
    <w:p>
      <w:pPr>
        <w:jc w:val="both"/>
        <w:rPr>
          <w:noProof/>
          <w:u w:val="single"/>
        </w:rPr>
      </w:pPr>
      <w:r>
        <w:rPr>
          <w:noProof/>
        </w:rPr>
        <w:t>2018 was a transition phase, with the Regional Integration Support Programme (€20 million) under the 10</w:t>
      </w:r>
      <w:r>
        <w:rPr>
          <w:noProof/>
          <w:vertAlign w:val="superscript"/>
        </w:rPr>
        <w:t>th</w:t>
      </w:r>
      <w:r>
        <w:rPr>
          <w:noProof/>
        </w:rPr>
        <w:t xml:space="preserve"> EDF coming to an end and a number of </w:t>
      </w:r>
      <w:r>
        <w:rPr>
          <w:noProof/>
          <w:u w:val="single"/>
        </w:rPr>
        <w:t>regional programmes</w:t>
      </w:r>
      <w:r>
        <w:rPr>
          <w:noProof/>
        </w:rPr>
        <w:t xml:space="preserve"> to support trade and investment in the SADC region under the 11</w:t>
      </w:r>
      <w:r>
        <w:rPr>
          <w:noProof/>
          <w:vertAlign w:val="superscript"/>
        </w:rPr>
        <w:t>th</w:t>
      </w:r>
      <w:r>
        <w:rPr>
          <w:noProof/>
        </w:rPr>
        <w:t xml:space="preserve"> EDF currently </w:t>
      </w:r>
      <w:r>
        <w:rPr>
          <w:noProof/>
          <w:u w:val="single"/>
        </w:rPr>
        <w:t xml:space="preserve">in the pipeline: </w:t>
      </w:r>
    </w:p>
    <w:p>
      <w:pPr>
        <w:jc w:val="both"/>
        <w:rPr>
          <w:noProof/>
          <w:u w:val="single"/>
        </w:rPr>
      </w:pPr>
    </w:p>
    <w:p>
      <w:pPr>
        <w:jc w:val="both"/>
        <w:rPr>
          <w:noProof/>
        </w:rPr>
      </w:pPr>
      <w:r>
        <w:rPr>
          <w:b/>
          <w:bCs/>
          <w:noProof/>
        </w:rPr>
        <w:t>EU-SADC Support to Improving the Investment and the Business Environment in the SADC region (SIBE) (€14 million):</w:t>
      </w:r>
      <w:r>
        <w:rPr>
          <w:noProof/>
        </w:rPr>
        <w:t xml:space="preserve"> The programme will support the implementation of the SADC protocol on investment and finance. This programme will target the improvement of the investment policy framework and harmonisation in the region to facilitate and enhanced integration of financial markets. </w:t>
      </w:r>
    </w:p>
    <w:p>
      <w:pPr>
        <w:jc w:val="both"/>
        <w:rPr>
          <w:noProof/>
        </w:rPr>
      </w:pPr>
    </w:p>
    <w:p>
      <w:pPr>
        <w:jc w:val="both"/>
        <w:rPr>
          <w:noProof/>
        </w:rPr>
      </w:pPr>
      <w:r>
        <w:rPr>
          <w:b/>
          <w:bCs/>
          <w:noProof/>
        </w:rPr>
        <w:t>EU- SADC Support to Industrialisation and Productive Sectors in SADC Region (SIPS) (€18 million):</w:t>
      </w:r>
      <w:r>
        <w:rPr>
          <w:noProof/>
        </w:rPr>
        <w:t xml:space="preserve"> This programme will support the development of two regional value chains (leather and anti-retroviral) through the enhancement of the policy and regulatory environment along these two value chains and the improvement of the private sector participation. </w:t>
      </w:r>
    </w:p>
    <w:p>
      <w:pPr>
        <w:jc w:val="both"/>
        <w:rPr>
          <w:noProof/>
        </w:rPr>
      </w:pPr>
    </w:p>
    <w:p>
      <w:pPr>
        <w:jc w:val="both"/>
        <w:rPr>
          <w:noProof/>
        </w:rPr>
      </w:pPr>
      <w:r>
        <w:rPr>
          <w:b/>
          <w:bCs/>
          <w:noProof/>
        </w:rPr>
        <w:t>EU-SADC Trade Facilitation Programme (TFP)</w:t>
      </w:r>
      <w:r>
        <w:rPr>
          <w:noProof/>
        </w:rPr>
        <w:t xml:space="preserve"> </w:t>
      </w:r>
      <w:r>
        <w:rPr>
          <w:b/>
          <w:bCs/>
          <w:noProof/>
        </w:rPr>
        <w:t>(€15 million):</w:t>
      </w:r>
      <w:r>
        <w:rPr>
          <w:noProof/>
        </w:rPr>
        <w:t xml:space="preserve"> this programme will aim at reducing the cost of intraregional trade by enhancing the efficiency of border posts. It will harness the benefits from the EU-SADC Economic Partnership Agreement (EPA) as well as support implementation of trade facilitation measures at corridor level </w:t>
      </w:r>
    </w:p>
    <w:p>
      <w:pPr>
        <w:jc w:val="both"/>
        <w:rPr>
          <w:noProof/>
        </w:rPr>
      </w:pPr>
    </w:p>
    <w:p>
      <w:pPr>
        <w:jc w:val="both"/>
        <w:rPr>
          <w:noProof/>
          <w:u w:val="single"/>
        </w:rPr>
      </w:pPr>
      <w:r>
        <w:rPr>
          <w:noProof/>
        </w:rPr>
        <w:t xml:space="preserve">Furthermore, </w:t>
      </w:r>
      <w:r>
        <w:rPr>
          <w:noProof/>
          <w:u w:val="single"/>
        </w:rPr>
        <w:t>national programmes</w:t>
      </w:r>
      <w:r>
        <w:rPr>
          <w:noProof/>
        </w:rPr>
        <w:t xml:space="preserve"> to support EPA implementation more specifically are also </w:t>
      </w:r>
      <w:r>
        <w:rPr>
          <w:noProof/>
          <w:u w:val="single"/>
        </w:rPr>
        <w:t>under preparation:</w:t>
      </w:r>
    </w:p>
    <w:p>
      <w:pPr>
        <w:jc w:val="both"/>
        <w:rPr>
          <w:noProof/>
          <w:u w:val="single"/>
        </w:rPr>
      </w:pPr>
    </w:p>
    <w:p>
      <w:pPr>
        <w:jc w:val="both"/>
        <w:rPr>
          <w:noProof/>
        </w:rPr>
      </w:pPr>
      <w:r>
        <w:rPr>
          <w:noProof/>
        </w:rPr>
        <w:t xml:space="preserve">Each SADC EPA State has drawn up, jointly with the EU, </w:t>
      </w:r>
      <w:r>
        <w:rPr>
          <w:b/>
          <w:bCs/>
          <w:noProof/>
        </w:rPr>
        <w:t>National EPA Implementation Plans (NEIPs)</w:t>
      </w:r>
      <w:r>
        <w:rPr>
          <w:noProof/>
        </w:rPr>
        <w:t xml:space="preserve"> (some are still in the process of being finalized). The purpose is to identify necessary steps and measures to fully implement the EPA and maximize the contribution of the EPA to long-term sustainable development. Under the 11</w:t>
      </w:r>
      <w:r>
        <w:rPr>
          <w:noProof/>
          <w:vertAlign w:val="superscript"/>
        </w:rPr>
        <w:t>th</w:t>
      </w:r>
      <w:r>
        <w:rPr>
          <w:noProof/>
        </w:rPr>
        <w:t xml:space="preserve"> EDF, the EU will </w:t>
      </w:r>
      <w:r>
        <w:rPr>
          <w:b/>
          <w:bCs/>
          <w:noProof/>
        </w:rPr>
        <w:t>support the operationalization of the NEIPs with</w:t>
      </w:r>
      <w:r>
        <w:rPr>
          <w:noProof/>
        </w:rPr>
        <w:t xml:space="preserve"> </w:t>
      </w:r>
      <w:r>
        <w:rPr>
          <w:b/>
          <w:bCs/>
          <w:noProof/>
        </w:rPr>
        <w:t>€30 million</w:t>
      </w:r>
      <w:r>
        <w:rPr>
          <w:noProof/>
        </w:rPr>
        <w:t xml:space="preserve"> in Botswana, Eswatini, Lesotho, Mozambique and Namibia. Under the Development Cooperation Instrument (DCI), </w:t>
      </w:r>
      <w:r>
        <w:rPr>
          <w:b/>
          <w:bCs/>
          <w:noProof/>
        </w:rPr>
        <w:t xml:space="preserve">€10 million </w:t>
      </w:r>
      <w:r>
        <w:rPr>
          <w:noProof/>
        </w:rPr>
        <w:t xml:space="preserve">have been earmarked for the same purpose to South Africa. </w:t>
      </w:r>
    </w:p>
    <w:p>
      <w:pPr>
        <w:jc w:val="both"/>
        <w:rPr>
          <w:noProof/>
        </w:rPr>
      </w:pPr>
    </w:p>
    <w:p>
      <w:pPr>
        <w:jc w:val="both"/>
        <w:rPr>
          <w:noProof/>
        </w:rPr>
      </w:pPr>
      <w:r>
        <w:rPr>
          <w:noProof/>
        </w:rPr>
        <w:t xml:space="preserve">An EPA outreach project in </w:t>
      </w:r>
      <w:r>
        <w:rPr>
          <w:b/>
          <w:noProof/>
        </w:rPr>
        <w:t>South Africa</w:t>
      </w:r>
      <w:r>
        <w:rPr>
          <w:noProof/>
        </w:rPr>
        <w:t xml:space="preserve"> ended in February 2018 with great results, such as the SADC EPA outreach website, bringing together user-friendly and up-to-date information on the EPA from the different South African implementing institutions. The project also successfully organized the first civil society forum in 2017. A follow-up project (EU SA Partners for Growth, €3.5 million) was launched in October 2018, aiming at maximising bilateral trade and investment flows and strengthening EPA implementation. </w:t>
      </w:r>
    </w:p>
    <w:p>
      <w:pPr>
        <w:jc w:val="both"/>
        <w:rPr>
          <w:noProof/>
        </w:rPr>
      </w:pPr>
    </w:p>
    <w:p>
      <w:pPr>
        <w:jc w:val="both"/>
        <w:rPr>
          <w:noProof/>
        </w:rPr>
      </w:pPr>
      <w:r>
        <w:rPr>
          <w:noProof/>
        </w:rPr>
        <w:t xml:space="preserve">Finally, the EU maintains strong </w:t>
      </w:r>
      <w:r>
        <w:rPr>
          <w:noProof/>
          <w:u w:val="single"/>
        </w:rPr>
        <w:t>support to economic development at bilateral level</w:t>
      </w:r>
      <w:r>
        <w:rPr>
          <w:noProof/>
        </w:rPr>
        <w:t xml:space="preserve"> in all six SADC EPA States. The large bilateral portfolios in the six countries include projects on employment promotion, vocational education, private sector development, SME promotion, agricultural value chains, as well as renewable energy and transport infrastructure, among others.</w:t>
      </w:r>
    </w:p>
    <w:p>
      <w:pPr>
        <w:pStyle w:val="ManualHeading1"/>
      </w:pPr>
      <w:bookmarkStart w:id="4215" w:name="_Toc8833815"/>
      <w:bookmarkStart w:id="4216" w:name="_Toc8835642"/>
      <w:bookmarkStart w:id="4217" w:name="_Toc8834273"/>
      <w:bookmarkStart w:id="4218" w:name="_Toc8909734"/>
      <w:bookmarkStart w:id="4219" w:name="_Toc8910946"/>
      <w:bookmarkStart w:id="4220" w:name="_Toc8911983"/>
      <w:bookmarkStart w:id="4221" w:name="_Toc8974804"/>
      <w:bookmarkStart w:id="4222" w:name="_Toc9008457"/>
      <w:bookmarkStart w:id="4223" w:name="_Toc9008860"/>
      <w:bookmarkStart w:id="4224" w:name="_Toc9348856"/>
      <w:bookmarkStart w:id="4225" w:name="_Toc9608307"/>
      <w:bookmarkStart w:id="4226" w:name="_Toc16000864"/>
      <w:r>
        <w:t>5.</w:t>
      </w:r>
      <w:r>
        <w:tab/>
        <w:t>Progress made, main open issues and follow-up actions</w:t>
      </w:r>
      <w:bookmarkEnd w:id="4215"/>
      <w:bookmarkEnd w:id="4216"/>
      <w:bookmarkEnd w:id="4217"/>
      <w:bookmarkEnd w:id="4218"/>
      <w:bookmarkEnd w:id="4219"/>
      <w:bookmarkEnd w:id="4220"/>
      <w:bookmarkEnd w:id="4221"/>
      <w:bookmarkEnd w:id="4222"/>
      <w:bookmarkEnd w:id="4223"/>
      <w:bookmarkEnd w:id="4224"/>
      <w:bookmarkEnd w:id="4225"/>
      <w:bookmarkEnd w:id="4226"/>
    </w:p>
    <w:p>
      <w:pPr>
        <w:jc w:val="both"/>
        <w:rPr>
          <w:noProof/>
        </w:rPr>
      </w:pPr>
      <w:r>
        <w:rPr>
          <w:noProof/>
        </w:rPr>
        <w:t>2018 marks the first year in which the Agreement was provisionally applied between all parties, including Mozambique. Moreover, in the beginning of 2019, the Joint Council and the Trade and Development Committee adopted the institutional set-up of the Agreement. There are a number of outstanding issues with regard to the implementation of the EU-SADC EPA, as well as challenges ahead.</w:t>
      </w:r>
    </w:p>
    <w:p>
      <w:pPr>
        <w:jc w:val="both"/>
        <w:rPr>
          <w:noProof/>
        </w:rPr>
      </w:pPr>
    </w:p>
    <w:p>
      <w:pPr>
        <w:jc w:val="both"/>
        <w:rPr>
          <w:noProof/>
        </w:rPr>
      </w:pPr>
      <w:r>
        <w:rPr>
          <w:noProof/>
        </w:rPr>
        <w:t xml:space="preserve">The possibility to 'cumulate origin' between SADC EPA States, one of the key benefits of the Agreement, is not active yet. Cumulation of origin will allow SADC EPA states to fulfil origin requirements jointly and hence boost regional value chains. SADC EPA States have to notify (orally or in writing) the administrative cooperation agreements (a prerequisite for cumulating origin) that they have already put in place. </w:t>
      </w:r>
    </w:p>
    <w:p>
      <w:pPr>
        <w:jc w:val="both"/>
        <w:rPr>
          <w:noProof/>
        </w:rPr>
      </w:pPr>
    </w:p>
    <w:p>
      <w:pPr>
        <w:jc w:val="both"/>
        <w:rPr>
          <w:noProof/>
        </w:rPr>
      </w:pPr>
      <w:r>
        <w:rPr>
          <w:noProof/>
        </w:rPr>
        <w:t>In addition, differences of views about the interpretation of certain provisions of the Agreement will need to be resolved, particularly on a SACU safeguard measure, based on Article 34 of the EPA, on poultry imports from the EU and on the SACU tariffs that apply to specific textiles imports from the EU. The fact that the EPA’s chapter on dispute settlement and avoidance is now fully operational may be helpful in this regard.</w:t>
      </w:r>
    </w:p>
    <w:p>
      <w:pPr>
        <w:jc w:val="both"/>
        <w:rPr>
          <w:noProof/>
        </w:rPr>
      </w:pPr>
    </w:p>
    <w:p>
      <w:pPr>
        <w:jc w:val="both"/>
        <w:rPr>
          <w:noProof/>
        </w:rPr>
      </w:pPr>
      <w:r>
        <w:rPr>
          <w:noProof/>
        </w:rPr>
        <w:t>On SPS issues, South Africa regained market access on the EU territory for Ostrich meat (Annex of Decision 2011/163).</w:t>
      </w:r>
    </w:p>
    <w:p>
      <w:pPr>
        <w:jc w:val="both"/>
        <w:rPr>
          <w:noProof/>
        </w:rPr>
      </w:pPr>
    </w:p>
    <w:p>
      <w:pPr>
        <w:jc w:val="both"/>
        <w:rPr>
          <w:noProof/>
        </w:rPr>
      </w:pPr>
      <w:r>
        <w:rPr>
          <w:noProof/>
        </w:rPr>
        <w:t>Finally, work is ongoing to agree a mechanism to monitor the operation and impact of the Agreement and on a way to regularly involve non-state actors from all Parties in the monitoring process.</w:t>
      </w:r>
    </w:p>
    <w:p>
      <w:pPr>
        <w:pStyle w:val="ManualHeading1"/>
      </w:pPr>
      <w:bookmarkStart w:id="4227" w:name="_Toc8833816"/>
      <w:bookmarkStart w:id="4228" w:name="_Toc8835643"/>
      <w:bookmarkStart w:id="4229" w:name="_Toc8834274"/>
      <w:bookmarkStart w:id="4230" w:name="_Toc8909735"/>
      <w:bookmarkStart w:id="4231" w:name="_Toc8910947"/>
      <w:bookmarkStart w:id="4232" w:name="_Toc8911984"/>
      <w:bookmarkStart w:id="4233" w:name="_Toc8974805"/>
      <w:bookmarkStart w:id="4234" w:name="_Toc9008458"/>
      <w:bookmarkStart w:id="4235" w:name="_Toc9008861"/>
      <w:bookmarkStart w:id="4236" w:name="_Toc9348857"/>
      <w:bookmarkStart w:id="4237" w:name="_Toc9608308"/>
      <w:bookmarkStart w:id="4238" w:name="_Toc16000865"/>
      <w:r>
        <w:t>6.</w:t>
      </w:r>
      <w:r>
        <w:tab/>
        <w:t>Conclusions and outlook</w:t>
      </w:r>
      <w:bookmarkEnd w:id="4227"/>
      <w:bookmarkEnd w:id="4228"/>
      <w:bookmarkEnd w:id="4229"/>
      <w:bookmarkEnd w:id="4230"/>
      <w:bookmarkEnd w:id="4231"/>
      <w:bookmarkEnd w:id="4232"/>
      <w:bookmarkEnd w:id="4233"/>
      <w:bookmarkEnd w:id="4234"/>
      <w:bookmarkEnd w:id="4235"/>
      <w:bookmarkEnd w:id="4236"/>
      <w:bookmarkEnd w:id="4237"/>
      <w:bookmarkEnd w:id="4238"/>
    </w:p>
    <w:p>
      <w:pPr>
        <w:jc w:val="both"/>
        <w:rPr>
          <w:noProof/>
        </w:rPr>
      </w:pPr>
      <w:r>
        <w:rPr>
          <w:noProof/>
        </w:rPr>
        <w:t xml:space="preserve">Implementation of the EU-SADC EPA has reached full speed, with the parties progressing on multiple issues from the institutional set-up of the agreement to monitoring and civil society involvement. Trade figures are also positive, as SADC EPA States' exports to the EU are mostly increasing. In particular, South Africa is clearly benefitting from newly granted tariff and TRQ concessions. However, there are trade irritants particularly for EU exports to South Africa, poultry being the main priority, which the parties will need to resolve for the agreement to become successful.  In June 2019, the EU decided to request consultation with SACU under the bilateral dispute settlement regime to address the poultry issue. </w:t>
      </w:r>
    </w:p>
    <w:p>
      <w:pPr>
        <w:pStyle w:val="ManualHeading1"/>
      </w:pPr>
      <w:bookmarkStart w:id="4239" w:name="_Toc8833817"/>
      <w:bookmarkStart w:id="4240" w:name="_Toc8835644"/>
      <w:bookmarkStart w:id="4241" w:name="_Toc8834275"/>
      <w:bookmarkStart w:id="4242" w:name="_Toc8909736"/>
      <w:bookmarkStart w:id="4243" w:name="_Toc8910948"/>
      <w:bookmarkStart w:id="4244" w:name="_Toc8911985"/>
      <w:bookmarkStart w:id="4245" w:name="_Toc8974806"/>
      <w:bookmarkStart w:id="4246" w:name="_Toc9608309"/>
      <w:bookmarkStart w:id="4247" w:name="_Toc16000866"/>
      <w:r>
        <w:t>7.</w:t>
      </w:r>
      <w:r>
        <w:tab/>
        <w:t>Statistics</w:t>
      </w:r>
      <w:bookmarkStart w:id="4248" w:name="_Toc9008459"/>
      <w:bookmarkStart w:id="4249" w:name="_Toc9008862"/>
      <w:bookmarkStart w:id="4250" w:name="_Toc9348858"/>
      <w:bookmarkEnd w:id="4239"/>
      <w:bookmarkEnd w:id="4240"/>
      <w:bookmarkEnd w:id="4241"/>
      <w:bookmarkEnd w:id="4242"/>
      <w:bookmarkEnd w:id="4243"/>
      <w:bookmarkEnd w:id="4244"/>
      <w:bookmarkEnd w:id="4245"/>
      <w:bookmarkEnd w:id="4246"/>
      <w:bookmarkEnd w:id="4248"/>
      <w:bookmarkEnd w:id="4249"/>
      <w:bookmarkEnd w:id="4250"/>
      <w:bookmarkEnd w:id="4247"/>
    </w:p>
    <w:p>
      <w:pPr>
        <w:rPr>
          <w:b/>
          <w:noProof/>
        </w:rPr>
      </w:pPr>
      <w:r>
        <w:rPr>
          <w:b/>
          <w:noProof/>
        </w:rPr>
        <w:t>SADC EPA States (aggregate):</w:t>
      </w:r>
    </w:p>
    <w:p>
      <w:pPr>
        <w:pStyle w:val="ChapterHead"/>
        <w:spacing w:after="0"/>
        <w:jc w:val="both"/>
        <w:rPr>
          <w:b/>
          <w:noProof/>
        </w:rPr>
      </w:pPr>
      <w:bookmarkStart w:id="4251" w:name="_Toc9008515"/>
      <w:bookmarkStart w:id="4252" w:name="_Toc9008918"/>
      <w:bookmarkStart w:id="4253" w:name="_Toc9348914"/>
      <w:bookmarkStart w:id="4254" w:name="_Toc8833818"/>
      <w:bookmarkStart w:id="4255" w:name="_Toc8835645"/>
      <w:bookmarkStart w:id="4256" w:name="_Toc8834276"/>
      <w:bookmarkStart w:id="4257" w:name="_Toc8909737"/>
      <w:bookmarkStart w:id="4258" w:name="_Toc8910949"/>
      <w:bookmarkStart w:id="4259" w:name="_Toc8911986"/>
      <w:bookmarkStart w:id="4260" w:name="_Toc8974807"/>
      <w:bookmarkStart w:id="4261" w:name="_Toc9008460"/>
      <w:bookmarkStart w:id="4262" w:name="_Toc9008863"/>
      <w:bookmarkStart w:id="4263" w:name="_Toc9348859"/>
    </w:p>
    <w:tbl>
      <w:tblPr>
        <w:tblW w:w="8951" w:type="dxa"/>
        <w:tblInd w:w="108" w:type="dxa"/>
        <w:tblLook w:val="04A0" w:firstRow="1" w:lastRow="0" w:firstColumn="1" w:lastColumn="0" w:noHBand="0" w:noVBand="1"/>
      </w:tblPr>
      <w:tblGrid>
        <w:gridCol w:w="4377"/>
        <w:gridCol w:w="915"/>
        <w:gridCol w:w="915"/>
        <w:gridCol w:w="914"/>
        <w:gridCol w:w="915"/>
        <w:gridCol w:w="915"/>
      </w:tblGrid>
      <w:tr>
        <w:trPr>
          <w:trHeight w:val="179"/>
        </w:trPr>
        <w:tc>
          <w:tcPr>
            <w:tcW w:w="8951"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Merchandise trade EU28 with SADC EPA States 2014-2018</w:t>
            </w:r>
          </w:p>
        </w:tc>
      </w:tr>
      <w:tr>
        <w:trPr>
          <w:trHeight w:val="179"/>
        </w:trPr>
        <w:tc>
          <w:tcPr>
            <w:tcW w:w="4377" w:type="dxa"/>
            <w:tcBorders>
              <w:top w:val="single" w:sz="4" w:space="0" w:color="auto"/>
              <w:left w:val="nil"/>
              <w:bottom w:val="single" w:sz="4" w:space="0" w:color="auto"/>
              <w:right w:val="nil"/>
            </w:tcBorders>
            <w:shd w:val="clear" w:color="000000" w:fill="FFFFFF"/>
            <w:noWrap/>
            <w:vAlign w:val="bottom"/>
            <w:hideMark/>
          </w:tcPr>
          <w:p>
            <w:pPr>
              <w:rPr>
                <w:rFonts w:eastAsia="Times New Roman"/>
                <w:b/>
                <w:bCs/>
                <w:noProof/>
                <w:sz w:val="16"/>
                <w:szCs w:val="16"/>
                <w:lang w:eastAsia="en-GB"/>
              </w:rPr>
            </w:pPr>
            <w:r>
              <w:rPr>
                <w:rFonts w:eastAsia="Times New Roman"/>
                <w:b/>
                <w:bCs/>
                <w:noProof/>
                <w:sz w:val="16"/>
                <w:szCs w:val="16"/>
                <w:lang w:eastAsia="en-GB"/>
              </w:rPr>
              <w:t> </w:t>
            </w:r>
          </w:p>
        </w:tc>
        <w:tc>
          <w:tcPr>
            <w:tcW w:w="915"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2014</w:t>
            </w:r>
          </w:p>
        </w:tc>
        <w:tc>
          <w:tcPr>
            <w:tcW w:w="915"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2015</w:t>
            </w:r>
          </w:p>
        </w:tc>
        <w:tc>
          <w:tcPr>
            <w:tcW w:w="914"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2016</w:t>
            </w:r>
          </w:p>
        </w:tc>
        <w:tc>
          <w:tcPr>
            <w:tcW w:w="915"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2017</w:t>
            </w:r>
          </w:p>
        </w:tc>
        <w:tc>
          <w:tcPr>
            <w:tcW w:w="915"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2018</w:t>
            </w:r>
          </w:p>
        </w:tc>
      </w:tr>
      <w:tr>
        <w:trPr>
          <w:trHeight w:val="179"/>
        </w:trPr>
        <w:tc>
          <w:tcPr>
            <w:tcW w:w="4377"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EU28 trade with SADC EPA States (mio €)</w:t>
            </w:r>
          </w:p>
        </w:tc>
        <w:tc>
          <w:tcPr>
            <w:tcW w:w="915"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eastAsia="en-GB"/>
              </w:rPr>
            </w:pPr>
          </w:p>
        </w:tc>
        <w:tc>
          <w:tcPr>
            <w:tcW w:w="915"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 </w:t>
            </w:r>
          </w:p>
        </w:tc>
        <w:tc>
          <w:tcPr>
            <w:tcW w:w="914"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 </w:t>
            </w:r>
          </w:p>
        </w:tc>
        <w:tc>
          <w:tcPr>
            <w:tcW w:w="915"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 </w:t>
            </w:r>
          </w:p>
        </w:tc>
        <w:tc>
          <w:tcPr>
            <w:tcW w:w="915"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 </w:t>
            </w:r>
          </w:p>
        </w:tc>
      </w:tr>
      <w:tr>
        <w:trPr>
          <w:trHeight w:val="179"/>
        </w:trPr>
        <w:tc>
          <w:tcPr>
            <w:tcW w:w="4377"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Imports</w:t>
            </w:r>
          </w:p>
        </w:tc>
        <w:tc>
          <w:tcPr>
            <w:tcW w:w="91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23.088</w:t>
            </w:r>
          </w:p>
        </w:tc>
        <w:tc>
          <w:tcPr>
            <w:tcW w:w="91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23.769</w:t>
            </w:r>
          </w:p>
        </w:tc>
        <w:tc>
          <w:tcPr>
            <w:tcW w:w="91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27.917</w:t>
            </w:r>
          </w:p>
        </w:tc>
        <w:tc>
          <w:tcPr>
            <w:tcW w:w="91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27.436</w:t>
            </w:r>
          </w:p>
        </w:tc>
        <w:tc>
          <w:tcPr>
            <w:tcW w:w="91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28.952</w:t>
            </w:r>
          </w:p>
        </w:tc>
      </w:tr>
      <w:tr>
        <w:trPr>
          <w:trHeight w:val="179"/>
        </w:trPr>
        <w:tc>
          <w:tcPr>
            <w:tcW w:w="4377"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Exports</w:t>
            </w:r>
          </w:p>
        </w:tc>
        <w:tc>
          <w:tcPr>
            <w:tcW w:w="91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25.124</w:t>
            </w:r>
          </w:p>
        </w:tc>
        <w:tc>
          <w:tcPr>
            <w:tcW w:w="91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27.164</w:t>
            </w:r>
          </w:p>
        </w:tc>
        <w:tc>
          <w:tcPr>
            <w:tcW w:w="91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24.442</w:t>
            </w:r>
          </w:p>
        </w:tc>
        <w:tc>
          <w:tcPr>
            <w:tcW w:w="91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25.800</w:t>
            </w:r>
          </w:p>
        </w:tc>
        <w:tc>
          <w:tcPr>
            <w:tcW w:w="91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25.702</w:t>
            </w:r>
          </w:p>
        </w:tc>
      </w:tr>
      <w:tr>
        <w:trPr>
          <w:trHeight w:val="179"/>
        </w:trPr>
        <w:tc>
          <w:tcPr>
            <w:tcW w:w="4377"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Balance</w:t>
            </w:r>
          </w:p>
        </w:tc>
        <w:tc>
          <w:tcPr>
            <w:tcW w:w="91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2.036</w:t>
            </w:r>
          </w:p>
        </w:tc>
        <w:tc>
          <w:tcPr>
            <w:tcW w:w="91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3.395</w:t>
            </w:r>
          </w:p>
        </w:tc>
        <w:tc>
          <w:tcPr>
            <w:tcW w:w="91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-3.475</w:t>
            </w:r>
          </w:p>
        </w:tc>
        <w:tc>
          <w:tcPr>
            <w:tcW w:w="91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-1.636</w:t>
            </w:r>
          </w:p>
        </w:tc>
        <w:tc>
          <w:tcPr>
            <w:tcW w:w="91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-3.251</w:t>
            </w:r>
          </w:p>
        </w:tc>
      </w:tr>
      <w:tr>
        <w:trPr>
          <w:trHeight w:val="179"/>
        </w:trPr>
        <w:tc>
          <w:tcPr>
            <w:tcW w:w="4377"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Share SADC EPA States in EU28 trade with Extra-EU28</w:t>
            </w:r>
          </w:p>
        </w:tc>
        <w:tc>
          <w:tcPr>
            <w:tcW w:w="915"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eastAsia="en-GB"/>
              </w:rPr>
            </w:pPr>
          </w:p>
        </w:tc>
        <w:tc>
          <w:tcPr>
            <w:tcW w:w="915"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 </w:t>
            </w:r>
          </w:p>
        </w:tc>
        <w:tc>
          <w:tcPr>
            <w:tcW w:w="914"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 </w:t>
            </w:r>
          </w:p>
        </w:tc>
        <w:tc>
          <w:tcPr>
            <w:tcW w:w="915"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 </w:t>
            </w:r>
          </w:p>
        </w:tc>
        <w:tc>
          <w:tcPr>
            <w:tcW w:w="915"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 </w:t>
            </w:r>
          </w:p>
        </w:tc>
      </w:tr>
      <w:tr>
        <w:trPr>
          <w:trHeight w:val="179"/>
        </w:trPr>
        <w:tc>
          <w:tcPr>
            <w:tcW w:w="4377"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Imports</w:t>
            </w:r>
          </w:p>
        </w:tc>
        <w:tc>
          <w:tcPr>
            <w:tcW w:w="91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1,4%</w:t>
            </w:r>
          </w:p>
        </w:tc>
        <w:tc>
          <w:tcPr>
            <w:tcW w:w="91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1,4%</w:t>
            </w:r>
          </w:p>
        </w:tc>
        <w:tc>
          <w:tcPr>
            <w:tcW w:w="91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1,6%</w:t>
            </w:r>
          </w:p>
        </w:tc>
        <w:tc>
          <w:tcPr>
            <w:tcW w:w="91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1,5%</w:t>
            </w:r>
          </w:p>
        </w:tc>
        <w:tc>
          <w:tcPr>
            <w:tcW w:w="91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1,5%</w:t>
            </w:r>
          </w:p>
        </w:tc>
      </w:tr>
      <w:tr>
        <w:trPr>
          <w:trHeight w:val="179"/>
        </w:trPr>
        <w:tc>
          <w:tcPr>
            <w:tcW w:w="4377"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Exports</w:t>
            </w:r>
          </w:p>
        </w:tc>
        <w:tc>
          <w:tcPr>
            <w:tcW w:w="91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1,5%</w:t>
            </w:r>
          </w:p>
        </w:tc>
        <w:tc>
          <w:tcPr>
            <w:tcW w:w="91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1,5%</w:t>
            </w:r>
          </w:p>
        </w:tc>
        <w:tc>
          <w:tcPr>
            <w:tcW w:w="91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1,4%</w:t>
            </w:r>
          </w:p>
        </w:tc>
        <w:tc>
          <w:tcPr>
            <w:tcW w:w="91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1,4%</w:t>
            </w:r>
          </w:p>
        </w:tc>
        <w:tc>
          <w:tcPr>
            <w:tcW w:w="91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1,3%</w:t>
            </w:r>
          </w:p>
        </w:tc>
      </w:tr>
      <w:tr>
        <w:trPr>
          <w:trHeight w:val="179"/>
        </w:trPr>
        <w:tc>
          <w:tcPr>
            <w:tcW w:w="4377"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Total (I+E)</w:t>
            </w:r>
          </w:p>
        </w:tc>
        <w:tc>
          <w:tcPr>
            <w:tcW w:w="91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1,4%</w:t>
            </w:r>
          </w:p>
        </w:tc>
        <w:tc>
          <w:tcPr>
            <w:tcW w:w="91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1,4%</w:t>
            </w:r>
          </w:p>
        </w:tc>
        <w:tc>
          <w:tcPr>
            <w:tcW w:w="91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1,5%</w:t>
            </w:r>
          </w:p>
        </w:tc>
        <w:tc>
          <w:tcPr>
            <w:tcW w:w="91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1,4%</w:t>
            </w:r>
          </w:p>
        </w:tc>
        <w:tc>
          <w:tcPr>
            <w:tcW w:w="91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1,4%</w:t>
            </w:r>
          </w:p>
        </w:tc>
      </w:tr>
      <w:tr>
        <w:trPr>
          <w:trHeight w:val="191"/>
        </w:trPr>
        <w:tc>
          <w:tcPr>
            <w:tcW w:w="6207" w:type="dxa"/>
            <w:gridSpan w:val="3"/>
            <w:tcBorders>
              <w:top w:val="single" w:sz="4" w:space="0" w:color="auto"/>
              <w:left w:val="nil"/>
              <w:bottom w:val="nil"/>
              <w:right w:val="nil"/>
            </w:tcBorders>
            <w:shd w:val="clear" w:color="000000" w:fill="FFFFFF"/>
            <w:noWrap/>
            <w:vAlign w:val="bottom"/>
            <w:hideMark/>
          </w:tcPr>
          <w:p>
            <w:pPr>
              <w:rPr>
                <w:rFonts w:eastAsia="Times New Roman"/>
                <w:noProof/>
                <w:sz w:val="12"/>
                <w:szCs w:val="12"/>
                <w:lang w:eastAsia="en-GB"/>
              </w:rPr>
            </w:pPr>
            <w:r>
              <w:rPr>
                <w:rFonts w:eastAsia="Times New Roman"/>
                <w:noProof/>
                <w:sz w:val="12"/>
                <w:szCs w:val="12"/>
                <w:lang w:eastAsia="en-GB"/>
              </w:rPr>
              <w:t xml:space="preserve">Source Trade G2 Statistics/ISDB </w:t>
            </w:r>
          </w:p>
        </w:tc>
        <w:tc>
          <w:tcPr>
            <w:tcW w:w="914"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eastAsia="en-GB"/>
              </w:rPr>
            </w:pPr>
            <w:r>
              <w:rPr>
                <w:rFonts w:eastAsia="Times New Roman"/>
                <w:noProof/>
                <w:sz w:val="18"/>
                <w:szCs w:val="18"/>
                <w:lang w:eastAsia="en-GB"/>
              </w:rPr>
              <w:t> </w:t>
            </w:r>
          </w:p>
        </w:tc>
        <w:tc>
          <w:tcPr>
            <w:tcW w:w="915"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eastAsia="en-GB"/>
              </w:rPr>
            </w:pPr>
            <w:r>
              <w:rPr>
                <w:rFonts w:eastAsia="Times New Roman"/>
                <w:noProof/>
                <w:sz w:val="18"/>
                <w:szCs w:val="18"/>
                <w:lang w:eastAsia="en-GB"/>
              </w:rPr>
              <w:t> </w:t>
            </w:r>
          </w:p>
        </w:tc>
        <w:tc>
          <w:tcPr>
            <w:tcW w:w="915" w:type="dxa"/>
            <w:tcBorders>
              <w:top w:val="single" w:sz="4" w:space="0" w:color="auto"/>
              <w:left w:val="nil"/>
              <w:bottom w:val="nil"/>
              <w:right w:val="nil"/>
            </w:tcBorders>
            <w:shd w:val="clear" w:color="000000" w:fill="FFFFFF"/>
            <w:noWrap/>
            <w:hideMark/>
          </w:tcPr>
          <w:p>
            <w:pPr>
              <w:jc w:val="right"/>
              <w:rPr>
                <w:rFonts w:eastAsia="Times New Roman"/>
                <w:noProof/>
                <w:sz w:val="12"/>
                <w:szCs w:val="12"/>
                <w:lang w:eastAsia="en-GB"/>
              </w:rPr>
            </w:pPr>
            <w:r>
              <w:rPr>
                <w:rFonts w:eastAsia="Times New Roman"/>
                <w:noProof/>
                <w:sz w:val="12"/>
                <w:szCs w:val="12"/>
                <w:lang w:eastAsia="en-GB"/>
              </w:rPr>
              <w:t>25-mars-19</w:t>
            </w:r>
          </w:p>
        </w:tc>
      </w:tr>
      <w:tr>
        <w:trPr>
          <w:trHeight w:val="179"/>
        </w:trPr>
        <w:tc>
          <w:tcPr>
            <w:tcW w:w="8036" w:type="dxa"/>
            <w:gridSpan w:val="5"/>
            <w:tcBorders>
              <w:top w:val="nil"/>
              <w:left w:val="nil"/>
              <w:bottom w:val="nil"/>
              <w:right w:val="nil"/>
            </w:tcBorders>
            <w:shd w:val="clear" w:color="000000" w:fill="FFFFFF"/>
            <w:noWrap/>
            <w:hideMark/>
          </w:tcPr>
          <w:p>
            <w:pPr>
              <w:rPr>
                <w:rFonts w:eastAsia="Times New Roman"/>
                <w:noProof/>
                <w:color w:val="000000"/>
                <w:sz w:val="12"/>
                <w:szCs w:val="12"/>
                <w:lang w:eastAsia="en-GB"/>
              </w:rPr>
            </w:pPr>
            <w:r>
              <w:rPr>
                <w:rFonts w:eastAsia="Times New Roman"/>
                <w:noProof/>
                <w:color w:val="000000"/>
                <w:sz w:val="12"/>
                <w:szCs w:val="12"/>
                <w:lang w:eastAsia="en-GB"/>
              </w:rPr>
              <w:t>Trade EU28: Eurostat COMEXT;  Trade EPA SADC: IMF Dots</w:t>
            </w:r>
          </w:p>
        </w:tc>
        <w:tc>
          <w:tcPr>
            <w:tcW w:w="915" w:type="dxa"/>
            <w:tcBorders>
              <w:top w:val="nil"/>
              <w:left w:val="nil"/>
              <w:bottom w:val="nil"/>
              <w:right w:val="nil"/>
            </w:tcBorders>
            <w:shd w:val="clear" w:color="000000" w:fill="FFFFFF"/>
            <w:noWrap/>
            <w:vAlign w:val="bottom"/>
            <w:hideMark/>
          </w:tcPr>
          <w:p>
            <w:pPr>
              <w:rPr>
                <w:rFonts w:eastAsia="Times New Roman"/>
                <w:noProof/>
                <w:color w:val="000000"/>
                <w:sz w:val="16"/>
                <w:szCs w:val="16"/>
                <w:lang w:eastAsia="en-GB"/>
              </w:rPr>
            </w:pPr>
            <w:r>
              <w:rPr>
                <w:rFonts w:eastAsia="Times New Roman"/>
                <w:noProof/>
                <w:color w:val="000000"/>
                <w:sz w:val="16"/>
                <w:szCs w:val="16"/>
                <w:lang w:eastAsia="en-GB"/>
              </w:rPr>
              <w:t> </w:t>
            </w:r>
          </w:p>
        </w:tc>
      </w:tr>
      <w:tr>
        <w:trPr>
          <w:trHeight w:val="179"/>
        </w:trPr>
        <w:tc>
          <w:tcPr>
            <w:tcW w:w="4377" w:type="dxa"/>
            <w:tcBorders>
              <w:top w:val="nil"/>
              <w:left w:val="nil"/>
              <w:bottom w:val="nil"/>
              <w:right w:val="nil"/>
            </w:tcBorders>
            <w:shd w:val="clear" w:color="000000" w:fill="FFFFFF"/>
            <w:noWrap/>
            <w:vAlign w:val="bottom"/>
            <w:hideMark/>
          </w:tcPr>
          <w:p>
            <w:pPr>
              <w:rPr>
                <w:rFonts w:eastAsia="Times New Roman"/>
                <w:noProof/>
                <w:color w:val="000000"/>
                <w:sz w:val="16"/>
                <w:szCs w:val="16"/>
                <w:lang w:eastAsia="en-GB"/>
              </w:rPr>
            </w:pPr>
            <w:r>
              <w:rPr>
                <w:rFonts w:eastAsia="Times New Roman"/>
                <w:noProof/>
                <w:color w:val="000000"/>
                <w:sz w:val="16"/>
                <w:szCs w:val="16"/>
                <w:lang w:eastAsia="en-GB"/>
              </w:rPr>
              <w:t> </w:t>
            </w:r>
          </w:p>
        </w:tc>
        <w:tc>
          <w:tcPr>
            <w:tcW w:w="915" w:type="dxa"/>
            <w:tcBorders>
              <w:top w:val="nil"/>
              <w:left w:val="nil"/>
              <w:bottom w:val="nil"/>
              <w:right w:val="nil"/>
            </w:tcBorders>
            <w:shd w:val="clear" w:color="000000" w:fill="FFFFFF"/>
            <w:noWrap/>
            <w:vAlign w:val="bottom"/>
            <w:hideMark/>
          </w:tcPr>
          <w:p>
            <w:pPr>
              <w:rPr>
                <w:rFonts w:eastAsia="Times New Roman"/>
                <w:noProof/>
                <w:color w:val="000000"/>
                <w:sz w:val="16"/>
                <w:szCs w:val="16"/>
                <w:lang w:eastAsia="en-GB"/>
              </w:rPr>
            </w:pPr>
            <w:r>
              <w:rPr>
                <w:rFonts w:eastAsia="Times New Roman"/>
                <w:noProof/>
                <w:color w:val="000000"/>
                <w:sz w:val="16"/>
                <w:szCs w:val="16"/>
                <w:lang w:eastAsia="en-GB"/>
              </w:rPr>
              <w:t> </w:t>
            </w:r>
          </w:p>
        </w:tc>
        <w:tc>
          <w:tcPr>
            <w:tcW w:w="915" w:type="dxa"/>
            <w:tcBorders>
              <w:top w:val="nil"/>
              <w:left w:val="nil"/>
              <w:bottom w:val="nil"/>
              <w:right w:val="nil"/>
            </w:tcBorders>
            <w:shd w:val="clear" w:color="000000" w:fill="FFFFFF"/>
            <w:noWrap/>
            <w:vAlign w:val="bottom"/>
            <w:hideMark/>
          </w:tcPr>
          <w:p>
            <w:pPr>
              <w:rPr>
                <w:rFonts w:eastAsia="Times New Roman"/>
                <w:noProof/>
                <w:color w:val="000000"/>
                <w:sz w:val="16"/>
                <w:szCs w:val="16"/>
                <w:lang w:eastAsia="en-GB"/>
              </w:rPr>
            </w:pPr>
            <w:r>
              <w:rPr>
                <w:rFonts w:eastAsia="Times New Roman"/>
                <w:noProof/>
                <w:color w:val="000000"/>
                <w:sz w:val="16"/>
                <w:szCs w:val="16"/>
                <w:lang w:eastAsia="en-GB"/>
              </w:rPr>
              <w:t> </w:t>
            </w:r>
          </w:p>
        </w:tc>
        <w:tc>
          <w:tcPr>
            <w:tcW w:w="914" w:type="dxa"/>
            <w:tcBorders>
              <w:top w:val="nil"/>
              <w:left w:val="nil"/>
              <w:bottom w:val="nil"/>
              <w:right w:val="nil"/>
            </w:tcBorders>
            <w:shd w:val="clear" w:color="000000" w:fill="FFFFFF"/>
            <w:noWrap/>
            <w:vAlign w:val="bottom"/>
            <w:hideMark/>
          </w:tcPr>
          <w:p>
            <w:pPr>
              <w:rPr>
                <w:rFonts w:eastAsia="Times New Roman"/>
                <w:noProof/>
                <w:color w:val="000000"/>
                <w:sz w:val="16"/>
                <w:szCs w:val="16"/>
                <w:lang w:eastAsia="en-GB"/>
              </w:rPr>
            </w:pPr>
            <w:r>
              <w:rPr>
                <w:rFonts w:eastAsia="Times New Roman"/>
                <w:noProof/>
                <w:color w:val="000000"/>
                <w:sz w:val="16"/>
                <w:szCs w:val="16"/>
                <w:lang w:eastAsia="en-GB"/>
              </w:rPr>
              <w:t> </w:t>
            </w:r>
          </w:p>
        </w:tc>
        <w:tc>
          <w:tcPr>
            <w:tcW w:w="915" w:type="dxa"/>
            <w:tcBorders>
              <w:top w:val="nil"/>
              <w:left w:val="nil"/>
              <w:bottom w:val="nil"/>
              <w:right w:val="nil"/>
            </w:tcBorders>
            <w:shd w:val="clear" w:color="000000" w:fill="FFFFFF"/>
            <w:noWrap/>
            <w:vAlign w:val="bottom"/>
            <w:hideMark/>
          </w:tcPr>
          <w:p>
            <w:pPr>
              <w:rPr>
                <w:rFonts w:eastAsia="Times New Roman"/>
                <w:noProof/>
                <w:color w:val="000000"/>
                <w:sz w:val="16"/>
                <w:szCs w:val="16"/>
                <w:lang w:eastAsia="en-GB"/>
              </w:rPr>
            </w:pPr>
            <w:r>
              <w:rPr>
                <w:rFonts w:eastAsia="Times New Roman"/>
                <w:noProof/>
                <w:color w:val="000000"/>
                <w:sz w:val="16"/>
                <w:szCs w:val="16"/>
                <w:lang w:eastAsia="en-GB"/>
              </w:rPr>
              <w:t> </w:t>
            </w:r>
          </w:p>
        </w:tc>
        <w:tc>
          <w:tcPr>
            <w:tcW w:w="915" w:type="dxa"/>
            <w:tcBorders>
              <w:top w:val="nil"/>
              <w:left w:val="nil"/>
              <w:bottom w:val="nil"/>
              <w:right w:val="nil"/>
            </w:tcBorders>
            <w:shd w:val="clear" w:color="000000" w:fill="FFFFFF"/>
            <w:noWrap/>
            <w:vAlign w:val="bottom"/>
            <w:hideMark/>
          </w:tcPr>
          <w:p>
            <w:pPr>
              <w:rPr>
                <w:rFonts w:eastAsia="Times New Roman"/>
                <w:noProof/>
                <w:color w:val="000000"/>
                <w:sz w:val="16"/>
                <w:szCs w:val="16"/>
                <w:lang w:eastAsia="en-GB"/>
              </w:rPr>
            </w:pPr>
            <w:r>
              <w:rPr>
                <w:rFonts w:eastAsia="Times New Roman"/>
                <w:noProof/>
                <w:color w:val="000000"/>
                <w:sz w:val="16"/>
                <w:szCs w:val="16"/>
                <w:lang w:eastAsia="en-GB"/>
              </w:rPr>
              <w:t> </w:t>
            </w:r>
          </w:p>
        </w:tc>
      </w:tr>
      <w:tr>
        <w:trPr>
          <w:trHeight w:val="191"/>
        </w:trPr>
        <w:tc>
          <w:tcPr>
            <w:tcW w:w="8951"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Growth of merchandise trade EU28 with SADC EPA States (mio €)</w:t>
            </w:r>
          </w:p>
        </w:tc>
      </w:tr>
      <w:tr>
        <w:trPr>
          <w:trHeight w:val="191"/>
        </w:trPr>
        <w:tc>
          <w:tcPr>
            <w:tcW w:w="5292"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eastAsia="en-GB"/>
              </w:rPr>
            </w:pPr>
            <w:r>
              <w:rPr>
                <w:rFonts w:eastAsia="Times New Roman"/>
                <w:b/>
                <w:bCs/>
                <w:noProof/>
                <w:sz w:val="16"/>
                <w:szCs w:val="16"/>
                <w:lang w:eastAsia="en-GB"/>
              </w:rPr>
              <w:t>EPA SADC</w:t>
            </w:r>
          </w:p>
        </w:tc>
        <w:tc>
          <w:tcPr>
            <w:tcW w:w="915"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2017</w:t>
            </w:r>
          </w:p>
        </w:tc>
        <w:tc>
          <w:tcPr>
            <w:tcW w:w="914"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2018</w:t>
            </w:r>
          </w:p>
        </w:tc>
        <w:tc>
          <w:tcPr>
            <w:tcW w:w="1830"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Growth</w:t>
            </w:r>
          </w:p>
        </w:tc>
      </w:tr>
      <w:tr>
        <w:trPr>
          <w:trHeight w:val="191"/>
        </w:trPr>
        <w:tc>
          <w:tcPr>
            <w:tcW w:w="5292"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915"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914"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915"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mio €</w:t>
            </w:r>
          </w:p>
        </w:tc>
        <w:tc>
          <w:tcPr>
            <w:tcW w:w="915"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annual %</w:t>
            </w:r>
          </w:p>
        </w:tc>
      </w:tr>
      <w:tr>
        <w:trPr>
          <w:trHeight w:val="191"/>
        </w:trPr>
        <w:tc>
          <w:tcPr>
            <w:tcW w:w="4377"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Imports</w:t>
            </w:r>
          </w:p>
        </w:tc>
        <w:tc>
          <w:tcPr>
            <w:tcW w:w="915"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91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27.436</w:t>
            </w:r>
          </w:p>
        </w:tc>
        <w:tc>
          <w:tcPr>
            <w:tcW w:w="91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28.952</w:t>
            </w:r>
          </w:p>
        </w:tc>
        <w:tc>
          <w:tcPr>
            <w:tcW w:w="91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1.516</w:t>
            </w:r>
          </w:p>
        </w:tc>
        <w:tc>
          <w:tcPr>
            <w:tcW w:w="91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5,5%</w:t>
            </w:r>
          </w:p>
        </w:tc>
      </w:tr>
      <w:tr>
        <w:trPr>
          <w:trHeight w:val="191"/>
        </w:trPr>
        <w:tc>
          <w:tcPr>
            <w:tcW w:w="4377"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Exports</w:t>
            </w:r>
          </w:p>
        </w:tc>
        <w:tc>
          <w:tcPr>
            <w:tcW w:w="915"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91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25.800</w:t>
            </w:r>
          </w:p>
        </w:tc>
        <w:tc>
          <w:tcPr>
            <w:tcW w:w="91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25.702</w:t>
            </w:r>
          </w:p>
        </w:tc>
        <w:tc>
          <w:tcPr>
            <w:tcW w:w="91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-98</w:t>
            </w:r>
          </w:p>
        </w:tc>
        <w:tc>
          <w:tcPr>
            <w:tcW w:w="91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-0,4%</w:t>
            </w:r>
          </w:p>
        </w:tc>
      </w:tr>
      <w:tr>
        <w:trPr>
          <w:trHeight w:val="191"/>
        </w:trPr>
        <w:tc>
          <w:tcPr>
            <w:tcW w:w="4377"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Balance</w:t>
            </w:r>
          </w:p>
        </w:tc>
        <w:tc>
          <w:tcPr>
            <w:tcW w:w="915"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91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-1.636</w:t>
            </w:r>
          </w:p>
        </w:tc>
        <w:tc>
          <w:tcPr>
            <w:tcW w:w="91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-3.251</w:t>
            </w:r>
          </w:p>
        </w:tc>
        <w:tc>
          <w:tcPr>
            <w:tcW w:w="91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-1.614</w:t>
            </w:r>
          </w:p>
        </w:tc>
        <w:tc>
          <w:tcPr>
            <w:tcW w:w="915"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r>
      <w:tr>
        <w:trPr>
          <w:trHeight w:val="191"/>
        </w:trPr>
        <w:tc>
          <w:tcPr>
            <w:tcW w:w="4377"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Total trade</w:t>
            </w:r>
          </w:p>
        </w:tc>
        <w:tc>
          <w:tcPr>
            <w:tcW w:w="915"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915"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53.235</w:t>
            </w:r>
          </w:p>
        </w:tc>
        <w:tc>
          <w:tcPr>
            <w:tcW w:w="914"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54.654</w:t>
            </w:r>
          </w:p>
        </w:tc>
        <w:tc>
          <w:tcPr>
            <w:tcW w:w="915"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1.418</w:t>
            </w:r>
          </w:p>
        </w:tc>
        <w:tc>
          <w:tcPr>
            <w:tcW w:w="915"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2,7%</w:t>
            </w:r>
          </w:p>
        </w:tc>
      </w:tr>
      <w:tr>
        <w:trPr>
          <w:trHeight w:val="204"/>
        </w:trPr>
        <w:tc>
          <w:tcPr>
            <w:tcW w:w="7121"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eastAsia="en-GB"/>
              </w:rPr>
            </w:pPr>
            <w:r>
              <w:rPr>
                <w:rFonts w:eastAsia="Times New Roman"/>
                <w:noProof/>
                <w:sz w:val="12"/>
                <w:szCs w:val="12"/>
                <w:lang w:eastAsia="en-GB"/>
              </w:rPr>
              <w:t>Source Trade G2 Statistics/ISDB from Eurostat COMEXT</w:t>
            </w:r>
          </w:p>
        </w:tc>
        <w:tc>
          <w:tcPr>
            <w:tcW w:w="915" w:type="dxa"/>
            <w:tcBorders>
              <w:top w:val="nil"/>
              <w:left w:val="nil"/>
              <w:bottom w:val="nil"/>
              <w:right w:val="nil"/>
            </w:tcBorders>
            <w:shd w:val="clear" w:color="000000" w:fill="FFFFFF"/>
            <w:noWrap/>
            <w:vAlign w:val="bottom"/>
            <w:hideMark/>
          </w:tcPr>
          <w:p>
            <w:pPr>
              <w:rPr>
                <w:rFonts w:eastAsia="Times New Roman"/>
                <w:noProof/>
                <w:sz w:val="18"/>
                <w:szCs w:val="18"/>
                <w:lang w:eastAsia="en-GB"/>
              </w:rPr>
            </w:pPr>
            <w:r>
              <w:rPr>
                <w:rFonts w:eastAsia="Times New Roman"/>
                <w:noProof/>
                <w:sz w:val="18"/>
                <w:szCs w:val="18"/>
                <w:lang w:eastAsia="en-GB"/>
              </w:rPr>
              <w:t> </w:t>
            </w:r>
          </w:p>
        </w:tc>
        <w:tc>
          <w:tcPr>
            <w:tcW w:w="915" w:type="dxa"/>
            <w:tcBorders>
              <w:top w:val="nil"/>
              <w:left w:val="nil"/>
              <w:bottom w:val="nil"/>
              <w:right w:val="nil"/>
            </w:tcBorders>
            <w:shd w:val="clear" w:color="000000" w:fill="FFFFFF"/>
            <w:noWrap/>
            <w:vAlign w:val="bottom"/>
            <w:hideMark/>
          </w:tcPr>
          <w:p>
            <w:pPr>
              <w:rPr>
                <w:rFonts w:eastAsia="Times New Roman"/>
                <w:noProof/>
                <w:sz w:val="18"/>
                <w:szCs w:val="18"/>
                <w:lang w:eastAsia="en-GB"/>
              </w:rPr>
            </w:pPr>
            <w:r>
              <w:rPr>
                <w:rFonts w:eastAsia="Times New Roman"/>
                <w:noProof/>
                <w:sz w:val="18"/>
                <w:szCs w:val="18"/>
                <w:lang w:eastAsia="en-GB"/>
              </w:rPr>
              <w:t> </w:t>
            </w:r>
          </w:p>
        </w:tc>
      </w:tr>
      <w:tr>
        <w:trPr>
          <w:trHeight w:val="191"/>
        </w:trPr>
        <w:tc>
          <w:tcPr>
            <w:tcW w:w="8951"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Agrifood trade EU28 with SADC EPA States (mio €)</w:t>
            </w:r>
          </w:p>
        </w:tc>
      </w:tr>
      <w:tr>
        <w:trPr>
          <w:trHeight w:val="217"/>
        </w:trPr>
        <w:tc>
          <w:tcPr>
            <w:tcW w:w="5292"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eastAsia="en-GB"/>
              </w:rPr>
            </w:pPr>
            <w:r>
              <w:rPr>
                <w:rFonts w:eastAsia="Times New Roman"/>
                <w:b/>
                <w:bCs/>
                <w:noProof/>
                <w:sz w:val="16"/>
                <w:szCs w:val="16"/>
                <w:lang w:eastAsia="en-GB"/>
              </w:rPr>
              <w:t>EPA SADC</w:t>
            </w:r>
          </w:p>
        </w:tc>
        <w:tc>
          <w:tcPr>
            <w:tcW w:w="915"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2017</w:t>
            </w:r>
          </w:p>
        </w:tc>
        <w:tc>
          <w:tcPr>
            <w:tcW w:w="914"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2018</w:t>
            </w:r>
          </w:p>
        </w:tc>
        <w:tc>
          <w:tcPr>
            <w:tcW w:w="1830"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Growth</w:t>
            </w:r>
          </w:p>
        </w:tc>
      </w:tr>
      <w:tr>
        <w:trPr>
          <w:trHeight w:val="191"/>
        </w:trPr>
        <w:tc>
          <w:tcPr>
            <w:tcW w:w="5292"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915"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914"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915"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mio €</w:t>
            </w:r>
          </w:p>
        </w:tc>
        <w:tc>
          <w:tcPr>
            <w:tcW w:w="915"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annual %</w:t>
            </w:r>
          </w:p>
        </w:tc>
      </w:tr>
      <w:tr>
        <w:trPr>
          <w:trHeight w:val="191"/>
        </w:trPr>
        <w:tc>
          <w:tcPr>
            <w:tcW w:w="4377"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Imports</w:t>
            </w:r>
          </w:p>
        </w:tc>
        <w:tc>
          <w:tcPr>
            <w:tcW w:w="915"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91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3.078</w:t>
            </w:r>
          </w:p>
        </w:tc>
        <w:tc>
          <w:tcPr>
            <w:tcW w:w="91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3.254</w:t>
            </w:r>
          </w:p>
        </w:tc>
        <w:tc>
          <w:tcPr>
            <w:tcW w:w="91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176</w:t>
            </w:r>
          </w:p>
        </w:tc>
        <w:tc>
          <w:tcPr>
            <w:tcW w:w="91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5,7%</w:t>
            </w:r>
          </w:p>
        </w:tc>
      </w:tr>
      <w:tr>
        <w:trPr>
          <w:trHeight w:val="191"/>
        </w:trPr>
        <w:tc>
          <w:tcPr>
            <w:tcW w:w="4377"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Exports</w:t>
            </w:r>
          </w:p>
        </w:tc>
        <w:tc>
          <w:tcPr>
            <w:tcW w:w="915"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91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1.941</w:t>
            </w:r>
          </w:p>
        </w:tc>
        <w:tc>
          <w:tcPr>
            <w:tcW w:w="91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1.847</w:t>
            </w:r>
          </w:p>
        </w:tc>
        <w:tc>
          <w:tcPr>
            <w:tcW w:w="91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-94</w:t>
            </w:r>
          </w:p>
        </w:tc>
        <w:tc>
          <w:tcPr>
            <w:tcW w:w="91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-4,8%</w:t>
            </w:r>
          </w:p>
        </w:tc>
      </w:tr>
      <w:tr>
        <w:trPr>
          <w:trHeight w:val="191"/>
        </w:trPr>
        <w:tc>
          <w:tcPr>
            <w:tcW w:w="4377"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Balance</w:t>
            </w:r>
          </w:p>
        </w:tc>
        <w:tc>
          <w:tcPr>
            <w:tcW w:w="915"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91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-1.138</w:t>
            </w:r>
          </w:p>
        </w:tc>
        <w:tc>
          <w:tcPr>
            <w:tcW w:w="91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-1.407</w:t>
            </w:r>
          </w:p>
        </w:tc>
        <w:tc>
          <w:tcPr>
            <w:tcW w:w="91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-269</w:t>
            </w:r>
          </w:p>
        </w:tc>
        <w:tc>
          <w:tcPr>
            <w:tcW w:w="915"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r>
      <w:tr>
        <w:trPr>
          <w:trHeight w:val="191"/>
        </w:trPr>
        <w:tc>
          <w:tcPr>
            <w:tcW w:w="4377"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Total trade</w:t>
            </w:r>
          </w:p>
        </w:tc>
        <w:tc>
          <w:tcPr>
            <w:tcW w:w="915"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915"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5.019</w:t>
            </w:r>
          </w:p>
        </w:tc>
        <w:tc>
          <w:tcPr>
            <w:tcW w:w="914"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5.101</w:t>
            </w:r>
          </w:p>
        </w:tc>
        <w:tc>
          <w:tcPr>
            <w:tcW w:w="915"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82</w:t>
            </w:r>
          </w:p>
        </w:tc>
        <w:tc>
          <w:tcPr>
            <w:tcW w:w="915"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1,6%</w:t>
            </w:r>
          </w:p>
        </w:tc>
      </w:tr>
      <w:tr>
        <w:trPr>
          <w:trHeight w:val="204"/>
        </w:trPr>
        <w:tc>
          <w:tcPr>
            <w:tcW w:w="7121"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eastAsia="en-GB"/>
              </w:rPr>
            </w:pPr>
            <w:r>
              <w:rPr>
                <w:rFonts w:eastAsia="Times New Roman"/>
                <w:noProof/>
                <w:sz w:val="12"/>
                <w:szCs w:val="12"/>
                <w:lang w:eastAsia="en-GB"/>
              </w:rPr>
              <w:t>Source Trade G2 Statistics/ISDB from Eurostat COMEXT</w:t>
            </w:r>
          </w:p>
        </w:tc>
        <w:tc>
          <w:tcPr>
            <w:tcW w:w="915" w:type="dxa"/>
            <w:tcBorders>
              <w:top w:val="nil"/>
              <w:left w:val="nil"/>
              <w:bottom w:val="nil"/>
              <w:right w:val="nil"/>
            </w:tcBorders>
            <w:shd w:val="clear" w:color="000000" w:fill="FFFFFF"/>
            <w:noWrap/>
            <w:vAlign w:val="bottom"/>
            <w:hideMark/>
          </w:tcPr>
          <w:p>
            <w:pPr>
              <w:rPr>
                <w:rFonts w:eastAsia="Times New Roman"/>
                <w:noProof/>
                <w:sz w:val="18"/>
                <w:szCs w:val="18"/>
                <w:lang w:eastAsia="en-GB"/>
              </w:rPr>
            </w:pPr>
            <w:r>
              <w:rPr>
                <w:rFonts w:eastAsia="Times New Roman"/>
                <w:noProof/>
                <w:sz w:val="18"/>
                <w:szCs w:val="18"/>
                <w:lang w:eastAsia="en-GB"/>
              </w:rPr>
              <w:t> </w:t>
            </w:r>
          </w:p>
        </w:tc>
        <w:tc>
          <w:tcPr>
            <w:tcW w:w="915" w:type="dxa"/>
            <w:tcBorders>
              <w:top w:val="nil"/>
              <w:left w:val="nil"/>
              <w:bottom w:val="nil"/>
              <w:right w:val="nil"/>
            </w:tcBorders>
            <w:shd w:val="clear" w:color="000000" w:fill="FFFFFF"/>
            <w:noWrap/>
            <w:vAlign w:val="bottom"/>
            <w:hideMark/>
          </w:tcPr>
          <w:p>
            <w:pPr>
              <w:rPr>
                <w:rFonts w:eastAsia="Times New Roman"/>
                <w:noProof/>
                <w:sz w:val="18"/>
                <w:szCs w:val="18"/>
                <w:lang w:eastAsia="en-GB"/>
              </w:rPr>
            </w:pPr>
            <w:r>
              <w:rPr>
                <w:rFonts w:eastAsia="Times New Roman"/>
                <w:noProof/>
                <w:sz w:val="18"/>
                <w:szCs w:val="18"/>
                <w:lang w:eastAsia="en-GB"/>
              </w:rPr>
              <w:t> </w:t>
            </w:r>
          </w:p>
        </w:tc>
      </w:tr>
      <w:tr>
        <w:trPr>
          <w:trHeight w:val="191"/>
        </w:trPr>
        <w:tc>
          <w:tcPr>
            <w:tcW w:w="8951"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NAMA trade EU28 with SADC EPA States (mio €)</w:t>
            </w:r>
          </w:p>
        </w:tc>
      </w:tr>
      <w:tr>
        <w:trPr>
          <w:trHeight w:val="191"/>
        </w:trPr>
        <w:tc>
          <w:tcPr>
            <w:tcW w:w="5292"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eastAsia="en-GB"/>
              </w:rPr>
            </w:pPr>
            <w:r>
              <w:rPr>
                <w:rFonts w:eastAsia="Times New Roman"/>
                <w:b/>
                <w:bCs/>
                <w:noProof/>
                <w:sz w:val="16"/>
                <w:szCs w:val="16"/>
                <w:lang w:eastAsia="en-GB"/>
              </w:rPr>
              <w:t>EPA SADC</w:t>
            </w:r>
          </w:p>
        </w:tc>
        <w:tc>
          <w:tcPr>
            <w:tcW w:w="915"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2017</w:t>
            </w:r>
          </w:p>
        </w:tc>
        <w:tc>
          <w:tcPr>
            <w:tcW w:w="914"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2018</w:t>
            </w:r>
          </w:p>
        </w:tc>
        <w:tc>
          <w:tcPr>
            <w:tcW w:w="1830"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Growth</w:t>
            </w:r>
          </w:p>
        </w:tc>
      </w:tr>
      <w:tr>
        <w:trPr>
          <w:trHeight w:val="191"/>
        </w:trPr>
        <w:tc>
          <w:tcPr>
            <w:tcW w:w="5292"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915"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914"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915"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mio €</w:t>
            </w:r>
          </w:p>
        </w:tc>
        <w:tc>
          <w:tcPr>
            <w:tcW w:w="915"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annual %</w:t>
            </w:r>
          </w:p>
        </w:tc>
      </w:tr>
      <w:tr>
        <w:trPr>
          <w:trHeight w:val="191"/>
        </w:trPr>
        <w:tc>
          <w:tcPr>
            <w:tcW w:w="5292" w:type="dxa"/>
            <w:gridSpan w:val="2"/>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EU28 imports</w:t>
            </w:r>
          </w:p>
        </w:tc>
        <w:tc>
          <w:tcPr>
            <w:tcW w:w="91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24.357</w:t>
            </w:r>
          </w:p>
        </w:tc>
        <w:tc>
          <w:tcPr>
            <w:tcW w:w="91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25.698</w:t>
            </w:r>
          </w:p>
        </w:tc>
        <w:tc>
          <w:tcPr>
            <w:tcW w:w="91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1.340</w:t>
            </w:r>
          </w:p>
        </w:tc>
        <w:tc>
          <w:tcPr>
            <w:tcW w:w="91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5,5%</w:t>
            </w:r>
          </w:p>
        </w:tc>
      </w:tr>
      <w:tr>
        <w:trPr>
          <w:trHeight w:val="191"/>
        </w:trPr>
        <w:tc>
          <w:tcPr>
            <w:tcW w:w="5292" w:type="dxa"/>
            <w:gridSpan w:val="2"/>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EU28 exports</w:t>
            </w:r>
          </w:p>
        </w:tc>
        <w:tc>
          <w:tcPr>
            <w:tcW w:w="91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23.859</w:t>
            </w:r>
          </w:p>
        </w:tc>
        <w:tc>
          <w:tcPr>
            <w:tcW w:w="91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23.854</w:t>
            </w:r>
          </w:p>
        </w:tc>
        <w:tc>
          <w:tcPr>
            <w:tcW w:w="91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w:t>
            </w:r>
          </w:p>
        </w:tc>
        <w:tc>
          <w:tcPr>
            <w:tcW w:w="91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0,0%</w:t>
            </w:r>
          </w:p>
        </w:tc>
      </w:tr>
      <w:tr>
        <w:trPr>
          <w:trHeight w:val="191"/>
        </w:trPr>
        <w:tc>
          <w:tcPr>
            <w:tcW w:w="4377"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Balance</w:t>
            </w:r>
          </w:p>
        </w:tc>
        <w:tc>
          <w:tcPr>
            <w:tcW w:w="915"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91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-499</w:t>
            </w:r>
          </w:p>
        </w:tc>
        <w:tc>
          <w:tcPr>
            <w:tcW w:w="91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-1.843</w:t>
            </w:r>
          </w:p>
        </w:tc>
        <w:tc>
          <w:tcPr>
            <w:tcW w:w="91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-1.345</w:t>
            </w:r>
          </w:p>
        </w:tc>
        <w:tc>
          <w:tcPr>
            <w:tcW w:w="915"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r>
      <w:tr>
        <w:trPr>
          <w:trHeight w:val="191"/>
        </w:trPr>
        <w:tc>
          <w:tcPr>
            <w:tcW w:w="4377"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Total trade</w:t>
            </w:r>
          </w:p>
        </w:tc>
        <w:tc>
          <w:tcPr>
            <w:tcW w:w="915"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91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48.216</w:t>
            </w:r>
          </w:p>
        </w:tc>
        <w:tc>
          <w:tcPr>
            <w:tcW w:w="91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49.552</w:t>
            </w:r>
          </w:p>
        </w:tc>
        <w:tc>
          <w:tcPr>
            <w:tcW w:w="91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1.336</w:t>
            </w:r>
          </w:p>
        </w:tc>
        <w:tc>
          <w:tcPr>
            <w:tcW w:w="915"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2,8%</w:t>
            </w:r>
          </w:p>
        </w:tc>
      </w:tr>
      <w:tr>
        <w:trPr>
          <w:trHeight w:val="204"/>
        </w:trPr>
        <w:tc>
          <w:tcPr>
            <w:tcW w:w="7121"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eastAsia="en-GB"/>
              </w:rPr>
            </w:pPr>
            <w:r>
              <w:rPr>
                <w:rFonts w:eastAsia="Times New Roman"/>
                <w:noProof/>
                <w:sz w:val="12"/>
                <w:szCs w:val="12"/>
                <w:lang w:eastAsia="en-GB"/>
              </w:rPr>
              <w:t>Source Trade G2 Statistics/ISDB from Eurostat COMEXT</w:t>
            </w:r>
          </w:p>
        </w:tc>
        <w:tc>
          <w:tcPr>
            <w:tcW w:w="915" w:type="dxa"/>
            <w:tcBorders>
              <w:top w:val="single" w:sz="4" w:space="0" w:color="auto"/>
              <w:left w:val="nil"/>
              <w:bottom w:val="nil"/>
              <w:right w:val="nil"/>
            </w:tcBorders>
            <w:shd w:val="clear" w:color="000000" w:fill="FFFFFF"/>
            <w:noWrap/>
            <w:vAlign w:val="bottom"/>
            <w:hideMark/>
          </w:tcPr>
          <w:p>
            <w:pPr>
              <w:rPr>
                <w:rFonts w:eastAsia="Times New Roman"/>
                <w:noProof/>
                <w:sz w:val="18"/>
                <w:szCs w:val="18"/>
                <w:lang w:eastAsia="en-GB"/>
              </w:rPr>
            </w:pPr>
            <w:r>
              <w:rPr>
                <w:rFonts w:eastAsia="Times New Roman"/>
                <w:noProof/>
                <w:sz w:val="18"/>
                <w:szCs w:val="18"/>
                <w:lang w:eastAsia="en-GB"/>
              </w:rPr>
              <w:t> </w:t>
            </w:r>
          </w:p>
        </w:tc>
        <w:tc>
          <w:tcPr>
            <w:tcW w:w="915" w:type="dxa"/>
            <w:tcBorders>
              <w:top w:val="nil"/>
              <w:left w:val="nil"/>
              <w:bottom w:val="nil"/>
              <w:right w:val="nil"/>
            </w:tcBorders>
            <w:shd w:val="clear" w:color="000000" w:fill="FFFFFF"/>
            <w:noWrap/>
            <w:vAlign w:val="bottom"/>
            <w:hideMark/>
          </w:tcPr>
          <w:p>
            <w:pPr>
              <w:rPr>
                <w:rFonts w:eastAsia="Times New Roman"/>
                <w:noProof/>
                <w:sz w:val="18"/>
                <w:szCs w:val="18"/>
                <w:lang w:eastAsia="en-GB"/>
              </w:rPr>
            </w:pPr>
            <w:r>
              <w:rPr>
                <w:rFonts w:eastAsia="Times New Roman"/>
                <w:noProof/>
                <w:sz w:val="18"/>
                <w:szCs w:val="18"/>
                <w:lang w:eastAsia="en-GB"/>
              </w:rPr>
              <w:t> </w:t>
            </w:r>
          </w:p>
        </w:tc>
      </w:tr>
    </w:tbl>
    <w:p>
      <w:pPr>
        <w:pStyle w:val="ChapterHead"/>
        <w:spacing w:after="0"/>
        <w:jc w:val="both"/>
        <w:rPr>
          <w:b/>
          <w:noProof/>
        </w:rPr>
      </w:pPr>
    </w:p>
    <w:p>
      <w:pPr>
        <w:rPr>
          <w:b/>
          <w:noProof/>
        </w:rPr>
      </w:pPr>
      <w:bookmarkStart w:id="4264" w:name="_Toc9608310"/>
      <w:r>
        <w:rPr>
          <w:b/>
          <w:noProof/>
        </w:rPr>
        <w:t>South Africa:</w:t>
      </w:r>
      <w:bookmarkEnd w:id="4264"/>
      <w:r>
        <w:rPr>
          <w:b/>
          <w:noProof/>
        </w:rPr>
        <w:t xml:space="preserve"> </w:t>
      </w:r>
    </w:p>
    <w:tbl>
      <w:tblPr>
        <w:tblW w:w="9031" w:type="dxa"/>
        <w:tblInd w:w="108" w:type="dxa"/>
        <w:tblLook w:val="04A0" w:firstRow="1" w:lastRow="0" w:firstColumn="1" w:lastColumn="0" w:noHBand="0" w:noVBand="1"/>
      </w:tblPr>
      <w:tblGrid>
        <w:gridCol w:w="4784"/>
        <w:gridCol w:w="844"/>
        <w:gridCol w:w="842"/>
        <w:gridCol w:w="844"/>
        <w:gridCol w:w="842"/>
        <w:gridCol w:w="875"/>
      </w:tblGrid>
      <w:tr>
        <w:trPr>
          <w:trHeight w:val="188"/>
        </w:trPr>
        <w:tc>
          <w:tcPr>
            <w:tcW w:w="9031"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Merchandise trade EU28 with South Africa 2014-2018</w:t>
            </w:r>
          </w:p>
        </w:tc>
      </w:tr>
      <w:tr>
        <w:trPr>
          <w:trHeight w:val="188"/>
        </w:trPr>
        <w:tc>
          <w:tcPr>
            <w:tcW w:w="4784" w:type="dxa"/>
            <w:tcBorders>
              <w:top w:val="single" w:sz="4" w:space="0" w:color="auto"/>
              <w:left w:val="nil"/>
              <w:bottom w:val="single" w:sz="4" w:space="0" w:color="auto"/>
              <w:right w:val="nil"/>
            </w:tcBorders>
            <w:shd w:val="clear" w:color="000000" w:fill="FFFFFF"/>
            <w:noWrap/>
            <w:vAlign w:val="bottom"/>
            <w:hideMark/>
          </w:tcPr>
          <w:p>
            <w:pPr>
              <w:rPr>
                <w:rFonts w:eastAsia="Times New Roman"/>
                <w:b/>
                <w:bCs/>
                <w:noProof/>
                <w:sz w:val="16"/>
                <w:szCs w:val="16"/>
                <w:lang w:eastAsia="en-GB"/>
              </w:rPr>
            </w:pPr>
            <w:r>
              <w:rPr>
                <w:rFonts w:eastAsia="Times New Roman"/>
                <w:b/>
                <w:bCs/>
                <w:noProof/>
                <w:sz w:val="16"/>
                <w:szCs w:val="16"/>
                <w:lang w:eastAsia="en-GB"/>
              </w:rPr>
              <w:t> </w:t>
            </w:r>
          </w:p>
        </w:tc>
        <w:tc>
          <w:tcPr>
            <w:tcW w:w="844"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2014</w:t>
            </w:r>
          </w:p>
        </w:tc>
        <w:tc>
          <w:tcPr>
            <w:tcW w:w="842"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2015</w:t>
            </w:r>
          </w:p>
        </w:tc>
        <w:tc>
          <w:tcPr>
            <w:tcW w:w="844"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2016</w:t>
            </w:r>
          </w:p>
        </w:tc>
        <w:tc>
          <w:tcPr>
            <w:tcW w:w="842"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2017</w:t>
            </w:r>
          </w:p>
        </w:tc>
        <w:tc>
          <w:tcPr>
            <w:tcW w:w="875"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2018</w:t>
            </w:r>
          </w:p>
        </w:tc>
      </w:tr>
      <w:tr>
        <w:trPr>
          <w:trHeight w:val="188"/>
        </w:trPr>
        <w:tc>
          <w:tcPr>
            <w:tcW w:w="4784"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EU28 trade with South Africa (mio €)</w:t>
            </w:r>
          </w:p>
        </w:tc>
        <w:tc>
          <w:tcPr>
            <w:tcW w:w="844"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eastAsia="en-GB"/>
              </w:rPr>
            </w:pPr>
          </w:p>
        </w:tc>
        <w:tc>
          <w:tcPr>
            <w:tcW w:w="842"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 </w:t>
            </w:r>
          </w:p>
        </w:tc>
        <w:tc>
          <w:tcPr>
            <w:tcW w:w="844"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 </w:t>
            </w:r>
          </w:p>
        </w:tc>
        <w:tc>
          <w:tcPr>
            <w:tcW w:w="842"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 </w:t>
            </w:r>
          </w:p>
        </w:tc>
        <w:tc>
          <w:tcPr>
            <w:tcW w:w="875"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 </w:t>
            </w:r>
          </w:p>
        </w:tc>
      </w:tr>
      <w:tr>
        <w:trPr>
          <w:trHeight w:val="188"/>
        </w:trPr>
        <w:tc>
          <w:tcPr>
            <w:tcW w:w="4784"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Imports</w:t>
            </w:r>
          </w:p>
        </w:tc>
        <w:tc>
          <w:tcPr>
            <w:tcW w:w="8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18.538</w:t>
            </w:r>
          </w:p>
        </w:tc>
        <w:tc>
          <w:tcPr>
            <w:tcW w:w="84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19.399</w:t>
            </w:r>
          </w:p>
        </w:tc>
        <w:tc>
          <w:tcPr>
            <w:tcW w:w="8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22.970</w:t>
            </w:r>
          </w:p>
        </w:tc>
        <w:tc>
          <w:tcPr>
            <w:tcW w:w="84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22.722</w:t>
            </w:r>
          </w:p>
        </w:tc>
        <w:tc>
          <w:tcPr>
            <w:tcW w:w="87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24.070</w:t>
            </w:r>
          </w:p>
        </w:tc>
      </w:tr>
      <w:tr>
        <w:trPr>
          <w:trHeight w:val="188"/>
        </w:trPr>
        <w:tc>
          <w:tcPr>
            <w:tcW w:w="4784"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Exports</w:t>
            </w:r>
          </w:p>
        </w:tc>
        <w:tc>
          <w:tcPr>
            <w:tcW w:w="8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23.331</w:t>
            </w:r>
          </w:p>
        </w:tc>
        <w:tc>
          <w:tcPr>
            <w:tcW w:w="84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25.455</w:t>
            </w:r>
          </w:p>
        </w:tc>
        <w:tc>
          <w:tcPr>
            <w:tcW w:w="8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22.995</w:t>
            </w:r>
          </w:p>
        </w:tc>
        <w:tc>
          <w:tcPr>
            <w:tcW w:w="84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24.447</w:t>
            </w:r>
          </w:p>
        </w:tc>
        <w:tc>
          <w:tcPr>
            <w:tcW w:w="87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24.190</w:t>
            </w:r>
          </w:p>
        </w:tc>
      </w:tr>
      <w:tr>
        <w:trPr>
          <w:trHeight w:val="188"/>
        </w:trPr>
        <w:tc>
          <w:tcPr>
            <w:tcW w:w="4784"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Balance</w:t>
            </w:r>
          </w:p>
        </w:tc>
        <w:tc>
          <w:tcPr>
            <w:tcW w:w="8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4.794</w:t>
            </w:r>
          </w:p>
        </w:tc>
        <w:tc>
          <w:tcPr>
            <w:tcW w:w="84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6.056</w:t>
            </w:r>
          </w:p>
        </w:tc>
        <w:tc>
          <w:tcPr>
            <w:tcW w:w="8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25</w:t>
            </w:r>
          </w:p>
        </w:tc>
        <w:tc>
          <w:tcPr>
            <w:tcW w:w="84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1.725</w:t>
            </w:r>
          </w:p>
        </w:tc>
        <w:tc>
          <w:tcPr>
            <w:tcW w:w="87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120</w:t>
            </w:r>
          </w:p>
        </w:tc>
      </w:tr>
      <w:tr>
        <w:trPr>
          <w:trHeight w:val="188"/>
        </w:trPr>
        <w:tc>
          <w:tcPr>
            <w:tcW w:w="4784"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Share South Africa in EU28 trade with Extra-EU28</w:t>
            </w:r>
          </w:p>
        </w:tc>
        <w:tc>
          <w:tcPr>
            <w:tcW w:w="844"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eastAsia="en-GB"/>
              </w:rPr>
            </w:pPr>
          </w:p>
        </w:tc>
        <w:tc>
          <w:tcPr>
            <w:tcW w:w="842"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 </w:t>
            </w:r>
          </w:p>
        </w:tc>
        <w:tc>
          <w:tcPr>
            <w:tcW w:w="844"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 </w:t>
            </w:r>
          </w:p>
        </w:tc>
        <w:tc>
          <w:tcPr>
            <w:tcW w:w="842"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 </w:t>
            </w:r>
          </w:p>
        </w:tc>
        <w:tc>
          <w:tcPr>
            <w:tcW w:w="875"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 </w:t>
            </w:r>
          </w:p>
        </w:tc>
      </w:tr>
      <w:tr>
        <w:trPr>
          <w:trHeight w:val="188"/>
        </w:trPr>
        <w:tc>
          <w:tcPr>
            <w:tcW w:w="4784"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Imports</w:t>
            </w:r>
          </w:p>
        </w:tc>
        <w:tc>
          <w:tcPr>
            <w:tcW w:w="8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1,1%</w:t>
            </w:r>
          </w:p>
        </w:tc>
        <w:tc>
          <w:tcPr>
            <w:tcW w:w="84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1,1%</w:t>
            </w:r>
          </w:p>
        </w:tc>
        <w:tc>
          <w:tcPr>
            <w:tcW w:w="8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1,3%</w:t>
            </w:r>
          </w:p>
        </w:tc>
        <w:tc>
          <w:tcPr>
            <w:tcW w:w="84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1,2%</w:t>
            </w:r>
          </w:p>
        </w:tc>
        <w:tc>
          <w:tcPr>
            <w:tcW w:w="87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1,2%</w:t>
            </w:r>
          </w:p>
        </w:tc>
      </w:tr>
      <w:tr>
        <w:trPr>
          <w:trHeight w:val="188"/>
        </w:trPr>
        <w:tc>
          <w:tcPr>
            <w:tcW w:w="4784"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Exports</w:t>
            </w:r>
          </w:p>
        </w:tc>
        <w:tc>
          <w:tcPr>
            <w:tcW w:w="8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1,4%</w:t>
            </w:r>
          </w:p>
        </w:tc>
        <w:tc>
          <w:tcPr>
            <w:tcW w:w="84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1,4%</w:t>
            </w:r>
          </w:p>
        </w:tc>
        <w:tc>
          <w:tcPr>
            <w:tcW w:w="8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1,3%</w:t>
            </w:r>
          </w:p>
        </w:tc>
        <w:tc>
          <w:tcPr>
            <w:tcW w:w="84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1,3%</w:t>
            </w:r>
          </w:p>
        </w:tc>
        <w:tc>
          <w:tcPr>
            <w:tcW w:w="87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1,2%</w:t>
            </w:r>
          </w:p>
        </w:tc>
      </w:tr>
      <w:tr>
        <w:trPr>
          <w:trHeight w:val="188"/>
        </w:trPr>
        <w:tc>
          <w:tcPr>
            <w:tcW w:w="4784"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Total (I+E)</w:t>
            </w:r>
          </w:p>
        </w:tc>
        <w:tc>
          <w:tcPr>
            <w:tcW w:w="8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1,2%</w:t>
            </w:r>
          </w:p>
        </w:tc>
        <w:tc>
          <w:tcPr>
            <w:tcW w:w="84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1,3%</w:t>
            </w:r>
          </w:p>
        </w:tc>
        <w:tc>
          <w:tcPr>
            <w:tcW w:w="8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1,3%</w:t>
            </w:r>
          </w:p>
        </w:tc>
        <w:tc>
          <w:tcPr>
            <w:tcW w:w="84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1,3%</w:t>
            </w:r>
          </w:p>
        </w:tc>
        <w:tc>
          <w:tcPr>
            <w:tcW w:w="87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1,2%</w:t>
            </w:r>
          </w:p>
        </w:tc>
      </w:tr>
      <w:tr>
        <w:trPr>
          <w:trHeight w:val="188"/>
        </w:trPr>
        <w:tc>
          <w:tcPr>
            <w:tcW w:w="9031" w:type="dxa"/>
            <w:gridSpan w:val="6"/>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Share EU28 in trade South Africa with world</w:t>
            </w:r>
          </w:p>
        </w:tc>
      </w:tr>
      <w:tr>
        <w:trPr>
          <w:trHeight w:val="188"/>
        </w:trPr>
        <w:tc>
          <w:tcPr>
            <w:tcW w:w="4784"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Imports</w:t>
            </w:r>
          </w:p>
        </w:tc>
        <w:tc>
          <w:tcPr>
            <w:tcW w:w="8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27,9%</w:t>
            </w:r>
          </w:p>
        </w:tc>
        <w:tc>
          <w:tcPr>
            <w:tcW w:w="84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29,5%</w:t>
            </w:r>
          </w:p>
        </w:tc>
        <w:tc>
          <w:tcPr>
            <w:tcW w:w="8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31,0%</w:t>
            </w:r>
          </w:p>
        </w:tc>
        <w:tc>
          <w:tcPr>
            <w:tcW w:w="84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30,9%</w:t>
            </w:r>
          </w:p>
        </w:tc>
        <w:tc>
          <w:tcPr>
            <w:tcW w:w="87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29,0%</w:t>
            </w:r>
          </w:p>
        </w:tc>
      </w:tr>
      <w:tr>
        <w:trPr>
          <w:trHeight w:val="188"/>
        </w:trPr>
        <w:tc>
          <w:tcPr>
            <w:tcW w:w="4784"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Exports</w:t>
            </w:r>
          </w:p>
        </w:tc>
        <w:tc>
          <w:tcPr>
            <w:tcW w:w="8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20,0%</w:t>
            </w:r>
          </w:p>
        </w:tc>
        <w:tc>
          <w:tcPr>
            <w:tcW w:w="84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20,8%</w:t>
            </w:r>
          </w:p>
        </w:tc>
        <w:tc>
          <w:tcPr>
            <w:tcW w:w="8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22,9%</w:t>
            </w:r>
          </w:p>
        </w:tc>
        <w:tc>
          <w:tcPr>
            <w:tcW w:w="84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22,2%</w:t>
            </w:r>
          </w:p>
        </w:tc>
        <w:tc>
          <w:tcPr>
            <w:tcW w:w="87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23,3%</w:t>
            </w:r>
          </w:p>
        </w:tc>
      </w:tr>
      <w:tr>
        <w:trPr>
          <w:trHeight w:val="188"/>
        </w:trPr>
        <w:tc>
          <w:tcPr>
            <w:tcW w:w="4784"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Total (I+E)</w:t>
            </w:r>
          </w:p>
        </w:tc>
        <w:tc>
          <w:tcPr>
            <w:tcW w:w="8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24,2%</w:t>
            </w:r>
          </w:p>
        </w:tc>
        <w:tc>
          <w:tcPr>
            <w:tcW w:w="84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25,3%</w:t>
            </w:r>
          </w:p>
        </w:tc>
        <w:tc>
          <w:tcPr>
            <w:tcW w:w="8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27,1%</w:t>
            </w:r>
          </w:p>
        </w:tc>
        <w:tc>
          <w:tcPr>
            <w:tcW w:w="84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26,5%</w:t>
            </w:r>
          </w:p>
        </w:tc>
        <w:tc>
          <w:tcPr>
            <w:tcW w:w="87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26,3%</w:t>
            </w:r>
          </w:p>
        </w:tc>
      </w:tr>
      <w:tr>
        <w:trPr>
          <w:trHeight w:val="201"/>
        </w:trPr>
        <w:tc>
          <w:tcPr>
            <w:tcW w:w="6470" w:type="dxa"/>
            <w:gridSpan w:val="3"/>
            <w:tcBorders>
              <w:top w:val="single" w:sz="4" w:space="0" w:color="auto"/>
              <w:left w:val="nil"/>
              <w:bottom w:val="nil"/>
              <w:right w:val="nil"/>
            </w:tcBorders>
            <w:shd w:val="clear" w:color="000000" w:fill="FFFFFF"/>
            <w:noWrap/>
            <w:vAlign w:val="bottom"/>
            <w:hideMark/>
          </w:tcPr>
          <w:p>
            <w:pPr>
              <w:rPr>
                <w:rFonts w:eastAsia="Times New Roman"/>
                <w:noProof/>
                <w:sz w:val="12"/>
                <w:szCs w:val="12"/>
                <w:lang w:eastAsia="en-GB"/>
              </w:rPr>
            </w:pPr>
            <w:r>
              <w:rPr>
                <w:rFonts w:eastAsia="Times New Roman"/>
                <w:noProof/>
                <w:sz w:val="12"/>
                <w:szCs w:val="12"/>
                <w:lang w:eastAsia="en-GB"/>
              </w:rPr>
              <w:t xml:space="preserve">Source Trade G2 Statistics/ISDB </w:t>
            </w:r>
          </w:p>
        </w:tc>
        <w:tc>
          <w:tcPr>
            <w:tcW w:w="844"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eastAsia="en-GB"/>
              </w:rPr>
            </w:pPr>
            <w:r>
              <w:rPr>
                <w:rFonts w:eastAsia="Times New Roman"/>
                <w:noProof/>
                <w:sz w:val="18"/>
                <w:szCs w:val="18"/>
                <w:lang w:eastAsia="en-GB"/>
              </w:rPr>
              <w:t> </w:t>
            </w:r>
          </w:p>
        </w:tc>
        <w:tc>
          <w:tcPr>
            <w:tcW w:w="842"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eastAsia="en-GB"/>
              </w:rPr>
            </w:pPr>
            <w:r>
              <w:rPr>
                <w:rFonts w:eastAsia="Times New Roman"/>
                <w:noProof/>
                <w:sz w:val="18"/>
                <w:szCs w:val="18"/>
                <w:lang w:eastAsia="en-GB"/>
              </w:rPr>
              <w:t> </w:t>
            </w:r>
          </w:p>
        </w:tc>
        <w:tc>
          <w:tcPr>
            <w:tcW w:w="875" w:type="dxa"/>
            <w:tcBorders>
              <w:top w:val="single" w:sz="4" w:space="0" w:color="auto"/>
              <w:left w:val="nil"/>
              <w:bottom w:val="nil"/>
              <w:right w:val="nil"/>
            </w:tcBorders>
            <w:shd w:val="clear" w:color="000000" w:fill="FFFFFF"/>
            <w:noWrap/>
            <w:hideMark/>
          </w:tcPr>
          <w:p>
            <w:pPr>
              <w:jc w:val="right"/>
              <w:rPr>
                <w:rFonts w:eastAsia="Times New Roman"/>
                <w:noProof/>
                <w:sz w:val="12"/>
                <w:szCs w:val="12"/>
                <w:lang w:eastAsia="en-GB"/>
              </w:rPr>
            </w:pPr>
            <w:r>
              <w:rPr>
                <w:rFonts w:eastAsia="Times New Roman"/>
                <w:noProof/>
                <w:sz w:val="12"/>
                <w:szCs w:val="12"/>
                <w:lang w:eastAsia="en-GB"/>
              </w:rPr>
              <w:t>25-mars-19</w:t>
            </w:r>
          </w:p>
        </w:tc>
      </w:tr>
      <w:tr>
        <w:trPr>
          <w:trHeight w:val="188"/>
        </w:trPr>
        <w:tc>
          <w:tcPr>
            <w:tcW w:w="8156" w:type="dxa"/>
            <w:gridSpan w:val="5"/>
            <w:tcBorders>
              <w:top w:val="nil"/>
              <w:left w:val="nil"/>
              <w:bottom w:val="nil"/>
              <w:right w:val="nil"/>
            </w:tcBorders>
            <w:shd w:val="clear" w:color="000000" w:fill="FFFFFF"/>
            <w:noWrap/>
            <w:hideMark/>
          </w:tcPr>
          <w:p>
            <w:pPr>
              <w:rPr>
                <w:rFonts w:eastAsia="Times New Roman"/>
                <w:noProof/>
                <w:color w:val="000000"/>
                <w:sz w:val="12"/>
                <w:szCs w:val="12"/>
                <w:lang w:eastAsia="en-GB"/>
              </w:rPr>
            </w:pPr>
            <w:r>
              <w:rPr>
                <w:rFonts w:eastAsia="Times New Roman"/>
                <w:noProof/>
                <w:color w:val="000000"/>
                <w:sz w:val="12"/>
                <w:szCs w:val="12"/>
                <w:lang w:eastAsia="en-GB"/>
              </w:rPr>
              <w:t>Trade EU28: Eurostat COMEXT;  Trade South Africa: IMF Dots</w:t>
            </w:r>
          </w:p>
        </w:tc>
        <w:tc>
          <w:tcPr>
            <w:tcW w:w="875" w:type="dxa"/>
            <w:tcBorders>
              <w:top w:val="nil"/>
              <w:left w:val="nil"/>
              <w:bottom w:val="nil"/>
              <w:right w:val="nil"/>
            </w:tcBorders>
            <w:shd w:val="clear" w:color="000000" w:fill="FFFFFF"/>
            <w:noWrap/>
            <w:vAlign w:val="bottom"/>
            <w:hideMark/>
          </w:tcPr>
          <w:p>
            <w:pPr>
              <w:rPr>
                <w:rFonts w:eastAsia="Times New Roman"/>
                <w:noProof/>
                <w:color w:val="000000"/>
                <w:sz w:val="16"/>
                <w:szCs w:val="16"/>
                <w:lang w:eastAsia="en-GB"/>
              </w:rPr>
            </w:pPr>
            <w:r>
              <w:rPr>
                <w:rFonts w:eastAsia="Times New Roman"/>
                <w:noProof/>
                <w:color w:val="000000"/>
                <w:sz w:val="16"/>
                <w:szCs w:val="16"/>
                <w:lang w:eastAsia="en-GB"/>
              </w:rPr>
              <w:t> </w:t>
            </w:r>
          </w:p>
        </w:tc>
      </w:tr>
      <w:tr>
        <w:trPr>
          <w:trHeight w:val="188"/>
        </w:trPr>
        <w:tc>
          <w:tcPr>
            <w:tcW w:w="4784" w:type="dxa"/>
            <w:tcBorders>
              <w:top w:val="nil"/>
              <w:left w:val="nil"/>
              <w:bottom w:val="nil"/>
              <w:right w:val="nil"/>
            </w:tcBorders>
            <w:shd w:val="clear" w:color="000000" w:fill="FFFFFF"/>
            <w:noWrap/>
            <w:vAlign w:val="bottom"/>
            <w:hideMark/>
          </w:tcPr>
          <w:p>
            <w:pPr>
              <w:rPr>
                <w:rFonts w:eastAsia="Times New Roman"/>
                <w:noProof/>
                <w:color w:val="000000"/>
                <w:sz w:val="16"/>
                <w:szCs w:val="16"/>
                <w:lang w:eastAsia="en-GB"/>
              </w:rPr>
            </w:pPr>
            <w:r>
              <w:rPr>
                <w:rFonts w:eastAsia="Times New Roman"/>
                <w:noProof/>
                <w:color w:val="000000"/>
                <w:sz w:val="16"/>
                <w:szCs w:val="16"/>
                <w:lang w:eastAsia="en-GB"/>
              </w:rPr>
              <w:t> </w:t>
            </w:r>
          </w:p>
        </w:tc>
        <w:tc>
          <w:tcPr>
            <w:tcW w:w="844" w:type="dxa"/>
            <w:tcBorders>
              <w:top w:val="nil"/>
              <w:left w:val="nil"/>
              <w:bottom w:val="nil"/>
              <w:right w:val="nil"/>
            </w:tcBorders>
            <w:shd w:val="clear" w:color="000000" w:fill="FFFFFF"/>
            <w:noWrap/>
            <w:vAlign w:val="bottom"/>
            <w:hideMark/>
          </w:tcPr>
          <w:p>
            <w:pPr>
              <w:rPr>
                <w:rFonts w:eastAsia="Times New Roman"/>
                <w:noProof/>
                <w:color w:val="000000"/>
                <w:sz w:val="16"/>
                <w:szCs w:val="16"/>
                <w:lang w:eastAsia="en-GB"/>
              </w:rPr>
            </w:pPr>
            <w:r>
              <w:rPr>
                <w:rFonts w:eastAsia="Times New Roman"/>
                <w:noProof/>
                <w:color w:val="000000"/>
                <w:sz w:val="16"/>
                <w:szCs w:val="16"/>
                <w:lang w:eastAsia="en-GB"/>
              </w:rPr>
              <w:t> </w:t>
            </w:r>
          </w:p>
        </w:tc>
        <w:tc>
          <w:tcPr>
            <w:tcW w:w="842" w:type="dxa"/>
            <w:tcBorders>
              <w:top w:val="nil"/>
              <w:left w:val="nil"/>
              <w:bottom w:val="nil"/>
              <w:right w:val="nil"/>
            </w:tcBorders>
            <w:shd w:val="clear" w:color="000000" w:fill="FFFFFF"/>
            <w:noWrap/>
            <w:vAlign w:val="bottom"/>
            <w:hideMark/>
          </w:tcPr>
          <w:p>
            <w:pPr>
              <w:rPr>
                <w:rFonts w:eastAsia="Times New Roman"/>
                <w:noProof/>
                <w:color w:val="000000"/>
                <w:sz w:val="16"/>
                <w:szCs w:val="16"/>
                <w:lang w:eastAsia="en-GB"/>
              </w:rPr>
            </w:pPr>
            <w:r>
              <w:rPr>
                <w:rFonts w:eastAsia="Times New Roman"/>
                <w:noProof/>
                <w:color w:val="000000"/>
                <w:sz w:val="16"/>
                <w:szCs w:val="16"/>
                <w:lang w:eastAsia="en-GB"/>
              </w:rPr>
              <w:t> </w:t>
            </w:r>
          </w:p>
        </w:tc>
        <w:tc>
          <w:tcPr>
            <w:tcW w:w="844" w:type="dxa"/>
            <w:tcBorders>
              <w:top w:val="nil"/>
              <w:left w:val="nil"/>
              <w:bottom w:val="nil"/>
              <w:right w:val="nil"/>
            </w:tcBorders>
            <w:shd w:val="clear" w:color="000000" w:fill="FFFFFF"/>
            <w:noWrap/>
            <w:vAlign w:val="bottom"/>
            <w:hideMark/>
          </w:tcPr>
          <w:p>
            <w:pPr>
              <w:rPr>
                <w:rFonts w:eastAsia="Times New Roman"/>
                <w:noProof/>
                <w:color w:val="000000"/>
                <w:sz w:val="16"/>
                <w:szCs w:val="16"/>
                <w:lang w:eastAsia="en-GB"/>
              </w:rPr>
            </w:pPr>
            <w:r>
              <w:rPr>
                <w:rFonts w:eastAsia="Times New Roman"/>
                <w:noProof/>
                <w:color w:val="000000"/>
                <w:sz w:val="16"/>
                <w:szCs w:val="16"/>
                <w:lang w:eastAsia="en-GB"/>
              </w:rPr>
              <w:t> </w:t>
            </w:r>
          </w:p>
        </w:tc>
        <w:tc>
          <w:tcPr>
            <w:tcW w:w="842" w:type="dxa"/>
            <w:tcBorders>
              <w:top w:val="nil"/>
              <w:left w:val="nil"/>
              <w:bottom w:val="nil"/>
              <w:right w:val="nil"/>
            </w:tcBorders>
            <w:shd w:val="clear" w:color="000000" w:fill="FFFFFF"/>
            <w:noWrap/>
            <w:vAlign w:val="bottom"/>
            <w:hideMark/>
          </w:tcPr>
          <w:p>
            <w:pPr>
              <w:rPr>
                <w:rFonts w:eastAsia="Times New Roman"/>
                <w:noProof/>
                <w:color w:val="000000"/>
                <w:sz w:val="16"/>
                <w:szCs w:val="16"/>
                <w:lang w:eastAsia="en-GB"/>
              </w:rPr>
            </w:pPr>
            <w:r>
              <w:rPr>
                <w:rFonts w:eastAsia="Times New Roman"/>
                <w:noProof/>
                <w:color w:val="000000"/>
                <w:sz w:val="16"/>
                <w:szCs w:val="16"/>
                <w:lang w:eastAsia="en-GB"/>
              </w:rPr>
              <w:t> </w:t>
            </w:r>
          </w:p>
        </w:tc>
        <w:tc>
          <w:tcPr>
            <w:tcW w:w="875" w:type="dxa"/>
            <w:tcBorders>
              <w:top w:val="nil"/>
              <w:left w:val="nil"/>
              <w:bottom w:val="nil"/>
              <w:right w:val="nil"/>
            </w:tcBorders>
            <w:shd w:val="clear" w:color="000000" w:fill="FFFFFF"/>
            <w:noWrap/>
            <w:vAlign w:val="bottom"/>
            <w:hideMark/>
          </w:tcPr>
          <w:p>
            <w:pPr>
              <w:rPr>
                <w:rFonts w:eastAsia="Times New Roman"/>
                <w:noProof/>
                <w:color w:val="000000"/>
                <w:sz w:val="16"/>
                <w:szCs w:val="16"/>
                <w:lang w:eastAsia="en-GB"/>
              </w:rPr>
            </w:pPr>
            <w:r>
              <w:rPr>
                <w:rFonts w:eastAsia="Times New Roman"/>
                <w:noProof/>
                <w:color w:val="000000"/>
                <w:sz w:val="16"/>
                <w:szCs w:val="16"/>
                <w:lang w:eastAsia="en-GB"/>
              </w:rPr>
              <w:t> </w:t>
            </w:r>
          </w:p>
        </w:tc>
      </w:tr>
      <w:tr>
        <w:trPr>
          <w:trHeight w:val="201"/>
        </w:trPr>
        <w:tc>
          <w:tcPr>
            <w:tcW w:w="9031"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Total merchandise trade EU28 with South Africa (mio €)</w:t>
            </w:r>
          </w:p>
        </w:tc>
      </w:tr>
      <w:tr>
        <w:trPr>
          <w:trHeight w:val="201"/>
        </w:trPr>
        <w:tc>
          <w:tcPr>
            <w:tcW w:w="5628"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eastAsia="en-GB"/>
              </w:rPr>
            </w:pPr>
            <w:r>
              <w:rPr>
                <w:rFonts w:eastAsia="Times New Roman"/>
                <w:b/>
                <w:bCs/>
                <w:noProof/>
                <w:sz w:val="16"/>
                <w:szCs w:val="16"/>
                <w:lang w:eastAsia="en-GB"/>
              </w:rPr>
              <w:t>South Africa</w:t>
            </w:r>
          </w:p>
        </w:tc>
        <w:tc>
          <w:tcPr>
            <w:tcW w:w="842"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2017</w:t>
            </w:r>
          </w:p>
        </w:tc>
        <w:tc>
          <w:tcPr>
            <w:tcW w:w="844"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2018</w:t>
            </w:r>
          </w:p>
        </w:tc>
        <w:tc>
          <w:tcPr>
            <w:tcW w:w="1717"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Growth</w:t>
            </w:r>
          </w:p>
        </w:tc>
      </w:tr>
      <w:tr>
        <w:trPr>
          <w:trHeight w:val="201"/>
        </w:trPr>
        <w:tc>
          <w:tcPr>
            <w:tcW w:w="5628"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842"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844"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842"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mio €</w:t>
            </w:r>
          </w:p>
        </w:tc>
        <w:tc>
          <w:tcPr>
            <w:tcW w:w="875"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annual %</w:t>
            </w:r>
          </w:p>
        </w:tc>
      </w:tr>
      <w:tr>
        <w:trPr>
          <w:trHeight w:val="201"/>
        </w:trPr>
        <w:tc>
          <w:tcPr>
            <w:tcW w:w="4784"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Imports</w:t>
            </w:r>
          </w:p>
        </w:tc>
        <w:tc>
          <w:tcPr>
            <w:tcW w:w="844"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4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22.722</w:t>
            </w:r>
          </w:p>
        </w:tc>
        <w:tc>
          <w:tcPr>
            <w:tcW w:w="8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24.070</w:t>
            </w:r>
          </w:p>
        </w:tc>
        <w:tc>
          <w:tcPr>
            <w:tcW w:w="84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1.348</w:t>
            </w:r>
          </w:p>
        </w:tc>
        <w:tc>
          <w:tcPr>
            <w:tcW w:w="87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5,9%</w:t>
            </w:r>
          </w:p>
        </w:tc>
      </w:tr>
      <w:tr>
        <w:trPr>
          <w:trHeight w:val="201"/>
        </w:trPr>
        <w:tc>
          <w:tcPr>
            <w:tcW w:w="4784"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Exports</w:t>
            </w:r>
          </w:p>
        </w:tc>
        <w:tc>
          <w:tcPr>
            <w:tcW w:w="844"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4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24.447</w:t>
            </w:r>
          </w:p>
        </w:tc>
        <w:tc>
          <w:tcPr>
            <w:tcW w:w="8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24.190</w:t>
            </w:r>
          </w:p>
        </w:tc>
        <w:tc>
          <w:tcPr>
            <w:tcW w:w="84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-257</w:t>
            </w:r>
          </w:p>
        </w:tc>
        <w:tc>
          <w:tcPr>
            <w:tcW w:w="87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-1,1%</w:t>
            </w:r>
          </w:p>
        </w:tc>
      </w:tr>
      <w:tr>
        <w:trPr>
          <w:trHeight w:val="201"/>
        </w:trPr>
        <w:tc>
          <w:tcPr>
            <w:tcW w:w="4784"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Balance</w:t>
            </w:r>
          </w:p>
        </w:tc>
        <w:tc>
          <w:tcPr>
            <w:tcW w:w="844"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4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1.725</w:t>
            </w:r>
          </w:p>
        </w:tc>
        <w:tc>
          <w:tcPr>
            <w:tcW w:w="8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120</w:t>
            </w:r>
          </w:p>
        </w:tc>
        <w:tc>
          <w:tcPr>
            <w:tcW w:w="84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-1.605</w:t>
            </w:r>
          </w:p>
        </w:tc>
        <w:tc>
          <w:tcPr>
            <w:tcW w:w="875"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r>
      <w:tr>
        <w:trPr>
          <w:trHeight w:val="201"/>
        </w:trPr>
        <w:tc>
          <w:tcPr>
            <w:tcW w:w="4784"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Total trade</w:t>
            </w:r>
          </w:p>
        </w:tc>
        <w:tc>
          <w:tcPr>
            <w:tcW w:w="844"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42"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47.169</w:t>
            </w:r>
          </w:p>
        </w:tc>
        <w:tc>
          <w:tcPr>
            <w:tcW w:w="844"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48.260</w:t>
            </w:r>
          </w:p>
        </w:tc>
        <w:tc>
          <w:tcPr>
            <w:tcW w:w="842"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1.090</w:t>
            </w:r>
          </w:p>
        </w:tc>
        <w:tc>
          <w:tcPr>
            <w:tcW w:w="875"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2,3%</w:t>
            </w:r>
          </w:p>
        </w:tc>
      </w:tr>
      <w:tr>
        <w:trPr>
          <w:trHeight w:val="215"/>
        </w:trPr>
        <w:tc>
          <w:tcPr>
            <w:tcW w:w="7314"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eastAsia="en-GB"/>
              </w:rPr>
            </w:pPr>
            <w:r>
              <w:rPr>
                <w:rFonts w:eastAsia="Times New Roman"/>
                <w:noProof/>
                <w:sz w:val="12"/>
                <w:szCs w:val="12"/>
                <w:lang w:eastAsia="en-GB"/>
              </w:rPr>
              <w:t>Source Trade G2 Statistics/ISDB from Eurostat COMEXT</w:t>
            </w:r>
          </w:p>
        </w:tc>
        <w:tc>
          <w:tcPr>
            <w:tcW w:w="842" w:type="dxa"/>
            <w:tcBorders>
              <w:top w:val="nil"/>
              <w:left w:val="nil"/>
              <w:bottom w:val="nil"/>
              <w:right w:val="nil"/>
            </w:tcBorders>
            <w:shd w:val="clear" w:color="000000" w:fill="FFFFFF"/>
            <w:noWrap/>
            <w:vAlign w:val="bottom"/>
            <w:hideMark/>
          </w:tcPr>
          <w:p>
            <w:pPr>
              <w:rPr>
                <w:rFonts w:eastAsia="Times New Roman"/>
                <w:noProof/>
                <w:sz w:val="18"/>
                <w:szCs w:val="18"/>
                <w:lang w:eastAsia="en-GB"/>
              </w:rPr>
            </w:pPr>
            <w:r>
              <w:rPr>
                <w:rFonts w:eastAsia="Times New Roman"/>
                <w:noProof/>
                <w:sz w:val="18"/>
                <w:szCs w:val="18"/>
                <w:lang w:eastAsia="en-GB"/>
              </w:rPr>
              <w:t> </w:t>
            </w:r>
          </w:p>
        </w:tc>
        <w:tc>
          <w:tcPr>
            <w:tcW w:w="875" w:type="dxa"/>
            <w:tcBorders>
              <w:top w:val="nil"/>
              <w:left w:val="nil"/>
              <w:bottom w:val="nil"/>
              <w:right w:val="nil"/>
            </w:tcBorders>
            <w:shd w:val="clear" w:color="000000" w:fill="FFFFFF"/>
            <w:noWrap/>
            <w:vAlign w:val="bottom"/>
            <w:hideMark/>
          </w:tcPr>
          <w:p>
            <w:pPr>
              <w:rPr>
                <w:rFonts w:eastAsia="Times New Roman"/>
                <w:noProof/>
                <w:sz w:val="18"/>
                <w:szCs w:val="18"/>
                <w:lang w:eastAsia="en-GB"/>
              </w:rPr>
            </w:pPr>
            <w:r>
              <w:rPr>
                <w:rFonts w:eastAsia="Times New Roman"/>
                <w:noProof/>
                <w:sz w:val="18"/>
                <w:szCs w:val="18"/>
                <w:lang w:eastAsia="en-GB"/>
              </w:rPr>
              <w:t> </w:t>
            </w:r>
          </w:p>
        </w:tc>
      </w:tr>
      <w:tr>
        <w:trPr>
          <w:trHeight w:val="201"/>
        </w:trPr>
        <w:tc>
          <w:tcPr>
            <w:tcW w:w="9031"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Agrifood trade EU28 with South Africa (mio €)</w:t>
            </w:r>
          </w:p>
        </w:tc>
      </w:tr>
      <w:tr>
        <w:trPr>
          <w:trHeight w:val="228"/>
        </w:trPr>
        <w:tc>
          <w:tcPr>
            <w:tcW w:w="5628"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eastAsia="en-GB"/>
              </w:rPr>
            </w:pPr>
            <w:r>
              <w:rPr>
                <w:rFonts w:eastAsia="Times New Roman"/>
                <w:b/>
                <w:bCs/>
                <w:noProof/>
                <w:sz w:val="16"/>
                <w:szCs w:val="16"/>
                <w:lang w:eastAsia="en-GB"/>
              </w:rPr>
              <w:t>South Africa</w:t>
            </w:r>
          </w:p>
        </w:tc>
        <w:tc>
          <w:tcPr>
            <w:tcW w:w="842"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2017</w:t>
            </w:r>
          </w:p>
        </w:tc>
        <w:tc>
          <w:tcPr>
            <w:tcW w:w="844"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2018</w:t>
            </w:r>
          </w:p>
        </w:tc>
        <w:tc>
          <w:tcPr>
            <w:tcW w:w="1717"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Growth</w:t>
            </w:r>
          </w:p>
        </w:tc>
      </w:tr>
      <w:tr>
        <w:trPr>
          <w:trHeight w:val="201"/>
        </w:trPr>
        <w:tc>
          <w:tcPr>
            <w:tcW w:w="5628"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842"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844"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842"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mio €</w:t>
            </w:r>
          </w:p>
        </w:tc>
        <w:tc>
          <w:tcPr>
            <w:tcW w:w="875"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annual %</w:t>
            </w:r>
          </w:p>
        </w:tc>
      </w:tr>
      <w:tr>
        <w:trPr>
          <w:trHeight w:val="201"/>
        </w:trPr>
        <w:tc>
          <w:tcPr>
            <w:tcW w:w="4784"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Imports</w:t>
            </w:r>
          </w:p>
        </w:tc>
        <w:tc>
          <w:tcPr>
            <w:tcW w:w="844"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4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2.705</w:t>
            </w:r>
          </w:p>
        </w:tc>
        <w:tc>
          <w:tcPr>
            <w:tcW w:w="8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2.898</w:t>
            </w:r>
          </w:p>
        </w:tc>
        <w:tc>
          <w:tcPr>
            <w:tcW w:w="84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193</w:t>
            </w:r>
          </w:p>
        </w:tc>
        <w:tc>
          <w:tcPr>
            <w:tcW w:w="87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7,1%</w:t>
            </w:r>
          </w:p>
        </w:tc>
      </w:tr>
      <w:tr>
        <w:trPr>
          <w:trHeight w:val="201"/>
        </w:trPr>
        <w:tc>
          <w:tcPr>
            <w:tcW w:w="4784"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Exports</w:t>
            </w:r>
          </w:p>
        </w:tc>
        <w:tc>
          <w:tcPr>
            <w:tcW w:w="844"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4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1.780</w:t>
            </w:r>
          </w:p>
        </w:tc>
        <w:tc>
          <w:tcPr>
            <w:tcW w:w="8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1.711</w:t>
            </w:r>
          </w:p>
        </w:tc>
        <w:tc>
          <w:tcPr>
            <w:tcW w:w="84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-69</w:t>
            </w:r>
          </w:p>
        </w:tc>
        <w:tc>
          <w:tcPr>
            <w:tcW w:w="87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-3,9%</w:t>
            </w:r>
          </w:p>
        </w:tc>
      </w:tr>
      <w:tr>
        <w:trPr>
          <w:trHeight w:val="201"/>
        </w:trPr>
        <w:tc>
          <w:tcPr>
            <w:tcW w:w="4784"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Balance</w:t>
            </w:r>
          </w:p>
        </w:tc>
        <w:tc>
          <w:tcPr>
            <w:tcW w:w="844"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4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-925</w:t>
            </w:r>
          </w:p>
        </w:tc>
        <w:tc>
          <w:tcPr>
            <w:tcW w:w="8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-1.187</w:t>
            </w:r>
          </w:p>
        </w:tc>
        <w:tc>
          <w:tcPr>
            <w:tcW w:w="84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-262</w:t>
            </w:r>
          </w:p>
        </w:tc>
        <w:tc>
          <w:tcPr>
            <w:tcW w:w="875"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r>
      <w:tr>
        <w:trPr>
          <w:trHeight w:val="201"/>
        </w:trPr>
        <w:tc>
          <w:tcPr>
            <w:tcW w:w="4784"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Total trade</w:t>
            </w:r>
          </w:p>
        </w:tc>
        <w:tc>
          <w:tcPr>
            <w:tcW w:w="844"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42"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4.485</w:t>
            </w:r>
          </w:p>
        </w:tc>
        <w:tc>
          <w:tcPr>
            <w:tcW w:w="844"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4.609</w:t>
            </w:r>
          </w:p>
        </w:tc>
        <w:tc>
          <w:tcPr>
            <w:tcW w:w="842"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124</w:t>
            </w:r>
          </w:p>
        </w:tc>
        <w:tc>
          <w:tcPr>
            <w:tcW w:w="875"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2,8%</w:t>
            </w:r>
          </w:p>
        </w:tc>
      </w:tr>
      <w:tr>
        <w:trPr>
          <w:trHeight w:val="215"/>
        </w:trPr>
        <w:tc>
          <w:tcPr>
            <w:tcW w:w="7314"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eastAsia="en-GB"/>
              </w:rPr>
            </w:pPr>
            <w:r>
              <w:rPr>
                <w:rFonts w:eastAsia="Times New Roman"/>
                <w:noProof/>
                <w:sz w:val="12"/>
                <w:szCs w:val="12"/>
                <w:lang w:eastAsia="en-GB"/>
              </w:rPr>
              <w:t>Source Trade G2 Statistics/ISDB from Eurostat COMEXT</w:t>
            </w:r>
          </w:p>
        </w:tc>
        <w:tc>
          <w:tcPr>
            <w:tcW w:w="842" w:type="dxa"/>
            <w:tcBorders>
              <w:top w:val="nil"/>
              <w:left w:val="nil"/>
              <w:bottom w:val="nil"/>
              <w:right w:val="nil"/>
            </w:tcBorders>
            <w:shd w:val="clear" w:color="000000" w:fill="FFFFFF"/>
            <w:noWrap/>
            <w:vAlign w:val="bottom"/>
            <w:hideMark/>
          </w:tcPr>
          <w:p>
            <w:pPr>
              <w:rPr>
                <w:rFonts w:eastAsia="Times New Roman"/>
                <w:noProof/>
                <w:sz w:val="18"/>
                <w:szCs w:val="18"/>
                <w:lang w:eastAsia="en-GB"/>
              </w:rPr>
            </w:pPr>
            <w:r>
              <w:rPr>
                <w:rFonts w:eastAsia="Times New Roman"/>
                <w:noProof/>
                <w:sz w:val="18"/>
                <w:szCs w:val="18"/>
                <w:lang w:eastAsia="en-GB"/>
              </w:rPr>
              <w:t> </w:t>
            </w:r>
          </w:p>
        </w:tc>
        <w:tc>
          <w:tcPr>
            <w:tcW w:w="875" w:type="dxa"/>
            <w:tcBorders>
              <w:top w:val="nil"/>
              <w:left w:val="nil"/>
              <w:bottom w:val="nil"/>
              <w:right w:val="nil"/>
            </w:tcBorders>
            <w:shd w:val="clear" w:color="000000" w:fill="FFFFFF"/>
            <w:noWrap/>
            <w:vAlign w:val="bottom"/>
            <w:hideMark/>
          </w:tcPr>
          <w:p>
            <w:pPr>
              <w:rPr>
                <w:rFonts w:eastAsia="Times New Roman"/>
                <w:noProof/>
                <w:sz w:val="18"/>
                <w:szCs w:val="18"/>
                <w:lang w:eastAsia="en-GB"/>
              </w:rPr>
            </w:pPr>
            <w:r>
              <w:rPr>
                <w:rFonts w:eastAsia="Times New Roman"/>
                <w:noProof/>
                <w:sz w:val="18"/>
                <w:szCs w:val="18"/>
                <w:lang w:eastAsia="en-GB"/>
              </w:rPr>
              <w:t> </w:t>
            </w:r>
          </w:p>
        </w:tc>
      </w:tr>
      <w:tr>
        <w:trPr>
          <w:trHeight w:val="201"/>
        </w:trPr>
        <w:tc>
          <w:tcPr>
            <w:tcW w:w="9031"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NAMA trade EU28 with South Africa (mio €)</w:t>
            </w:r>
          </w:p>
        </w:tc>
      </w:tr>
      <w:tr>
        <w:trPr>
          <w:trHeight w:val="201"/>
        </w:trPr>
        <w:tc>
          <w:tcPr>
            <w:tcW w:w="5628"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eastAsia="en-GB"/>
              </w:rPr>
            </w:pPr>
            <w:r>
              <w:rPr>
                <w:rFonts w:eastAsia="Times New Roman"/>
                <w:b/>
                <w:bCs/>
                <w:noProof/>
                <w:sz w:val="16"/>
                <w:szCs w:val="16"/>
                <w:lang w:eastAsia="en-GB"/>
              </w:rPr>
              <w:t>South Africa</w:t>
            </w:r>
          </w:p>
        </w:tc>
        <w:tc>
          <w:tcPr>
            <w:tcW w:w="842"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2017</w:t>
            </w:r>
          </w:p>
        </w:tc>
        <w:tc>
          <w:tcPr>
            <w:tcW w:w="844"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2018</w:t>
            </w:r>
          </w:p>
        </w:tc>
        <w:tc>
          <w:tcPr>
            <w:tcW w:w="1717"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Growth</w:t>
            </w:r>
          </w:p>
        </w:tc>
      </w:tr>
      <w:tr>
        <w:trPr>
          <w:trHeight w:val="201"/>
        </w:trPr>
        <w:tc>
          <w:tcPr>
            <w:tcW w:w="5628"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842"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844"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842"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mio €</w:t>
            </w:r>
          </w:p>
        </w:tc>
        <w:tc>
          <w:tcPr>
            <w:tcW w:w="875"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annual %</w:t>
            </w:r>
          </w:p>
        </w:tc>
      </w:tr>
      <w:tr>
        <w:trPr>
          <w:trHeight w:val="201"/>
        </w:trPr>
        <w:tc>
          <w:tcPr>
            <w:tcW w:w="5628" w:type="dxa"/>
            <w:gridSpan w:val="2"/>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EU28 imports</w:t>
            </w:r>
          </w:p>
        </w:tc>
        <w:tc>
          <w:tcPr>
            <w:tcW w:w="84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20.017</w:t>
            </w:r>
          </w:p>
        </w:tc>
        <w:tc>
          <w:tcPr>
            <w:tcW w:w="8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21.171</w:t>
            </w:r>
          </w:p>
        </w:tc>
        <w:tc>
          <w:tcPr>
            <w:tcW w:w="84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1.155</w:t>
            </w:r>
          </w:p>
        </w:tc>
        <w:tc>
          <w:tcPr>
            <w:tcW w:w="87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5,8%</w:t>
            </w:r>
          </w:p>
        </w:tc>
      </w:tr>
      <w:tr>
        <w:trPr>
          <w:trHeight w:val="201"/>
        </w:trPr>
        <w:tc>
          <w:tcPr>
            <w:tcW w:w="5628" w:type="dxa"/>
            <w:gridSpan w:val="2"/>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EU28 exports</w:t>
            </w:r>
          </w:p>
        </w:tc>
        <w:tc>
          <w:tcPr>
            <w:tcW w:w="84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22.667</w:t>
            </w:r>
          </w:p>
        </w:tc>
        <w:tc>
          <w:tcPr>
            <w:tcW w:w="8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22.479</w:t>
            </w:r>
          </w:p>
        </w:tc>
        <w:tc>
          <w:tcPr>
            <w:tcW w:w="84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-188</w:t>
            </w:r>
          </w:p>
        </w:tc>
        <w:tc>
          <w:tcPr>
            <w:tcW w:w="87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-0,8%</w:t>
            </w:r>
          </w:p>
        </w:tc>
      </w:tr>
      <w:tr>
        <w:trPr>
          <w:trHeight w:val="201"/>
        </w:trPr>
        <w:tc>
          <w:tcPr>
            <w:tcW w:w="4784"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Balance</w:t>
            </w:r>
          </w:p>
        </w:tc>
        <w:tc>
          <w:tcPr>
            <w:tcW w:w="844"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4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2.650</w:t>
            </w:r>
          </w:p>
        </w:tc>
        <w:tc>
          <w:tcPr>
            <w:tcW w:w="8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1.307</w:t>
            </w:r>
          </w:p>
        </w:tc>
        <w:tc>
          <w:tcPr>
            <w:tcW w:w="84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-1.343</w:t>
            </w:r>
          </w:p>
        </w:tc>
        <w:tc>
          <w:tcPr>
            <w:tcW w:w="875"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r>
      <w:tr>
        <w:trPr>
          <w:trHeight w:val="201"/>
        </w:trPr>
        <w:tc>
          <w:tcPr>
            <w:tcW w:w="4784"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Total trade</w:t>
            </w:r>
          </w:p>
        </w:tc>
        <w:tc>
          <w:tcPr>
            <w:tcW w:w="844"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4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42.684</w:t>
            </w:r>
          </w:p>
        </w:tc>
        <w:tc>
          <w:tcPr>
            <w:tcW w:w="8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43.650</w:t>
            </w:r>
          </w:p>
        </w:tc>
        <w:tc>
          <w:tcPr>
            <w:tcW w:w="84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966</w:t>
            </w:r>
          </w:p>
        </w:tc>
        <w:tc>
          <w:tcPr>
            <w:tcW w:w="875"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2,3%</w:t>
            </w:r>
          </w:p>
        </w:tc>
      </w:tr>
      <w:tr>
        <w:trPr>
          <w:trHeight w:val="215"/>
        </w:trPr>
        <w:tc>
          <w:tcPr>
            <w:tcW w:w="7314"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eastAsia="en-GB"/>
              </w:rPr>
            </w:pPr>
            <w:r>
              <w:rPr>
                <w:rFonts w:eastAsia="Times New Roman"/>
                <w:noProof/>
                <w:sz w:val="12"/>
                <w:szCs w:val="12"/>
                <w:lang w:eastAsia="en-GB"/>
              </w:rPr>
              <w:t>Source Trade G2 Statistics/ISDB from Eurostat COMEXT</w:t>
            </w:r>
          </w:p>
        </w:tc>
        <w:tc>
          <w:tcPr>
            <w:tcW w:w="842" w:type="dxa"/>
            <w:tcBorders>
              <w:top w:val="single" w:sz="4" w:space="0" w:color="auto"/>
              <w:left w:val="nil"/>
              <w:bottom w:val="nil"/>
              <w:right w:val="nil"/>
            </w:tcBorders>
            <w:shd w:val="clear" w:color="000000" w:fill="FFFFFF"/>
            <w:noWrap/>
            <w:vAlign w:val="bottom"/>
            <w:hideMark/>
          </w:tcPr>
          <w:p>
            <w:pPr>
              <w:rPr>
                <w:rFonts w:eastAsia="Times New Roman"/>
                <w:noProof/>
                <w:sz w:val="18"/>
                <w:szCs w:val="18"/>
                <w:lang w:eastAsia="en-GB"/>
              </w:rPr>
            </w:pPr>
            <w:r>
              <w:rPr>
                <w:rFonts w:eastAsia="Times New Roman"/>
                <w:noProof/>
                <w:sz w:val="18"/>
                <w:szCs w:val="18"/>
                <w:lang w:eastAsia="en-GB"/>
              </w:rPr>
              <w:t> </w:t>
            </w:r>
          </w:p>
        </w:tc>
        <w:tc>
          <w:tcPr>
            <w:tcW w:w="875" w:type="dxa"/>
            <w:tcBorders>
              <w:top w:val="nil"/>
              <w:left w:val="nil"/>
              <w:bottom w:val="nil"/>
              <w:right w:val="nil"/>
            </w:tcBorders>
            <w:shd w:val="clear" w:color="000000" w:fill="FFFFFF"/>
            <w:noWrap/>
            <w:vAlign w:val="bottom"/>
            <w:hideMark/>
          </w:tcPr>
          <w:p>
            <w:pPr>
              <w:rPr>
                <w:rFonts w:eastAsia="Times New Roman"/>
                <w:noProof/>
                <w:sz w:val="18"/>
                <w:szCs w:val="18"/>
                <w:lang w:eastAsia="en-GB"/>
              </w:rPr>
            </w:pPr>
            <w:r>
              <w:rPr>
                <w:rFonts w:eastAsia="Times New Roman"/>
                <w:noProof/>
                <w:sz w:val="18"/>
                <w:szCs w:val="18"/>
                <w:lang w:eastAsia="en-GB"/>
              </w:rPr>
              <w:t> </w:t>
            </w:r>
          </w:p>
        </w:tc>
      </w:tr>
      <w:tr>
        <w:trPr>
          <w:trHeight w:val="201"/>
        </w:trPr>
        <w:tc>
          <w:tcPr>
            <w:tcW w:w="9031" w:type="dxa"/>
            <w:gridSpan w:val="6"/>
            <w:tcBorders>
              <w:top w:val="nil"/>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Growth of Services trade EU28 with South Africa (mio €)</w:t>
            </w:r>
          </w:p>
        </w:tc>
      </w:tr>
      <w:tr>
        <w:trPr>
          <w:trHeight w:val="201"/>
        </w:trPr>
        <w:tc>
          <w:tcPr>
            <w:tcW w:w="5628"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eastAsia="en-GB"/>
              </w:rPr>
            </w:pPr>
            <w:r>
              <w:rPr>
                <w:rFonts w:eastAsia="Times New Roman"/>
                <w:b/>
                <w:bCs/>
                <w:noProof/>
                <w:sz w:val="16"/>
                <w:szCs w:val="16"/>
                <w:lang w:eastAsia="en-GB"/>
              </w:rPr>
              <w:t>South Africa</w:t>
            </w:r>
          </w:p>
        </w:tc>
        <w:tc>
          <w:tcPr>
            <w:tcW w:w="842"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2016</w:t>
            </w:r>
          </w:p>
        </w:tc>
        <w:tc>
          <w:tcPr>
            <w:tcW w:w="844"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2017</w:t>
            </w:r>
          </w:p>
        </w:tc>
        <w:tc>
          <w:tcPr>
            <w:tcW w:w="1717"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Growth</w:t>
            </w:r>
          </w:p>
        </w:tc>
      </w:tr>
      <w:tr>
        <w:trPr>
          <w:trHeight w:val="201"/>
        </w:trPr>
        <w:tc>
          <w:tcPr>
            <w:tcW w:w="5628"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842" w:type="dxa"/>
            <w:vMerge/>
            <w:tcBorders>
              <w:top w:val="nil"/>
              <w:left w:val="nil"/>
              <w:bottom w:val="single" w:sz="4" w:space="0" w:color="000000"/>
              <w:right w:val="nil"/>
            </w:tcBorders>
            <w:vAlign w:val="center"/>
            <w:hideMark/>
          </w:tcPr>
          <w:p>
            <w:pPr>
              <w:rPr>
                <w:rFonts w:eastAsia="Times New Roman"/>
                <w:b/>
                <w:bCs/>
                <w:noProof/>
                <w:sz w:val="16"/>
                <w:szCs w:val="16"/>
                <w:lang w:eastAsia="en-GB"/>
              </w:rPr>
            </w:pPr>
          </w:p>
        </w:tc>
        <w:tc>
          <w:tcPr>
            <w:tcW w:w="844" w:type="dxa"/>
            <w:vMerge/>
            <w:tcBorders>
              <w:top w:val="nil"/>
              <w:left w:val="nil"/>
              <w:bottom w:val="single" w:sz="4" w:space="0" w:color="000000"/>
              <w:right w:val="nil"/>
            </w:tcBorders>
            <w:vAlign w:val="center"/>
            <w:hideMark/>
          </w:tcPr>
          <w:p>
            <w:pPr>
              <w:rPr>
                <w:rFonts w:eastAsia="Times New Roman"/>
                <w:b/>
                <w:bCs/>
                <w:noProof/>
                <w:sz w:val="16"/>
                <w:szCs w:val="16"/>
                <w:lang w:eastAsia="en-GB"/>
              </w:rPr>
            </w:pPr>
          </w:p>
        </w:tc>
        <w:tc>
          <w:tcPr>
            <w:tcW w:w="842"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mio €</w:t>
            </w:r>
          </w:p>
        </w:tc>
        <w:tc>
          <w:tcPr>
            <w:tcW w:w="875"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annual %</w:t>
            </w:r>
          </w:p>
        </w:tc>
      </w:tr>
      <w:tr>
        <w:trPr>
          <w:trHeight w:val="201"/>
        </w:trPr>
        <w:tc>
          <w:tcPr>
            <w:tcW w:w="4784"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Imports</w:t>
            </w:r>
          </w:p>
        </w:tc>
        <w:tc>
          <w:tcPr>
            <w:tcW w:w="844"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4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5.109</w:t>
            </w:r>
          </w:p>
        </w:tc>
        <w:tc>
          <w:tcPr>
            <w:tcW w:w="8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5.387</w:t>
            </w:r>
          </w:p>
        </w:tc>
        <w:tc>
          <w:tcPr>
            <w:tcW w:w="84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278</w:t>
            </w:r>
          </w:p>
        </w:tc>
        <w:tc>
          <w:tcPr>
            <w:tcW w:w="87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5,4%</w:t>
            </w:r>
          </w:p>
        </w:tc>
      </w:tr>
      <w:tr>
        <w:trPr>
          <w:trHeight w:val="201"/>
        </w:trPr>
        <w:tc>
          <w:tcPr>
            <w:tcW w:w="4784"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Exports</w:t>
            </w:r>
          </w:p>
        </w:tc>
        <w:tc>
          <w:tcPr>
            <w:tcW w:w="844"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4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8.207</w:t>
            </w:r>
          </w:p>
        </w:tc>
        <w:tc>
          <w:tcPr>
            <w:tcW w:w="8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9.086</w:t>
            </w:r>
          </w:p>
        </w:tc>
        <w:tc>
          <w:tcPr>
            <w:tcW w:w="84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879</w:t>
            </w:r>
          </w:p>
        </w:tc>
        <w:tc>
          <w:tcPr>
            <w:tcW w:w="87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10,7%</w:t>
            </w:r>
          </w:p>
        </w:tc>
      </w:tr>
      <w:tr>
        <w:trPr>
          <w:trHeight w:val="201"/>
        </w:trPr>
        <w:tc>
          <w:tcPr>
            <w:tcW w:w="4784"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Balance</w:t>
            </w:r>
          </w:p>
        </w:tc>
        <w:tc>
          <w:tcPr>
            <w:tcW w:w="844"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4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3.099</w:t>
            </w:r>
          </w:p>
        </w:tc>
        <w:tc>
          <w:tcPr>
            <w:tcW w:w="8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3.699</w:t>
            </w:r>
          </w:p>
        </w:tc>
        <w:tc>
          <w:tcPr>
            <w:tcW w:w="84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600</w:t>
            </w:r>
          </w:p>
        </w:tc>
        <w:tc>
          <w:tcPr>
            <w:tcW w:w="875"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r>
      <w:tr>
        <w:trPr>
          <w:trHeight w:val="201"/>
        </w:trPr>
        <w:tc>
          <w:tcPr>
            <w:tcW w:w="4784"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Total trade</w:t>
            </w:r>
          </w:p>
        </w:tc>
        <w:tc>
          <w:tcPr>
            <w:tcW w:w="844"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42"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13.316</w:t>
            </w:r>
          </w:p>
        </w:tc>
        <w:tc>
          <w:tcPr>
            <w:tcW w:w="844"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14.473</w:t>
            </w:r>
          </w:p>
        </w:tc>
        <w:tc>
          <w:tcPr>
            <w:tcW w:w="842"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1.157</w:t>
            </w:r>
          </w:p>
        </w:tc>
        <w:tc>
          <w:tcPr>
            <w:tcW w:w="875"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8,7%</w:t>
            </w:r>
          </w:p>
        </w:tc>
      </w:tr>
      <w:tr>
        <w:trPr>
          <w:trHeight w:val="215"/>
        </w:trPr>
        <w:tc>
          <w:tcPr>
            <w:tcW w:w="8156" w:type="dxa"/>
            <w:gridSpan w:val="5"/>
            <w:tcBorders>
              <w:top w:val="nil"/>
              <w:left w:val="nil"/>
              <w:bottom w:val="nil"/>
              <w:right w:val="nil"/>
            </w:tcBorders>
            <w:shd w:val="clear" w:color="000000" w:fill="FFFFFF"/>
            <w:noWrap/>
            <w:hideMark/>
          </w:tcPr>
          <w:p>
            <w:pPr>
              <w:rPr>
                <w:rFonts w:eastAsia="Times New Roman"/>
                <w:noProof/>
                <w:sz w:val="12"/>
                <w:szCs w:val="12"/>
                <w:lang w:eastAsia="en-GB"/>
              </w:rPr>
            </w:pPr>
            <w:r>
              <w:rPr>
                <w:rFonts w:eastAsia="Times New Roman"/>
                <w:noProof/>
                <w:sz w:val="12"/>
                <w:szCs w:val="12"/>
                <w:lang w:eastAsia="en-GB"/>
              </w:rPr>
              <w:t>Source Trade G2 Statistics/ISDB from Eurostat BOP statistics</w:t>
            </w:r>
          </w:p>
        </w:tc>
        <w:tc>
          <w:tcPr>
            <w:tcW w:w="875" w:type="dxa"/>
            <w:tcBorders>
              <w:top w:val="nil"/>
              <w:left w:val="nil"/>
              <w:bottom w:val="nil"/>
              <w:right w:val="nil"/>
            </w:tcBorders>
            <w:shd w:val="clear" w:color="000000" w:fill="FFFFFF"/>
            <w:noWrap/>
            <w:vAlign w:val="bottom"/>
            <w:hideMark/>
          </w:tcPr>
          <w:p>
            <w:pPr>
              <w:rPr>
                <w:rFonts w:eastAsia="Times New Roman"/>
                <w:noProof/>
                <w:sz w:val="18"/>
                <w:szCs w:val="18"/>
                <w:lang w:eastAsia="en-GB"/>
              </w:rPr>
            </w:pPr>
            <w:r>
              <w:rPr>
                <w:rFonts w:eastAsia="Times New Roman"/>
                <w:noProof/>
                <w:sz w:val="18"/>
                <w:szCs w:val="18"/>
                <w:lang w:eastAsia="en-GB"/>
              </w:rPr>
              <w:t> </w:t>
            </w:r>
          </w:p>
        </w:tc>
      </w:tr>
      <w:tr>
        <w:trPr>
          <w:trHeight w:val="215"/>
        </w:trPr>
        <w:tc>
          <w:tcPr>
            <w:tcW w:w="9031"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Total Services trade EU28 with South Africa (mio €)</w:t>
            </w:r>
          </w:p>
        </w:tc>
      </w:tr>
      <w:tr>
        <w:trPr>
          <w:trHeight w:val="201"/>
        </w:trPr>
        <w:tc>
          <w:tcPr>
            <w:tcW w:w="4784"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44"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2013</w:t>
            </w:r>
          </w:p>
        </w:tc>
        <w:tc>
          <w:tcPr>
            <w:tcW w:w="842"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2014</w:t>
            </w:r>
          </w:p>
        </w:tc>
        <w:tc>
          <w:tcPr>
            <w:tcW w:w="844"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2015</w:t>
            </w:r>
          </w:p>
        </w:tc>
        <w:tc>
          <w:tcPr>
            <w:tcW w:w="842"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2016</w:t>
            </w:r>
          </w:p>
        </w:tc>
        <w:tc>
          <w:tcPr>
            <w:tcW w:w="875"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2017</w:t>
            </w:r>
          </w:p>
        </w:tc>
      </w:tr>
      <w:tr>
        <w:trPr>
          <w:trHeight w:val="201"/>
        </w:trPr>
        <w:tc>
          <w:tcPr>
            <w:tcW w:w="4784"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Imports</w:t>
            </w:r>
          </w:p>
        </w:tc>
        <w:tc>
          <w:tcPr>
            <w:tcW w:w="8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4.449</w:t>
            </w:r>
          </w:p>
        </w:tc>
        <w:tc>
          <w:tcPr>
            <w:tcW w:w="84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4.361</w:t>
            </w:r>
          </w:p>
        </w:tc>
        <w:tc>
          <w:tcPr>
            <w:tcW w:w="8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5.310</w:t>
            </w:r>
          </w:p>
        </w:tc>
        <w:tc>
          <w:tcPr>
            <w:tcW w:w="84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5.109</w:t>
            </w:r>
          </w:p>
        </w:tc>
        <w:tc>
          <w:tcPr>
            <w:tcW w:w="87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5.387</w:t>
            </w:r>
          </w:p>
        </w:tc>
      </w:tr>
      <w:tr>
        <w:trPr>
          <w:trHeight w:val="201"/>
        </w:trPr>
        <w:tc>
          <w:tcPr>
            <w:tcW w:w="4784"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Exports</w:t>
            </w:r>
          </w:p>
        </w:tc>
        <w:tc>
          <w:tcPr>
            <w:tcW w:w="8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7.232</w:t>
            </w:r>
          </w:p>
        </w:tc>
        <w:tc>
          <w:tcPr>
            <w:tcW w:w="84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7.180</w:t>
            </w:r>
          </w:p>
        </w:tc>
        <w:tc>
          <w:tcPr>
            <w:tcW w:w="8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8.446</w:t>
            </w:r>
          </w:p>
        </w:tc>
        <w:tc>
          <w:tcPr>
            <w:tcW w:w="84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8.207</w:t>
            </w:r>
          </w:p>
        </w:tc>
        <w:tc>
          <w:tcPr>
            <w:tcW w:w="87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9.086</w:t>
            </w:r>
          </w:p>
        </w:tc>
      </w:tr>
      <w:tr>
        <w:trPr>
          <w:trHeight w:val="201"/>
        </w:trPr>
        <w:tc>
          <w:tcPr>
            <w:tcW w:w="4784"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Balance</w:t>
            </w:r>
          </w:p>
        </w:tc>
        <w:tc>
          <w:tcPr>
            <w:tcW w:w="8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2.783</w:t>
            </w:r>
          </w:p>
        </w:tc>
        <w:tc>
          <w:tcPr>
            <w:tcW w:w="84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2.818</w:t>
            </w:r>
          </w:p>
        </w:tc>
        <w:tc>
          <w:tcPr>
            <w:tcW w:w="8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3.136</w:t>
            </w:r>
          </w:p>
        </w:tc>
        <w:tc>
          <w:tcPr>
            <w:tcW w:w="84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3.099</w:t>
            </w:r>
          </w:p>
        </w:tc>
        <w:tc>
          <w:tcPr>
            <w:tcW w:w="87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3.699</w:t>
            </w:r>
          </w:p>
        </w:tc>
      </w:tr>
      <w:tr>
        <w:trPr>
          <w:trHeight w:val="201"/>
        </w:trPr>
        <w:tc>
          <w:tcPr>
            <w:tcW w:w="4784"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Total trade</w:t>
            </w:r>
          </w:p>
        </w:tc>
        <w:tc>
          <w:tcPr>
            <w:tcW w:w="844"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11.681</w:t>
            </w:r>
          </w:p>
        </w:tc>
        <w:tc>
          <w:tcPr>
            <w:tcW w:w="842"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11.541</w:t>
            </w:r>
          </w:p>
        </w:tc>
        <w:tc>
          <w:tcPr>
            <w:tcW w:w="844"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13.757</w:t>
            </w:r>
          </w:p>
        </w:tc>
        <w:tc>
          <w:tcPr>
            <w:tcW w:w="842"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13.316</w:t>
            </w:r>
          </w:p>
        </w:tc>
        <w:tc>
          <w:tcPr>
            <w:tcW w:w="875"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14.473</w:t>
            </w:r>
          </w:p>
        </w:tc>
      </w:tr>
      <w:tr>
        <w:trPr>
          <w:trHeight w:val="201"/>
        </w:trPr>
        <w:tc>
          <w:tcPr>
            <w:tcW w:w="4784" w:type="dxa"/>
            <w:tcBorders>
              <w:top w:val="nil"/>
              <w:left w:val="nil"/>
              <w:bottom w:val="nil"/>
              <w:right w:val="nil"/>
            </w:tcBorders>
            <w:shd w:val="clear" w:color="000000" w:fill="FFFFFF"/>
            <w:noWrap/>
            <w:hideMark/>
          </w:tcPr>
          <w:p>
            <w:pPr>
              <w:rPr>
                <w:rFonts w:eastAsia="Times New Roman"/>
                <w:noProof/>
                <w:sz w:val="12"/>
                <w:szCs w:val="12"/>
                <w:lang w:eastAsia="en-GB"/>
              </w:rPr>
            </w:pPr>
            <w:r>
              <w:rPr>
                <w:rFonts w:eastAsia="Times New Roman"/>
                <w:noProof/>
                <w:sz w:val="12"/>
                <w:szCs w:val="12"/>
                <w:lang w:eastAsia="en-GB"/>
              </w:rPr>
              <w:t>Source Trade G2 Statistics/ISDB from Eurostat BOP statistics</w:t>
            </w:r>
          </w:p>
        </w:tc>
        <w:tc>
          <w:tcPr>
            <w:tcW w:w="844" w:type="dxa"/>
            <w:tcBorders>
              <w:top w:val="nil"/>
              <w:left w:val="nil"/>
              <w:bottom w:val="nil"/>
              <w:right w:val="nil"/>
            </w:tcBorders>
            <w:shd w:val="clear" w:color="000000" w:fill="FFFFFF"/>
            <w:noWrap/>
            <w:hideMark/>
          </w:tcPr>
          <w:p>
            <w:pPr>
              <w:rPr>
                <w:rFonts w:eastAsia="Times New Roman"/>
                <w:noProof/>
                <w:sz w:val="12"/>
                <w:szCs w:val="12"/>
                <w:lang w:eastAsia="en-GB"/>
              </w:rPr>
            </w:pPr>
            <w:r>
              <w:rPr>
                <w:rFonts w:eastAsia="Times New Roman"/>
                <w:noProof/>
                <w:sz w:val="12"/>
                <w:szCs w:val="12"/>
                <w:lang w:eastAsia="en-GB"/>
              </w:rPr>
              <w:t> </w:t>
            </w:r>
          </w:p>
        </w:tc>
        <w:tc>
          <w:tcPr>
            <w:tcW w:w="842"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44"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42"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75"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r>
      <w:tr>
        <w:trPr>
          <w:trHeight w:val="201"/>
        </w:trPr>
        <w:tc>
          <w:tcPr>
            <w:tcW w:w="9031"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Foreign Direct Investment (FDI) EU28 with South Africa (mio €)</w:t>
            </w:r>
          </w:p>
        </w:tc>
      </w:tr>
      <w:tr>
        <w:trPr>
          <w:trHeight w:val="201"/>
        </w:trPr>
        <w:tc>
          <w:tcPr>
            <w:tcW w:w="4784"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44"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2013</w:t>
            </w:r>
          </w:p>
        </w:tc>
        <w:tc>
          <w:tcPr>
            <w:tcW w:w="842"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2014</w:t>
            </w:r>
          </w:p>
        </w:tc>
        <w:tc>
          <w:tcPr>
            <w:tcW w:w="844"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2015</w:t>
            </w:r>
          </w:p>
        </w:tc>
        <w:tc>
          <w:tcPr>
            <w:tcW w:w="842"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2016</w:t>
            </w:r>
          </w:p>
        </w:tc>
        <w:tc>
          <w:tcPr>
            <w:tcW w:w="875"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2017</w:t>
            </w:r>
          </w:p>
        </w:tc>
      </w:tr>
      <w:tr>
        <w:trPr>
          <w:trHeight w:val="201"/>
        </w:trPr>
        <w:tc>
          <w:tcPr>
            <w:tcW w:w="9031"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eastAsia="en-GB"/>
              </w:rPr>
            </w:pPr>
            <w:r>
              <w:rPr>
                <w:rFonts w:eastAsia="Times New Roman"/>
                <w:b/>
                <w:bCs/>
                <w:i/>
                <w:iCs/>
                <w:noProof/>
                <w:sz w:val="16"/>
                <w:szCs w:val="16"/>
                <w:lang w:eastAsia="en-GB"/>
              </w:rPr>
              <w:t>FDI Stocks</w:t>
            </w:r>
          </w:p>
        </w:tc>
      </w:tr>
      <w:tr>
        <w:trPr>
          <w:trHeight w:val="201"/>
        </w:trPr>
        <w:tc>
          <w:tcPr>
            <w:tcW w:w="4784"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Inward</w:t>
            </w:r>
          </w:p>
        </w:tc>
        <w:tc>
          <w:tcPr>
            <w:tcW w:w="8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7.698</w:t>
            </w:r>
          </w:p>
        </w:tc>
        <w:tc>
          <w:tcPr>
            <w:tcW w:w="84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12.014</w:t>
            </w:r>
          </w:p>
        </w:tc>
        <w:tc>
          <w:tcPr>
            <w:tcW w:w="8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11.521</w:t>
            </w:r>
          </w:p>
        </w:tc>
        <w:tc>
          <w:tcPr>
            <w:tcW w:w="84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11.796</w:t>
            </w:r>
          </w:p>
        </w:tc>
        <w:tc>
          <w:tcPr>
            <w:tcW w:w="87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12.116</w:t>
            </w:r>
          </w:p>
        </w:tc>
      </w:tr>
      <w:tr>
        <w:trPr>
          <w:trHeight w:val="201"/>
        </w:trPr>
        <w:tc>
          <w:tcPr>
            <w:tcW w:w="4784"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Outward</w:t>
            </w:r>
          </w:p>
        </w:tc>
        <w:tc>
          <w:tcPr>
            <w:tcW w:w="8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58.872</w:t>
            </w:r>
          </w:p>
        </w:tc>
        <w:tc>
          <w:tcPr>
            <w:tcW w:w="84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59.946</w:t>
            </w:r>
          </w:p>
        </w:tc>
        <w:tc>
          <w:tcPr>
            <w:tcW w:w="8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96.298</w:t>
            </w:r>
          </w:p>
        </w:tc>
        <w:tc>
          <w:tcPr>
            <w:tcW w:w="84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70.081</w:t>
            </w:r>
          </w:p>
        </w:tc>
        <w:tc>
          <w:tcPr>
            <w:tcW w:w="87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59.787</w:t>
            </w:r>
          </w:p>
        </w:tc>
      </w:tr>
      <w:tr>
        <w:trPr>
          <w:trHeight w:val="201"/>
        </w:trPr>
        <w:tc>
          <w:tcPr>
            <w:tcW w:w="9031"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eastAsia="en-GB"/>
              </w:rPr>
            </w:pPr>
            <w:r>
              <w:rPr>
                <w:rFonts w:eastAsia="Times New Roman"/>
                <w:b/>
                <w:bCs/>
                <w:i/>
                <w:iCs/>
                <w:noProof/>
                <w:sz w:val="16"/>
                <w:szCs w:val="16"/>
                <w:lang w:eastAsia="en-GB"/>
              </w:rPr>
              <w:t>FDI Flows</w:t>
            </w:r>
          </w:p>
        </w:tc>
      </w:tr>
      <w:tr>
        <w:trPr>
          <w:trHeight w:val="201"/>
        </w:trPr>
        <w:tc>
          <w:tcPr>
            <w:tcW w:w="4784"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Inward</w:t>
            </w:r>
          </w:p>
        </w:tc>
        <w:tc>
          <w:tcPr>
            <w:tcW w:w="8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-404</w:t>
            </w:r>
          </w:p>
        </w:tc>
        <w:tc>
          <w:tcPr>
            <w:tcW w:w="84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698</w:t>
            </w:r>
          </w:p>
        </w:tc>
        <w:tc>
          <w:tcPr>
            <w:tcW w:w="8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w:t>
            </w:r>
          </w:p>
        </w:tc>
        <w:tc>
          <w:tcPr>
            <w:tcW w:w="84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4.988</w:t>
            </w:r>
          </w:p>
        </w:tc>
        <w:tc>
          <w:tcPr>
            <w:tcW w:w="875"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-31</w:t>
            </w:r>
          </w:p>
        </w:tc>
      </w:tr>
      <w:tr>
        <w:trPr>
          <w:trHeight w:val="201"/>
        </w:trPr>
        <w:tc>
          <w:tcPr>
            <w:tcW w:w="4784"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Outward</w:t>
            </w:r>
          </w:p>
        </w:tc>
        <w:tc>
          <w:tcPr>
            <w:tcW w:w="844"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2.046</w:t>
            </w:r>
          </w:p>
        </w:tc>
        <w:tc>
          <w:tcPr>
            <w:tcW w:w="842"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4.034</w:t>
            </w:r>
          </w:p>
        </w:tc>
        <w:tc>
          <w:tcPr>
            <w:tcW w:w="844"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22.611</w:t>
            </w:r>
          </w:p>
        </w:tc>
        <w:tc>
          <w:tcPr>
            <w:tcW w:w="842"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-10.865</w:t>
            </w:r>
          </w:p>
        </w:tc>
        <w:tc>
          <w:tcPr>
            <w:tcW w:w="875"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-8.433</w:t>
            </w:r>
          </w:p>
        </w:tc>
      </w:tr>
      <w:tr>
        <w:trPr>
          <w:trHeight w:val="201"/>
        </w:trPr>
        <w:tc>
          <w:tcPr>
            <w:tcW w:w="4784" w:type="dxa"/>
            <w:tcBorders>
              <w:top w:val="single" w:sz="4" w:space="0" w:color="auto"/>
              <w:left w:val="nil"/>
              <w:bottom w:val="nil"/>
              <w:right w:val="nil"/>
            </w:tcBorders>
            <w:shd w:val="clear" w:color="000000" w:fill="FFFFFF"/>
            <w:noWrap/>
            <w:hideMark/>
          </w:tcPr>
          <w:p>
            <w:pPr>
              <w:rPr>
                <w:rFonts w:eastAsia="Times New Roman"/>
                <w:noProof/>
                <w:sz w:val="12"/>
                <w:szCs w:val="12"/>
                <w:lang w:eastAsia="en-GB"/>
              </w:rPr>
            </w:pPr>
            <w:r>
              <w:rPr>
                <w:rFonts w:eastAsia="Times New Roman"/>
                <w:noProof/>
                <w:sz w:val="12"/>
                <w:szCs w:val="12"/>
                <w:lang w:eastAsia="en-GB"/>
              </w:rPr>
              <w:t>Source Trade G2 Statistics/ISDB from Eurostat BOP statistics</w:t>
            </w:r>
          </w:p>
        </w:tc>
        <w:tc>
          <w:tcPr>
            <w:tcW w:w="844" w:type="dxa"/>
            <w:tcBorders>
              <w:top w:val="nil"/>
              <w:left w:val="nil"/>
              <w:bottom w:val="nil"/>
              <w:right w:val="nil"/>
            </w:tcBorders>
            <w:shd w:val="clear" w:color="000000" w:fill="FFFFFF"/>
            <w:noWrap/>
            <w:hideMark/>
          </w:tcPr>
          <w:p>
            <w:pPr>
              <w:rPr>
                <w:rFonts w:eastAsia="Times New Roman"/>
                <w:noProof/>
                <w:sz w:val="12"/>
                <w:szCs w:val="12"/>
                <w:lang w:eastAsia="en-GB"/>
              </w:rPr>
            </w:pPr>
            <w:r>
              <w:rPr>
                <w:rFonts w:eastAsia="Times New Roman"/>
                <w:noProof/>
                <w:sz w:val="12"/>
                <w:szCs w:val="12"/>
                <w:lang w:eastAsia="en-GB"/>
              </w:rPr>
              <w:t> </w:t>
            </w:r>
          </w:p>
        </w:tc>
        <w:tc>
          <w:tcPr>
            <w:tcW w:w="842"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44"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42"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75"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r>
    </w:tbl>
    <w:p>
      <w:pPr>
        <w:pStyle w:val="ChapterHead"/>
        <w:spacing w:after="0"/>
        <w:jc w:val="both"/>
        <w:rPr>
          <w:b/>
          <w:noProof/>
        </w:rPr>
      </w:pPr>
    </w:p>
    <w:p>
      <w:pPr>
        <w:rPr>
          <w:b/>
          <w:noProof/>
        </w:rPr>
      </w:pPr>
      <w:bookmarkStart w:id="4265" w:name="_Toc9608311"/>
      <w:r>
        <w:rPr>
          <w:b/>
          <w:noProof/>
        </w:rPr>
        <w:t>Botswana:</w:t>
      </w:r>
      <w:bookmarkEnd w:id="4265"/>
      <w:r>
        <w:rPr>
          <w:b/>
          <w:noProof/>
        </w:rPr>
        <w:t xml:space="preserve"> </w:t>
      </w:r>
    </w:p>
    <w:tbl>
      <w:tblPr>
        <w:tblW w:w="9180" w:type="dxa"/>
        <w:tblInd w:w="108" w:type="dxa"/>
        <w:tblLook w:val="04A0" w:firstRow="1" w:lastRow="0" w:firstColumn="1" w:lastColumn="0" w:noHBand="0" w:noVBand="1"/>
      </w:tblPr>
      <w:tblGrid>
        <w:gridCol w:w="4809"/>
        <w:gridCol w:w="862"/>
        <w:gridCol w:w="862"/>
        <w:gridCol w:w="862"/>
        <w:gridCol w:w="862"/>
        <w:gridCol w:w="923"/>
      </w:tblGrid>
      <w:tr>
        <w:trPr>
          <w:trHeight w:val="187"/>
        </w:trPr>
        <w:tc>
          <w:tcPr>
            <w:tcW w:w="9180"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Merchandise trade EU28 with Botswana 2014-2018</w:t>
            </w:r>
          </w:p>
        </w:tc>
      </w:tr>
      <w:tr>
        <w:trPr>
          <w:trHeight w:val="187"/>
        </w:trPr>
        <w:tc>
          <w:tcPr>
            <w:tcW w:w="4809" w:type="dxa"/>
            <w:tcBorders>
              <w:top w:val="single" w:sz="4" w:space="0" w:color="auto"/>
              <w:left w:val="nil"/>
              <w:bottom w:val="single" w:sz="4" w:space="0" w:color="auto"/>
              <w:right w:val="nil"/>
            </w:tcBorders>
            <w:shd w:val="clear" w:color="000000" w:fill="FFFFFF"/>
            <w:noWrap/>
            <w:vAlign w:val="bottom"/>
            <w:hideMark/>
          </w:tcPr>
          <w:p>
            <w:pPr>
              <w:rPr>
                <w:rFonts w:eastAsia="Times New Roman"/>
                <w:b/>
                <w:bCs/>
                <w:noProof/>
                <w:sz w:val="16"/>
                <w:szCs w:val="16"/>
                <w:lang w:eastAsia="en-GB"/>
              </w:rPr>
            </w:pPr>
            <w:r>
              <w:rPr>
                <w:rFonts w:eastAsia="Times New Roman"/>
                <w:b/>
                <w:bCs/>
                <w:noProof/>
                <w:sz w:val="16"/>
                <w:szCs w:val="16"/>
                <w:lang w:eastAsia="en-GB"/>
              </w:rPr>
              <w:t> </w:t>
            </w:r>
          </w:p>
        </w:tc>
        <w:tc>
          <w:tcPr>
            <w:tcW w:w="862"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2014</w:t>
            </w:r>
          </w:p>
        </w:tc>
        <w:tc>
          <w:tcPr>
            <w:tcW w:w="862"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2015</w:t>
            </w:r>
          </w:p>
        </w:tc>
        <w:tc>
          <w:tcPr>
            <w:tcW w:w="862"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2016</w:t>
            </w:r>
          </w:p>
        </w:tc>
        <w:tc>
          <w:tcPr>
            <w:tcW w:w="862"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2017</w:t>
            </w:r>
          </w:p>
        </w:tc>
        <w:tc>
          <w:tcPr>
            <w:tcW w:w="923"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2018</w:t>
            </w:r>
          </w:p>
        </w:tc>
      </w:tr>
      <w:tr>
        <w:trPr>
          <w:trHeight w:val="187"/>
        </w:trPr>
        <w:tc>
          <w:tcPr>
            <w:tcW w:w="4809"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EU28 trade with Botswana (mio €)</w:t>
            </w:r>
          </w:p>
        </w:tc>
        <w:tc>
          <w:tcPr>
            <w:tcW w:w="862"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eastAsia="en-GB"/>
              </w:rPr>
            </w:pPr>
          </w:p>
        </w:tc>
        <w:tc>
          <w:tcPr>
            <w:tcW w:w="862"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 </w:t>
            </w:r>
          </w:p>
        </w:tc>
        <w:tc>
          <w:tcPr>
            <w:tcW w:w="862"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 </w:t>
            </w:r>
          </w:p>
        </w:tc>
        <w:tc>
          <w:tcPr>
            <w:tcW w:w="862"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 </w:t>
            </w:r>
          </w:p>
        </w:tc>
        <w:tc>
          <w:tcPr>
            <w:tcW w:w="923"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 </w:t>
            </w:r>
          </w:p>
        </w:tc>
      </w:tr>
      <w:tr>
        <w:trPr>
          <w:trHeight w:val="187"/>
        </w:trPr>
        <w:tc>
          <w:tcPr>
            <w:tcW w:w="480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Imports</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1.822</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1.503</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2.198</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1.384</w:t>
            </w:r>
          </w:p>
        </w:tc>
        <w:tc>
          <w:tcPr>
            <w:tcW w:w="923"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1.294</w:t>
            </w:r>
          </w:p>
        </w:tc>
      </w:tr>
      <w:tr>
        <w:trPr>
          <w:trHeight w:val="187"/>
        </w:trPr>
        <w:tc>
          <w:tcPr>
            <w:tcW w:w="480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Exports</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273</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275</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331</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267</w:t>
            </w:r>
          </w:p>
        </w:tc>
        <w:tc>
          <w:tcPr>
            <w:tcW w:w="923"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329</w:t>
            </w:r>
          </w:p>
        </w:tc>
      </w:tr>
      <w:tr>
        <w:trPr>
          <w:trHeight w:val="187"/>
        </w:trPr>
        <w:tc>
          <w:tcPr>
            <w:tcW w:w="480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Balance</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-1.549</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-1.228</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-1.868</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-1.117</w:t>
            </w:r>
          </w:p>
        </w:tc>
        <w:tc>
          <w:tcPr>
            <w:tcW w:w="923"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-966</w:t>
            </w:r>
          </w:p>
        </w:tc>
      </w:tr>
      <w:tr>
        <w:trPr>
          <w:trHeight w:val="187"/>
        </w:trPr>
        <w:tc>
          <w:tcPr>
            <w:tcW w:w="4809"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Share Botswana in EU28 trade with Extra-EU28</w:t>
            </w:r>
          </w:p>
        </w:tc>
        <w:tc>
          <w:tcPr>
            <w:tcW w:w="862"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eastAsia="en-GB"/>
              </w:rPr>
            </w:pPr>
          </w:p>
        </w:tc>
        <w:tc>
          <w:tcPr>
            <w:tcW w:w="862"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 </w:t>
            </w:r>
          </w:p>
        </w:tc>
        <w:tc>
          <w:tcPr>
            <w:tcW w:w="862"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 </w:t>
            </w:r>
          </w:p>
        </w:tc>
        <w:tc>
          <w:tcPr>
            <w:tcW w:w="862"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 </w:t>
            </w:r>
          </w:p>
        </w:tc>
        <w:tc>
          <w:tcPr>
            <w:tcW w:w="923"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 </w:t>
            </w:r>
          </w:p>
        </w:tc>
      </w:tr>
      <w:tr>
        <w:trPr>
          <w:trHeight w:val="187"/>
        </w:trPr>
        <w:tc>
          <w:tcPr>
            <w:tcW w:w="480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Imports</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0,1%</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0,1%</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0,1%</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0,1%</w:t>
            </w:r>
          </w:p>
        </w:tc>
        <w:tc>
          <w:tcPr>
            <w:tcW w:w="923"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0,1%</w:t>
            </w:r>
          </w:p>
        </w:tc>
      </w:tr>
      <w:tr>
        <w:trPr>
          <w:trHeight w:val="187"/>
        </w:trPr>
        <w:tc>
          <w:tcPr>
            <w:tcW w:w="480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Exports</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0,0%</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0,0%</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0,0%</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0,0%</w:t>
            </w:r>
          </w:p>
        </w:tc>
        <w:tc>
          <w:tcPr>
            <w:tcW w:w="923"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0,0%</w:t>
            </w:r>
          </w:p>
        </w:tc>
      </w:tr>
      <w:tr>
        <w:trPr>
          <w:trHeight w:val="187"/>
        </w:trPr>
        <w:tc>
          <w:tcPr>
            <w:tcW w:w="480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Total (I+E)</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0,1%</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0,1%</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0,1%</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0,0%</w:t>
            </w:r>
          </w:p>
        </w:tc>
        <w:tc>
          <w:tcPr>
            <w:tcW w:w="923"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0,0%</w:t>
            </w:r>
          </w:p>
        </w:tc>
      </w:tr>
      <w:tr>
        <w:trPr>
          <w:trHeight w:val="187"/>
        </w:trPr>
        <w:tc>
          <w:tcPr>
            <w:tcW w:w="9180" w:type="dxa"/>
            <w:gridSpan w:val="6"/>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Share EU28 in trade Botswana with world</w:t>
            </w:r>
          </w:p>
        </w:tc>
      </w:tr>
      <w:tr>
        <w:trPr>
          <w:trHeight w:val="187"/>
        </w:trPr>
        <w:tc>
          <w:tcPr>
            <w:tcW w:w="480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Imports</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6,5%</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5,5%</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6,7%</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5,1%</w:t>
            </w:r>
          </w:p>
        </w:tc>
        <w:tc>
          <w:tcPr>
            <w:tcW w:w="923"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4,4%</w:t>
            </w:r>
          </w:p>
        </w:tc>
      </w:tr>
      <w:tr>
        <w:trPr>
          <w:trHeight w:val="187"/>
        </w:trPr>
        <w:tc>
          <w:tcPr>
            <w:tcW w:w="480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Exports</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28,0%</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22,2%</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21,0%</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23,3%</w:t>
            </w:r>
          </w:p>
        </w:tc>
        <w:tc>
          <w:tcPr>
            <w:tcW w:w="923"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17,4%</w:t>
            </w:r>
          </w:p>
        </w:tc>
      </w:tr>
      <w:tr>
        <w:trPr>
          <w:trHeight w:val="187"/>
        </w:trPr>
        <w:tc>
          <w:tcPr>
            <w:tcW w:w="480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Total (I+E)</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17,3%</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13,0%</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14,5%</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14,6%</w:t>
            </w:r>
          </w:p>
        </w:tc>
        <w:tc>
          <w:tcPr>
            <w:tcW w:w="923"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11,4%</w:t>
            </w:r>
          </w:p>
        </w:tc>
      </w:tr>
      <w:tr>
        <w:trPr>
          <w:trHeight w:val="201"/>
        </w:trPr>
        <w:tc>
          <w:tcPr>
            <w:tcW w:w="6533" w:type="dxa"/>
            <w:gridSpan w:val="3"/>
            <w:tcBorders>
              <w:top w:val="single" w:sz="4" w:space="0" w:color="auto"/>
              <w:left w:val="nil"/>
              <w:bottom w:val="nil"/>
              <w:right w:val="nil"/>
            </w:tcBorders>
            <w:shd w:val="clear" w:color="000000" w:fill="FFFFFF"/>
            <w:noWrap/>
            <w:vAlign w:val="bottom"/>
            <w:hideMark/>
          </w:tcPr>
          <w:p>
            <w:pPr>
              <w:rPr>
                <w:rFonts w:eastAsia="Times New Roman"/>
                <w:noProof/>
                <w:sz w:val="12"/>
                <w:szCs w:val="12"/>
                <w:lang w:eastAsia="en-GB"/>
              </w:rPr>
            </w:pPr>
            <w:r>
              <w:rPr>
                <w:rFonts w:eastAsia="Times New Roman"/>
                <w:noProof/>
                <w:sz w:val="12"/>
                <w:szCs w:val="12"/>
                <w:lang w:eastAsia="en-GB"/>
              </w:rPr>
              <w:t xml:space="preserve">Source Trade G2 Statistics/ISDB </w:t>
            </w:r>
          </w:p>
        </w:tc>
        <w:tc>
          <w:tcPr>
            <w:tcW w:w="862"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eastAsia="en-GB"/>
              </w:rPr>
            </w:pPr>
            <w:r>
              <w:rPr>
                <w:rFonts w:eastAsia="Times New Roman"/>
                <w:noProof/>
                <w:sz w:val="18"/>
                <w:szCs w:val="18"/>
                <w:lang w:eastAsia="en-GB"/>
              </w:rPr>
              <w:t> </w:t>
            </w:r>
          </w:p>
        </w:tc>
        <w:tc>
          <w:tcPr>
            <w:tcW w:w="862"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eastAsia="en-GB"/>
              </w:rPr>
            </w:pPr>
            <w:r>
              <w:rPr>
                <w:rFonts w:eastAsia="Times New Roman"/>
                <w:noProof/>
                <w:sz w:val="18"/>
                <w:szCs w:val="18"/>
                <w:lang w:eastAsia="en-GB"/>
              </w:rPr>
              <w:t> </w:t>
            </w:r>
          </w:p>
        </w:tc>
        <w:tc>
          <w:tcPr>
            <w:tcW w:w="923" w:type="dxa"/>
            <w:tcBorders>
              <w:top w:val="single" w:sz="4" w:space="0" w:color="auto"/>
              <w:left w:val="nil"/>
              <w:bottom w:val="nil"/>
              <w:right w:val="nil"/>
            </w:tcBorders>
            <w:shd w:val="clear" w:color="000000" w:fill="FFFFFF"/>
            <w:noWrap/>
            <w:hideMark/>
          </w:tcPr>
          <w:p>
            <w:pPr>
              <w:jc w:val="right"/>
              <w:rPr>
                <w:rFonts w:eastAsia="Times New Roman"/>
                <w:noProof/>
                <w:sz w:val="12"/>
                <w:szCs w:val="12"/>
                <w:lang w:eastAsia="en-GB"/>
              </w:rPr>
            </w:pPr>
            <w:r>
              <w:rPr>
                <w:rFonts w:eastAsia="Times New Roman"/>
                <w:noProof/>
                <w:sz w:val="12"/>
                <w:szCs w:val="12"/>
                <w:lang w:eastAsia="en-GB"/>
              </w:rPr>
              <w:t>25-mars-19</w:t>
            </w:r>
          </w:p>
        </w:tc>
      </w:tr>
      <w:tr>
        <w:trPr>
          <w:trHeight w:val="187"/>
        </w:trPr>
        <w:tc>
          <w:tcPr>
            <w:tcW w:w="7395" w:type="dxa"/>
            <w:gridSpan w:val="4"/>
            <w:tcBorders>
              <w:top w:val="nil"/>
              <w:left w:val="nil"/>
              <w:bottom w:val="nil"/>
              <w:right w:val="nil"/>
            </w:tcBorders>
            <w:shd w:val="clear" w:color="000000" w:fill="FFFFFF"/>
            <w:noWrap/>
            <w:hideMark/>
          </w:tcPr>
          <w:p>
            <w:pPr>
              <w:rPr>
                <w:rFonts w:eastAsia="Times New Roman"/>
                <w:noProof/>
                <w:color w:val="000000"/>
                <w:sz w:val="12"/>
                <w:szCs w:val="12"/>
                <w:lang w:eastAsia="en-GB"/>
              </w:rPr>
            </w:pPr>
            <w:r>
              <w:rPr>
                <w:rFonts w:eastAsia="Times New Roman"/>
                <w:noProof/>
                <w:color w:val="000000"/>
                <w:sz w:val="12"/>
                <w:szCs w:val="12"/>
                <w:lang w:eastAsia="en-GB"/>
              </w:rPr>
              <w:t>Trade EU28: Eurostat COMEXT;  Trade Botswana: IMF Dots</w:t>
            </w:r>
          </w:p>
        </w:tc>
        <w:tc>
          <w:tcPr>
            <w:tcW w:w="862" w:type="dxa"/>
            <w:tcBorders>
              <w:top w:val="nil"/>
              <w:left w:val="nil"/>
              <w:bottom w:val="nil"/>
              <w:right w:val="nil"/>
            </w:tcBorders>
            <w:shd w:val="clear" w:color="000000" w:fill="FFFFFF"/>
            <w:noWrap/>
            <w:vAlign w:val="bottom"/>
            <w:hideMark/>
          </w:tcPr>
          <w:p>
            <w:pPr>
              <w:rPr>
                <w:rFonts w:eastAsia="Times New Roman"/>
                <w:noProof/>
                <w:color w:val="000000"/>
                <w:sz w:val="16"/>
                <w:szCs w:val="16"/>
                <w:lang w:eastAsia="en-GB"/>
              </w:rPr>
            </w:pPr>
            <w:r>
              <w:rPr>
                <w:rFonts w:eastAsia="Times New Roman"/>
                <w:noProof/>
                <w:color w:val="000000"/>
                <w:sz w:val="16"/>
                <w:szCs w:val="16"/>
                <w:lang w:eastAsia="en-GB"/>
              </w:rPr>
              <w:t> </w:t>
            </w:r>
          </w:p>
        </w:tc>
        <w:tc>
          <w:tcPr>
            <w:tcW w:w="923" w:type="dxa"/>
            <w:tcBorders>
              <w:top w:val="nil"/>
              <w:left w:val="nil"/>
              <w:bottom w:val="nil"/>
              <w:right w:val="nil"/>
            </w:tcBorders>
            <w:shd w:val="clear" w:color="000000" w:fill="FFFFFF"/>
            <w:noWrap/>
            <w:vAlign w:val="bottom"/>
            <w:hideMark/>
          </w:tcPr>
          <w:p>
            <w:pPr>
              <w:rPr>
                <w:rFonts w:eastAsia="Times New Roman"/>
                <w:noProof/>
                <w:color w:val="000000"/>
                <w:sz w:val="16"/>
                <w:szCs w:val="16"/>
                <w:lang w:eastAsia="en-GB"/>
              </w:rPr>
            </w:pPr>
            <w:r>
              <w:rPr>
                <w:rFonts w:eastAsia="Times New Roman"/>
                <w:noProof/>
                <w:color w:val="000000"/>
                <w:sz w:val="16"/>
                <w:szCs w:val="16"/>
                <w:lang w:eastAsia="en-GB"/>
              </w:rPr>
              <w:t> </w:t>
            </w:r>
          </w:p>
        </w:tc>
      </w:tr>
      <w:tr>
        <w:trPr>
          <w:trHeight w:val="187"/>
        </w:trPr>
        <w:tc>
          <w:tcPr>
            <w:tcW w:w="4809" w:type="dxa"/>
            <w:tcBorders>
              <w:top w:val="nil"/>
              <w:left w:val="nil"/>
              <w:bottom w:val="nil"/>
              <w:right w:val="nil"/>
            </w:tcBorders>
            <w:shd w:val="clear" w:color="000000" w:fill="FFFFFF"/>
            <w:noWrap/>
            <w:vAlign w:val="bottom"/>
            <w:hideMark/>
          </w:tcPr>
          <w:p>
            <w:pPr>
              <w:rPr>
                <w:rFonts w:eastAsia="Times New Roman"/>
                <w:noProof/>
                <w:color w:val="000000"/>
                <w:sz w:val="16"/>
                <w:szCs w:val="16"/>
                <w:lang w:eastAsia="en-GB"/>
              </w:rPr>
            </w:pPr>
            <w:r>
              <w:rPr>
                <w:rFonts w:eastAsia="Times New Roman"/>
                <w:noProof/>
                <w:color w:val="000000"/>
                <w:sz w:val="16"/>
                <w:szCs w:val="16"/>
                <w:lang w:eastAsia="en-GB"/>
              </w:rPr>
              <w:t> </w:t>
            </w:r>
          </w:p>
        </w:tc>
        <w:tc>
          <w:tcPr>
            <w:tcW w:w="862" w:type="dxa"/>
            <w:tcBorders>
              <w:top w:val="nil"/>
              <w:left w:val="nil"/>
              <w:bottom w:val="nil"/>
              <w:right w:val="nil"/>
            </w:tcBorders>
            <w:shd w:val="clear" w:color="000000" w:fill="FFFFFF"/>
            <w:noWrap/>
            <w:vAlign w:val="bottom"/>
            <w:hideMark/>
          </w:tcPr>
          <w:p>
            <w:pPr>
              <w:rPr>
                <w:rFonts w:eastAsia="Times New Roman"/>
                <w:noProof/>
                <w:color w:val="000000"/>
                <w:sz w:val="16"/>
                <w:szCs w:val="16"/>
                <w:lang w:eastAsia="en-GB"/>
              </w:rPr>
            </w:pPr>
            <w:r>
              <w:rPr>
                <w:rFonts w:eastAsia="Times New Roman"/>
                <w:noProof/>
                <w:color w:val="000000"/>
                <w:sz w:val="16"/>
                <w:szCs w:val="16"/>
                <w:lang w:eastAsia="en-GB"/>
              </w:rPr>
              <w:t> </w:t>
            </w:r>
          </w:p>
        </w:tc>
        <w:tc>
          <w:tcPr>
            <w:tcW w:w="862" w:type="dxa"/>
            <w:tcBorders>
              <w:top w:val="nil"/>
              <w:left w:val="nil"/>
              <w:bottom w:val="nil"/>
              <w:right w:val="nil"/>
            </w:tcBorders>
            <w:shd w:val="clear" w:color="000000" w:fill="FFFFFF"/>
            <w:noWrap/>
            <w:vAlign w:val="bottom"/>
            <w:hideMark/>
          </w:tcPr>
          <w:p>
            <w:pPr>
              <w:rPr>
                <w:rFonts w:eastAsia="Times New Roman"/>
                <w:noProof/>
                <w:color w:val="000000"/>
                <w:sz w:val="16"/>
                <w:szCs w:val="16"/>
                <w:lang w:eastAsia="en-GB"/>
              </w:rPr>
            </w:pPr>
            <w:r>
              <w:rPr>
                <w:rFonts w:eastAsia="Times New Roman"/>
                <w:noProof/>
                <w:color w:val="000000"/>
                <w:sz w:val="16"/>
                <w:szCs w:val="16"/>
                <w:lang w:eastAsia="en-GB"/>
              </w:rPr>
              <w:t> </w:t>
            </w:r>
          </w:p>
        </w:tc>
        <w:tc>
          <w:tcPr>
            <w:tcW w:w="862" w:type="dxa"/>
            <w:tcBorders>
              <w:top w:val="nil"/>
              <w:left w:val="nil"/>
              <w:bottom w:val="nil"/>
              <w:right w:val="nil"/>
            </w:tcBorders>
            <w:shd w:val="clear" w:color="000000" w:fill="FFFFFF"/>
            <w:noWrap/>
            <w:vAlign w:val="bottom"/>
            <w:hideMark/>
          </w:tcPr>
          <w:p>
            <w:pPr>
              <w:rPr>
                <w:rFonts w:eastAsia="Times New Roman"/>
                <w:noProof/>
                <w:color w:val="000000"/>
                <w:sz w:val="16"/>
                <w:szCs w:val="16"/>
                <w:lang w:eastAsia="en-GB"/>
              </w:rPr>
            </w:pPr>
            <w:r>
              <w:rPr>
                <w:rFonts w:eastAsia="Times New Roman"/>
                <w:noProof/>
                <w:color w:val="000000"/>
                <w:sz w:val="16"/>
                <w:szCs w:val="16"/>
                <w:lang w:eastAsia="en-GB"/>
              </w:rPr>
              <w:t> </w:t>
            </w:r>
          </w:p>
        </w:tc>
        <w:tc>
          <w:tcPr>
            <w:tcW w:w="862" w:type="dxa"/>
            <w:tcBorders>
              <w:top w:val="nil"/>
              <w:left w:val="nil"/>
              <w:bottom w:val="nil"/>
              <w:right w:val="nil"/>
            </w:tcBorders>
            <w:shd w:val="clear" w:color="000000" w:fill="FFFFFF"/>
            <w:noWrap/>
            <w:vAlign w:val="bottom"/>
            <w:hideMark/>
          </w:tcPr>
          <w:p>
            <w:pPr>
              <w:rPr>
                <w:rFonts w:eastAsia="Times New Roman"/>
                <w:noProof/>
                <w:color w:val="000000"/>
                <w:sz w:val="16"/>
                <w:szCs w:val="16"/>
                <w:lang w:eastAsia="en-GB"/>
              </w:rPr>
            </w:pPr>
            <w:r>
              <w:rPr>
                <w:rFonts w:eastAsia="Times New Roman"/>
                <w:noProof/>
                <w:color w:val="000000"/>
                <w:sz w:val="16"/>
                <w:szCs w:val="16"/>
                <w:lang w:eastAsia="en-GB"/>
              </w:rPr>
              <w:t> </w:t>
            </w:r>
          </w:p>
        </w:tc>
        <w:tc>
          <w:tcPr>
            <w:tcW w:w="923" w:type="dxa"/>
            <w:tcBorders>
              <w:top w:val="nil"/>
              <w:left w:val="nil"/>
              <w:bottom w:val="nil"/>
              <w:right w:val="nil"/>
            </w:tcBorders>
            <w:shd w:val="clear" w:color="000000" w:fill="FFFFFF"/>
            <w:noWrap/>
            <w:vAlign w:val="bottom"/>
            <w:hideMark/>
          </w:tcPr>
          <w:p>
            <w:pPr>
              <w:rPr>
                <w:rFonts w:eastAsia="Times New Roman"/>
                <w:noProof/>
                <w:color w:val="000000"/>
                <w:sz w:val="16"/>
                <w:szCs w:val="16"/>
                <w:lang w:eastAsia="en-GB"/>
              </w:rPr>
            </w:pPr>
            <w:r>
              <w:rPr>
                <w:rFonts w:eastAsia="Times New Roman"/>
                <w:noProof/>
                <w:color w:val="000000"/>
                <w:sz w:val="16"/>
                <w:szCs w:val="16"/>
                <w:lang w:eastAsia="en-GB"/>
              </w:rPr>
              <w:t> </w:t>
            </w:r>
          </w:p>
        </w:tc>
      </w:tr>
      <w:tr>
        <w:trPr>
          <w:trHeight w:val="201"/>
        </w:trPr>
        <w:tc>
          <w:tcPr>
            <w:tcW w:w="9180"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Growth of merchandise trade EU28 with Botswana (mio €)</w:t>
            </w:r>
          </w:p>
        </w:tc>
      </w:tr>
      <w:tr>
        <w:trPr>
          <w:trHeight w:val="201"/>
        </w:trPr>
        <w:tc>
          <w:tcPr>
            <w:tcW w:w="5671"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eastAsia="en-GB"/>
              </w:rPr>
            </w:pPr>
            <w:r>
              <w:rPr>
                <w:rFonts w:eastAsia="Times New Roman"/>
                <w:b/>
                <w:bCs/>
                <w:noProof/>
                <w:sz w:val="16"/>
                <w:szCs w:val="16"/>
                <w:lang w:eastAsia="en-GB"/>
              </w:rPr>
              <w:t>Botswana</w:t>
            </w:r>
          </w:p>
        </w:tc>
        <w:tc>
          <w:tcPr>
            <w:tcW w:w="862"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2017</w:t>
            </w:r>
          </w:p>
        </w:tc>
        <w:tc>
          <w:tcPr>
            <w:tcW w:w="862"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2018</w:t>
            </w:r>
          </w:p>
        </w:tc>
        <w:tc>
          <w:tcPr>
            <w:tcW w:w="1785"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Growth</w:t>
            </w:r>
          </w:p>
        </w:tc>
      </w:tr>
      <w:tr>
        <w:trPr>
          <w:trHeight w:val="201"/>
        </w:trPr>
        <w:tc>
          <w:tcPr>
            <w:tcW w:w="5671"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862"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862"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862"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mio €</w:t>
            </w:r>
          </w:p>
        </w:tc>
        <w:tc>
          <w:tcPr>
            <w:tcW w:w="92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annual %</w:t>
            </w:r>
          </w:p>
        </w:tc>
      </w:tr>
      <w:tr>
        <w:trPr>
          <w:trHeight w:val="201"/>
        </w:trPr>
        <w:tc>
          <w:tcPr>
            <w:tcW w:w="480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Imports</w:t>
            </w:r>
          </w:p>
        </w:tc>
        <w:tc>
          <w:tcPr>
            <w:tcW w:w="862"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1.384</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1.294</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-90</w:t>
            </w:r>
          </w:p>
        </w:tc>
        <w:tc>
          <w:tcPr>
            <w:tcW w:w="923"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-6,5%</w:t>
            </w:r>
          </w:p>
        </w:tc>
      </w:tr>
      <w:tr>
        <w:trPr>
          <w:trHeight w:val="201"/>
        </w:trPr>
        <w:tc>
          <w:tcPr>
            <w:tcW w:w="480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Exports</w:t>
            </w:r>
          </w:p>
        </w:tc>
        <w:tc>
          <w:tcPr>
            <w:tcW w:w="862"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267</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329</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61</w:t>
            </w:r>
          </w:p>
        </w:tc>
        <w:tc>
          <w:tcPr>
            <w:tcW w:w="923"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23,0%</w:t>
            </w:r>
          </w:p>
        </w:tc>
      </w:tr>
      <w:tr>
        <w:trPr>
          <w:trHeight w:val="201"/>
        </w:trPr>
        <w:tc>
          <w:tcPr>
            <w:tcW w:w="480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Balance</w:t>
            </w:r>
          </w:p>
        </w:tc>
        <w:tc>
          <w:tcPr>
            <w:tcW w:w="862"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-1.117</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-966</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151</w:t>
            </w:r>
          </w:p>
        </w:tc>
        <w:tc>
          <w:tcPr>
            <w:tcW w:w="923"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r>
      <w:tr>
        <w:trPr>
          <w:trHeight w:val="201"/>
        </w:trPr>
        <w:tc>
          <w:tcPr>
            <w:tcW w:w="4809"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Total trade</w:t>
            </w:r>
          </w:p>
        </w:tc>
        <w:tc>
          <w:tcPr>
            <w:tcW w:w="862"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62"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1.652</w:t>
            </w:r>
          </w:p>
        </w:tc>
        <w:tc>
          <w:tcPr>
            <w:tcW w:w="862"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1.623</w:t>
            </w:r>
          </w:p>
        </w:tc>
        <w:tc>
          <w:tcPr>
            <w:tcW w:w="862"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-28</w:t>
            </w:r>
          </w:p>
        </w:tc>
        <w:tc>
          <w:tcPr>
            <w:tcW w:w="92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-1,7%</w:t>
            </w:r>
          </w:p>
        </w:tc>
      </w:tr>
      <w:tr>
        <w:trPr>
          <w:trHeight w:val="215"/>
        </w:trPr>
        <w:tc>
          <w:tcPr>
            <w:tcW w:w="7395"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eastAsia="en-GB"/>
              </w:rPr>
            </w:pPr>
            <w:r>
              <w:rPr>
                <w:rFonts w:eastAsia="Times New Roman"/>
                <w:noProof/>
                <w:sz w:val="12"/>
                <w:szCs w:val="12"/>
                <w:lang w:eastAsia="en-GB"/>
              </w:rPr>
              <w:t>Source Trade G2 Statistics/ISDB from Eurostat COMEXT</w:t>
            </w:r>
          </w:p>
        </w:tc>
        <w:tc>
          <w:tcPr>
            <w:tcW w:w="862" w:type="dxa"/>
            <w:tcBorders>
              <w:top w:val="nil"/>
              <w:left w:val="nil"/>
              <w:bottom w:val="nil"/>
              <w:right w:val="nil"/>
            </w:tcBorders>
            <w:shd w:val="clear" w:color="000000" w:fill="FFFFFF"/>
            <w:noWrap/>
            <w:vAlign w:val="bottom"/>
            <w:hideMark/>
          </w:tcPr>
          <w:p>
            <w:pPr>
              <w:rPr>
                <w:rFonts w:eastAsia="Times New Roman"/>
                <w:noProof/>
                <w:sz w:val="18"/>
                <w:szCs w:val="18"/>
                <w:lang w:eastAsia="en-GB"/>
              </w:rPr>
            </w:pPr>
            <w:r>
              <w:rPr>
                <w:rFonts w:eastAsia="Times New Roman"/>
                <w:noProof/>
                <w:sz w:val="18"/>
                <w:szCs w:val="18"/>
                <w:lang w:eastAsia="en-GB"/>
              </w:rPr>
              <w:t> </w:t>
            </w:r>
          </w:p>
        </w:tc>
        <w:tc>
          <w:tcPr>
            <w:tcW w:w="923" w:type="dxa"/>
            <w:tcBorders>
              <w:top w:val="nil"/>
              <w:left w:val="nil"/>
              <w:bottom w:val="nil"/>
              <w:right w:val="nil"/>
            </w:tcBorders>
            <w:shd w:val="clear" w:color="000000" w:fill="FFFFFF"/>
            <w:noWrap/>
            <w:vAlign w:val="bottom"/>
            <w:hideMark/>
          </w:tcPr>
          <w:p>
            <w:pPr>
              <w:rPr>
                <w:rFonts w:eastAsia="Times New Roman"/>
                <w:noProof/>
                <w:sz w:val="18"/>
                <w:szCs w:val="18"/>
                <w:lang w:eastAsia="en-GB"/>
              </w:rPr>
            </w:pPr>
            <w:r>
              <w:rPr>
                <w:rFonts w:eastAsia="Times New Roman"/>
                <w:noProof/>
                <w:sz w:val="18"/>
                <w:szCs w:val="18"/>
                <w:lang w:eastAsia="en-GB"/>
              </w:rPr>
              <w:t> </w:t>
            </w:r>
          </w:p>
        </w:tc>
      </w:tr>
      <w:tr>
        <w:trPr>
          <w:trHeight w:val="201"/>
        </w:trPr>
        <w:tc>
          <w:tcPr>
            <w:tcW w:w="9180"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Agrifood trade EU28 with Botswana (mio €)</w:t>
            </w:r>
          </w:p>
        </w:tc>
      </w:tr>
      <w:tr>
        <w:trPr>
          <w:trHeight w:val="228"/>
        </w:trPr>
        <w:tc>
          <w:tcPr>
            <w:tcW w:w="5671"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eastAsia="en-GB"/>
              </w:rPr>
            </w:pPr>
            <w:r>
              <w:rPr>
                <w:rFonts w:eastAsia="Times New Roman"/>
                <w:b/>
                <w:bCs/>
                <w:noProof/>
                <w:sz w:val="16"/>
                <w:szCs w:val="16"/>
                <w:lang w:eastAsia="en-GB"/>
              </w:rPr>
              <w:t>Botswana</w:t>
            </w:r>
          </w:p>
        </w:tc>
        <w:tc>
          <w:tcPr>
            <w:tcW w:w="862"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2017</w:t>
            </w:r>
          </w:p>
        </w:tc>
        <w:tc>
          <w:tcPr>
            <w:tcW w:w="862"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2018</w:t>
            </w:r>
          </w:p>
        </w:tc>
        <w:tc>
          <w:tcPr>
            <w:tcW w:w="1785"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Growth</w:t>
            </w:r>
          </w:p>
        </w:tc>
      </w:tr>
      <w:tr>
        <w:trPr>
          <w:trHeight w:val="201"/>
        </w:trPr>
        <w:tc>
          <w:tcPr>
            <w:tcW w:w="5671"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862"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862"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862"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mio €</w:t>
            </w:r>
          </w:p>
        </w:tc>
        <w:tc>
          <w:tcPr>
            <w:tcW w:w="92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annual %</w:t>
            </w:r>
          </w:p>
        </w:tc>
      </w:tr>
      <w:tr>
        <w:trPr>
          <w:trHeight w:val="201"/>
        </w:trPr>
        <w:tc>
          <w:tcPr>
            <w:tcW w:w="480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Imports</w:t>
            </w:r>
          </w:p>
        </w:tc>
        <w:tc>
          <w:tcPr>
            <w:tcW w:w="862"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30</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28</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w:t>
            </w:r>
          </w:p>
        </w:tc>
        <w:tc>
          <w:tcPr>
            <w:tcW w:w="923"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-7,9%</w:t>
            </w:r>
          </w:p>
        </w:tc>
      </w:tr>
      <w:tr>
        <w:trPr>
          <w:trHeight w:val="201"/>
        </w:trPr>
        <w:tc>
          <w:tcPr>
            <w:tcW w:w="480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Exports</w:t>
            </w:r>
          </w:p>
        </w:tc>
        <w:tc>
          <w:tcPr>
            <w:tcW w:w="862"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w:t>
            </w:r>
          </w:p>
        </w:tc>
        <w:tc>
          <w:tcPr>
            <w:tcW w:w="923"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-38,9%</w:t>
            </w:r>
          </w:p>
        </w:tc>
      </w:tr>
      <w:tr>
        <w:trPr>
          <w:trHeight w:val="201"/>
        </w:trPr>
        <w:tc>
          <w:tcPr>
            <w:tcW w:w="480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Balance</w:t>
            </w:r>
          </w:p>
        </w:tc>
        <w:tc>
          <w:tcPr>
            <w:tcW w:w="862"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-27</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-26</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w:t>
            </w:r>
          </w:p>
        </w:tc>
        <w:tc>
          <w:tcPr>
            <w:tcW w:w="923"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r>
      <w:tr>
        <w:trPr>
          <w:trHeight w:val="201"/>
        </w:trPr>
        <w:tc>
          <w:tcPr>
            <w:tcW w:w="4809"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Total trade</w:t>
            </w:r>
          </w:p>
        </w:tc>
        <w:tc>
          <w:tcPr>
            <w:tcW w:w="862"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62"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34</w:t>
            </w:r>
          </w:p>
        </w:tc>
        <w:tc>
          <w:tcPr>
            <w:tcW w:w="862"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30</w:t>
            </w:r>
          </w:p>
        </w:tc>
        <w:tc>
          <w:tcPr>
            <w:tcW w:w="862"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w:t>
            </w:r>
          </w:p>
        </w:tc>
        <w:tc>
          <w:tcPr>
            <w:tcW w:w="92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-11,0%</w:t>
            </w:r>
          </w:p>
        </w:tc>
      </w:tr>
      <w:tr>
        <w:trPr>
          <w:trHeight w:val="215"/>
        </w:trPr>
        <w:tc>
          <w:tcPr>
            <w:tcW w:w="7395"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eastAsia="en-GB"/>
              </w:rPr>
            </w:pPr>
            <w:r>
              <w:rPr>
                <w:rFonts w:eastAsia="Times New Roman"/>
                <w:noProof/>
                <w:sz w:val="12"/>
                <w:szCs w:val="12"/>
                <w:lang w:eastAsia="en-GB"/>
              </w:rPr>
              <w:t>Source Trade G2 Statistics/ISDB from Eurostat COMEXT</w:t>
            </w:r>
          </w:p>
        </w:tc>
        <w:tc>
          <w:tcPr>
            <w:tcW w:w="862" w:type="dxa"/>
            <w:tcBorders>
              <w:top w:val="nil"/>
              <w:left w:val="nil"/>
              <w:bottom w:val="nil"/>
              <w:right w:val="nil"/>
            </w:tcBorders>
            <w:shd w:val="clear" w:color="000000" w:fill="FFFFFF"/>
            <w:noWrap/>
            <w:vAlign w:val="bottom"/>
            <w:hideMark/>
          </w:tcPr>
          <w:p>
            <w:pPr>
              <w:rPr>
                <w:rFonts w:eastAsia="Times New Roman"/>
                <w:noProof/>
                <w:sz w:val="18"/>
                <w:szCs w:val="18"/>
                <w:lang w:eastAsia="en-GB"/>
              </w:rPr>
            </w:pPr>
            <w:r>
              <w:rPr>
                <w:rFonts w:eastAsia="Times New Roman"/>
                <w:noProof/>
                <w:sz w:val="18"/>
                <w:szCs w:val="18"/>
                <w:lang w:eastAsia="en-GB"/>
              </w:rPr>
              <w:t> </w:t>
            </w:r>
          </w:p>
        </w:tc>
        <w:tc>
          <w:tcPr>
            <w:tcW w:w="923" w:type="dxa"/>
            <w:tcBorders>
              <w:top w:val="nil"/>
              <w:left w:val="nil"/>
              <w:bottom w:val="nil"/>
              <w:right w:val="nil"/>
            </w:tcBorders>
            <w:shd w:val="clear" w:color="000000" w:fill="FFFFFF"/>
            <w:noWrap/>
            <w:vAlign w:val="bottom"/>
            <w:hideMark/>
          </w:tcPr>
          <w:p>
            <w:pPr>
              <w:rPr>
                <w:rFonts w:eastAsia="Times New Roman"/>
                <w:noProof/>
                <w:sz w:val="18"/>
                <w:szCs w:val="18"/>
                <w:lang w:eastAsia="en-GB"/>
              </w:rPr>
            </w:pPr>
            <w:r>
              <w:rPr>
                <w:rFonts w:eastAsia="Times New Roman"/>
                <w:noProof/>
                <w:sz w:val="18"/>
                <w:szCs w:val="18"/>
                <w:lang w:eastAsia="en-GB"/>
              </w:rPr>
              <w:t> </w:t>
            </w:r>
          </w:p>
        </w:tc>
      </w:tr>
      <w:tr>
        <w:trPr>
          <w:trHeight w:val="201"/>
        </w:trPr>
        <w:tc>
          <w:tcPr>
            <w:tcW w:w="9180"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NAMA trade EU28 with Botswana (mio €)</w:t>
            </w:r>
          </w:p>
        </w:tc>
      </w:tr>
      <w:tr>
        <w:trPr>
          <w:trHeight w:val="201"/>
        </w:trPr>
        <w:tc>
          <w:tcPr>
            <w:tcW w:w="5671"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eastAsia="en-GB"/>
              </w:rPr>
            </w:pPr>
            <w:r>
              <w:rPr>
                <w:rFonts w:eastAsia="Times New Roman"/>
                <w:b/>
                <w:bCs/>
                <w:noProof/>
                <w:sz w:val="16"/>
                <w:szCs w:val="16"/>
                <w:lang w:eastAsia="en-GB"/>
              </w:rPr>
              <w:t>Botswana</w:t>
            </w:r>
          </w:p>
        </w:tc>
        <w:tc>
          <w:tcPr>
            <w:tcW w:w="862"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2017</w:t>
            </w:r>
          </w:p>
        </w:tc>
        <w:tc>
          <w:tcPr>
            <w:tcW w:w="862"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2018</w:t>
            </w:r>
          </w:p>
        </w:tc>
        <w:tc>
          <w:tcPr>
            <w:tcW w:w="1785"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Growth</w:t>
            </w:r>
          </w:p>
        </w:tc>
      </w:tr>
      <w:tr>
        <w:trPr>
          <w:trHeight w:val="201"/>
        </w:trPr>
        <w:tc>
          <w:tcPr>
            <w:tcW w:w="5671"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862"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862"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862"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mio €</w:t>
            </w:r>
          </w:p>
        </w:tc>
        <w:tc>
          <w:tcPr>
            <w:tcW w:w="92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annual %</w:t>
            </w:r>
          </w:p>
        </w:tc>
      </w:tr>
      <w:tr>
        <w:trPr>
          <w:trHeight w:val="201"/>
        </w:trPr>
        <w:tc>
          <w:tcPr>
            <w:tcW w:w="5671" w:type="dxa"/>
            <w:gridSpan w:val="2"/>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EU28 imports</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1.354</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1.266</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-87</w:t>
            </w:r>
          </w:p>
        </w:tc>
        <w:tc>
          <w:tcPr>
            <w:tcW w:w="923"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-6,5%</w:t>
            </w:r>
          </w:p>
        </w:tc>
      </w:tr>
      <w:tr>
        <w:trPr>
          <w:trHeight w:val="201"/>
        </w:trPr>
        <w:tc>
          <w:tcPr>
            <w:tcW w:w="5671" w:type="dxa"/>
            <w:gridSpan w:val="2"/>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EU28 exports</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264</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327</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63</w:t>
            </w:r>
          </w:p>
        </w:tc>
        <w:tc>
          <w:tcPr>
            <w:tcW w:w="923"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23,8%</w:t>
            </w:r>
          </w:p>
        </w:tc>
      </w:tr>
      <w:tr>
        <w:trPr>
          <w:trHeight w:val="201"/>
        </w:trPr>
        <w:tc>
          <w:tcPr>
            <w:tcW w:w="480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Balance</w:t>
            </w:r>
          </w:p>
        </w:tc>
        <w:tc>
          <w:tcPr>
            <w:tcW w:w="862"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-1.090</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-940</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150</w:t>
            </w:r>
          </w:p>
        </w:tc>
        <w:tc>
          <w:tcPr>
            <w:tcW w:w="923"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r>
      <w:tr>
        <w:trPr>
          <w:trHeight w:val="201"/>
        </w:trPr>
        <w:tc>
          <w:tcPr>
            <w:tcW w:w="480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Total trade</w:t>
            </w:r>
          </w:p>
        </w:tc>
        <w:tc>
          <w:tcPr>
            <w:tcW w:w="862"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1.618</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1.593</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-25</w:t>
            </w:r>
          </w:p>
        </w:tc>
        <w:tc>
          <w:tcPr>
            <w:tcW w:w="92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-1,5%</w:t>
            </w:r>
          </w:p>
        </w:tc>
      </w:tr>
      <w:tr>
        <w:trPr>
          <w:trHeight w:val="215"/>
        </w:trPr>
        <w:tc>
          <w:tcPr>
            <w:tcW w:w="7395"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eastAsia="en-GB"/>
              </w:rPr>
            </w:pPr>
            <w:r>
              <w:rPr>
                <w:rFonts w:eastAsia="Times New Roman"/>
                <w:noProof/>
                <w:sz w:val="12"/>
                <w:szCs w:val="12"/>
                <w:lang w:eastAsia="en-GB"/>
              </w:rPr>
              <w:t>Source Trade G2 Statistics/ISDB from Eurostat COMEXT</w:t>
            </w:r>
          </w:p>
        </w:tc>
        <w:tc>
          <w:tcPr>
            <w:tcW w:w="862" w:type="dxa"/>
            <w:tcBorders>
              <w:top w:val="single" w:sz="4" w:space="0" w:color="auto"/>
              <w:left w:val="nil"/>
              <w:bottom w:val="nil"/>
              <w:right w:val="nil"/>
            </w:tcBorders>
            <w:shd w:val="clear" w:color="000000" w:fill="FFFFFF"/>
            <w:noWrap/>
            <w:vAlign w:val="bottom"/>
            <w:hideMark/>
          </w:tcPr>
          <w:p>
            <w:pPr>
              <w:rPr>
                <w:rFonts w:eastAsia="Times New Roman"/>
                <w:noProof/>
                <w:sz w:val="18"/>
                <w:szCs w:val="18"/>
                <w:lang w:eastAsia="en-GB"/>
              </w:rPr>
            </w:pPr>
            <w:r>
              <w:rPr>
                <w:rFonts w:eastAsia="Times New Roman"/>
                <w:noProof/>
                <w:sz w:val="18"/>
                <w:szCs w:val="18"/>
                <w:lang w:eastAsia="en-GB"/>
              </w:rPr>
              <w:t> </w:t>
            </w:r>
          </w:p>
        </w:tc>
        <w:tc>
          <w:tcPr>
            <w:tcW w:w="923" w:type="dxa"/>
            <w:tcBorders>
              <w:top w:val="nil"/>
              <w:left w:val="nil"/>
              <w:bottom w:val="nil"/>
              <w:right w:val="nil"/>
            </w:tcBorders>
            <w:shd w:val="clear" w:color="000000" w:fill="FFFFFF"/>
            <w:noWrap/>
            <w:vAlign w:val="bottom"/>
            <w:hideMark/>
          </w:tcPr>
          <w:p>
            <w:pPr>
              <w:rPr>
                <w:rFonts w:eastAsia="Times New Roman"/>
                <w:noProof/>
                <w:sz w:val="18"/>
                <w:szCs w:val="18"/>
                <w:lang w:eastAsia="en-GB"/>
              </w:rPr>
            </w:pPr>
            <w:r>
              <w:rPr>
                <w:rFonts w:eastAsia="Times New Roman"/>
                <w:noProof/>
                <w:sz w:val="18"/>
                <w:szCs w:val="18"/>
                <w:lang w:eastAsia="en-GB"/>
              </w:rPr>
              <w:t> </w:t>
            </w:r>
          </w:p>
        </w:tc>
      </w:tr>
      <w:tr>
        <w:trPr>
          <w:trHeight w:val="201"/>
        </w:trPr>
        <w:tc>
          <w:tcPr>
            <w:tcW w:w="9180" w:type="dxa"/>
            <w:gridSpan w:val="6"/>
            <w:tcBorders>
              <w:top w:val="nil"/>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Growth of Services trade EU28 with Botswana (mio €) </w:t>
            </w:r>
          </w:p>
        </w:tc>
      </w:tr>
      <w:tr>
        <w:trPr>
          <w:trHeight w:val="201"/>
        </w:trPr>
        <w:tc>
          <w:tcPr>
            <w:tcW w:w="5671"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eastAsia="en-GB"/>
              </w:rPr>
            </w:pPr>
            <w:r>
              <w:rPr>
                <w:rFonts w:eastAsia="Times New Roman"/>
                <w:b/>
                <w:bCs/>
                <w:noProof/>
                <w:sz w:val="16"/>
                <w:szCs w:val="16"/>
                <w:lang w:eastAsia="en-GB"/>
              </w:rPr>
              <w:t>Botswana</w:t>
            </w:r>
          </w:p>
        </w:tc>
        <w:tc>
          <w:tcPr>
            <w:tcW w:w="862"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2016</w:t>
            </w:r>
          </w:p>
        </w:tc>
        <w:tc>
          <w:tcPr>
            <w:tcW w:w="862"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2017</w:t>
            </w:r>
          </w:p>
        </w:tc>
        <w:tc>
          <w:tcPr>
            <w:tcW w:w="1785"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Growth</w:t>
            </w:r>
          </w:p>
        </w:tc>
      </w:tr>
      <w:tr>
        <w:trPr>
          <w:trHeight w:val="201"/>
        </w:trPr>
        <w:tc>
          <w:tcPr>
            <w:tcW w:w="5671"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862" w:type="dxa"/>
            <w:vMerge/>
            <w:tcBorders>
              <w:top w:val="nil"/>
              <w:left w:val="nil"/>
              <w:bottom w:val="single" w:sz="4" w:space="0" w:color="000000"/>
              <w:right w:val="nil"/>
            </w:tcBorders>
            <w:vAlign w:val="center"/>
            <w:hideMark/>
          </w:tcPr>
          <w:p>
            <w:pPr>
              <w:rPr>
                <w:rFonts w:eastAsia="Times New Roman"/>
                <w:b/>
                <w:bCs/>
                <w:noProof/>
                <w:sz w:val="16"/>
                <w:szCs w:val="16"/>
                <w:lang w:eastAsia="en-GB"/>
              </w:rPr>
            </w:pPr>
          </w:p>
        </w:tc>
        <w:tc>
          <w:tcPr>
            <w:tcW w:w="862" w:type="dxa"/>
            <w:vMerge/>
            <w:tcBorders>
              <w:top w:val="nil"/>
              <w:left w:val="nil"/>
              <w:bottom w:val="single" w:sz="4" w:space="0" w:color="000000"/>
              <w:right w:val="nil"/>
            </w:tcBorders>
            <w:vAlign w:val="center"/>
            <w:hideMark/>
          </w:tcPr>
          <w:p>
            <w:pPr>
              <w:rPr>
                <w:rFonts w:eastAsia="Times New Roman"/>
                <w:b/>
                <w:bCs/>
                <w:noProof/>
                <w:sz w:val="16"/>
                <w:szCs w:val="16"/>
                <w:lang w:eastAsia="en-GB"/>
              </w:rPr>
            </w:pPr>
          </w:p>
        </w:tc>
        <w:tc>
          <w:tcPr>
            <w:tcW w:w="862"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mio €</w:t>
            </w:r>
          </w:p>
        </w:tc>
        <w:tc>
          <w:tcPr>
            <w:tcW w:w="923"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annual %</w:t>
            </w:r>
          </w:p>
        </w:tc>
      </w:tr>
      <w:tr>
        <w:trPr>
          <w:trHeight w:val="201"/>
        </w:trPr>
        <w:tc>
          <w:tcPr>
            <w:tcW w:w="480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Imports</w:t>
            </w:r>
          </w:p>
        </w:tc>
        <w:tc>
          <w:tcPr>
            <w:tcW w:w="862"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77</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97</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20</w:t>
            </w:r>
          </w:p>
        </w:tc>
        <w:tc>
          <w:tcPr>
            <w:tcW w:w="923"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26,3%</w:t>
            </w:r>
          </w:p>
        </w:tc>
      </w:tr>
      <w:tr>
        <w:trPr>
          <w:trHeight w:val="201"/>
        </w:trPr>
        <w:tc>
          <w:tcPr>
            <w:tcW w:w="480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Exports</w:t>
            </w:r>
          </w:p>
        </w:tc>
        <w:tc>
          <w:tcPr>
            <w:tcW w:w="862"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292</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486</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194</w:t>
            </w:r>
          </w:p>
        </w:tc>
        <w:tc>
          <w:tcPr>
            <w:tcW w:w="923"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66,3%</w:t>
            </w:r>
          </w:p>
        </w:tc>
      </w:tr>
      <w:tr>
        <w:trPr>
          <w:trHeight w:val="201"/>
        </w:trPr>
        <w:tc>
          <w:tcPr>
            <w:tcW w:w="480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Balance</w:t>
            </w:r>
          </w:p>
        </w:tc>
        <w:tc>
          <w:tcPr>
            <w:tcW w:w="862"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216</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390</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174</w:t>
            </w:r>
          </w:p>
        </w:tc>
        <w:tc>
          <w:tcPr>
            <w:tcW w:w="923"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r>
      <w:tr>
        <w:trPr>
          <w:trHeight w:val="201"/>
        </w:trPr>
        <w:tc>
          <w:tcPr>
            <w:tcW w:w="4809"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Total trade</w:t>
            </w:r>
          </w:p>
        </w:tc>
        <w:tc>
          <w:tcPr>
            <w:tcW w:w="862"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62"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369</w:t>
            </w:r>
          </w:p>
        </w:tc>
        <w:tc>
          <w:tcPr>
            <w:tcW w:w="862"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583</w:t>
            </w:r>
          </w:p>
        </w:tc>
        <w:tc>
          <w:tcPr>
            <w:tcW w:w="862"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214</w:t>
            </w:r>
          </w:p>
        </w:tc>
        <w:tc>
          <w:tcPr>
            <w:tcW w:w="92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58,0%</w:t>
            </w:r>
          </w:p>
        </w:tc>
      </w:tr>
      <w:tr>
        <w:trPr>
          <w:trHeight w:val="215"/>
        </w:trPr>
        <w:tc>
          <w:tcPr>
            <w:tcW w:w="8257" w:type="dxa"/>
            <w:gridSpan w:val="5"/>
            <w:tcBorders>
              <w:top w:val="nil"/>
              <w:left w:val="nil"/>
              <w:bottom w:val="nil"/>
              <w:right w:val="nil"/>
            </w:tcBorders>
            <w:shd w:val="clear" w:color="000000" w:fill="FFFFFF"/>
            <w:noWrap/>
            <w:hideMark/>
          </w:tcPr>
          <w:p>
            <w:pPr>
              <w:rPr>
                <w:rFonts w:eastAsia="Times New Roman"/>
                <w:noProof/>
                <w:sz w:val="12"/>
                <w:szCs w:val="12"/>
                <w:lang w:eastAsia="en-GB"/>
              </w:rPr>
            </w:pPr>
            <w:r>
              <w:rPr>
                <w:rFonts w:eastAsia="Times New Roman"/>
                <w:noProof/>
                <w:sz w:val="12"/>
                <w:szCs w:val="12"/>
                <w:lang w:eastAsia="en-GB"/>
              </w:rPr>
              <w:t>Source Trade G2 Statistics/ISDB from Eurostat BOP statistics</w:t>
            </w:r>
          </w:p>
        </w:tc>
        <w:tc>
          <w:tcPr>
            <w:tcW w:w="923" w:type="dxa"/>
            <w:tcBorders>
              <w:top w:val="nil"/>
              <w:left w:val="nil"/>
              <w:bottom w:val="nil"/>
              <w:right w:val="nil"/>
            </w:tcBorders>
            <w:shd w:val="clear" w:color="000000" w:fill="FFFFFF"/>
            <w:noWrap/>
            <w:vAlign w:val="bottom"/>
            <w:hideMark/>
          </w:tcPr>
          <w:p>
            <w:pPr>
              <w:rPr>
                <w:rFonts w:eastAsia="Times New Roman"/>
                <w:noProof/>
                <w:sz w:val="18"/>
                <w:szCs w:val="18"/>
                <w:lang w:eastAsia="en-GB"/>
              </w:rPr>
            </w:pPr>
            <w:r>
              <w:rPr>
                <w:rFonts w:eastAsia="Times New Roman"/>
                <w:noProof/>
                <w:sz w:val="18"/>
                <w:szCs w:val="18"/>
                <w:lang w:eastAsia="en-GB"/>
              </w:rPr>
              <w:t> </w:t>
            </w:r>
          </w:p>
        </w:tc>
      </w:tr>
      <w:tr>
        <w:trPr>
          <w:trHeight w:val="215"/>
        </w:trPr>
        <w:tc>
          <w:tcPr>
            <w:tcW w:w="9180"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Services trade EU28 with Botswana (mio €)</w:t>
            </w:r>
          </w:p>
        </w:tc>
      </w:tr>
      <w:tr>
        <w:trPr>
          <w:trHeight w:val="201"/>
        </w:trPr>
        <w:tc>
          <w:tcPr>
            <w:tcW w:w="4809"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62"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2013</w:t>
            </w:r>
          </w:p>
        </w:tc>
        <w:tc>
          <w:tcPr>
            <w:tcW w:w="862"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2014</w:t>
            </w:r>
          </w:p>
        </w:tc>
        <w:tc>
          <w:tcPr>
            <w:tcW w:w="862"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2015</w:t>
            </w:r>
          </w:p>
        </w:tc>
        <w:tc>
          <w:tcPr>
            <w:tcW w:w="862"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2016</w:t>
            </w:r>
          </w:p>
        </w:tc>
        <w:tc>
          <w:tcPr>
            <w:tcW w:w="923"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2017</w:t>
            </w:r>
          </w:p>
        </w:tc>
      </w:tr>
      <w:tr>
        <w:trPr>
          <w:trHeight w:val="201"/>
        </w:trPr>
        <w:tc>
          <w:tcPr>
            <w:tcW w:w="480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Imports</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88</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80</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79</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77</w:t>
            </w:r>
          </w:p>
        </w:tc>
        <w:tc>
          <w:tcPr>
            <w:tcW w:w="923"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97</w:t>
            </w:r>
          </w:p>
        </w:tc>
      </w:tr>
      <w:tr>
        <w:trPr>
          <w:trHeight w:val="201"/>
        </w:trPr>
        <w:tc>
          <w:tcPr>
            <w:tcW w:w="480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Exports</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171</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198</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417</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292</w:t>
            </w:r>
          </w:p>
        </w:tc>
        <w:tc>
          <w:tcPr>
            <w:tcW w:w="923"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486</w:t>
            </w:r>
          </w:p>
        </w:tc>
      </w:tr>
      <w:tr>
        <w:trPr>
          <w:trHeight w:val="201"/>
        </w:trPr>
        <w:tc>
          <w:tcPr>
            <w:tcW w:w="480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Balance</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84</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118</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338</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216</w:t>
            </w:r>
          </w:p>
        </w:tc>
        <w:tc>
          <w:tcPr>
            <w:tcW w:w="923"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390</w:t>
            </w:r>
          </w:p>
        </w:tc>
      </w:tr>
      <w:tr>
        <w:trPr>
          <w:trHeight w:val="201"/>
        </w:trPr>
        <w:tc>
          <w:tcPr>
            <w:tcW w:w="4809"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Total trade</w:t>
            </w:r>
          </w:p>
        </w:tc>
        <w:tc>
          <w:tcPr>
            <w:tcW w:w="862"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259</w:t>
            </w:r>
          </w:p>
        </w:tc>
        <w:tc>
          <w:tcPr>
            <w:tcW w:w="862"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277</w:t>
            </w:r>
          </w:p>
        </w:tc>
        <w:tc>
          <w:tcPr>
            <w:tcW w:w="862"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496</w:t>
            </w:r>
          </w:p>
        </w:tc>
        <w:tc>
          <w:tcPr>
            <w:tcW w:w="862"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369</w:t>
            </w:r>
          </w:p>
        </w:tc>
        <w:tc>
          <w:tcPr>
            <w:tcW w:w="92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583</w:t>
            </w:r>
          </w:p>
        </w:tc>
      </w:tr>
      <w:tr>
        <w:trPr>
          <w:trHeight w:val="201"/>
        </w:trPr>
        <w:tc>
          <w:tcPr>
            <w:tcW w:w="4809" w:type="dxa"/>
            <w:tcBorders>
              <w:top w:val="nil"/>
              <w:left w:val="nil"/>
              <w:bottom w:val="nil"/>
              <w:right w:val="nil"/>
            </w:tcBorders>
            <w:shd w:val="clear" w:color="000000" w:fill="FFFFFF"/>
            <w:noWrap/>
            <w:hideMark/>
          </w:tcPr>
          <w:p>
            <w:pPr>
              <w:rPr>
                <w:rFonts w:eastAsia="Times New Roman"/>
                <w:noProof/>
                <w:sz w:val="12"/>
                <w:szCs w:val="12"/>
                <w:lang w:eastAsia="en-GB"/>
              </w:rPr>
            </w:pPr>
            <w:r>
              <w:rPr>
                <w:rFonts w:eastAsia="Times New Roman"/>
                <w:noProof/>
                <w:sz w:val="12"/>
                <w:szCs w:val="12"/>
                <w:lang w:eastAsia="en-GB"/>
              </w:rPr>
              <w:t>Source Trade G2 Statistics/ISDB from Eurostat BOP statistics</w:t>
            </w:r>
          </w:p>
        </w:tc>
        <w:tc>
          <w:tcPr>
            <w:tcW w:w="862" w:type="dxa"/>
            <w:tcBorders>
              <w:top w:val="nil"/>
              <w:left w:val="nil"/>
              <w:bottom w:val="nil"/>
              <w:right w:val="nil"/>
            </w:tcBorders>
            <w:shd w:val="clear" w:color="000000" w:fill="FFFFFF"/>
            <w:noWrap/>
            <w:hideMark/>
          </w:tcPr>
          <w:p>
            <w:pPr>
              <w:rPr>
                <w:rFonts w:eastAsia="Times New Roman"/>
                <w:noProof/>
                <w:sz w:val="12"/>
                <w:szCs w:val="12"/>
                <w:lang w:eastAsia="en-GB"/>
              </w:rPr>
            </w:pPr>
            <w:r>
              <w:rPr>
                <w:rFonts w:eastAsia="Times New Roman"/>
                <w:noProof/>
                <w:sz w:val="12"/>
                <w:szCs w:val="12"/>
                <w:lang w:eastAsia="en-GB"/>
              </w:rPr>
              <w:t> </w:t>
            </w:r>
          </w:p>
        </w:tc>
        <w:tc>
          <w:tcPr>
            <w:tcW w:w="862"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62"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62"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923"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r>
      <w:tr>
        <w:trPr>
          <w:trHeight w:val="201"/>
        </w:trPr>
        <w:tc>
          <w:tcPr>
            <w:tcW w:w="9180"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Foreign Direct Investment (FDI) EU28 with Botswana (mio €)</w:t>
            </w:r>
          </w:p>
        </w:tc>
      </w:tr>
      <w:tr>
        <w:trPr>
          <w:trHeight w:val="201"/>
        </w:trPr>
        <w:tc>
          <w:tcPr>
            <w:tcW w:w="4809"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62"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2013</w:t>
            </w:r>
          </w:p>
        </w:tc>
        <w:tc>
          <w:tcPr>
            <w:tcW w:w="862"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2014</w:t>
            </w:r>
          </w:p>
        </w:tc>
        <w:tc>
          <w:tcPr>
            <w:tcW w:w="862"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2015</w:t>
            </w:r>
          </w:p>
        </w:tc>
        <w:tc>
          <w:tcPr>
            <w:tcW w:w="862"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2016</w:t>
            </w:r>
          </w:p>
        </w:tc>
        <w:tc>
          <w:tcPr>
            <w:tcW w:w="923"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2017</w:t>
            </w:r>
          </w:p>
        </w:tc>
      </w:tr>
      <w:tr>
        <w:trPr>
          <w:trHeight w:val="201"/>
        </w:trPr>
        <w:tc>
          <w:tcPr>
            <w:tcW w:w="9180"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eastAsia="en-GB"/>
              </w:rPr>
            </w:pPr>
            <w:r>
              <w:rPr>
                <w:rFonts w:eastAsia="Times New Roman"/>
                <w:b/>
                <w:bCs/>
                <w:i/>
                <w:iCs/>
                <w:noProof/>
                <w:sz w:val="16"/>
                <w:szCs w:val="16"/>
                <w:lang w:eastAsia="en-GB"/>
              </w:rPr>
              <w:t>FDI Stocks</w:t>
            </w:r>
          </w:p>
        </w:tc>
      </w:tr>
      <w:tr>
        <w:trPr>
          <w:trHeight w:val="201"/>
        </w:trPr>
        <w:tc>
          <w:tcPr>
            <w:tcW w:w="480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Inward</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9</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5</w:t>
            </w:r>
          </w:p>
        </w:tc>
        <w:tc>
          <w:tcPr>
            <w:tcW w:w="923"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17</w:t>
            </w:r>
          </w:p>
        </w:tc>
      </w:tr>
      <w:tr>
        <w:trPr>
          <w:trHeight w:val="201"/>
        </w:trPr>
        <w:tc>
          <w:tcPr>
            <w:tcW w:w="480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Outward</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238</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305</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299</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236</w:t>
            </w:r>
          </w:p>
        </w:tc>
        <w:tc>
          <w:tcPr>
            <w:tcW w:w="923"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247</w:t>
            </w:r>
          </w:p>
        </w:tc>
      </w:tr>
      <w:tr>
        <w:trPr>
          <w:trHeight w:val="201"/>
        </w:trPr>
        <w:tc>
          <w:tcPr>
            <w:tcW w:w="9180"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eastAsia="en-GB"/>
              </w:rPr>
            </w:pPr>
            <w:r>
              <w:rPr>
                <w:rFonts w:eastAsia="Times New Roman"/>
                <w:b/>
                <w:bCs/>
                <w:i/>
                <w:iCs/>
                <w:noProof/>
                <w:sz w:val="16"/>
                <w:szCs w:val="16"/>
                <w:lang w:eastAsia="en-GB"/>
              </w:rPr>
              <w:t>FDI Flows</w:t>
            </w:r>
          </w:p>
        </w:tc>
      </w:tr>
      <w:tr>
        <w:trPr>
          <w:trHeight w:val="201"/>
        </w:trPr>
        <w:tc>
          <w:tcPr>
            <w:tcW w:w="480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Inward</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-6</w:t>
            </w:r>
          </w:p>
        </w:tc>
        <w:tc>
          <w:tcPr>
            <w:tcW w:w="86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w:t>
            </w:r>
          </w:p>
        </w:tc>
        <w:tc>
          <w:tcPr>
            <w:tcW w:w="923"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12</w:t>
            </w:r>
          </w:p>
        </w:tc>
      </w:tr>
      <w:tr>
        <w:trPr>
          <w:trHeight w:val="201"/>
        </w:trPr>
        <w:tc>
          <w:tcPr>
            <w:tcW w:w="480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Outward</w:t>
            </w:r>
          </w:p>
        </w:tc>
        <w:tc>
          <w:tcPr>
            <w:tcW w:w="862"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64</w:t>
            </w:r>
          </w:p>
        </w:tc>
        <w:tc>
          <w:tcPr>
            <w:tcW w:w="862"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39</w:t>
            </w:r>
          </w:p>
        </w:tc>
        <w:tc>
          <w:tcPr>
            <w:tcW w:w="862"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-18</w:t>
            </w:r>
          </w:p>
        </w:tc>
        <w:tc>
          <w:tcPr>
            <w:tcW w:w="862"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w:t>
            </w:r>
          </w:p>
        </w:tc>
        <w:tc>
          <w:tcPr>
            <w:tcW w:w="923"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5</w:t>
            </w:r>
          </w:p>
        </w:tc>
      </w:tr>
      <w:tr>
        <w:trPr>
          <w:trHeight w:val="201"/>
        </w:trPr>
        <w:tc>
          <w:tcPr>
            <w:tcW w:w="4809" w:type="dxa"/>
            <w:tcBorders>
              <w:top w:val="single" w:sz="4" w:space="0" w:color="auto"/>
              <w:left w:val="nil"/>
              <w:bottom w:val="nil"/>
              <w:right w:val="nil"/>
            </w:tcBorders>
            <w:shd w:val="clear" w:color="000000" w:fill="FFFFFF"/>
            <w:noWrap/>
            <w:hideMark/>
          </w:tcPr>
          <w:p>
            <w:pPr>
              <w:rPr>
                <w:rFonts w:eastAsia="Times New Roman"/>
                <w:noProof/>
                <w:sz w:val="12"/>
                <w:szCs w:val="12"/>
                <w:lang w:eastAsia="en-GB"/>
              </w:rPr>
            </w:pPr>
            <w:r>
              <w:rPr>
                <w:rFonts w:eastAsia="Times New Roman"/>
                <w:noProof/>
                <w:sz w:val="12"/>
                <w:szCs w:val="12"/>
                <w:lang w:eastAsia="en-GB"/>
              </w:rPr>
              <w:t>Source Trade G2 Statistics/ISDB from Eurostat BOP statistics</w:t>
            </w:r>
          </w:p>
        </w:tc>
        <w:tc>
          <w:tcPr>
            <w:tcW w:w="862" w:type="dxa"/>
            <w:tcBorders>
              <w:top w:val="nil"/>
              <w:left w:val="nil"/>
              <w:bottom w:val="nil"/>
              <w:right w:val="nil"/>
            </w:tcBorders>
            <w:shd w:val="clear" w:color="000000" w:fill="FFFFFF"/>
            <w:noWrap/>
            <w:hideMark/>
          </w:tcPr>
          <w:p>
            <w:pPr>
              <w:rPr>
                <w:rFonts w:eastAsia="Times New Roman"/>
                <w:noProof/>
                <w:sz w:val="12"/>
                <w:szCs w:val="12"/>
                <w:lang w:eastAsia="en-GB"/>
              </w:rPr>
            </w:pPr>
            <w:r>
              <w:rPr>
                <w:rFonts w:eastAsia="Times New Roman"/>
                <w:noProof/>
                <w:sz w:val="12"/>
                <w:szCs w:val="12"/>
                <w:lang w:eastAsia="en-GB"/>
              </w:rPr>
              <w:t> </w:t>
            </w:r>
          </w:p>
        </w:tc>
        <w:tc>
          <w:tcPr>
            <w:tcW w:w="862"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62"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62"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923"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r>
    </w:tbl>
    <w:p>
      <w:pPr>
        <w:pStyle w:val="ChapterHead"/>
        <w:spacing w:after="0"/>
        <w:jc w:val="both"/>
        <w:rPr>
          <w:b/>
          <w:noProof/>
        </w:rPr>
      </w:pPr>
    </w:p>
    <w:p>
      <w:pPr>
        <w:rPr>
          <w:b/>
          <w:noProof/>
        </w:rPr>
      </w:pPr>
      <w:bookmarkStart w:id="4266" w:name="_Toc9608312"/>
      <w:r>
        <w:rPr>
          <w:b/>
          <w:noProof/>
        </w:rPr>
        <w:t>Eswatini:</w:t>
      </w:r>
      <w:bookmarkEnd w:id="4266"/>
    </w:p>
    <w:tbl>
      <w:tblPr>
        <w:tblW w:w="8959" w:type="dxa"/>
        <w:tblInd w:w="108" w:type="dxa"/>
        <w:tblLook w:val="04A0" w:firstRow="1" w:lastRow="0" w:firstColumn="1" w:lastColumn="0" w:noHBand="0" w:noVBand="1"/>
      </w:tblPr>
      <w:tblGrid>
        <w:gridCol w:w="4866"/>
        <w:gridCol w:w="792"/>
        <w:gridCol w:w="791"/>
        <w:gridCol w:w="791"/>
        <w:gridCol w:w="791"/>
        <w:gridCol w:w="928"/>
      </w:tblGrid>
      <w:tr>
        <w:trPr>
          <w:trHeight w:val="187"/>
        </w:trPr>
        <w:tc>
          <w:tcPr>
            <w:tcW w:w="8959"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Merchandise trade EU28 with Eswatini 2014-2018</w:t>
            </w:r>
          </w:p>
        </w:tc>
      </w:tr>
      <w:tr>
        <w:trPr>
          <w:trHeight w:val="187"/>
        </w:trPr>
        <w:tc>
          <w:tcPr>
            <w:tcW w:w="4866" w:type="dxa"/>
            <w:tcBorders>
              <w:top w:val="single" w:sz="4" w:space="0" w:color="auto"/>
              <w:left w:val="nil"/>
              <w:bottom w:val="single" w:sz="4" w:space="0" w:color="auto"/>
              <w:right w:val="nil"/>
            </w:tcBorders>
            <w:shd w:val="clear" w:color="000000" w:fill="FFFFFF"/>
            <w:noWrap/>
            <w:vAlign w:val="bottom"/>
            <w:hideMark/>
          </w:tcPr>
          <w:p>
            <w:pPr>
              <w:rPr>
                <w:rFonts w:eastAsia="Times New Roman"/>
                <w:b/>
                <w:bCs/>
                <w:noProof/>
                <w:sz w:val="16"/>
                <w:szCs w:val="16"/>
                <w:lang w:eastAsia="en-GB"/>
              </w:rPr>
            </w:pPr>
            <w:r>
              <w:rPr>
                <w:rFonts w:eastAsia="Times New Roman"/>
                <w:b/>
                <w:bCs/>
                <w:noProof/>
                <w:sz w:val="16"/>
                <w:szCs w:val="16"/>
                <w:lang w:eastAsia="en-GB"/>
              </w:rPr>
              <w:t> </w:t>
            </w:r>
          </w:p>
        </w:tc>
        <w:tc>
          <w:tcPr>
            <w:tcW w:w="792"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2014</w:t>
            </w:r>
          </w:p>
        </w:tc>
        <w:tc>
          <w:tcPr>
            <w:tcW w:w="791"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2015</w:t>
            </w:r>
          </w:p>
        </w:tc>
        <w:tc>
          <w:tcPr>
            <w:tcW w:w="791"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2016</w:t>
            </w:r>
          </w:p>
        </w:tc>
        <w:tc>
          <w:tcPr>
            <w:tcW w:w="791"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2017</w:t>
            </w:r>
          </w:p>
        </w:tc>
        <w:tc>
          <w:tcPr>
            <w:tcW w:w="928"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2018</w:t>
            </w:r>
          </w:p>
        </w:tc>
      </w:tr>
      <w:tr>
        <w:trPr>
          <w:trHeight w:val="187"/>
        </w:trPr>
        <w:tc>
          <w:tcPr>
            <w:tcW w:w="4866"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EU28 trade with Eswatini (mio €)</w:t>
            </w:r>
          </w:p>
        </w:tc>
        <w:tc>
          <w:tcPr>
            <w:tcW w:w="792"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eastAsia="en-GB"/>
              </w:rPr>
            </w:pPr>
          </w:p>
        </w:tc>
        <w:tc>
          <w:tcPr>
            <w:tcW w:w="791"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 </w:t>
            </w:r>
          </w:p>
        </w:tc>
        <w:tc>
          <w:tcPr>
            <w:tcW w:w="791"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 </w:t>
            </w:r>
          </w:p>
        </w:tc>
        <w:tc>
          <w:tcPr>
            <w:tcW w:w="791"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 </w:t>
            </w:r>
          </w:p>
        </w:tc>
        <w:tc>
          <w:tcPr>
            <w:tcW w:w="928"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 </w:t>
            </w:r>
          </w:p>
        </w:tc>
      </w:tr>
      <w:tr>
        <w:trPr>
          <w:trHeight w:val="187"/>
        </w:trPr>
        <w:tc>
          <w:tcPr>
            <w:tcW w:w="4866"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Imports</w:t>
            </w:r>
          </w:p>
        </w:tc>
        <w:tc>
          <w:tcPr>
            <w:tcW w:w="79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151</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139</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124</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87</w:t>
            </w:r>
          </w:p>
        </w:tc>
        <w:tc>
          <w:tcPr>
            <w:tcW w:w="928"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64</w:t>
            </w:r>
          </w:p>
        </w:tc>
      </w:tr>
      <w:tr>
        <w:trPr>
          <w:trHeight w:val="187"/>
        </w:trPr>
        <w:tc>
          <w:tcPr>
            <w:tcW w:w="4866"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Exports</w:t>
            </w:r>
          </w:p>
        </w:tc>
        <w:tc>
          <w:tcPr>
            <w:tcW w:w="79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29</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35</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51</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49</w:t>
            </w:r>
          </w:p>
        </w:tc>
        <w:tc>
          <w:tcPr>
            <w:tcW w:w="928"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46</w:t>
            </w:r>
          </w:p>
        </w:tc>
      </w:tr>
      <w:tr>
        <w:trPr>
          <w:trHeight w:val="187"/>
        </w:trPr>
        <w:tc>
          <w:tcPr>
            <w:tcW w:w="4866"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Balance</w:t>
            </w:r>
          </w:p>
        </w:tc>
        <w:tc>
          <w:tcPr>
            <w:tcW w:w="79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-122</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-104</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-73</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-38</w:t>
            </w:r>
          </w:p>
        </w:tc>
        <w:tc>
          <w:tcPr>
            <w:tcW w:w="928"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-18</w:t>
            </w:r>
          </w:p>
        </w:tc>
      </w:tr>
      <w:tr>
        <w:trPr>
          <w:trHeight w:val="187"/>
        </w:trPr>
        <w:tc>
          <w:tcPr>
            <w:tcW w:w="4866"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Share Eswatini in EU28 trade with Extra-EU28</w:t>
            </w:r>
          </w:p>
        </w:tc>
        <w:tc>
          <w:tcPr>
            <w:tcW w:w="792"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eastAsia="en-GB"/>
              </w:rPr>
            </w:pPr>
          </w:p>
        </w:tc>
        <w:tc>
          <w:tcPr>
            <w:tcW w:w="791"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 </w:t>
            </w:r>
          </w:p>
        </w:tc>
        <w:tc>
          <w:tcPr>
            <w:tcW w:w="791"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 </w:t>
            </w:r>
          </w:p>
        </w:tc>
        <w:tc>
          <w:tcPr>
            <w:tcW w:w="791"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 </w:t>
            </w:r>
          </w:p>
        </w:tc>
        <w:tc>
          <w:tcPr>
            <w:tcW w:w="928"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 </w:t>
            </w:r>
          </w:p>
        </w:tc>
      </w:tr>
      <w:tr>
        <w:trPr>
          <w:trHeight w:val="187"/>
        </w:trPr>
        <w:tc>
          <w:tcPr>
            <w:tcW w:w="4866"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Imports</w:t>
            </w:r>
          </w:p>
        </w:tc>
        <w:tc>
          <w:tcPr>
            <w:tcW w:w="79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0,0%</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0,0%</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0,0%</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0,0%</w:t>
            </w:r>
          </w:p>
        </w:tc>
        <w:tc>
          <w:tcPr>
            <w:tcW w:w="928"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0,0%</w:t>
            </w:r>
          </w:p>
        </w:tc>
      </w:tr>
      <w:tr>
        <w:trPr>
          <w:trHeight w:val="187"/>
        </w:trPr>
        <w:tc>
          <w:tcPr>
            <w:tcW w:w="4866"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Exports</w:t>
            </w:r>
          </w:p>
        </w:tc>
        <w:tc>
          <w:tcPr>
            <w:tcW w:w="79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0,0%</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0,0%</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0,0%</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0,0%</w:t>
            </w:r>
          </w:p>
        </w:tc>
        <w:tc>
          <w:tcPr>
            <w:tcW w:w="928"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0,0%</w:t>
            </w:r>
          </w:p>
        </w:tc>
      </w:tr>
      <w:tr>
        <w:trPr>
          <w:trHeight w:val="187"/>
        </w:trPr>
        <w:tc>
          <w:tcPr>
            <w:tcW w:w="4866"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Total (I+E)</w:t>
            </w:r>
          </w:p>
        </w:tc>
        <w:tc>
          <w:tcPr>
            <w:tcW w:w="79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0,0%</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0,0%</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0,0%</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0,0%</w:t>
            </w:r>
          </w:p>
        </w:tc>
        <w:tc>
          <w:tcPr>
            <w:tcW w:w="928"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0,0%</w:t>
            </w:r>
          </w:p>
        </w:tc>
      </w:tr>
      <w:tr>
        <w:trPr>
          <w:trHeight w:val="187"/>
        </w:trPr>
        <w:tc>
          <w:tcPr>
            <w:tcW w:w="8959" w:type="dxa"/>
            <w:gridSpan w:val="6"/>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Share EU28 in trade Eswatini with world</w:t>
            </w:r>
          </w:p>
        </w:tc>
      </w:tr>
      <w:tr>
        <w:trPr>
          <w:trHeight w:val="187"/>
        </w:trPr>
        <w:tc>
          <w:tcPr>
            <w:tcW w:w="4866"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Imports</w:t>
            </w:r>
          </w:p>
        </w:tc>
        <w:tc>
          <w:tcPr>
            <w:tcW w:w="79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2,0%</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4,0%</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3,8%</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3,5%</w:t>
            </w:r>
          </w:p>
        </w:tc>
        <w:tc>
          <w:tcPr>
            <w:tcW w:w="928"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2,6%</w:t>
            </w:r>
          </w:p>
        </w:tc>
      </w:tr>
      <w:tr>
        <w:trPr>
          <w:trHeight w:val="187"/>
        </w:trPr>
        <w:tc>
          <w:tcPr>
            <w:tcW w:w="4866"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Exports</w:t>
            </w:r>
          </w:p>
        </w:tc>
        <w:tc>
          <w:tcPr>
            <w:tcW w:w="79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8,0%</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6,7%</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7,3%</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4,3%</w:t>
            </w:r>
          </w:p>
        </w:tc>
        <w:tc>
          <w:tcPr>
            <w:tcW w:w="928"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3,5%</w:t>
            </w:r>
          </w:p>
        </w:tc>
      </w:tr>
      <w:tr>
        <w:trPr>
          <w:trHeight w:val="187"/>
        </w:trPr>
        <w:tc>
          <w:tcPr>
            <w:tcW w:w="4866"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Total (I+E)</w:t>
            </w:r>
          </w:p>
        </w:tc>
        <w:tc>
          <w:tcPr>
            <w:tcW w:w="79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5,2%</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5,5%</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5,7%</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3,9%</w:t>
            </w:r>
          </w:p>
        </w:tc>
        <w:tc>
          <w:tcPr>
            <w:tcW w:w="928"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3,0%</w:t>
            </w:r>
          </w:p>
        </w:tc>
      </w:tr>
      <w:tr>
        <w:trPr>
          <w:trHeight w:val="201"/>
        </w:trPr>
        <w:tc>
          <w:tcPr>
            <w:tcW w:w="6449" w:type="dxa"/>
            <w:gridSpan w:val="3"/>
            <w:tcBorders>
              <w:top w:val="single" w:sz="4" w:space="0" w:color="auto"/>
              <w:left w:val="nil"/>
              <w:bottom w:val="nil"/>
              <w:right w:val="nil"/>
            </w:tcBorders>
            <w:shd w:val="clear" w:color="000000" w:fill="FFFFFF"/>
            <w:noWrap/>
            <w:vAlign w:val="bottom"/>
            <w:hideMark/>
          </w:tcPr>
          <w:p>
            <w:pPr>
              <w:rPr>
                <w:rFonts w:eastAsia="Times New Roman"/>
                <w:noProof/>
                <w:sz w:val="12"/>
                <w:szCs w:val="12"/>
                <w:lang w:eastAsia="en-GB"/>
              </w:rPr>
            </w:pPr>
            <w:r>
              <w:rPr>
                <w:rFonts w:eastAsia="Times New Roman"/>
                <w:noProof/>
                <w:sz w:val="12"/>
                <w:szCs w:val="12"/>
                <w:lang w:eastAsia="en-GB"/>
              </w:rPr>
              <w:t xml:space="preserve">Source Trade G2 Statistics/ISDB </w:t>
            </w:r>
          </w:p>
        </w:tc>
        <w:tc>
          <w:tcPr>
            <w:tcW w:w="791"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eastAsia="en-GB"/>
              </w:rPr>
            </w:pPr>
            <w:r>
              <w:rPr>
                <w:rFonts w:eastAsia="Times New Roman"/>
                <w:noProof/>
                <w:sz w:val="18"/>
                <w:szCs w:val="18"/>
                <w:lang w:eastAsia="en-GB"/>
              </w:rPr>
              <w:t> </w:t>
            </w:r>
          </w:p>
        </w:tc>
        <w:tc>
          <w:tcPr>
            <w:tcW w:w="791"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eastAsia="en-GB"/>
              </w:rPr>
            </w:pPr>
            <w:r>
              <w:rPr>
                <w:rFonts w:eastAsia="Times New Roman"/>
                <w:noProof/>
                <w:sz w:val="18"/>
                <w:szCs w:val="18"/>
                <w:lang w:eastAsia="en-GB"/>
              </w:rPr>
              <w:t> </w:t>
            </w:r>
          </w:p>
        </w:tc>
        <w:tc>
          <w:tcPr>
            <w:tcW w:w="928" w:type="dxa"/>
            <w:tcBorders>
              <w:top w:val="single" w:sz="4" w:space="0" w:color="auto"/>
              <w:left w:val="nil"/>
              <w:bottom w:val="nil"/>
              <w:right w:val="nil"/>
            </w:tcBorders>
            <w:shd w:val="clear" w:color="000000" w:fill="FFFFFF"/>
            <w:noWrap/>
            <w:hideMark/>
          </w:tcPr>
          <w:p>
            <w:pPr>
              <w:jc w:val="right"/>
              <w:rPr>
                <w:rFonts w:eastAsia="Times New Roman"/>
                <w:noProof/>
                <w:sz w:val="12"/>
                <w:szCs w:val="12"/>
                <w:lang w:eastAsia="en-GB"/>
              </w:rPr>
            </w:pPr>
            <w:r>
              <w:rPr>
                <w:rFonts w:eastAsia="Times New Roman"/>
                <w:noProof/>
                <w:sz w:val="12"/>
                <w:szCs w:val="12"/>
                <w:lang w:eastAsia="en-GB"/>
              </w:rPr>
              <w:t>25-mars-19</w:t>
            </w:r>
          </w:p>
        </w:tc>
      </w:tr>
      <w:tr>
        <w:trPr>
          <w:trHeight w:val="187"/>
        </w:trPr>
        <w:tc>
          <w:tcPr>
            <w:tcW w:w="7240" w:type="dxa"/>
            <w:gridSpan w:val="4"/>
            <w:tcBorders>
              <w:top w:val="nil"/>
              <w:left w:val="nil"/>
              <w:bottom w:val="nil"/>
              <w:right w:val="nil"/>
            </w:tcBorders>
            <w:shd w:val="clear" w:color="000000" w:fill="FFFFFF"/>
            <w:noWrap/>
            <w:hideMark/>
          </w:tcPr>
          <w:p>
            <w:pPr>
              <w:rPr>
                <w:rFonts w:eastAsia="Times New Roman"/>
                <w:noProof/>
                <w:color w:val="000000"/>
                <w:sz w:val="12"/>
                <w:szCs w:val="12"/>
                <w:lang w:val="fr-BE" w:eastAsia="en-GB"/>
              </w:rPr>
            </w:pPr>
            <w:r>
              <w:rPr>
                <w:rFonts w:eastAsia="Times New Roman"/>
                <w:noProof/>
                <w:color w:val="000000"/>
                <w:sz w:val="12"/>
                <w:szCs w:val="12"/>
                <w:lang w:val="fr-BE" w:eastAsia="en-GB"/>
              </w:rPr>
              <w:t>Trade EU28: Eurostat COMEXT;  Trade Eswatini: IMF Dots</w:t>
            </w:r>
          </w:p>
        </w:tc>
        <w:tc>
          <w:tcPr>
            <w:tcW w:w="791"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fr-BE" w:eastAsia="en-GB"/>
              </w:rPr>
            </w:pPr>
            <w:r>
              <w:rPr>
                <w:rFonts w:eastAsia="Times New Roman"/>
                <w:noProof/>
                <w:color w:val="000000"/>
                <w:sz w:val="16"/>
                <w:szCs w:val="16"/>
                <w:lang w:val="fr-BE" w:eastAsia="en-GB"/>
              </w:rPr>
              <w:t> </w:t>
            </w:r>
          </w:p>
        </w:tc>
        <w:tc>
          <w:tcPr>
            <w:tcW w:w="928"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fr-BE" w:eastAsia="en-GB"/>
              </w:rPr>
            </w:pPr>
            <w:r>
              <w:rPr>
                <w:rFonts w:eastAsia="Times New Roman"/>
                <w:noProof/>
                <w:color w:val="000000"/>
                <w:sz w:val="16"/>
                <w:szCs w:val="16"/>
                <w:lang w:val="fr-BE" w:eastAsia="en-GB"/>
              </w:rPr>
              <w:t> </w:t>
            </w:r>
          </w:p>
        </w:tc>
      </w:tr>
      <w:tr>
        <w:trPr>
          <w:trHeight w:val="187"/>
        </w:trPr>
        <w:tc>
          <w:tcPr>
            <w:tcW w:w="486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fr-BE" w:eastAsia="en-GB"/>
              </w:rPr>
            </w:pPr>
            <w:r>
              <w:rPr>
                <w:rFonts w:eastAsia="Times New Roman"/>
                <w:noProof/>
                <w:color w:val="000000"/>
                <w:sz w:val="16"/>
                <w:szCs w:val="16"/>
                <w:lang w:val="fr-BE" w:eastAsia="en-GB"/>
              </w:rPr>
              <w:t> </w:t>
            </w:r>
          </w:p>
        </w:tc>
        <w:tc>
          <w:tcPr>
            <w:tcW w:w="792"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fr-BE" w:eastAsia="en-GB"/>
              </w:rPr>
            </w:pPr>
            <w:r>
              <w:rPr>
                <w:rFonts w:eastAsia="Times New Roman"/>
                <w:noProof/>
                <w:color w:val="000000"/>
                <w:sz w:val="16"/>
                <w:szCs w:val="16"/>
                <w:lang w:val="fr-BE" w:eastAsia="en-GB"/>
              </w:rPr>
              <w:t> </w:t>
            </w:r>
          </w:p>
        </w:tc>
        <w:tc>
          <w:tcPr>
            <w:tcW w:w="791"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fr-BE" w:eastAsia="en-GB"/>
              </w:rPr>
            </w:pPr>
            <w:r>
              <w:rPr>
                <w:rFonts w:eastAsia="Times New Roman"/>
                <w:noProof/>
                <w:color w:val="000000"/>
                <w:sz w:val="16"/>
                <w:szCs w:val="16"/>
                <w:lang w:val="fr-BE" w:eastAsia="en-GB"/>
              </w:rPr>
              <w:t> </w:t>
            </w:r>
          </w:p>
        </w:tc>
        <w:tc>
          <w:tcPr>
            <w:tcW w:w="791"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fr-BE" w:eastAsia="en-GB"/>
              </w:rPr>
            </w:pPr>
            <w:r>
              <w:rPr>
                <w:rFonts w:eastAsia="Times New Roman"/>
                <w:noProof/>
                <w:color w:val="000000"/>
                <w:sz w:val="16"/>
                <w:szCs w:val="16"/>
                <w:lang w:val="fr-BE" w:eastAsia="en-GB"/>
              </w:rPr>
              <w:t> </w:t>
            </w:r>
          </w:p>
        </w:tc>
        <w:tc>
          <w:tcPr>
            <w:tcW w:w="791"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fr-BE" w:eastAsia="en-GB"/>
              </w:rPr>
            </w:pPr>
            <w:r>
              <w:rPr>
                <w:rFonts w:eastAsia="Times New Roman"/>
                <w:noProof/>
                <w:color w:val="000000"/>
                <w:sz w:val="16"/>
                <w:szCs w:val="16"/>
                <w:lang w:val="fr-BE" w:eastAsia="en-GB"/>
              </w:rPr>
              <w:t> </w:t>
            </w:r>
          </w:p>
        </w:tc>
        <w:tc>
          <w:tcPr>
            <w:tcW w:w="928"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fr-BE" w:eastAsia="en-GB"/>
              </w:rPr>
            </w:pPr>
            <w:r>
              <w:rPr>
                <w:rFonts w:eastAsia="Times New Roman"/>
                <w:noProof/>
                <w:color w:val="000000"/>
                <w:sz w:val="16"/>
                <w:szCs w:val="16"/>
                <w:lang w:val="fr-BE" w:eastAsia="en-GB"/>
              </w:rPr>
              <w:t> </w:t>
            </w:r>
          </w:p>
        </w:tc>
      </w:tr>
      <w:tr>
        <w:trPr>
          <w:trHeight w:val="201"/>
        </w:trPr>
        <w:tc>
          <w:tcPr>
            <w:tcW w:w="8959"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Total merchandise trade EU28 with Eswatini (mio €)</w:t>
            </w:r>
          </w:p>
        </w:tc>
      </w:tr>
      <w:tr>
        <w:trPr>
          <w:trHeight w:val="201"/>
        </w:trPr>
        <w:tc>
          <w:tcPr>
            <w:tcW w:w="5658"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eastAsia="en-GB"/>
              </w:rPr>
            </w:pPr>
            <w:r>
              <w:rPr>
                <w:rFonts w:eastAsia="Times New Roman"/>
                <w:b/>
                <w:bCs/>
                <w:noProof/>
                <w:sz w:val="16"/>
                <w:szCs w:val="16"/>
                <w:lang w:eastAsia="en-GB"/>
              </w:rPr>
              <w:t>Eswatini</w:t>
            </w:r>
          </w:p>
        </w:tc>
        <w:tc>
          <w:tcPr>
            <w:tcW w:w="791"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2017</w:t>
            </w:r>
          </w:p>
        </w:tc>
        <w:tc>
          <w:tcPr>
            <w:tcW w:w="791"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2018</w:t>
            </w:r>
          </w:p>
        </w:tc>
        <w:tc>
          <w:tcPr>
            <w:tcW w:w="1719"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Growth</w:t>
            </w:r>
          </w:p>
        </w:tc>
      </w:tr>
      <w:tr>
        <w:trPr>
          <w:trHeight w:val="201"/>
        </w:trPr>
        <w:tc>
          <w:tcPr>
            <w:tcW w:w="5658"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791"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791"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791"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mio €</w:t>
            </w:r>
          </w:p>
        </w:tc>
        <w:tc>
          <w:tcPr>
            <w:tcW w:w="928"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annual %</w:t>
            </w:r>
          </w:p>
        </w:tc>
      </w:tr>
      <w:tr>
        <w:trPr>
          <w:trHeight w:val="201"/>
        </w:trPr>
        <w:tc>
          <w:tcPr>
            <w:tcW w:w="4866"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Imports</w:t>
            </w:r>
          </w:p>
        </w:tc>
        <w:tc>
          <w:tcPr>
            <w:tcW w:w="792"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87</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64</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-23</w:t>
            </w:r>
          </w:p>
        </w:tc>
        <w:tc>
          <w:tcPr>
            <w:tcW w:w="928"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-26,5%</w:t>
            </w:r>
          </w:p>
        </w:tc>
      </w:tr>
      <w:tr>
        <w:trPr>
          <w:trHeight w:val="201"/>
        </w:trPr>
        <w:tc>
          <w:tcPr>
            <w:tcW w:w="4866"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Exports</w:t>
            </w:r>
          </w:p>
        </w:tc>
        <w:tc>
          <w:tcPr>
            <w:tcW w:w="792"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49</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46</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w:t>
            </w:r>
          </w:p>
        </w:tc>
        <w:tc>
          <w:tcPr>
            <w:tcW w:w="928"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-5,8%</w:t>
            </w:r>
          </w:p>
        </w:tc>
      </w:tr>
      <w:tr>
        <w:trPr>
          <w:trHeight w:val="201"/>
        </w:trPr>
        <w:tc>
          <w:tcPr>
            <w:tcW w:w="4866"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Balance</w:t>
            </w:r>
          </w:p>
        </w:tc>
        <w:tc>
          <w:tcPr>
            <w:tcW w:w="792"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-38</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-18</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20</w:t>
            </w:r>
          </w:p>
        </w:tc>
        <w:tc>
          <w:tcPr>
            <w:tcW w:w="928"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r>
      <w:tr>
        <w:trPr>
          <w:trHeight w:val="201"/>
        </w:trPr>
        <w:tc>
          <w:tcPr>
            <w:tcW w:w="486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Total trade</w:t>
            </w:r>
          </w:p>
        </w:tc>
        <w:tc>
          <w:tcPr>
            <w:tcW w:w="792"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791"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136</w:t>
            </w:r>
          </w:p>
        </w:tc>
        <w:tc>
          <w:tcPr>
            <w:tcW w:w="791"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110</w:t>
            </w:r>
          </w:p>
        </w:tc>
        <w:tc>
          <w:tcPr>
            <w:tcW w:w="791"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-26</w:t>
            </w:r>
          </w:p>
        </w:tc>
        <w:tc>
          <w:tcPr>
            <w:tcW w:w="92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-19,1%</w:t>
            </w:r>
          </w:p>
        </w:tc>
      </w:tr>
      <w:tr>
        <w:trPr>
          <w:trHeight w:val="214"/>
        </w:trPr>
        <w:tc>
          <w:tcPr>
            <w:tcW w:w="7240"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eastAsia="en-GB"/>
              </w:rPr>
            </w:pPr>
            <w:r>
              <w:rPr>
                <w:rFonts w:eastAsia="Times New Roman"/>
                <w:noProof/>
                <w:sz w:val="12"/>
                <w:szCs w:val="12"/>
                <w:lang w:eastAsia="en-GB"/>
              </w:rPr>
              <w:t>Source Trade G2 Statistics/ISDB from Eurostat COMEXT</w:t>
            </w:r>
          </w:p>
        </w:tc>
        <w:tc>
          <w:tcPr>
            <w:tcW w:w="791" w:type="dxa"/>
            <w:tcBorders>
              <w:top w:val="nil"/>
              <w:left w:val="nil"/>
              <w:bottom w:val="nil"/>
              <w:right w:val="nil"/>
            </w:tcBorders>
            <w:shd w:val="clear" w:color="000000" w:fill="FFFFFF"/>
            <w:noWrap/>
            <w:vAlign w:val="bottom"/>
            <w:hideMark/>
          </w:tcPr>
          <w:p>
            <w:pPr>
              <w:rPr>
                <w:rFonts w:eastAsia="Times New Roman"/>
                <w:noProof/>
                <w:sz w:val="18"/>
                <w:szCs w:val="18"/>
                <w:lang w:eastAsia="en-GB"/>
              </w:rPr>
            </w:pPr>
            <w:r>
              <w:rPr>
                <w:rFonts w:eastAsia="Times New Roman"/>
                <w:noProof/>
                <w:sz w:val="18"/>
                <w:szCs w:val="18"/>
                <w:lang w:eastAsia="en-GB"/>
              </w:rPr>
              <w:t> </w:t>
            </w:r>
          </w:p>
        </w:tc>
        <w:tc>
          <w:tcPr>
            <w:tcW w:w="928" w:type="dxa"/>
            <w:tcBorders>
              <w:top w:val="nil"/>
              <w:left w:val="nil"/>
              <w:bottom w:val="nil"/>
              <w:right w:val="nil"/>
            </w:tcBorders>
            <w:shd w:val="clear" w:color="000000" w:fill="FFFFFF"/>
            <w:noWrap/>
            <w:vAlign w:val="bottom"/>
            <w:hideMark/>
          </w:tcPr>
          <w:p>
            <w:pPr>
              <w:rPr>
                <w:rFonts w:eastAsia="Times New Roman"/>
                <w:noProof/>
                <w:sz w:val="18"/>
                <w:szCs w:val="18"/>
                <w:lang w:eastAsia="en-GB"/>
              </w:rPr>
            </w:pPr>
            <w:r>
              <w:rPr>
                <w:rFonts w:eastAsia="Times New Roman"/>
                <w:noProof/>
                <w:sz w:val="18"/>
                <w:szCs w:val="18"/>
                <w:lang w:eastAsia="en-GB"/>
              </w:rPr>
              <w:t> </w:t>
            </w:r>
          </w:p>
        </w:tc>
      </w:tr>
      <w:tr>
        <w:trPr>
          <w:trHeight w:val="201"/>
        </w:trPr>
        <w:tc>
          <w:tcPr>
            <w:tcW w:w="8959"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Agrifood trade EU28 with Eswatini (mio €)</w:t>
            </w:r>
          </w:p>
        </w:tc>
      </w:tr>
      <w:tr>
        <w:trPr>
          <w:trHeight w:val="227"/>
        </w:trPr>
        <w:tc>
          <w:tcPr>
            <w:tcW w:w="5658"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eastAsia="en-GB"/>
              </w:rPr>
            </w:pPr>
            <w:r>
              <w:rPr>
                <w:rFonts w:eastAsia="Times New Roman"/>
                <w:b/>
                <w:bCs/>
                <w:noProof/>
                <w:sz w:val="16"/>
                <w:szCs w:val="16"/>
                <w:lang w:eastAsia="en-GB"/>
              </w:rPr>
              <w:t>Eswatini</w:t>
            </w:r>
          </w:p>
        </w:tc>
        <w:tc>
          <w:tcPr>
            <w:tcW w:w="791"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2017</w:t>
            </w:r>
          </w:p>
        </w:tc>
        <w:tc>
          <w:tcPr>
            <w:tcW w:w="791"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2018</w:t>
            </w:r>
          </w:p>
        </w:tc>
        <w:tc>
          <w:tcPr>
            <w:tcW w:w="1719"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Growth</w:t>
            </w:r>
          </w:p>
        </w:tc>
      </w:tr>
      <w:tr>
        <w:trPr>
          <w:trHeight w:val="201"/>
        </w:trPr>
        <w:tc>
          <w:tcPr>
            <w:tcW w:w="5658"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791"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791"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791"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mio €</w:t>
            </w:r>
          </w:p>
        </w:tc>
        <w:tc>
          <w:tcPr>
            <w:tcW w:w="928"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annual %</w:t>
            </w:r>
          </w:p>
        </w:tc>
      </w:tr>
      <w:tr>
        <w:trPr>
          <w:trHeight w:val="201"/>
        </w:trPr>
        <w:tc>
          <w:tcPr>
            <w:tcW w:w="4866"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Imports</w:t>
            </w:r>
          </w:p>
        </w:tc>
        <w:tc>
          <w:tcPr>
            <w:tcW w:w="792"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70</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56</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-14</w:t>
            </w:r>
          </w:p>
        </w:tc>
        <w:tc>
          <w:tcPr>
            <w:tcW w:w="928"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-20,2%</w:t>
            </w:r>
          </w:p>
        </w:tc>
      </w:tr>
      <w:tr>
        <w:trPr>
          <w:trHeight w:val="201"/>
        </w:trPr>
        <w:tc>
          <w:tcPr>
            <w:tcW w:w="4866"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Exports</w:t>
            </w:r>
          </w:p>
        </w:tc>
        <w:tc>
          <w:tcPr>
            <w:tcW w:w="792"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5</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5</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w:t>
            </w:r>
          </w:p>
        </w:tc>
        <w:tc>
          <w:tcPr>
            <w:tcW w:w="928"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-0,9%</w:t>
            </w:r>
          </w:p>
        </w:tc>
      </w:tr>
      <w:tr>
        <w:trPr>
          <w:trHeight w:val="201"/>
        </w:trPr>
        <w:tc>
          <w:tcPr>
            <w:tcW w:w="4866"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Balance</w:t>
            </w:r>
          </w:p>
        </w:tc>
        <w:tc>
          <w:tcPr>
            <w:tcW w:w="792"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-65</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-51</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14</w:t>
            </w:r>
          </w:p>
        </w:tc>
        <w:tc>
          <w:tcPr>
            <w:tcW w:w="928"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r>
      <w:tr>
        <w:trPr>
          <w:trHeight w:val="201"/>
        </w:trPr>
        <w:tc>
          <w:tcPr>
            <w:tcW w:w="486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Total trade</w:t>
            </w:r>
          </w:p>
        </w:tc>
        <w:tc>
          <w:tcPr>
            <w:tcW w:w="792"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791"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75</w:t>
            </w:r>
          </w:p>
        </w:tc>
        <w:tc>
          <w:tcPr>
            <w:tcW w:w="791"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61</w:t>
            </w:r>
          </w:p>
        </w:tc>
        <w:tc>
          <w:tcPr>
            <w:tcW w:w="791"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-14</w:t>
            </w:r>
          </w:p>
        </w:tc>
        <w:tc>
          <w:tcPr>
            <w:tcW w:w="92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-18,8%</w:t>
            </w:r>
          </w:p>
        </w:tc>
      </w:tr>
      <w:tr>
        <w:trPr>
          <w:trHeight w:val="214"/>
        </w:trPr>
        <w:tc>
          <w:tcPr>
            <w:tcW w:w="7240"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eastAsia="en-GB"/>
              </w:rPr>
            </w:pPr>
            <w:r>
              <w:rPr>
                <w:rFonts w:eastAsia="Times New Roman"/>
                <w:noProof/>
                <w:sz w:val="12"/>
                <w:szCs w:val="12"/>
                <w:lang w:eastAsia="en-GB"/>
              </w:rPr>
              <w:t>Source Trade G2 Statistics/ISDB from Eurostat COMEXT</w:t>
            </w:r>
          </w:p>
        </w:tc>
        <w:tc>
          <w:tcPr>
            <w:tcW w:w="791" w:type="dxa"/>
            <w:tcBorders>
              <w:top w:val="nil"/>
              <w:left w:val="nil"/>
              <w:bottom w:val="nil"/>
              <w:right w:val="nil"/>
            </w:tcBorders>
            <w:shd w:val="clear" w:color="000000" w:fill="FFFFFF"/>
            <w:noWrap/>
            <w:vAlign w:val="bottom"/>
            <w:hideMark/>
          </w:tcPr>
          <w:p>
            <w:pPr>
              <w:rPr>
                <w:rFonts w:eastAsia="Times New Roman"/>
                <w:noProof/>
                <w:sz w:val="18"/>
                <w:szCs w:val="18"/>
                <w:lang w:eastAsia="en-GB"/>
              </w:rPr>
            </w:pPr>
            <w:r>
              <w:rPr>
                <w:rFonts w:eastAsia="Times New Roman"/>
                <w:noProof/>
                <w:sz w:val="18"/>
                <w:szCs w:val="18"/>
                <w:lang w:eastAsia="en-GB"/>
              </w:rPr>
              <w:t> </w:t>
            </w:r>
          </w:p>
        </w:tc>
        <w:tc>
          <w:tcPr>
            <w:tcW w:w="928" w:type="dxa"/>
            <w:tcBorders>
              <w:top w:val="nil"/>
              <w:left w:val="nil"/>
              <w:bottom w:val="nil"/>
              <w:right w:val="nil"/>
            </w:tcBorders>
            <w:shd w:val="clear" w:color="000000" w:fill="FFFFFF"/>
            <w:noWrap/>
            <w:vAlign w:val="bottom"/>
            <w:hideMark/>
          </w:tcPr>
          <w:p>
            <w:pPr>
              <w:rPr>
                <w:rFonts w:eastAsia="Times New Roman"/>
                <w:noProof/>
                <w:sz w:val="18"/>
                <w:szCs w:val="18"/>
                <w:lang w:eastAsia="en-GB"/>
              </w:rPr>
            </w:pPr>
            <w:r>
              <w:rPr>
                <w:rFonts w:eastAsia="Times New Roman"/>
                <w:noProof/>
                <w:sz w:val="18"/>
                <w:szCs w:val="18"/>
                <w:lang w:eastAsia="en-GB"/>
              </w:rPr>
              <w:t> </w:t>
            </w:r>
          </w:p>
        </w:tc>
      </w:tr>
      <w:tr>
        <w:trPr>
          <w:trHeight w:val="201"/>
        </w:trPr>
        <w:tc>
          <w:tcPr>
            <w:tcW w:w="8959"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NAMA trade EU28 with Eswatini (mio €)</w:t>
            </w:r>
          </w:p>
        </w:tc>
      </w:tr>
      <w:tr>
        <w:trPr>
          <w:trHeight w:val="201"/>
        </w:trPr>
        <w:tc>
          <w:tcPr>
            <w:tcW w:w="5658"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eastAsia="en-GB"/>
              </w:rPr>
            </w:pPr>
            <w:r>
              <w:rPr>
                <w:rFonts w:eastAsia="Times New Roman"/>
                <w:b/>
                <w:bCs/>
                <w:noProof/>
                <w:sz w:val="16"/>
                <w:szCs w:val="16"/>
                <w:lang w:eastAsia="en-GB"/>
              </w:rPr>
              <w:t>Eswatini</w:t>
            </w:r>
          </w:p>
        </w:tc>
        <w:tc>
          <w:tcPr>
            <w:tcW w:w="791"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2017</w:t>
            </w:r>
          </w:p>
        </w:tc>
        <w:tc>
          <w:tcPr>
            <w:tcW w:w="791"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2018</w:t>
            </w:r>
          </w:p>
        </w:tc>
        <w:tc>
          <w:tcPr>
            <w:tcW w:w="1719"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Growth</w:t>
            </w:r>
          </w:p>
        </w:tc>
      </w:tr>
      <w:tr>
        <w:trPr>
          <w:trHeight w:val="201"/>
        </w:trPr>
        <w:tc>
          <w:tcPr>
            <w:tcW w:w="5658"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791"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791"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791"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mio €</w:t>
            </w:r>
          </w:p>
        </w:tc>
        <w:tc>
          <w:tcPr>
            <w:tcW w:w="928"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annual %</w:t>
            </w:r>
          </w:p>
        </w:tc>
      </w:tr>
      <w:tr>
        <w:trPr>
          <w:trHeight w:val="201"/>
        </w:trPr>
        <w:tc>
          <w:tcPr>
            <w:tcW w:w="5658" w:type="dxa"/>
            <w:gridSpan w:val="2"/>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EU28 imports</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17</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8</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-9</w:t>
            </w:r>
          </w:p>
        </w:tc>
        <w:tc>
          <w:tcPr>
            <w:tcW w:w="928"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-52,1%</w:t>
            </w:r>
          </w:p>
        </w:tc>
      </w:tr>
      <w:tr>
        <w:trPr>
          <w:trHeight w:val="201"/>
        </w:trPr>
        <w:tc>
          <w:tcPr>
            <w:tcW w:w="5658" w:type="dxa"/>
            <w:gridSpan w:val="2"/>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EU28 exports</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44</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41</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w:t>
            </w:r>
          </w:p>
        </w:tc>
        <w:tc>
          <w:tcPr>
            <w:tcW w:w="928"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-6,4%</w:t>
            </w:r>
          </w:p>
        </w:tc>
      </w:tr>
      <w:tr>
        <w:trPr>
          <w:trHeight w:val="201"/>
        </w:trPr>
        <w:tc>
          <w:tcPr>
            <w:tcW w:w="4866"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Balance</w:t>
            </w:r>
          </w:p>
        </w:tc>
        <w:tc>
          <w:tcPr>
            <w:tcW w:w="792"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26</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32</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6</w:t>
            </w:r>
          </w:p>
        </w:tc>
        <w:tc>
          <w:tcPr>
            <w:tcW w:w="928"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r>
      <w:tr>
        <w:trPr>
          <w:trHeight w:val="201"/>
        </w:trPr>
        <w:tc>
          <w:tcPr>
            <w:tcW w:w="4866"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Total trade</w:t>
            </w:r>
          </w:p>
        </w:tc>
        <w:tc>
          <w:tcPr>
            <w:tcW w:w="792"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61</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49</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-12</w:t>
            </w:r>
          </w:p>
        </w:tc>
        <w:tc>
          <w:tcPr>
            <w:tcW w:w="92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-19,5%</w:t>
            </w:r>
          </w:p>
        </w:tc>
      </w:tr>
      <w:tr>
        <w:trPr>
          <w:trHeight w:val="214"/>
        </w:trPr>
        <w:tc>
          <w:tcPr>
            <w:tcW w:w="7240"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eastAsia="en-GB"/>
              </w:rPr>
            </w:pPr>
            <w:r>
              <w:rPr>
                <w:rFonts w:eastAsia="Times New Roman"/>
                <w:noProof/>
                <w:sz w:val="12"/>
                <w:szCs w:val="12"/>
                <w:lang w:eastAsia="en-GB"/>
              </w:rPr>
              <w:t>Source Trade G2 Statistics/ISDB from Eurostat COMEXT</w:t>
            </w:r>
          </w:p>
        </w:tc>
        <w:tc>
          <w:tcPr>
            <w:tcW w:w="791" w:type="dxa"/>
            <w:tcBorders>
              <w:top w:val="single" w:sz="4" w:space="0" w:color="auto"/>
              <w:left w:val="nil"/>
              <w:bottom w:val="nil"/>
              <w:right w:val="nil"/>
            </w:tcBorders>
            <w:shd w:val="clear" w:color="000000" w:fill="FFFFFF"/>
            <w:noWrap/>
            <w:vAlign w:val="bottom"/>
            <w:hideMark/>
          </w:tcPr>
          <w:p>
            <w:pPr>
              <w:rPr>
                <w:rFonts w:eastAsia="Times New Roman"/>
                <w:noProof/>
                <w:sz w:val="18"/>
                <w:szCs w:val="18"/>
                <w:lang w:eastAsia="en-GB"/>
              </w:rPr>
            </w:pPr>
            <w:r>
              <w:rPr>
                <w:rFonts w:eastAsia="Times New Roman"/>
                <w:noProof/>
                <w:sz w:val="18"/>
                <w:szCs w:val="18"/>
                <w:lang w:eastAsia="en-GB"/>
              </w:rPr>
              <w:t> </w:t>
            </w:r>
          </w:p>
        </w:tc>
        <w:tc>
          <w:tcPr>
            <w:tcW w:w="928" w:type="dxa"/>
            <w:tcBorders>
              <w:top w:val="nil"/>
              <w:left w:val="nil"/>
              <w:bottom w:val="nil"/>
              <w:right w:val="nil"/>
            </w:tcBorders>
            <w:shd w:val="clear" w:color="000000" w:fill="FFFFFF"/>
            <w:noWrap/>
            <w:vAlign w:val="bottom"/>
            <w:hideMark/>
          </w:tcPr>
          <w:p>
            <w:pPr>
              <w:rPr>
                <w:rFonts w:eastAsia="Times New Roman"/>
                <w:noProof/>
                <w:sz w:val="18"/>
                <w:szCs w:val="18"/>
                <w:lang w:eastAsia="en-GB"/>
              </w:rPr>
            </w:pPr>
            <w:r>
              <w:rPr>
                <w:rFonts w:eastAsia="Times New Roman"/>
                <w:noProof/>
                <w:sz w:val="18"/>
                <w:szCs w:val="18"/>
                <w:lang w:eastAsia="en-GB"/>
              </w:rPr>
              <w:t> </w:t>
            </w:r>
          </w:p>
        </w:tc>
      </w:tr>
      <w:tr>
        <w:trPr>
          <w:trHeight w:val="201"/>
        </w:trPr>
        <w:tc>
          <w:tcPr>
            <w:tcW w:w="8959" w:type="dxa"/>
            <w:gridSpan w:val="6"/>
            <w:tcBorders>
              <w:top w:val="nil"/>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Growth of Services trade EU28 with Eswatini (mio €)</w:t>
            </w:r>
          </w:p>
        </w:tc>
      </w:tr>
      <w:tr>
        <w:trPr>
          <w:trHeight w:val="201"/>
        </w:trPr>
        <w:tc>
          <w:tcPr>
            <w:tcW w:w="5658"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eastAsia="en-GB"/>
              </w:rPr>
            </w:pPr>
            <w:r>
              <w:rPr>
                <w:rFonts w:eastAsia="Times New Roman"/>
                <w:b/>
                <w:bCs/>
                <w:noProof/>
                <w:sz w:val="16"/>
                <w:szCs w:val="16"/>
                <w:lang w:eastAsia="en-GB"/>
              </w:rPr>
              <w:t>Eswatini</w:t>
            </w:r>
          </w:p>
        </w:tc>
        <w:tc>
          <w:tcPr>
            <w:tcW w:w="791"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2016</w:t>
            </w:r>
          </w:p>
        </w:tc>
        <w:tc>
          <w:tcPr>
            <w:tcW w:w="791"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2017</w:t>
            </w:r>
          </w:p>
        </w:tc>
        <w:tc>
          <w:tcPr>
            <w:tcW w:w="1719"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Growth</w:t>
            </w:r>
          </w:p>
        </w:tc>
      </w:tr>
      <w:tr>
        <w:trPr>
          <w:trHeight w:val="201"/>
        </w:trPr>
        <w:tc>
          <w:tcPr>
            <w:tcW w:w="5658"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791" w:type="dxa"/>
            <w:vMerge/>
            <w:tcBorders>
              <w:top w:val="nil"/>
              <w:left w:val="nil"/>
              <w:bottom w:val="single" w:sz="4" w:space="0" w:color="000000"/>
              <w:right w:val="nil"/>
            </w:tcBorders>
            <w:vAlign w:val="center"/>
            <w:hideMark/>
          </w:tcPr>
          <w:p>
            <w:pPr>
              <w:rPr>
                <w:rFonts w:eastAsia="Times New Roman"/>
                <w:b/>
                <w:bCs/>
                <w:noProof/>
                <w:sz w:val="16"/>
                <w:szCs w:val="16"/>
                <w:lang w:eastAsia="en-GB"/>
              </w:rPr>
            </w:pPr>
          </w:p>
        </w:tc>
        <w:tc>
          <w:tcPr>
            <w:tcW w:w="791" w:type="dxa"/>
            <w:vMerge/>
            <w:tcBorders>
              <w:top w:val="nil"/>
              <w:left w:val="nil"/>
              <w:bottom w:val="single" w:sz="4" w:space="0" w:color="000000"/>
              <w:right w:val="nil"/>
            </w:tcBorders>
            <w:vAlign w:val="center"/>
            <w:hideMark/>
          </w:tcPr>
          <w:p>
            <w:pPr>
              <w:rPr>
                <w:rFonts w:eastAsia="Times New Roman"/>
                <w:b/>
                <w:bCs/>
                <w:noProof/>
                <w:sz w:val="16"/>
                <w:szCs w:val="16"/>
                <w:lang w:eastAsia="en-GB"/>
              </w:rPr>
            </w:pPr>
          </w:p>
        </w:tc>
        <w:tc>
          <w:tcPr>
            <w:tcW w:w="791"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mio €</w:t>
            </w:r>
          </w:p>
        </w:tc>
        <w:tc>
          <w:tcPr>
            <w:tcW w:w="928"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annual %</w:t>
            </w:r>
          </w:p>
        </w:tc>
      </w:tr>
      <w:tr>
        <w:trPr>
          <w:trHeight w:val="201"/>
        </w:trPr>
        <w:tc>
          <w:tcPr>
            <w:tcW w:w="4866"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Imports</w:t>
            </w:r>
          </w:p>
        </w:tc>
        <w:tc>
          <w:tcPr>
            <w:tcW w:w="792"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65</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61</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w:t>
            </w:r>
          </w:p>
        </w:tc>
        <w:tc>
          <w:tcPr>
            <w:tcW w:w="928"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-6,4%</w:t>
            </w:r>
          </w:p>
        </w:tc>
      </w:tr>
      <w:tr>
        <w:trPr>
          <w:trHeight w:val="201"/>
        </w:trPr>
        <w:tc>
          <w:tcPr>
            <w:tcW w:w="4866"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Exports</w:t>
            </w:r>
          </w:p>
        </w:tc>
        <w:tc>
          <w:tcPr>
            <w:tcW w:w="792"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100</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92</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-8</w:t>
            </w:r>
          </w:p>
        </w:tc>
        <w:tc>
          <w:tcPr>
            <w:tcW w:w="928"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-7,5%</w:t>
            </w:r>
          </w:p>
        </w:tc>
      </w:tr>
      <w:tr>
        <w:trPr>
          <w:trHeight w:val="201"/>
        </w:trPr>
        <w:tc>
          <w:tcPr>
            <w:tcW w:w="4866"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Balance</w:t>
            </w:r>
          </w:p>
        </w:tc>
        <w:tc>
          <w:tcPr>
            <w:tcW w:w="792"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35</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31</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w:t>
            </w:r>
          </w:p>
        </w:tc>
        <w:tc>
          <w:tcPr>
            <w:tcW w:w="928"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r>
      <w:tr>
        <w:trPr>
          <w:trHeight w:val="201"/>
        </w:trPr>
        <w:tc>
          <w:tcPr>
            <w:tcW w:w="486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Total trade</w:t>
            </w:r>
          </w:p>
        </w:tc>
        <w:tc>
          <w:tcPr>
            <w:tcW w:w="792"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791"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165</w:t>
            </w:r>
          </w:p>
        </w:tc>
        <w:tc>
          <w:tcPr>
            <w:tcW w:w="791"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153</w:t>
            </w:r>
          </w:p>
        </w:tc>
        <w:tc>
          <w:tcPr>
            <w:tcW w:w="791"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-12</w:t>
            </w:r>
          </w:p>
        </w:tc>
        <w:tc>
          <w:tcPr>
            <w:tcW w:w="92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-7,1%</w:t>
            </w:r>
          </w:p>
        </w:tc>
      </w:tr>
      <w:tr>
        <w:trPr>
          <w:trHeight w:val="214"/>
        </w:trPr>
        <w:tc>
          <w:tcPr>
            <w:tcW w:w="8031" w:type="dxa"/>
            <w:gridSpan w:val="5"/>
            <w:tcBorders>
              <w:top w:val="nil"/>
              <w:left w:val="nil"/>
              <w:bottom w:val="nil"/>
              <w:right w:val="nil"/>
            </w:tcBorders>
            <w:shd w:val="clear" w:color="000000" w:fill="FFFFFF"/>
            <w:noWrap/>
            <w:hideMark/>
          </w:tcPr>
          <w:p>
            <w:pPr>
              <w:rPr>
                <w:rFonts w:eastAsia="Times New Roman"/>
                <w:noProof/>
                <w:sz w:val="12"/>
                <w:szCs w:val="12"/>
                <w:lang w:eastAsia="en-GB"/>
              </w:rPr>
            </w:pPr>
            <w:r>
              <w:rPr>
                <w:rFonts w:eastAsia="Times New Roman"/>
                <w:noProof/>
                <w:sz w:val="12"/>
                <w:szCs w:val="12"/>
                <w:lang w:eastAsia="en-GB"/>
              </w:rPr>
              <w:t>Source Trade G2 Statistics/ISDB from Eurostat BOP statistics</w:t>
            </w:r>
          </w:p>
        </w:tc>
        <w:tc>
          <w:tcPr>
            <w:tcW w:w="928" w:type="dxa"/>
            <w:tcBorders>
              <w:top w:val="nil"/>
              <w:left w:val="nil"/>
              <w:bottom w:val="nil"/>
              <w:right w:val="nil"/>
            </w:tcBorders>
            <w:shd w:val="clear" w:color="000000" w:fill="FFFFFF"/>
            <w:noWrap/>
            <w:vAlign w:val="bottom"/>
            <w:hideMark/>
          </w:tcPr>
          <w:p>
            <w:pPr>
              <w:rPr>
                <w:rFonts w:eastAsia="Times New Roman"/>
                <w:noProof/>
                <w:sz w:val="18"/>
                <w:szCs w:val="18"/>
                <w:lang w:eastAsia="en-GB"/>
              </w:rPr>
            </w:pPr>
            <w:r>
              <w:rPr>
                <w:rFonts w:eastAsia="Times New Roman"/>
                <w:noProof/>
                <w:sz w:val="18"/>
                <w:szCs w:val="18"/>
                <w:lang w:eastAsia="en-GB"/>
              </w:rPr>
              <w:t> </w:t>
            </w:r>
          </w:p>
        </w:tc>
      </w:tr>
      <w:tr>
        <w:trPr>
          <w:trHeight w:val="214"/>
        </w:trPr>
        <w:tc>
          <w:tcPr>
            <w:tcW w:w="8959"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Services trade EU28 with Eswatini (mio €)</w:t>
            </w:r>
          </w:p>
        </w:tc>
      </w:tr>
      <w:tr>
        <w:trPr>
          <w:trHeight w:val="201"/>
        </w:trPr>
        <w:tc>
          <w:tcPr>
            <w:tcW w:w="4866"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792"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2013</w:t>
            </w:r>
          </w:p>
        </w:tc>
        <w:tc>
          <w:tcPr>
            <w:tcW w:w="791"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2014</w:t>
            </w:r>
          </w:p>
        </w:tc>
        <w:tc>
          <w:tcPr>
            <w:tcW w:w="791"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2015</w:t>
            </w:r>
          </w:p>
        </w:tc>
        <w:tc>
          <w:tcPr>
            <w:tcW w:w="791"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2016</w:t>
            </w:r>
          </w:p>
        </w:tc>
        <w:tc>
          <w:tcPr>
            <w:tcW w:w="928"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2017</w:t>
            </w:r>
          </w:p>
        </w:tc>
      </w:tr>
      <w:tr>
        <w:trPr>
          <w:trHeight w:val="201"/>
        </w:trPr>
        <w:tc>
          <w:tcPr>
            <w:tcW w:w="4866"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Imports</w:t>
            </w:r>
          </w:p>
        </w:tc>
        <w:tc>
          <w:tcPr>
            <w:tcW w:w="79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67</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29</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24</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65</w:t>
            </w:r>
          </w:p>
        </w:tc>
        <w:tc>
          <w:tcPr>
            <w:tcW w:w="928"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61</w:t>
            </w:r>
          </w:p>
        </w:tc>
      </w:tr>
      <w:tr>
        <w:trPr>
          <w:trHeight w:val="201"/>
        </w:trPr>
        <w:tc>
          <w:tcPr>
            <w:tcW w:w="4866"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Exports</w:t>
            </w:r>
          </w:p>
        </w:tc>
        <w:tc>
          <w:tcPr>
            <w:tcW w:w="79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86</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57</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72</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100</w:t>
            </w:r>
          </w:p>
        </w:tc>
        <w:tc>
          <w:tcPr>
            <w:tcW w:w="928"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92</w:t>
            </w:r>
          </w:p>
        </w:tc>
      </w:tr>
      <w:tr>
        <w:trPr>
          <w:trHeight w:val="201"/>
        </w:trPr>
        <w:tc>
          <w:tcPr>
            <w:tcW w:w="4866"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Balance</w:t>
            </w:r>
          </w:p>
        </w:tc>
        <w:tc>
          <w:tcPr>
            <w:tcW w:w="79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19</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28</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47</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35</w:t>
            </w:r>
          </w:p>
        </w:tc>
        <w:tc>
          <w:tcPr>
            <w:tcW w:w="928"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31</w:t>
            </w:r>
          </w:p>
        </w:tc>
      </w:tr>
      <w:tr>
        <w:trPr>
          <w:trHeight w:val="201"/>
        </w:trPr>
        <w:tc>
          <w:tcPr>
            <w:tcW w:w="486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Total trade</w:t>
            </w:r>
          </w:p>
        </w:tc>
        <w:tc>
          <w:tcPr>
            <w:tcW w:w="792"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153</w:t>
            </w:r>
          </w:p>
        </w:tc>
        <w:tc>
          <w:tcPr>
            <w:tcW w:w="791"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86</w:t>
            </w:r>
          </w:p>
        </w:tc>
        <w:tc>
          <w:tcPr>
            <w:tcW w:w="791"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96</w:t>
            </w:r>
          </w:p>
        </w:tc>
        <w:tc>
          <w:tcPr>
            <w:tcW w:w="791"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165</w:t>
            </w:r>
          </w:p>
        </w:tc>
        <w:tc>
          <w:tcPr>
            <w:tcW w:w="92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153</w:t>
            </w:r>
          </w:p>
        </w:tc>
      </w:tr>
      <w:tr>
        <w:trPr>
          <w:trHeight w:val="201"/>
        </w:trPr>
        <w:tc>
          <w:tcPr>
            <w:tcW w:w="4866" w:type="dxa"/>
            <w:tcBorders>
              <w:top w:val="nil"/>
              <w:left w:val="nil"/>
              <w:bottom w:val="nil"/>
              <w:right w:val="nil"/>
            </w:tcBorders>
            <w:shd w:val="clear" w:color="000000" w:fill="FFFFFF"/>
            <w:noWrap/>
            <w:hideMark/>
          </w:tcPr>
          <w:p>
            <w:pPr>
              <w:rPr>
                <w:rFonts w:eastAsia="Times New Roman"/>
                <w:noProof/>
                <w:sz w:val="12"/>
                <w:szCs w:val="12"/>
                <w:lang w:eastAsia="en-GB"/>
              </w:rPr>
            </w:pPr>
            <w:r>
              <w:rPr>
                <w:rFonts w:eastAsia="Times New Roman"/>
                <w:noProof/>
                <w:sz w:val="12"/>
                <w:szCs w:val="12"/>
                <w:lang w:eastAsia="en-GB"/>
              </w:rPr>
              <w:t>Source Trade G2 Statistics/ISDB from Eurostat BOP statistics</w:t>
            </w:r>
          </w:p>
        </w:tc>
        <w:tc>
          <w:tcPr>
            <w:tcW w:w="792" w:type="dxa"/>
            <w:tcBorders>
              <w:top w:val="nil"/>
              <w:left w:val="nil"/>
              <w:bottom w:val="nil"/>
              <w:right w:val="nil"/>
            </w:tcBorders>
            <w:shd w:val="clear" w:color="000000" w:fill="FFFFFF"/>
            <w:noWrap/>
            <w:hideMark/>
          </w:tcPr>
          <w:p>
            <w:pPr>
              <w:rPr>
                <w:rFonts w:eastAsia="Times New Roman"/>
                <w:noProof/>
                <w:sz w:val="12"/>
                <w:szCs w:val="12"/>
                <w:lang w:eastAsia="en-GB"/>
              </w:rPr>
            </w:pPr>
            <w:r>
              <w:rPr>
                <w:rFonts w:eastAsia="Times New Roman"/>
                <w:noProof/>
                <w:sz w:val="12"/>
                <w:szCs w:val="12"/>
                <w:lang w:eastAsia="en-GB"/>
              </w:rPr>
              <w:t> </w:t>
            </w:r>
          </w:p>
        </w:tc>
        <w:tc>
          <w:tcPr>
            <w:tcW w:w="791"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791"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791"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928"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r>
      <w:tr>
        <w:trPr>
          <w:trHeight w:val="201"/>
        </w:trPr>
        <w:tc>
          <w:tcPr>
            <w:tcW w:w="8959"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Foreign Direct Investment (FDI) EU28 with Eswatini (mio €)</w:t>
            </w:r>
          </w:p>
        </w:tc>
      </w:tr>
      <w:tr>
        <w:trPr>
          <w:trHeight w:val="201"/>
        </w:trPr>
        <w:tc>
          <w:tcPr>
            <w:tcW w:w="4866"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792"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2013</w:t>
            </w:r>
          </w:p>
        </w:tc>
        <w:tc>
          <w:tcPr>
            <w:tcW w:w="791"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2014</w:t>
            </w:r>
          </w:p>
        </w:tc>
        <w:tc>
          <w:tcPr>
            <w:tcW w:w="791"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2015</w:t>
            </w:r>
          </w:p>
        </w:tc>
        <w:tc>
          <w:tcPr>
            <w:tcW w:w="791"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2016</w:t>
            </w:r>
          </w:p>
        </w:tc>
        <w:tc>
          <w:tcPr>
            <w:tcW w:w="928"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2017</w:t>
            </w:r>
          </w:p>
        </w:tc>
      </w:tr>
      <w:tr>
        <w:trPr>
          <w:trHeight w:val="201"/>
        </w:trPr>
        <w:tc>
          <w:tcPr>
            <w:tcW w:w="8959"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eastAsia="en-GB"/>
              </w:rPr>
            </w:pPr>
            <w:r>
              <w:rPr>
                <w:rFonts w:eastAsia="Times New Roman"/>
                <w:b/>
                <w:bCs/>
                <w:i/>
                <w:iCs/>
                <w:noProof/>
                <w:sz w:val="16"/>
                <w:szCs w:val="16"/>
                <w:lang w:eastAsia="en-GB"/>
              </w:rPr>
              <w:t>FDI Stocks</w:t>
            </w:r>
          </w:p>
        </w:tc>
      </w:tr>
      <w:tr>
        <w:trPr>
          <w:trHeight w:val="201"/>
        </w:trPr>
        <w:tc>
          <w:tcPr>
            <w:tcW w:w="4866"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Inward</w:t>
            </w:r>
          </w:p>
        </w:tc>
        <w:tc>
          <w:tcPr>
            <w:tcW w:w="79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155</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42</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128</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130</w:t>
            </w:r>
          </w:p>
        </w:tc>
        <w:tc>
          <w:tcPr>
            <w:tcW w:w="928"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68</w:t>
            </w:r>
          </w:p>
        </w:tc>
      </w:tr>
      <w:tr>
        <w:trPr>
          <w:trHeight w:val="201"/>
        </w:trPr>
        <w:tc>
          <w:tcPr>
            <w:tcW w:w="4866"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Outward</w:t>
            </w:r>
          </w:p>
        </w:tc>
        <w:tc>
          <w:tcPr>
            <w:tcW w:w="79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580</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578</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606</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608</w:t>
            </w:r>
          </w:p>
        </w:tc>
        <w:tc>
          <w:tcPr>
            <w:tcW w:w="928"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601</w:t>
            </w:r>
          </w:p>
        </w:tc>
      </w:tr>
      <w:tr>
        <w:trPr>
          <w:trHeight w:val="201"/>
        </w:trPr>
        <w:tc>
          <w:tcPr>
            <w:tcW w:w="8959"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eastAsia="en-GB"/>
              </w:rPr>
            </w:pPr>
            <w:r>
              <w:rPr>
                <w:rFonts w:eastAsia="Times New Roman"/>
                <w:b/>
                <w:bCs/>
                <w:i/>
                <w:iCs/>
                <w:noProof/>
                <w:sz w:val="16"/>
                <w:szCs w:val="16"/>
                <w:lang w:eastAsia="en-GB"/>
              </w:rPr>
              <w:t>FDI Flows</w:t>
            </w:r>
          </w:p>
        </w:tc>
      </w:tr>
      <w:tr>
        <w:trPr>
          <w:trHeight w:val="201"/>
        </w:trPr>
        <w:tc>
          <w:tcPr>
            <w:tcW w:w="4866"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Inward</w:t>
            </w:r>
          </w:p>
        </w:tc>
        <w:tc>
          <w:tcPr>
            <w:tcW w:w="79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-16</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19</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w:t>
            </w:r>
          </w:p>
        </w:tc>
        <w:tc>
          <w:tcPr>
            <w:tcW w:w="79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69</w:t>
            </w:r>
          </w:p>
        </w:tc>
        <w:tc>
          <w:tcPr>
            <w:tcW w:w="928"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-283</w:t>
            </w:r>
          </w:p>
        </w:tc>
      </w:tr>
      <w:tr>
        <w:trPr>
          <w:trHeight w:val="201"/>
        </w:trPr>
        <w:tc>
          <w:tcPr>
            <w:tcW w:w="4866"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Outward</w:t>
            </w:r>
          </w:p>
        </w:tc>
        <w:tc>
          <w:tcPr>
            <w:tcW w:w="792"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w:t>
            </w:r>
          </w:p>
        </w:tc>
        <w:tc>
          <w:tcPr>
            <w:tcW w:w="791"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18</w:t>
            </w:r>
          </w:p>
        </w:tc>
        <w:tc>
          <w:tcPr>
            <w:tcW w:w="791"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30</w:t>
            </w:r>
          </w:p>
        </w:tc>
        <w:tc>
          <w:tcPr>
            <w:tcW w:w="791"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-194</w:t>
            </w:r>
          </w:p>
        </w:tc>
        <w:tc>
          <w:tcPr>
            <w:tcW w:w="92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7</w:t>
            </w:r>
          </w:p>
        </w:tc>
      </w:tr>
      <w:tr>
        <w:trPr>
          <w:trHeight w:val="201"/>
        </w:trPr>
        <w:tc>
          <w:tcPr>
            <w:tcW w:w="4866" w:type="dxa"/>
            <w:tcBorders>
              <w:top w:val="single" w:sz="4" w:space="0" w:color="auto"/>
              <w:left w:val="nil"/>
              <w:bottom w:val="nil"/>
              <w:right w:val="nil"/>
            </w:tcBorders>
            <w:shd w:val="clear" w:color="000000" w:fill="FFFFFF"/>
            <w:noWrap/>
            <w:hideMark/>
          </w:tcPr>
          <w:p>
            <w:pPr>
              <w:rPr>
                <w:rFonts w:eastAsia="Times New Roman"/>
                <w:noProof/>
                <w:sz w:val="12"/>
                <w:szCs w:val="12"/>
                <w:lang w:eastAsia="en-GB"/>
              </w:rPr>
            </w:pPr>
            <w:r>
              <w:rPr>
                <w:rFonts w:eastAsia="Times New Roman"/>
                <w:noProof/>
                <w:sz w:val="12"/>
                <w:szCs w:val="12"/>
                <w:lang w:eastAsia="en-GB"/>
              </w:rPr>
              <w:t>Source Trade G2 Statistics/ISDB from Eurostat BOP statistics</w:t>
            </w:r>
          </w:p>
        </w:tc>
        <w:tc>
          <w:tcPr>
            <w:tcW w:w="792" w:type="dxa"/>
            <w:tcBorders>
              <w:top w:val="nil"/>
              <w:left w:val="nil"/>
              <w:bottom w:val="nil"/>
              <w:right w:val="nil"/>
            </w:tcBorders>
            <w:shd w:val="clear" w:color="000000" w:fill="FFFFFF"/>
            <w:noWrap/>
            <w:hideMark/>
          </w:tcPr>
          <w:p>
            <w:pPr>
              <w:rPr>
                <w:rFonts w:eastAsia="Times New Roman"/>
                <w:noProof/>
                <w:sz w:val="12"/>
                <w:szCs w:val="12"/>
                <w:lang w:eastAsia="en-GB"/>
              </w:rPr>
            </w:pPr>
            <w:r>
              <w:rPr>
                <w:rFonts w:eastAsia="Times New Roman"/>
                <w:noProof/>
                <w:sz w:val="12"/>
                <w:szCs w:val="12"/>
                <w:lang w:eastAsia="en-GB"/>
              </w:rPr>
              <w:t> </w:t>
            </w:r>
          </w:p>
        </w:tc>
        <w:tc>
          <w:tcPr>
            <w:tcW w:w="791"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791"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791"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928"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r>
    </w:tbl>
    <w:p>
      <w:pPr>
        <w:pStyle w:val="ChapterHead"/>
        <w:spacing w:after="0"/>
        <w:jc w:val="both"/>
        <w:rPr>
          <w:b/>
          <w:noProof/>
        </w:rPr>
      </w:pPr>
    </w:p>
    <w:p>
      <w:pPr>
        <w:rPr>
          <w:b/>
          <w:noProof/>
        </w:rPr>
      </w:pPr>
      <w:bookmarkStart w:id="4267" w:name="_Toc9608313"/>
      <w:r>
        <w:rPr>
          <w:b/>
          <w:noProof/>
        </w:rPr>
        <w:t>Lesotho:</w:t>
      </w:r>
      <w:bookmarkEnd w:id="4267"/>
      <w:r>
        <w:rPr>
          <w:b/>
          <w:noProof/>
        </w:rPr>
        <w:t xml:space="preserve"> </w:t>
      </w:r>
    </w:p>
    <w:tbl>
      <w:tblPr>
        <w:tblW w:w="8888" w:type="dxa"/>
        <w:tblInd w:w="108" w:type="dxa"/>
        <w:tblLook w:val="04A0" w:firstRow="1" w:lastRow="0" w:firstColumn="1" w:lastColumn="0" w:noHBand="0" w:noVBand="1"/>
      </w:tblPr>
      <w:tblGrid>
        <w:gridCol w:w="4546"/>
        <w:gridCol w:w="849"/>
        <w:gridCol w:w="850"/>
        <w:gridCol w:w="849"/>
        <w:gridCol w:w="850"/>
        <w:gridCol w:w="944"/>
      </w:tblGrid>
      <w:tr>
        <w:trPr>
          <w:trHeight w:val="191"/>
        </w:trPr>
        <w:tc>
          <w:tcPr>
            <w:tcW w:w="8888"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Merchandise trade EU28 with Lesotho 2014-2018</w:t>
            </w:r>
          </w:p>
        </w:tc>
      </w:tr>
      <w:tr>
        <w:trPr>
          <w:trHeight w:val="191"/>
        </w:trPr>
        <w:tc>
          <w:tcPr>
            <w:tcW w:w="4546" w:type="dxa"/>
            <w:tcBorders>
              <w:top w:val="single" w:sz="4" w:space="0" w:color="auto"/>
              <w:left w:val="nil"/>
              <w:bottom w:val="single" w:sz="4" w:space="0" w:color="auto"/>
              <w:right w:val="nil"/>
            </w:tcBorders>
            <w:shd w:val="clear" w:color="000000" w:fill="FFFFFF"/>
            <w:noWrap/>
            <w:vAlign w:val="bottom"/>
            <w:hideMark/>
          </w:tcPr>
          <w:p>
            <w:pPr>
              <w:rPr>
                <w:rFonts w:eastAsia="Times New Roman"/>
                <w:b/>
                <w:bCs/>
                <w:noProof/>
                <w:sz w:val="16"/>
                <w:szCs w:val="16"/>
                <w:lang w:eastAsia="en-GB"/>
              </w:rPr>
            </w:pPr>
            <w:r>
              <w:rPr>
                <w:rFonts w:eastAsia="Times New Roman"/>
                <w:b/>
                <w:bCs/>
                <w:noProof/>
                <w:sz w:val="16"/>
                <w:szCs w:val="16"/>
                <w:lang w:eastAsia="en-GB"/>
              </w:rPr>
              <w:t> </w:t>
            </w:r>
          </w:p>
        </w:tc>
        <w:tc>
          <w:tcPr>
            <w:tcW w:w="849"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2014</w:t>
            </w:r>
          </w:p>
        </w:tc>
        <w:tc>
          <w:tcPr>
            <w:tcW w:w="850"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2015</w:t>
            </w:r>
          </w:p>
        </w:tc>
        <w:tc>
          <w:tcPr>
            <w:tcW w:w="849"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2016</w:t>
            </w:r>
          </w:p>
        </w:tc>
        <w:tc>
          <w:tcPr>
            <w:tcW w:w="850"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2017</w:t>
            </w:r>
          </w:p>
        </w:tc>
        <w:tc>
          <w:tcPr>
            <w:tcW w:w="944"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2018</w:t>
            </w:r>
          </w:p>
        </w:tc>
      </w:tr>
      <w:tr>
        <w:trPr>
          <w:trHeight w:val="191"/>
        </w:trPr>
        <w:tc>
          <w:tcPr>
            <w:tcW w:w="4546"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EU28 trade with Lesotho (mio €)</w:t>
            </w:r>
          </w:p>
        </w:tc>
        <w:tc>
          <w:tcPr>
            <w:tcW w:w="849"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eastAsia="en-GB"/>
              </w:rPr>
            </w:pPr>
          </w:p>
        </w:tc>
        <w:tc>
          <w:tcPr>
            <w:tcW w:w="850"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 </w:t>
            </w:r>
          </w:p>
        </w:tc>
        <w:tc>
          <w:tcPr>
            <w:tcW w:w="849"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 </w:t>
            </w:r>
          </w:p>
        </w:tc>
        <w:tc>
          <w:tcPr>
            <w:tcW w:w="850"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 </w:t>
            </w:r>
          </w:p>
        </w:tc>
        <w:tc>
          <w:tcPr>
            <w:tcW w:w="944"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 </w:t>
            </w:r>
          </w:p>
        </w:tc>
      </w:tr>
      <w:tr>
        <w:trPr>
          <w:trHeight w:val="191"/>
        </w:trPr>
        <w:tc>
          <w:tcPr>
            <w:tcW w:w="4546"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Imports</w:t>
            </w:r>
          </w:p>
        </w:tc>
        <w:tc>
          <w:tcPr>
            <w:tcW w:w="84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247</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254</w:t>
            </w:r>
          </w:p>
        </w:tc>
        <w:tc>
          <w:tcPr>
            <w:tcW w:w="84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208</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271</w:t>
            </w:r>
          </w:p>
        </w:tc>
        <w:tc>
          <w:tcPr>
            <w:tcW w:w="9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352</w:t>
            </w:r>
          </w:p>
        </w:tc>
      </w:tr>
      <w:tr>
        <w:trPr>
          <w:trHeight w:val="191"/>
        </w:trPr>
        <w:tc>
          <w:tcPr>
            <w:tcW w:w="4546"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Exports</w:t>
            </w:r>
          </w:p>
        </w:tc>
        <w:tc>
          <w:tcPr>
            <w:tcW w:w="84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11</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12</w:t>
            </w:r>
          </w:p>
        </w:tc>
        <w:tc>
          <w:tcPr>
            <w:tcW w:w="84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12</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12</w:t>
            </w:r>
          </w:p>
        </w:tc>
        <w:tc>
          <w:tcPr>
            <w:tcW w:w="9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10</w:t>
            </w:r>
          </w:p>
        </w:tc>
      </w:tr>
      <w:tr>
        <w:trPr>
          <w:trHeight w:val="191"/>
        </w:trPr>
        <w:tc>
          <w:tcPr>
            <w:tcW w:w="4546"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Balance</w:t>
            </w:r>
          </w:p>
        </w:tc>
        <w:tc>
          <w:tcPr>
            <w:tcW w:w="84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-237</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-242</w:t>
            </w:r>
          </w:p>
        </w:tc>
        <w:tc>
          <w:tcPr>
            <w:tcW w:w="84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-196</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-259</w:t>
            </w:r>
          </w:p>
        </w:tc>
        <w:tc>
          <w:tcPr>
            <w:tcW w:w="9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-343</w:t>
            </w:r>
          </w:p>
        </w:tc>
      </w:tr>
      <w:tr>
        <w:trPr>
          <w:trHeight w:val="191"/>
        </w:trPr>
        <w:tc>
          <w:tcPr>
            <w:tcW w:w="4546"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Share Lesotho in EU28 trade with Extra-EU28</w:t>
            </w:r>
          </w:p>
        </w:tc>
        <w:tc>
          <w:tcPr>
            <w:tcW w:w="849"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eastAsia="en-GB"/>
              </w:rPr>
            </w:pPr>
          </w:p>
        </w:tc>
        <w:tc>
          <w:tcPr>
            <w:tcW w:w="850"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 </w:t>
            </w:r>
          </w:p>
        </w:tc>
        <w:tc>
          <w:tcPr>
            <w:tcW w:w="849"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 </w:t>
            </w:r>
          </w:p>
        </w:tc>
        <w:tc>
          <w:tcPr>
            <w:tcW w:w="850"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 </w:t>
            </w:r>
          </w:p>
        </w:tc>
        <w:tc>
          <w:tcPr>
            <w:tcW w:w="944"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 </w:t>
            </w:r>
          </w:p>
        </w:tc>
      </w:tr>
      <w:tr>
        <w:trPr>
          <w:trHeight w:val="191"/>
        </w:trPr>
        <w:tc>
          <w:tcPr>
            <w:tcW w:w="4546"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Imports</w:t>
            </w:r>
          </w:p>
        </w:tc>
        <w:tc>
          <w:tcPr>
            <w:tcW w:w="84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0,0%</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0,0%</w:t>
            </w:r>
          </w:p>
        </w:tc>
        <w:tc>
          <w:tcPr>
            <w:tcW w:w="84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0,0%</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0,0%</w:t>
            </w:r>
          </w:p>
        </w:tc>
        <w:tc>
          <w:tcPr>
            <w:tcW w:w="9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0,0%</w:t>
            </w:r>
          </w:p>
        </w:tc>
      </w:tr>
      <w:tr>
        <w:trPr>
          <w:trHeight w:val="191"/>
        </w:trPr>
        <w:tc>
          <w:tcPr>
            <w:tcW w:w="4546"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Exports</w:t>
            </w:r>
          </w:p>
        </w:tc>
        <w:tc>
          <w:tcPr>
            <w:tcW w:w="84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0,0%</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0,0%</w:t>
            </w:r>
          </w:p>
        </w:tc>
        <w:tc>
          <w:tcPr>
            <w:tcW w:w="84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0,0%</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0,0%</w:t>
            </w:r>
          </w:p>
        </w:tc>
        <w:tc>
          <w:tcPr>
            <w:tcW w:w="9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0,0%</w:t>
            </w:r>
          </w:p>
        </w:tc>
      </w:tr>
      <w:tr>
        <w:trPr>
          <w:trHeight w:val="191"/>
        </w:trPr>
        <w:tc>
          <w:tcPr>
            <w:tcW w:w="4546"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Total (I+E)</w:t>
            </w:r>
          </w:p>
        </w:tc>
        <w:tc>
          <w:tcPr>
            <w:tcW w:w="84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0,0%</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0,0%</w:t>
            </w:r>
          </w:p>
        </w:tc>
        <w:tc>
          <w:tcPr>
            <w:tcW w:w="84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0,0%</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0,0%</w:t>
            </w:r>
          </w:p>
        </w:tc>
        <w:tc>
          <w:tcPr>
            <w:tcW w:w="9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0,0%</w:t>
            </w:r>
          </w:p>
        </w:tc>
      </w:tr>
      <w:tr>
        <w:trPr>
          <w:trHeight w:val="191"/>
        </w:trPr>
        <w:tc>
          <w:tcPr>
            <w:tcW w:w="8888" w:type="dxa"/>
            <w:gridSpan w:val="6"/>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Share EU28 in trade Lesotho with world</w:t>
            </w:r>
          </w:p>
        </w:tc>
      </w:tr>
      <w:tr>
        <w:trPr>
          <w:trHeight w:val="191"/>
        </w:trPr>
        <w:tc>
          <w:tcPr>
            <w:tcW w:w="4546"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Imports</w:t>
            </w:r>
          </w:p>
        </w:tc>
        <w:tc>
          <w:tcPr>
            <w:tcW w:w="84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1,0%</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0,9%</w:t>
            </w:r>
          </w:p>
        </w:tc>
        <w:tc>
          <w:tcPr>
            <w:tcW w:w="84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0,9%</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0,9%</w:t>
            </w:r>
          </w:p>
        </w:tc>
        <w:tc>
          <w:tcPr>
            <w:tcW w:w="9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0,7%</w:t>
            </w:r>
          </w:p>
        </w:tc>
      </w:tr>
      <w:tr>
        <w:trPr>
          <w:trHeight w:val="191"/>
        </w:trPr>
        <w:tc>
          <w:tcPr>
            <w:tcW w:w="4546"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Exports</w:t>
            </w:r>
          </w:p>
        </w:tc>
        <w:tc>
          <w:tcPr>
            <w:tcW w:w="84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46,2%</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14,6%</w:t>
            </w:r>
          </w:p>
        </w:tc>
        <w:tc>
          <w:tcPr>
            <w:tcW w:w="84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13,4%</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34,9%</w:t>
            </w:r>
          </w:p>
        </w:tc>
        <w:tc>
          <w:tcPr>
            <w:tcW w:w="9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34,0%</w:t>
            </w:r>
          </w:p>
        </w:tc>
      </w:tr>
      <w:tr>
        <w:trPr>
          <w:trHeight w:val="191"/>
        </w:trPr>
        <w:tc>
          <w:tcPr>
            <w:tcW w:w="4546"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Total (I+E)</w:t>
            </w:r>
          </w:p>
        </w:tc>
        <w:tc>
          <w:tcPr>
            <w:tcW w:w="84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16,7%</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4,4%</w:t>
            </w:r>
          </w:p>
        </w:tc>
        <w:tc>
          <w:tcPr>
            <w:tcW w:w="84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5,1%</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13,2%</w:t>
            </w:r>
          </w:p>
        </w:tc>
        <w:tc>
          <w:tcPr>
            <w:tcW w:w="9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13,7%</w:t>
            </w:r>
          </w:p>
        </w:tc>
      </w:tr>
      <w:tr>
        <w:trPr>
          <w:trHeight w:val="205"/>
        </w:trPr>
        <w:tc>
          <w:tcPr>
            <w:tcW w:w="6245" w:type="dxa"/>
            <w:gridSpan w:val="3"/>
            <w:tcBorders>
              <w:top w:val="single" w:sz="4" w:space="0" w:color="auto"/>
              <w:left w:val="nil"/>
              <w:bottom w:val="nil"/>
              <w:right w:val="nil"/>
            </w:tcBorders>
            <w:shd w:val="clear" w:color="000000" w:fill="FFFFFF"/>
            <w:noWrap/>
            <w:vAlign w:val="bottom"/>
            <w:hideMark/>
          </w:tcPr>
          <w:p>
            <w:pPr>
              <w:rPr>
                <w:rFonts w:eastAsia="Times New Roman"/>
                <w:noProof/>
                <w:sz w:val="12"/>
                <w:szCs w:val="12"/>
                <w:lang w:eastAsia="en-GB"/>
              </w:rPr>
            </w:pPr>
            <w:r>
              <w:rPr>
                <w:rFonts w:eastAsia="Times New Roman"/>
                <w:noProof/>
                <w:sz w:val="12"/>
                <w:szCs w:val="12"/>
                <w:lang w:eastAsia="en-GB"/>
              </w:rPr>
              <w:t xml:space="preserve">Source Trade G2 Statistics/ISDB </w:t>
            </w:r>
          </w:p>
        </w:tc>
        <w:tc>
          <w:tcPr>
            <w:tcW w:w="849"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eastAsia="en-GB"/>
              </w:rPr>
            </w:pPr>
            <w:r>
              <w:rPr>
                <w:rFonts w:eastAsia="Times New Roman"/>
                <w:noProof/>
                <w:sz w:val="18"/>
                <w:szCs w:val="18"/>
                <w:lang w:eastAsia="en-GB"/>
              </w:rPr>
              <w:t> </w:t>
            </w:r>
          </w:p>
        </w:tc>
        <w:tc>
          <w:tcPr>
            <w:tcW w:w="850"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eastAsia="en-GB"/>
              </w:rPr>
            </w:pPr>
            <w:r>
              <w:rPr>
                <w:rFonts w:eastAsia="Times New Roman"/>
                <w:noProof/>
                <w:sz w:val="18"/>
                <w:szCs w:val="18"/>
                <w:lang w:eastAsia="en-GB"/>
              </w:rPr>
              <w:t> </w:t>
            </w:r>
          </w:p>
        </w:tc>
        <w:tc>
          <w:tcPr>
            <w:tcW w:w="944" w:type="dxa"/>
            <w:tcBorders>
              <w:top w:val="single" w:sz="4" w:space="0" w:color="auto"/>
              <w:left w:val="nil"/>
              <w:bottom w:val="nil"/>
              <w:right w:val="nil"/>
            </w:tcBorders>
            <w:shd w:val="clear" w:color="000000" w:fill="FFFFFF"/>
            <w:noWrap/>
            <w:hideMark/>
          </w:tcPr>
          <w:p>
            <w:pPr>
              <w:jc w:val="right"/>
              <w:rPr>
                <w:rFonts w:eastAsia="Times New Roman"/>
                <w:noProof/>
                <w:sz w:val="12"/>
                <w:szCs w:val="12"/>
                <w:lang w:eastAsia="en-GB"/>
              </w:rPr>
            </w:pPr>
            <w:r>
              <w:rPr>
                <w:rFonts w:eastAsia="Times New Roman"/>
                <w:noProof/>
                <w:sz w:val="12"/>
                <w:szCs w:val="12"/>
                <w:lang w:eastAsia="en-GB"/>
              </w:rPr>
              <w:t>25-mars-19</w:t>
            </w:r>
          </w:p>
        </w:tc>
      </w:tr>
      <w:tr>
        <w:trPr>
          <w:trHeight w:val="191"/>
        </w:trPr>
        <w:tc>
          <w:tcPr>
            <w:tcW w:w="7094" w:type="dxa"/>
            <w:gridSpan w:val="4"/>
            <w:tcBorders>
              <w:top w:val="nil"/>
              <w:left w:val="nil"/>
              <w:bottom w:val="nil"/>
              <w:right w:val="nil"/>
            </w:tcBorders>
            <w:shd w:val="clear" w:color="000000" w:fill="FFFFFF"/>
            <w:noWrap/>
            <w:hideMark/>
          </w:tcPr>
          <w:p>
            <w:pPr>
              <w:rPr>
                <w:rFonts w:eastAsia="Times New Roman"/>
                <w:noProof/>
                <w:color w:val="000000"/>
                <w:sz w:val="12"/>
                <w:szCs w:val="12"/>
                <w:lang w:eastAsia="en-GB"/>
              </w:rPr>
            </w:pPr>
            <w:r>
              <w:rPr>
                <w:rFonts w:eastAsia="Times New Roman"/>
                <w:noProof/>
                <w:color w:val="000000"/>
                <w:sz w:val="12"/>
                <w:szCs w:val="12"/>
                <w:lang w:eastAsia="en-GB"/>
              </w:rPr>
              <w:t>Trade EU28: Eurostat COMEXT;  Trade Lesotho: IMF Dots</w:t>
            </w:r>
          </w:p>
        </w:tc>
        <w:tc>
          <w:tcPr>
            <w:tcW w:w="850" w:type="dxa"/>
            <w:tcBorders>
              <w:top w:val="nil"/>
              <w:left w:val="nil"/>
              <w:bottom w:val="nil"/>
              <w:right w:val="nil"/>
            </w:tcBorders>
            <w:shd w:val="clear" w:color="000000" w:fill="FFFFFF"/>
            <w:noWrap/>
            <w:vAlign w:val="bottom"/>
            <w:hideMark/>
          </w:tcPr>
          <w:p>
            <w:pPr>
              <w:rPr>
                <w:rFonts w:eastAsia="Times New Roman"/>
                <w:noProof/>
                <w:color w:val="000000"/>
                <w:sz w:val="16"/>
                <w:szCs w:val="16"/>
                <w:lang w:eastAsia="en-GB"/>
              </w:rPr>
            </w:pPr>
            <w:r>
              <w:rPr>
                <w:rFonts w:eastAsia="Times New Roman"/>
                <w:noProof/>
                <w:color w:val="000000"/>
                <w:sz w:val="16"/>
                <w:szCs w:val="16"/>
                <w:lang w:eastAsia="en-GB"/>
              </w:rPr>
              <w:t> </w:t>
            </w:r>
          </w:p>
        </w:tc>
        <w:tc>
          <w:tcPr>
            <w:tcW w:w="944" w:type="dxa"/>
            <w:tcBorders>
              <w:top w:val="nil"/>
              <w:left w:val="nil"/>
              <w:bottom w:val="nil"/>
              <w:right w:val="nil"/>
            </w:tcBorders>
            <w:shd w:val="clear" w:color="000000" w:fill="FFFFFF"/>
            <w:noWrap/>
            <w:vAlign w:val="bottom"/>
            <w:hideMark/>
          </w:tcPr>
          <w:p>
            <w:pPr>
              <w:rPr>
                <w:rFonts w:eastAsia="Times New Roman"/>
                <w:noProof/>
                <w:color w:val="000000"/>
                <w:sz w:val="16"/>
                <w:szCs w:val="16"/>
                <w:lang w:eastAsia="en-GB"/>
              </w:rPr>
            </w:pPr>
            <w:r>
              <w:rPr>
                <w:rFonts w:eastAsia="Times New Roman"/>
                <w:noProof/>
                <w:color w:val="000000"/>
                <w:sz w:val="16"/>
                <w:szCs w:val="16"/>
                <w:lang w:eastAsia="en-GB"/>
              </w:rPr>
              <w:t> </w:t>
            </w:r>
          </w:p>
        </w:tc>
      </w:tr>
      <w:tr>
        <w:trPr>
          <w:trHeight w:val="191"/>
        </w:trPr>
        <w:tc>
          <w:tcPr>
            <w:tcW w:w="4546" w:type="dxa"/>
            <w:tcBorders>
              <w:top w:val="nil"/>
              <w:left w:val="nil"/>
              <w:bottom w:val="nil"/>
              <w:right w:val="nil"/>
            </w:tcBorders>
            <w:shd w:val="clear" w:color="000000" w:fill="FFFFFF"/>
            <w:noWrap/>
            <w:vAlign w:val="bottom"/>
            <w:hideMark/>
          </w:tcPr>
          <w:p>
            <w:pPr>
              <w:rPr>
                <w:rFonts w:eastAsia="Times New Roman"/>
                <w:noProof/>
                <w:color w:val="000000"/>
                <w:sz w:val="16"/>
                <w:szCs w:val="16"/>
                <w:lang w:eastAsia="en-GB"/>
              </w:rPr>
            </w:pPr>
            <w:r>
              <w:rPr>
                <w:rFonts w:eastAsia="Times New Roman"/>
                <w:noProof/>
                <w:color w:val="000000"/>
                <w:sz w:val="16"/>
                <w:szCs w:val="16"/>
                <w:lang w:eastAsia="en-GB"/>
              </w:rPr>
              <w:t> </w:t>
            </w:r>
          </w:p>
        </w:tc>
        <w:tc>
          <w:tcPr>
            <w:tcW w:w="849" w:type="dxa"/>
            <w:tcBorders>
              <w:top w:val="nil"/>
              <w:left w:val="nil"/>
              <w:bottom w:val="nil"/>
              <w:right w:val="nil"/>
            </w:tcBorders>
            <w:shd w:val="clear" w:color="000000" w:fill="FFFFFF"/>
            <w:noWrap/>
            <w:vAlign w:val="bottom"/>
            <w:hideMark/>
          </w:tcPr>
          <w:p>
            <w:pPr>
              <w:rPr>
                <w:rFonts w:eastAsia="Times New Roman"/>
                <w:noProof/>
                <w:color w:val="000000"/>
                <w:sz w:val="16"/>
                <w:szCs w:val="16"/>
                <w:lang w:eastAsia="en-GB"/>
              </w:rPr>
            </w:pPr>
            <w:r>
              <w:rPr>
                <w:rFonts w:eastAsia="Times New Roman"/>
                <w:noProof/>
                <w:color w:val="000000"/>
                <w:sz w:val="16"/>
                <w:szCs w:val="16"/>
                <w:lang w:eastAsia="en-GB"/>
              </w:rPr>
              <w:t> </w:t>
            </w:r>
          </w:p>
        </w:tc>
        <w:tc>
          <w:tcPr>
            <w:tcW w:w="850" w:type="dxa"/>
            <w:tcBorders>
              <w:top w:val="nil"/>
              <w:left w:val="nil"/>
              <w:bottom w:val="nil"/>
              <w:right w:val="nil"/>
            </w:tcBorders>
            <w:shd w:val="clear" w:color="000000" w:fill="FFFFFF"/>
            <w:noWrap/>
            <w:vAlign w:val="bottom"/>
            <w:hideMark/>
          </w:tcPr>
          <w:p>
            <w:pPr>
              <w:rPr>
                <w:rFonts w:eastAsia="Times New Roman"/>
                <w:noProof/>
                <w:color w:val="000000"/>
                <w:sz w:val="16"/>
                <w:szCs w:val="16"/>
                <w:lang w:eastAsia="en-GB"/>
              </w:rPr>
            </w:pPr>
            <w:r>
              <w:rPr>
                <w:rFonts w:eastAsia="Times New Roman"/>
                <w:noProof/>
                <w:color w:val="000000"/>
                <w:sz w:val="16"/>
                <w:szCs w:val="16"/>
                <w:lang w:eastAsia="en-GB"/>
              </w:rPr>
              <w:t> </w:t>
            </w:r>
          </w:p>
        </w:tc>
        <w:tc>
          <w:tcPr>
            <w:tcW w:w="849" w:type="dxa"/>
            <w:tcBorders>
              <w:top w:val="nil"/>
              <w:left w:val="nil"/>
              <w:bottom w:val="nil"/>
              <w:right w:val="nil"/>
            </w:tcBorders>
            <w:shd w:val="clear" w:color="000000" w:fill="FFFFFF"/>
            <w:noWrap/>
            <w:vAlign w:val="bottom"/>
            <w:hideMark/>
          </w:tcPr>
          <w:p>
            <w:pPr>
              <w:rPr>
                <w:rFonts w:eastAsia="Times New Roman"/>
                <w:noProof/>
                <w:color w:val="000000"/>
                <w:sz w:val="16"/>
                <w:szCs w:val="16"/>
                <w:lang w:eastAsia="en-GB"/>
              </w:rPr>
            </w:pPr>
            <w:r>
              <w:rPr>
                <w:rFonts w:eastAsia="Times New Roman"/>
                <w:noProof/>
                <w:color w:val="000000"/>
                <w:sz w:val="16"/>
                <w:szCs w:val="16"/>
                <w:lang w:eastAsia="en-GB"/>
              </w:rPr>
              <w:t> </w:t>
            </w:r>
          </w:p>
        </w:tc>
        <w:tc>
          <w:tcPr>
            <w:tcW w:w="850" w:type="dxa"/>
            <w:tcBorders>
              <w:top w:val="nil"/>
              <w:left w:val="nil"/>
              <w:bottom w:val="nil"/>
              <w:right w:val="nil"/>
            </w:tcBorders>
            <w:shd w:val="clear" w:color="000000" w:fill="FFFFFF"/>
            <w:noWrap/>
            <w:vAlign w:val="bottom"/>
            <w:hideMark/>
          </w:tcPr>
          <w:p>
            <w:pPr>
              <w:rPr>
                <w:rFonts w:eastAsia="Times New Roman"/>
                <w:noProof/>
                <w:color w:val="000000"/>
                <w:sz w:val="16"/>
                <w:szCs w:val="16"/>
                <w:lang w:eastAsia="en-GB"/>
              </w:rPr>
            </w:pPr>
            <w:r>
              <w:rPr>
                <w:rFonts w:eastAsia="Times New Roman"/>
                <w:noProof/>
                <w:color w:val="000000"/>
                <w:sz w:val="16"/>
                <w:szCs w:val="16"/>
                <w:lang w:eastAsia="en-GB"/>
              </w:rPr>
              <w:t> </w:t>
            </w:r>
          </w:p>
        </w:tc>
        <w:tc>
          <w:tcPr>
            <w:tcW w:w="944" w:type="dxa"/>
            <w:tcBorders>
              <w:top w:val="nil"/>
              <w:left w:val="nil"/>
              <w:bottom w:val="nil"/>
              <w:right w:val="nil"/>
            </w:tcBorders>
            <w:shd w:val="clear" w:color="000000" w:fill="FFFFFF"/>
            <w:noWrap/>
            <w:vAlign w:val="bottom"/>
            <w:hideMark/>
          </w:tcPr>
          <w:p>
            <w:pPr>
              <w:rPr>
                <w:rFonts w:eastAsia="Times New Roman"/>
                <w:noProof/>
                <w:color w:val="000000"/>
                <w:sz w:val="16"/>
                <w:szCs w:val="16"/>
                <w:lang w:eastAsia="en-GB"/>
              </w:rPr>
            </w:pPr>
            <w:r>
              <w:rPr>
                <w:rFonts w:eastAsia="Times New Roman"/>
                <w:noProof/>
                <w:color w:val="000000"/>
                <w:sz w:val="16"/>
                <w:szCs w:val="16"/>
                <w:lang w:eastAsia="en-GB"/>
              </w:rPr>
              <w:t> </w:t>
            </w:r>
          </w:p>
        </w:tc>
      </w:tr>
      <w:tr>
        <w:trPr>
          <w:trHeight w:val="205"/>
        </w:trPr>
        <w:tc>
          <w:tcPr>
            <w:tcW w:w="8888"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Total merchandise trade EU28 with Lesotho (mio €)</w:t>
            </w:r>
          </w:p>
        </w:tc>
      </w:tr>
      <w:tr>
        <w:trPr>
          <w:trHeight w:val="205"/>
        </w:trPr>
        <w:tc>
          <w:tcPr>
            <w:tcW w:w="5395"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eastAsia="en-GB"/>
              </w:rPr>
            </w:pPr>
            <w:r>
              <w:rPr>
                <w:rFonts w:eastAsia="Times New Roman"/>
                <w:b/>
                <w:bCs/>
                <w:noProof/>
                <w:sz w:val="16"/>
                <w:szCs w:val="16"/>
                <w:lang w:eastAsia="en-GB"/>
              </w:rPr>
              <w:t>Lesotho</w:t>
            </w:r>
          </w:p>
        </w:tc>
        <w:tc>
          <w:tcPr>
            <w:tcW w:w="85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2017</w:t>
            </w:r>
          </w:p>
        </w:tc>
        <w:tc>
          <w:tcPr>
            <w:tcW w:w="849"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2018</w:t>
            </w:r>
          </w:p>
        </w:tc>
        <w:tc>
          <w:tcPr>
            <w:tcW w:w="1794"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Growth</w:t>
            </w:r>
          </w:p>
        </w:tc>
      </w:tr>
      <w:tr>
        <w:trPr>
          <w:trHeight w:val="205"/>
        </w:trPr>
        <w:tc>
          <w:tcPr>
            <w:tcW w:w="5395"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850"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849"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850"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mio €</w:t>
            </w:r>
          </w:p>
        </w:tc>
        <w:tc>
          <w:tcPr>
            <w:tcW w:w="944"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annual %</w:t>
            </w:r>
          </w:p>
        </w:tc>
      </w:tr>
      <w:tr>
        <w:trPr>
          <w:trHeight w:val="205"/>
        </w:trPr>
        <w:tc>
          <w:tcPr>
            <w:tcW w:w="4546"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Imports</w:t>
            </w:r>
          </w:p>
        </w:tc>
        <w:tc>
          <w:tcPr>
            <w:tcW w:w="84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271</w:t>
            </w:r>
          </w:p>
        </w:tc>
        <w:tc>
          <w:tcPr>
            <w:tcW w:w="84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352</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81</w:t>
            </w:r>
          </w:p>
        </w:tc>
        <w:tc>
          <w:tcPr>
            <w:tcW w:w="9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30,1%</w:t>
            </w:r>
          </w:p>
        </w:tc>
      </w:tr>
      <w:tr>
        <w:trPr>
          <w:trHeight w:val="205"/>
        </w:trPr>
        <w:tc>
          <w:tcPr>
            <w:tcW w:w="4546"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Exports</w:t>
            </w:r>
          </w:p>
        </w:tc>
        <w:tc>
          <w:tcPr>
            <w:tcW w:w="84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12</w:t>
            </w:r>
          </w:p>
        </w:tc>
        <w:tc>
          <w:tcPr>
            <w:tcW w:w="84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10</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w:t>
            </w:r>
          </w:p>
        </w:tc>
        <w:tc>
          <w:tcPr>
            <w:tcW w:w="9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-16,4%</w:t>
            </w:r>
          </w:p>
        </w:tc>
      </w:tr>
      <w:tr>
        <w:trPr>
          <w:trHeight w:val="205"/>
        </w:trPr>
        <w:tc>
          <w:tcPr>
            <w:tcW w:w="4546"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Balance</w:t>
            </w:r>
          </w:p>
        </w:tc>
        <w:tc>
          <w:tcPr>
            <w:tcW w:w="84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-259</w:t>
            </w:r>
          </w:p>
        </w:tc>
        <w:tc>
          <w:tcPr>
            <w:tcW w:w="84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-343</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-83</w:t>
            </w:r>
          </w:p>
        </w:tc>
        <w:tc>
          <w:tcPr>
            <w:tcW w:w="944"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r>
      <w:tr>
        <w:trPr>
          <w:trHeight w:val="205"/>
        </w:trPr>
        <w:tc>
          <w:tcPr>
            <w:tcW w:w="454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Total trade</w:t>
            </w:r>
          </w:p>
        </w:tc>
        <w:tc>
          <w:tcPr>
            <w:tcW w:w="849"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5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282</w:t>
            </w:r>
          </w:p>
        </w:tc>
        <w:tc>
          <w:tcPr>
            <w:tcW w:w="849"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362</w:t>
            </w:r>
          </w:p>
        </w:tc>
        <w:tc>
          <w:tcPr>
            <w:tcW w:w="85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80</w:t>
            </w:r>
          </w:p>
        </w:tc>
        <w:tc>
          <w:tcPr>
            <w:tcW w:w="944"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28,2%</w:t>
            </w:r>
          </w:p>
        </w:tc>
      </w:tr>
      <w:tr>
        <w:trPr>
          <w:trHeight w:val="219"/>
        </w:trPr>
        <w:tc>
          <w:tcPr>
            <w:tcW w:w="7094"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eastAsia="en-GB"/>
              </w:rPr>
            </w:pPr>
            <w:r>
              <w:rPr>
                <w:rFonts w:eastAsia="Times New Roman"/>
                <w:noProof/>
                <w:sz w:val="12"/>
                <w:szCs w:val="12"/>
                <w:lang w:eastAsia="en-GB"/>
              </w:rPr>
              <w:t>Source Trade G2 Statistics/ISDB from Eurostat COMEXT</w:t>
            </w:r>
          </w:p>
        </w:tc>
        <w:tc>
          <w:tcPr>
            <w:tcW w:w="850" w:type="dxa"/>
            <w:tcBorders>
              <w:top w:val="nil"/>
              <w:left w:val="nil"/>
              <w:bottom w:val="nil"/>
              <w:right w:val="nil"/>
            </w:tcBorders>
            <w:shd w:val="clear" w:color="000000" w:fill="FFFFFF"/>
            <w:noWrap/>
            <w:vAlign w:val="bottom"/>
            <w:hideMark/>
          </w:tcPr>
          <w:p>
            <w:pPr>
              <w:rPr>
                <w:rFonts w:eastAsia="Times New Roman"/>
                <w:noProof/>
                <w:sz w:val="18"/>
                <w:szCs w:val="18"/>
                <w:lang w:eastAsia="en-GB"/>
              </w:rPr>
            </w:pPr>
            <w:r>
              <w:rPr>
                <w:rFonts w:eastAsia="Times New Roman"/>
                <w:noProof/>
                <w:sz w:val="18"/>
                <w:szCs w:val="18"/>
                <w:lang w:eastAsia="en-GB"/>
              </w:rPr>
              <w:t> </w:t>
            </w:r>
          </w:p>
        </w:tc>
        <w:tc>
          <w:tcPr>
            <w:tcW w:w="944" w:type="dxa"/>
            <w:tcBorders>
              <w:top w:val="nil"/>
              <w:left w:val="nil"/>
              <w:bottom w:val="nil"/>
              <w:right w:val="nil"/>
            </w:tcBorders>
            <w:shd w:val="clear" w:color="000000" w:fill="FFFFFF"/>
            <w:noWrap/>
            <w:vAlign w:val="bottom"/>
            <w:hideMark/>
          </w:tcPr>
          <w:p>
            <w:pPr>
              <w:rPr>
                <w:rFonts w:eastAsia="Times New Roman"/>
                <w:noProof/>
                <w:sz w:val="18"/>
                <w:szCs w:val="18"/>
                <w:lang w:eastAsia="en-GB"/>
              </w:rPr>
            </w:pPr>
            <w:r>
              <w:rPr>
                <w:rFonts w:eastAsia="Times New Roman"/>
                <w:noProof/>
                <w:sz w:val="18"/>
                <w:szCs w:val="18"/>
                <w:lang w:eastAsia="en-GB"/>
              </w:rPr>
              <w:t> </w:t>
            </w:r>
          </w:p>
        </w:tc>
      </w:tr>
      <w:tr>
        <w:trPr>
          <w:trHeight w:val="205"/>
        </w:trPr>
        <w:tc>
          <w:tcPr>
            <w:tcW w:w="8888"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Agrifood trade EU28 with Lesotho (mio €)</w:t>
            </w:r>
          </w:p>
        </w:tc>
      </w:tr>
      <w:tr>
        <w:trPr>
          <w:trHeight w:val="232"/>
        </w:trPr>
        <w:tc>
          <w:tcPr>
            <w:tcW w:w="5395"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eastAsia="en-GB"/>
              </w:rPr>
            </w:pPr>
            <w:r>
              <w:rPr>
                <w:rFonts w:eastAsia="Times New Roman"/>
                <w:b/>
                <w:bCs/>
                <w:noProof/>
                <w:sz w:val="16"/>
                <w:szCs w:val="16"/>
                <w:lang w:eastAsia="en-GB"/>
              </w:rPr>
              <w:t>Lesotho</w:t>
            </w:r>
          </w:p>
        </w:tc>
        <w:tc>
          <w:tcPr>
            <w:tcW w:w="85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2017</w:t>
            </w:r>
          </w:p>
        </w:tc>
        <w:tc>
          <w:tcPr>
            <w:tcW w:w="849"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2018</w:t>
            </w:r>
          </w:p>
        </w:tc>
        <w:tc>
          <w:tcPr>
            <w:tcW w:w="1794"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Growth</w:t>
            </w:r>
          </w:p>
        </w:tc>
      </w:tr>
      <w:tr>
        <w:trPr>
          <w:trHeight w:val="205"/>
        </w:trPr>
        <w:tc>
          <w:tcPr>
            <w:tcW w:w="5395"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850"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849"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850"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mio €</w:t>
            </w:r>
          </w:p>
        </w:tc>
        <w:tc>
          <w:tcPr>
            <w:tcW w:w="944"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annual %</w:t>
            </w:r>
          </w:p>
        </w:tc>
      </w:tr>
      <w:tr>
        <w:trPr>
          <w:trHeight w:val="205"/>
        </w:trPr>
        <w:tc>
          <w:tcPr>
            <w:tcW w:w="4546"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Imports</w:t>
            </w:r>
          </w:p>
        </w:tc>
        <w:tc>
          <w:tcPr>
            <w:tcW w:w="84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w:t>
            </w:r>
          </w:p>
        </w:tc>
        <w:tc>
          <w:tcPr>
            <w:tcW w:w="84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w:t>
            </w:r>
          </w:p>
        </w:tc>
        <w:tc>
          <w:tcPr>
            <w:tcW w:w="9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-9,3%</w:t>
            </w:r>
          </w:p>
        </w:tc>
      </w:tr>
      <w:tr>
        <w:trPr>
          <w:trHeight w:val="205"/>
        </w:trPr>
        <w:tc>
          <w:tcPr>
            <w:tcW w:w="4546"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Exports</w:t>
            </w:r>
          </w:p>
        </w:tc>
        <w:tc>
          <w:tcPr>
            <w:tcW w:w="84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w:t>
            </w:r>
          </w:p>
        </w:tc>
        <w:tc>
          <w:tcPr>
            <w:tcW w:w="84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w:t>
            </w:r>
          </w:p>
        </w:tc>
        <w:tc>
          <w:tcPr>
            <w:tcW w:w="9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-49,9%</w:t>
            </w:r>
          </w:p>
        </w:tc>
      </w:tr>
      <w:tr>
        <w:trPr>
          <w:trHeight w:val="205"/>
        </w:trPr>
        <w:tc>
          <w:tcPr>
            <w:tcW w:w="4546"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Balance</w:t>
            </w:r>
          </w:p>
        </w:tc>
        <w:tc>
          <w:tcPr>
            <w:tcW w:w="84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w:t>
            </w:r>
          </w:p>
        </w:tc>
        <w:tc>
          <w:tcPr>
            <w:tcW w:w="84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w:t>
            </w:r>
          </w:p>
        </w:tc>
        <w:tc>
          <w:tcPr>
            <w:tcW w:w="944"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r>
      <w:tr>
        <w:trPr>
          <w:trHeight w:val="205"/>
        </w:trPr>
        <w:tc>
          <w:tcPr>
            <w:tcW w:w="454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Total trade</w:t>
            </w:r>
          </w:p>
        </w:tc>
        <w:tc>
          <w:tcPr>
            <w:tcW w:w="84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5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w:t>
            </w:r>
          </w:p>
        </w:tc>
        <w:tc>
          <w:tcPr>
            <w:tcW w:w="849"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w:t>
            </w:r>
          </w:p>
        </w:tc>
        <w:tc>
          <w:tcPr>
            <w:tcW w:w="85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w:t>
            </w:r>
          </w:p>
        </w:tc>
        <w:tc>
          <w:tcPr>
            <w:tcW w:w="944"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-21,3%</w:t>
            </w:r>
          </w:p>
        </w:tc>
      </w:tr>
      <w:tr>
        <w:trPr>
          <w:trHeight w:val="219"/>
        </w:trPr>
        <w:tc>
          <w:tcPr>
            <w:tcW w:w="7094"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eastAsia="en-GB"/>
              </w:rPr>
            </w:pPr>
            <w:r>
              <w:rPr>
                <w:rFonts w:eastAsia="Times New Roman"/>
                <w:noProof/>
                <w:sz w:val="12"/>
                <w:szCs w:val="12"/>
                <w:lang w:eastAsia="en-GB"/>
              </w:rPr>
              <w:t>Source Trade G2 Statistics/ISDB from Eurostat COMEXT</w:t>
            </w:r>
          </w:p>
        </w:tc>
        <w:tc>
          <w:tcPr>
            <w:tcW w:w="850" w:type="dxa"/>
            <w:tcBorders>
              <w:top w:val="nil"/>
              <w:left w:val="nil"/>
              <w:bottom w:val="nil"/>
              <w:right w:val="nil"/>
            </w:tcBorders>
            <w:shd w:val="clear" w:color="000000" w:fill="FFFFFF"/>
            <w:noWrap/>
            <w:vAlign w:val="bottom"/>
            <w:hideMark/>
          </w:tcPr>
          <w:p>
            <w:pPr>
              <w:rPr>
                <w:rFonts w:eastAsia="Times New Roman"/>
                <w:noProof/>
                <w:sz w:val="18"/>
                <w:szCs w:val="18"/>
                <w:lang w:eastAsia="en-GB"/>
              </w:rPr>
            </w:pPr>
            <w:r>
              <w:rPr>
                <w:rFonts w:eastAsia="Times New Roman"/>
                <w:noProof/>
                <w:sz w:val="18"/>
                <w:szCs w:val="18"/>
                <w:lang w:eastAsia="en-GB"/>
              </w:rPr>
              <w:t> </w:t>
            </w:r>
          </w:p>
        </w:tc>
        <w:tc>
          <w:tcPr>
            <w:tcW w:w="944" w:type="dxa"/>
            <w:tcBorders>
              <w:top w:val="nil"/>
              <w:left w:val="nil"/>
              <w:bottom w:val="nil"/>
              <w:right w:val="nil"/>
            </w:tcBorders>
            <w:shd w:val="clear" w:color="000000" w:fill="FFFFFF"/>
            <w:noWrap/>
            <w:vAlign w:val="bottom"/>
            <w:hideMark/>
          </w:tcPr>
          <w:p>
            <w:pPr>
              <w:rPr>
                <w:rFonts w:eastAsia="Times New Roman"/>
                <w:noProof/>
                <w:sz w:val="18"/>
                <w:szCs w:val="18"/>
                <w:lang w:eastAsia="en-GB"/>
              </w:rPr>
            </w:pPr>
            <w:r>
              <w:rPr>
                <w:rFonts w:eastAsia="Times New Roman"/>
                <w:noProof/>
                <w:sz w:val="18"/>
                <w:szCs w:val="18"/>
                <w:lang w:eastAsia="en-GB"/>
              </w:rPr>
              <w:t> </w:t>
            </w:r>
          </w:p>
        </w:tc>
      </w:tr>
      <w:tr>
        <w:trPr>
          <w:trHeight w:val="205"/>
        </w:trPr>
        <w:tc>
          <w:tcPr>
            <w:tcW w:w="8888"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NAMA trade EU28 with Lesotho (mio €)</w:t>
            </w:r>
          </w:p>
        </w:tc>
      </w:tr>
      <w:tr>
        <w:trPr>
          <w:trHeight w:val="205"/>
        </w:trPr>
        <w:tc>
          <w:tcPr>
            <w:tcW w:w="5395"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eastAsia="en-GB"/>
              </w:rPr>
            </w:pPr>
            <w:r>
              <w:rPr>
                <w:rFonts w:eastAsia="Times New Roman"/>
                <w:b/>
                <w:bCs/>
                <w:noProof/>
                <w:sz w:val="16"/>
                <w:szCs w:val="16"/>
                <w:lang w:eastAsia="en-GB"/>
              </w:rPr>
              <w:t>Lesotho</w:t>
            </w:r>
          </w:p>
        </w:tc>
        <w:tc>
          <w:tcPr>
            <w:tcW w:w="85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2017</w:t>
            </w:r>
          </w:p>
        </w:tc>
        <w:tc>
          <w:tcPr>
            <w:tcW w:w="849"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2018</w:t>
            </w:r>
          </w:p>
        </w:tc>
        <w:tc>
          <w:tcPr>
            <w:tcW w:w="1794"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Growth</w:t>
            </w:r>
          </w:p>
        </w:tc>
      </w:tr>
      <w:tr>
        <w:trPr>
          <w:trHeight w:val="205"/>
        </w:trPr>
        <w:tc>
          <w:tcPr>
            <w:tcW w:w="5395"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850"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849"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850"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mio €</w:t>
            </w:r>
          </w:p>
        </w:tc>
        <w:tc>
          <w:tcPr>
            <w:tcW w:w="944"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annual %</w:t>
            </w:r>
          </w:p>
        </w:tc>
      </w:tr>
      <w:tr>
        <w:trPr>
          <w:trHeight w:val="205"/>
        </w:trPr>
        <w:tc>
          <w:tcPr>
            <w:tcW w:w="5395" w:type="dxa"/>
            <w:gridSpan w:val="2"/>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EU28 imports</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268</w:t>
            </w:r>
          </w:p>
        </w:tc>
        <w:tc>
          <w:tcPr>
            <w:tcW w:w="84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350</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82</w:t>
            </w:r>
          </w:p>
        </w:tc>
        <w:tc>
          <w:tcPr>
            <w:tcW w:w="9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30,4%</w:t>
            </w:r>
          </w:p>
        </w:tc>
      </w:tr>
      <w:tr>
        <w:trPr>
          <w:trHeight w:val="205"/>
        </w:trPr>
        <w:tc>
          <w:tcPr>
            <w:tcW w:w="5395" w:type="dxa"/>
            <w:gridSpan w:val="2"/>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EU28 exports</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11</w:t>
            </w:r>
          </w:p>
        </w:tc>
        <w:tc>
          <w:tcPr>
            <w:tcW w:w="84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9</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w:t>
            </w:r>
          </w:p>
        </w:tc>
        <w:tc>
          <w:tcPr>
            <w:tcW w:w="9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-13,3%</w:t>
            </w:r>
          </w:p>
        </w:tc>
      </w:tr>
      <w:tr>
        <w:trPr>
          <w:trHeight w:val="205"/>
        </w:trPr>
        <w:tc>
          <w:tcPr>
            <w:tcW w:w="4546"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Balance</w:t>
            </w:r>
          </w:p>
        </w:tc>
        <w:tc>
          <w:tcPr>
            <w:tcW w:w="84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-258</w:t>
            </w:r>
          </w:p>
        </w:tc>
        <w:tc>
          <w:tcPr>
            <w:tcW w:w="84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-341</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-83</w:t>
            </w:r>
          </w:p>
        </w:tc>
        <w:tc>
          <w:tcPr>
            <w:tcW w:w="944"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r>
      <w:tr>
        <w:trPr>
          <w:trHeight w:val="205"/>
        </w:trPr>
        <w:tc>
          <w:tcPr>
            <w:tcW w:w="4546"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Total trade</w:t>
            </w:r>
          </w:p>
        </w:tc>
        <w:tc>
          <w:tcPr>
            <w:tcW w:w="84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279</w:t>
            </w:r>
          </w:p>
        </w:tc>
        <w:tc>
          <w:tcPr>
            <w:tcW w:w="84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359</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80</w:t>
            </w:r>
          </w:p>
        </w:tc>
        <w:tc>
          <w:tcPr>
            <w:tcW w:w="944"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28,8%</w:t>
            </w:r>
          </w:p>
        </w:tc>
      </w:tr>
      <w:tr>
        <w:trPr>
          <w:trHeight w:val="219"/>
        </w:trPr>
        <w:tc>
          <w:tcPr>
            <w:tcW w:w="7094"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eastAsia="en-GB"/>
              </w:rPr>
            </w:pPr>
            <w:r>
              <w:rPr>
                <w:rFonts w:eastAsia="Times New Roman"/>
                <w:noProof/>
                <w:sz w:val="12"/>
                <w:szCs w:val="12"/>
                <w:lang w:eastAsia="en-GB"/>
              </w:rPr>
              <w:t>Source Trade G2 Statistics/ISDB from Eurostat COMEXT</w:t>
            </w:r>
          </w:p>
        </w:tc>
        <w:tc>
          <w:tcPr>
            <w:tcW w:w="850" w:type="dxa"/>
            <w:tcBorders>
              <w:top w:val="single" w:sz="4" w:space="0" w:color="auto"/>
              <w:left w:val="nil"/>
              <w:bottom w:val="nil"/>
              <w:right w:val="nil"/>
            </w:tcBorders>
            <w:shd w:val="clear" w:color="000000" w:fill="FFFFFF"/>
            <w:noWrap/>
            <w:vAlign w:val="bottom"/>
            <w:hideMark/>
          </w:tcPr>
          <w:p>
            <w:pPr>
              <w:rPr>
                <w:rFonts w:eastAsia="Times New Roman"/>
                <w:noProof/>
                <w:sz w:val="18"/>
                <w:szCs w:val="18"/>
                <w:lang w:eastAsia="en-GB"/>
              </w:rPr>
            </w:pPr>
            <w:r>
              <w:rPr>
                <w:rFonts w:eastAsia="Times New Roman"/>
                <w:noProof/>
                <w:sz w:val="18"/>
                <w:szCs w:val="18"/>
                <w:lang w:eastAsia="en-GB"/>
              </w:rPr>
              <w:t> </w:t>
            </w:r>
          </w:p>
        </w:tc>
        <w:tc>
          <w:tcPr>
            <w:tcW w:w="944" w:type="dxa"/>
            <w:tcBorders>
              <w:top w:val="nil"/>
              <w:left w:val="nil"/>
              <w:bottom w:val="nil"/>
              <w:right w:val="nil"/>
            </w:tcBorders>
            <w:shd w:val="clear" w:color="000000" w:fill="FFFFFF"/>
            <w:noWrap/>
            <w:vAlign w:val="bottom"/>
            <w:hideMark/>
          </w:tcPr>
          <w:p>
            <w:pPr>
              <w:rPr>
                <w:rFonts w:eastAsia="Times New Roman"/>
                <w:noProof/>
                <w:sz w:val="18"/>
                <w:szCs w:val="18"/>
                <w:lang w:eastAsia="en-GB"/>
              </w:rPr>
            </w:pPr>
            <w:r>
              <w:rPr>
                <w:rFonts w:eastAsia="Times New Roman"/>
                <w:noProof/>
                <w:sz w:val="18"/>
                <w:szCs w:val="18"/>
                <w:lang w:eastAsia="en-GB"/>
              </w:rPr>
              <w:t> </w:t>
            </w:r>
          </w:p>
        </w:tc>
      </w:tr>
      <w:tr>
        <w:trPr>
          <w:trHeight w:val="205"/>
        </w:trPr>
        <w:tc>
          <w:tcPr>
            <w:tcW w:w="8888" w:type="dxa"/>
            <w:gridSpan w:val="6"/>
            <w:tcBorders>
              <w:top w:val="nil"/>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Growth of Services trade EU28 with Lesotho (mio €) </w:t>
            </w:r>
          </w:p>
        </w:tc>
      </w:tr>
      <w:tr>
        <w:trPr>
          <w:trHeight w:val="205"/>
        </w:trPr>
        <w:tc>
          <w:tcPr>
            <w:tcW w:w="5395"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eastAsia="en-GB"/>
              </w:rPr>
            </w:pPr>
            <w:r>
              <w:rPr>
                <w:rFonts w:eastAsia="Times New Roman"/>
                <w:b/>
                <w:bCs/>
                <w:noProof/>
                <w:sz w:val="16"/>
                <w:szCs w:val="16"/>
                <w:lang w:eastAsia="en-GB"/>
              </w:rPr>
              <w:t>Lesotho</w:t>
            </w:r>
          </w:p>
        </w:tc>
        <w:tc>
          <w:tcPr>
            <w:tcW w:w="850"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2016</w:t>
            </w:r>
          </w:p>
        </w:tc>
        <w:tc>
          <w:tcPr>
            <w:tcW w:w="849"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2017</w:t>
            </w:r>
          </w:p>
        </w:tc>
        <w:tc>
          <w:tcPr>
            <w:tcW w:w="1794"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Growth</w:t>
            </w:r>
          </w:p>
        </w:tc>
      </w:tr>
      <w:tr>
        <w:trPr>
          <w:trHeight w:val="205"/>
        </w:trPr>
        <w:tc>
          <w:tcPr>
            <w:tcW w:w="5395"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850" w:type="dxa"/>
            <w:vMerge/>
            <w:tcBorders>
              <w:top w:val="nil"/>
              <w:left w:val="nil"/>
              <w:bottom w:val="single" w:sz="4" w:space="0" w:color="000000"/>
              <w:right w:val="nil"/>
            </w:tcBorders>
            <w:vAlign w:val="center"/>
            <w:hideMark/>
          </w:tcPr>
          <w:p>
            <w:pPr>
              <w:rPr>
                <w:rFonts w:eastAsia="Times New Roman"/>
                <w:b/>
                <w:bCs/>
                <w:noProof/>
                <w:sz w:val="16"/>
                <w:szCs w:val="16"/>
                <w:lang w:eastAsia="en-GB"/>
              </w:rPr>
            </w:pPr>
          </w:p>
        </w:tc>
        <w:tc>
          <w:tcPr>
            <w:tcW w:w="849" w:type="dxa"/>
            <w:vMerge/>
            <w:tcBorders>
              <w:top w:val="nil"/>
              <w:left w:val="nil"/>
              <w:bottom w:val="single" w:sz="4" w:space="0" w:color="000000"/>
              <w:right w:val="nil"/>
            </w:tcBorders>
            <w:vAlign w:val="center"/>
            <w:hideMark/>
          </w:tcPr>
          <w:p>
            <w:pPr>
              <w:rPr>
                <w:rFonts w:eastAsia="Times New Roman"/>
                <w:b/>
                <w:bCs/>
                <w:noProof/>
                <w:sz w:val="16"/>
                <w:szCs w:val="16"/>
                <w:lang w:eastAsia="en-GB"/>
              </w:rPr>
            </w:pPr>
          </w:p>
        </w:tc>
        <w:tc>
          <w:tcPr>
            <w:tcW w:w="850"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mio €</w:t>
            </w:r>
          </w:p>
        </w:tc>
        <w:tc>
          <w:tcPr>
            <w:tcW w:w="944"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annual %</w:t>
            </w:r>
          </w:p>
        </w:tc>
      </w:tr>
      <w:tr>
        <w:trPr>
          <w:trHeight w:val="205"/>
        </w:trPr>
        <w:tc>
          <w:tcPr>
            <w:tcW w:w="4546"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Imports</w:t>
            </w:r>
          </w:p>
        </w:tc>
        <w:tc>
          <w:tcPr>
            <w:tcW w:w="84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w:t>
            </w:r>
          </w:p>
        </w:tc>
        <w:tc>
          <w:tcPr>
            <w:tcW w:w="84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15</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11</w:t>
            </w:r>
          </w:p>
        </w:tc>
        <w:tc>
          <w:tcPr>
            <w:tcW w:w="9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271,8%</w:t>
            </w:r>
          </w:p>
        </w:tc>
      </w:tr>
      <w:tr>
        <w:trPr>
          <w:trHeight w:val="205"/>
        </w:trPr>
        <w:tc>
          <w:tcPr>
            <w:tcW w:w="4546"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Exports</w:t>
            </w:r>
          </w:p>
        </w:tc>
        <w:tc>
          <w:tcPr>
            <w:tcW w:w="84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13</w:t>
            </w:r>
          </w:p>
        </w:tc>
        <w:tc>
          <w:tcPr>
            <w:tcW w:w="84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14</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w:t>
            </w:r>
          </w:p>
        </w:tc>
        <w:tc>
          <w:tcPr>
            <w:tcW w:w="9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6,7%</w:t>
            </w:r>
          </w:p>
        </w:tc>
      </w:tr>
      <w:tr>
        <w:trPr>
          <w:trHeight w:val="205"/>
        </w:trPr>
        <w:tc>
          <w:tcPr>
            <w:tcW w:w="4546"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Balance</w:t>
            </w:r>
          </w:p>
        </w:tc>
        <w:tc>
          <w:tcPr>
            <w:tcW w:w="84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10</w:t>
            </w:r>
          </w:p>
        </w:tc>
        <w:tc>
          <w:tcPr>
            <w:tcW w:w="84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-10</w:t>
            </w:r>
          </w:p>
        </w:tc>
        <w:tc>
          <w:tcPr>
            <w:tcW w:w="944"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r>
      <w:tr>
        <w:trPr>
          <w:trHeight w:val="205"/>
        </w:trPr>
        <w:tc>
          <w:tcPr>
            <w:tcW w:w="454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Total trade</w:t>
            </w:r>
          </w:p>
        </w:tc>
        <w:tc>
          <w:tcPr>
            <w:tcW w:w="849"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5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17</w:t>
            </w:r>
          </w:p>
        </w:tc>
        <w:tc>
          <w:tcPr>
            <w:tcW w:w="849"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29</w:t>
            </w:r>
          </w:p>
        </w:tc>
        <w:tc>
          <w:tcPr>
            <w:tcW w:w="85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12</w:t>
            </w:r>
          </w:p>
        </w:tc>
        <w:tc>
          <w:tcPr>
            <w:tcW w:w="944"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66,5%</w:t>
            </w:r>
          </w:p>
        </w:tc>
      </w:tr>
      <w:tr>
        <w:trPr>
          <w:trHeight w:val="219"/>
        </w:trPr>
        <w:tc>
          <w:tcPr>
            <w:tcW w:w="7944" w:type="dxa"/>
            <w:gridSpan w:val="5"/>
            <w:tcBorders>
              <w:top w:val="nil"/>
              <w:left w:val="nil"/>
              <w:bottom w:val="nil"/>
              <w:right w:val="nil"/>
            </w:tcBorders>
            <w:shd w:val="clear" w:color="000000" w:fill="FFFFFF"/>
            <w:noWrap/>
            <w:hideMark/>
          </w:tcPr>
          <w:p>
            <w:pPr>
              <w:rPr>
                <w:rFonts w:eastAsia="Times New Roman"/>
                <w:noProof/>
                <w:sz w:val="12"/>
                <w:szCs w:val="12"/>
                <w:lang w:eastAsia="en-GB"/>
              </w:rPr>
            </w:pPr>
            <w:r>
              <w:rPr>
                <w:rFonts w:eastAsia="Times New Roman"/>
                <w:noProof/>
                <w:sz w:val="12"/>
                <w:szCs w:val="12"/>
                <w:lang w:eastAsia="en-GB"/>
              </w:rPr>
              <w:t>Source Trade G2 Statistics/ISDB from Eurostat BOP statistics</w:t>
            </w:r>
          </w:p>
        </w:tc>
        <w:tc>
          <w:tcPr>
            <w:tcW w:w="944" w:type="dxa"/>
            <w:tcBorders>
              <w:top w:val="nil"/>
              <w:left w:val="nil"/>
              <w:bottom w:val="nil"/>
              <w:right w:val="nil"/>
            </w:tcBorders>
            <w:shd w:val="clear" w:color="000000" w:fill="FFFFFF"/>
            <w:noWrap/>
            <w:vAlign w:val="bottom"/>
            <w:hideMark/>
          </w:tcPr>
          <w:p>
            <w:pPr>
              <w:rPr>
                <w:rFonts w:eastAsia="Times New Roman"/>
                <w:noProof/>
                <w:sz w:val="18"/>
                <w:szCs w:val="18"/>
                <w:lang w:eastAsia="en-GB"/>
              </w:rPr>
            </w:pPr>
            <w:r>
              <w:rPr>
                <w:rFonts w:eastAsia="Times New Roman"/>
                <w:noProof/>
                <w:sz w:val="18"/>
                <w:szCs w:val="18"/>
                <w:lang w:eastAsia="en-GB"/>
              </w:rPr>
              <w:t> </w:t>
            </w:r>
          </w:p>
        </w:tc>
      </w:tr>
      <w:tr>
        <w:trPr>
          <w:trHeight w:val="219"/>
        </w:trPr>
        <w:tc>
          <w:tcPr>
            <w:tcW w:w="8888"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Services trade EU28 with Lesotho (mio €)</w:t>
            </w:r>
          </w:p>
        </w:tc>
      </w:tr>
      <w:tr>
        <w:trPr>
          <w:trHeight w:val="205"/>
        </w:trPr>
        <w:tc>
          <w:tcPr>
            <w:tcW w:w="4546"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49"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2013</w:t>
            </w:r>
          </w:p>
        </w:tc>
        <w:tc>
          <w:tcPr>
            <w:tcW w:w="85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2014</w:t>
            </w:r>
          </w:p>
        </w:tc>
        <w:tc>
          <w:tcPr>
            <w:tcW w:w="849"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2015</w:t>
            </w:r>
          </w:p>
        </w:tc>
        <w:tc>
          <w:tcPr>
            <w:tcW w:w="85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2016</w:t>
            </w:r>
          </w:p>
        </w:tc>
        <w:tc>
          <w:tcPr>
            <w:tcW w:w="944"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2017</w:t>
            </w:r>
          </w:p>
        </w:tc>
      </w:tr>
      <w:tr>
        <w:trPr>
          <w:trHeight w:val="205"/>
        </w:trPr>
        <w:tc>
          <w:tcPr>
            <w:tcW w:w="4546"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Imports</w:t>
            </w:r>
          </w:p>
        </w:tc>
        <w:tc>
          <w:tcPr>
            <w:tcW w:w="84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7</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31</w:t>
            </w:r>
          </w:p>
        </w:tc>
        <w:tc>
          <w:tcPr>
            <w:tcW w:w="84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w:t>
            </w:r>
          </w:p>
        </w:tc>
        <w:tc>
          <w:tcPr>
            <w:tcW w:w="9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15</w:t>
            </w:r>
          </w:p>
        </w:tc>
      </w:tr>
      <w:tr>
        <w:trPr>
          <w:trHeight w:val="205"/>
        </w:trPr>
        <w:tc>
          <w:tcPr>
            <w:tcW w:w="4546"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Exports</w:t>
            </w:r>
          </w:p>
        </w:tc>
        <w:tc>
          <w:tcPr>
            <w:tcW w:w="84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20</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13</w:t>
            </w:r>
          </w:p>
        </w:tc>
        <w:tc>
          <w:tcPr>
            <w:tcW w:w="84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15</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13</w:t>
            </w:r>
          </w:p>
        </w:tc>
        <w:tc>
          <w:tcPr>
            <w:tcW w:w="9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14</w:t>
            </w:r>
          </w:p>
        </w:tc>
      </w:tr>
      <w:tr>
        <w:trPr>
          <w:trHeight w:val="205"/>
        </w:trPr>
        <w:tc>
          <w:tcPr>
            <w:tcW w:w="4546"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Balance</w:t>
            </w:r>
          </w:p>
        </w:tc>
        <w:tc>
          <w:tcPr>
            <w:tcW w:w="84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14</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-19</w:t>
            </w:r>
          </w:p>
        </w:tc>
        <w:tc>
          <w:tcPr>
            <w:tcW w:w="84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13</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10</w:t>
            </w:r>
          </w:p>
        </w:tc>
        <w:tc>
          <w:tcPr>
            <w:tcW w:w="9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w:t>
            </w:r>
          </w:p>
        </w:tc>
      </w:tr>
      <w:tr>
        <w:trPr>
          <w:trHeight w:val="205"/>
        </w:trPr>
        <w:tc>
          <w:tcPr>
            <w:tcW w:w="454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Total trade</w:t>
            </w:r>
          </w:p>
        </w:tc>
        <w:tc>
          <w:tcPr>
            <w:tcW w:w="849"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27</w:t>
            </w:r>
          </w:p>
        </w:tc>
        <w:tc>
          <w:tcPr>
            <w:tcW w:w="85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44</w:t>
            </w:r>
          </w:p>
        </w:tc>
        <w:tc>
          <w:tcPr>
            <w:tcW w:w="849"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18</w:t>
            </w:r>
          </w:p>
        </w:tc>
        <w:tc>
          <w:tcPr>
            <w:tcW w:w="85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17</w:t>
            </w:r>
          </w:p>
        </w:tc>
        <w:tc>
          <w:tcPr>
            <w:tcW w:w="944"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29</w:t>
            </w:r>
          </w:p>
        </w:tc>
      </w:tr>
      <w:tr>
        <w:trPr>
          <w:trHeight w:val="205"/>
        </w:trPr>
        <w:tc>
          <w:tcPr>
            <w:tcW w:w="4546" w:type="dxa"/>
            <w:tcBorders>
              <w:top w:val="nil"/>
              <w:left w:val="nil"/>
              <w:bottom w:val="nil"/>
              <w:right w:val="nil"/>
            </w:tcBorders>
            <w:shd w:val="clear" w:color="000000" w:fill="FFFFFF"/>
            <w:noWrap/>
            <w:hideMark/>
          </w:tcPr>
          <w:p>
            <w:pPr>
              <w:rPr>
                <w:rFonts w:eastAsia="Times New Roman"/>
                <w:noProof/>
                <w:sz w:val="12"/>
                <w:szCs w:val="12"/>
                <w:lang w:eastAsia="en-GB"/>
              </w:rPr>
            </w:pPr>
            <w:r>
              <w:rPr>
                <w:rFonts w:eastAsia="Times New Roman"/>
                <w:noProof/>
                <w:sz w:val="12"/>
                <w:szCs w:val="12"/>
                <w:lang w:eastAsia="en-GB"/>
              </w:rPr>
              <w:t>Source Trade G2 Statistics/ISDB from Eurostat BOP statistics</w:t>
            </w:r>
          </w:p>
        </w:tc>
        <w:tc>
          <w:tcPr>
            <w:tcW w:w="849" w:type="dxa"/>
            <w:tcBorders>
              <w:top w:val="nil"/>
              <w:left w:val="nil"/>
              <w:bottom w:val="nil"/>
              <w:right w:val="nil"/>
            </w:tcBorders>
            <w:shd w:val="clear" w:color="000000" w:fill="FFFFFF"/>
            <w:noWrap/>
            <w:hideMark/>
          </w:tcPr>
          <w:p>
            <w:pPr>
              <w:rPr>
                <w:rFonts w:eastAsia="Times New Roman"/>
                <w:noProof/>
                <w:sz w:val="12"/>
                <w:szCs w:val="12"/>
                <w:lang w:eastAsia="en-GB"/>
              </w:rPr>
            </w:pPr>
            <w:r>
              <w:rPr>
                <w:rFonts w:eastAsia="Times New Roman"/>
                <w:noProof/>
                <w:sz w:val="12"/>
                <w:szCs w:val="12"/>
                <w:lang w:eastAsia="en-GB"/>
              </w:rPr>
              <w:t> </w:t>
            </w:r>
          </w:p>
        </w:tc>
        <w:tc>
          <w:tcPr>
            <w:tcW w:w="850"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4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50"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944"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r>
      <w:tr>
        <w:trPr>
          <w:trHeight w:val="205"/>
        </w:trPr>
        <w:tc>
          <w:tcPr>
            <w:tcW w:w="8888"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Foreign Direct Investment (FDI) EU28 with Lesotho (mio €)</w:t>
            </w:r>
          </w:p>
        </w:tc>
      </w:tr>
      <w:tr>
        <w:trPr>
          <w:trHeight w:val="205"/>
        </w:trPr>
        <w:tc>
          <w:tcPr>
            <w:tcW w:w="4546"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49"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2013</w:t>
            </w:r>
          </w:p>
        </w:tc>
        <w:tc>
          <w:tcPr>
            <w:tcW w:w="85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2014</w:t>
            </w:r>
          </w:p>
        </w:tc>
        <w:tc>
          <w:tcPr>
            <w:tcW w:w="849"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2015</w:t>
            </w:r>
          </w:p>
        </w:tc>
        <w:tc>
          <w:tcPr>
            <w:tcW w:w="85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2016</w:t>
            </w:r>
          </w:p>
        </w:tc>
        <w:tc>
          <w:tcPr>
            <w:tcW w:w="944"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2017</w:t>
            </w:r>
          </w:p>
        </w:tc>
      </w:tr>
      <w:tr>
        <w:trPr>
          <w:trHeight w:val="205"/>
        </w:trPr>
        <w:tc>
          <w:tcPr>
            <w:tcW w:w="8888"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eastAsia="en-GB"/>
              </w:rPr>
            </w:pPr>
            <w:r>
              <w:rPr>
                <w:rFonts w:eastAsia="Times New Roman"/>
                <w:b/>
                <w:bCs/>
                <w:i/>
                <w:iCs/>
                <w:noProof/>
                <w:sz w:val="16"/>
                <w:szCs w:val="16"/>
                <w:lang w:eastAsia="en-GB"/>
              </w:rPr>
              <w:t>FDI Stocks</w:t>
            </w:r>
          </w:p>
        </w:tc>
      </w:tr>
      <w:tr>
        <w:trPr>
          <w:trHeight w:val="205"/>
        </w:trPr>
        <w:tc>
          <w:tcPr>
            <w:tcW w:w="4546"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Inward</w:t>
            </w:r>
          </w:p>
        </w:tc>
        <w:tc>
          <w:tcPr>
            <w:tcW w:w="84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w:t>
            </w:r>
          </w:p>
        </w:tc>
        <w:tc>
          <w:tcPr>
            <w:tcW w:w="84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5</w:t>
            </w:r>
          </w:p>
        </w:tc>
        <w:tc>
          <w:tcPr>
            <w:tcW w:w="9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6</w:t>
            </w:r>
          </w:p>
        </w:tc>
      </w:tr>
      <w:tr>
        <w:trPr>
          <w:trHeight w:val="205"/>
        </w:trPr>
        <w:tc>
          <w:tcPr>
            <w:tcW w:w="4546"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Outward</w:t>
            </w:r>
          </w:p>
        </w:tc>
        <w:tc>
          <w:tcPr>
            <w:tcW w:w="84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10</w:t>
            </w:r>
          </w:p>
        </w:tc>
        <w:tc>
          <w:tcPr>
            <w:tcW w:w="84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16</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w:t>
            </w:r>
          </w:p>
        </w:tc>
        <w:tc>
          <w:tcPr>
            <w:tcW w:w="9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w:t>
            </w:r>
          </w:p>
        </w:tc>
      </w:tr>
      <w:tr>
        <w:trPr>
          <w:trHeight w:val="205"/>
        </w:trPr>
        <w:tc>
          <w:tcPr>
            <w:tcW w:w="8888"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eastAsia="en-GB"/>
              </w:rPr>
            </w:pPr>
            <w:r>
              <w:rPr>
                <w:rFonts w:eastAsia="Times New Roman"/>
                <w:b/>
                <w:bCs/>
                <w:i/>
                <w:iCs/>
                <w:noProof/>
                <w:sz w:val="16"/>
                <w:szCs w:val="16"/>
                <w:lang w:eastAsia="en-GB"/>
              </w:rPr>
              <w:t>FDI Flows</w:t>
            </w:r>
          </w:p>
        </w:tc>
      </w:tr>
      <w:tr>
        <w:trPr>
          <w:trHeight w:val="205"/>
        </w:trPr>
        <w:tc>
          <w:tcPr>
            <w:tcW w:w="4546"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Inward</w:t>
            </w:r>
          </w:p>
        </w:tc>
        <w:tc>
          <w:tcPr>
            <w:tcW w:w="84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50"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4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w:t>
            </w:r>
          </w:p>
        </w:tc>
        <w:tc>
          <w:tcPr>
            <w:tcW w:w="944"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w:t>
            </w:r>
          </w:p>
        </w:tc>
      </w:tr>
      <w:tr>
        <w:trPr>
          <w:trHeight w:val="205"/>
        </w:trPr>
        <w:tc>
          <w:tcPr>
            <w:tcW w:w="4546"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Outward</w:t>
            </w:r>
          </w:p>
        </w:tc>
        <w:tc>
          <w:tcPr>
            <w:tcW w:w="849"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6</w:t>
            </w:r>
          </w:p>
        </w:tc>
        <w:tc>
          <w:tcPr>
            <w:tcW w:w="85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w:t>
            </w:r>
          </w:p>
        </w:tc>
        <w:tc>
          <w:tcPr>
            <w:tcW w:w="849"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11</w:t>
            </w:r>
          </w:p>
        </w:tc>
        <w:tc>
          <w:tcPr>
            <w:tcW w:w="85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w:t>
            </w:r>
          </w:p>
        </w:tc>
        <w:tc>
          <w:tcPr>
            <w:tcW w:w="944"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10</w:t>
            </w:r>
          </w:p>
        </w:tc>
      </w:tr>
      <w:tr>
        <w:trPr>
          <w:trHeight w:val="205"/>
        </w:trPr>
        <w:tc>
          <w:tcPr>
            <w:tcW w:w="4546" w:type="dxa"/>
            <w:tcBorders>
              <w:top w:val="single" w:sz="4" w:space="0" w:color="auto"/>
              <w:left w:val="nil"/>
              <w:bottom w:val="nil"/>
              <w:right w:val="nil"/>
            </w:tcBorders>
            <w:shd w:val="clear" w:color="000000" w:fill="FFFFFF"/>
            <w:noWrap/>
            <w:hideMark/>
          </w:tcPr>
          <w:p>
            <w:pPr>
              <w:rPr>
                <w:rFonts w:eastAsia="Times New Roman"/>
                <w:noProof/>
                <w:sz w:val="12"/>
                <w:szCs w:val="12"/>
                <w:lang w:eastAsia="en-GB"/>
              </w:rPr>
            </w:pPr>
            <w:r>
              <w:rPr>
                <w:rFonts w:eastAsia="Times New Roman"/>
                <w:noProof/>
                <w:sz w:val="12"/>
                <w:szCs w:val="12"/>
                <w:lang w:eastAsia="en-GB"/>
              </w:rPr>
              <w:t>Source Trade G2 Statistics/ISDB from Eurostat BOP statistics</w:t>
            </w:r>
          </w:p>
        </w:tc>
        <w:tc>
          <w:tcPr>
            <w:tcW w:w="849" w:type="dxa"/>
            <w:tcBorders>
              <w:top w:val="nil"/>
              <w:left w:val="nil"/>
              <w:bottom w:val="nil"/>
              <w:right w:val="nil"/>
            </w:tcBorders>
            <w:shd w:val="clear" w:color="000000" w:fill="FFFFFF"/>
            <w:noWrap/>
            <w:hideMark/>
          </w:tcPr>
          <w:p>
            <w:pPr>
              <w:rPr>
                <w:rFonts w:eastAsia="Times New Roman"/>
                <w:noProof/>
                <w:sz w:val="12"/>
                <w:szCs w:val="12"/>
                <w:lang w:eastAsia="en-GB"/>
              </w:rPr>
            </w:pPr>
            <w:r>
              <w:rPr>
                <w:rFonts w:eastAsia="Times New Roman"/>
                <w:noProof/>
                <w:sz w:val="12"/>
                <w:szCs w:val="12"/>
                <w:lang w:eastAsia="en-GB"/>
              </w:rPr>
              <w:t> </w:t>
            </w:r>
          </w:p>
        </w:tc>
        <w:tc>
          <w:tcPr>
            <w:tcW w:w="850"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4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50"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944"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r>
    </w:tbl>
    <w:p>
      <w:pPr>
        <w:pStyle w:val="ChapterHead"/>
        <w:spacing w:after="0"/>
        <w:jc w:val="both"/>
        <w:rPr>
          <w:b/>
          <w:noProof/>
        </w:rPr>
      </w:pPr>
    </w:p>
    <w:p>
      <w:pPr>
        <w:rPr>
          <w:b/>
          <w:noProof/>
        </w:rPr>
      </w:pPr>
      <w:bookmarkStart w:id="4268" w:name="_Toc9608314"/>
      <w:r>
        <w:rPr>
          <w:b/>
          <w:noProof/>
        </w:rPr>
        <w:t>Mozambique:</w:t>
      </w:r>
      <w:bookmarkEnd w:id="4268"/>
    </w:p>
    <w:tbl>
      <w:tblPr>
        <w:tblW w:w="9344" w:type="dxa"/>
        <w:tblInd w:w="108" w:type="dxa"/>
        <w:tblLook w:val="04A0" w:firstRow="1" w:lastRow="0" w:firstColumn="1" w:lastColumn="0" w:noHBand="0" w:noVBand="1"/>
      </w:tblPr>
      <w:tblGrid>
        <w:gridCol w:w="5031"/>
        <w:gridCol w:w="850"/>
        <w:gridCol w:w="851"/>
        <w:gridCol w:w="850"/>
        <w:gridCol w:w="851"/>
        <w:gridCol w:w="911"/>
      </w:tblGrid>
      <w:tr>
        <w:trPr>
          <w:trHeight w:val="189"/>
        </w:trPr>
        <w:tc>
          <w:tcPr>
            <w:tcW w:w="9344"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Merchandise trade EU28 with Mozambique 2014-2018</w:t>
            </w:r>
          </w:p>
        </w:tc>
      </w:tr>
      <w:tr>
        <w:trPr>
          <w:trHeight w:val="189"/>
        </w:trPr>
        <w:tc>
          <w:tcPr>
            <w:tcW w:w="5031" w:type="dxa"/>
            <w:tcBorders>
              <w:top w:val="single" w:sz="4" w:space="0" w:color="auto"/>
              <w:left w:val="nil"/>
              <w:bottom w:val="single" w:sz="4" w:space="0" w:color="auto"/>
              <w:right w:val="nil"/>
            </w:tcBorders>
            <w:shd w:val="clear" w:color="000000" w:fill="FFFFFF"/>
            <w:noWrap/>
            <w:vAlign w:val="bottom"/>
            <w:hideMark/>
          </w:tcPr>
          <w:p>
            <w:pPr>
              <w:rPr>
                <w:rFonts w:eastAsia="Times New Roman"/>
                <w:b/>
                <w:bCs/>
                <w:noProof/>
                <w:sz w:val="16"/>
                <w:szCs w:val="16"/>
                <w:lang w:eastAsia="en-GB"/>
              </w:rPr>
            </w:pPr>
            <w:r>
              <w:rPr>
                <w:rFonts w:eastAsia="Times New Roman"/>
                <w:b/>
                <w:bCs/>
                <w:noProof/>
                <w:sz w:val="16"/>
                <w:szCs w:val="16"/>
                <w:lang w:eastAsia="en-GB"/>
              </w:rPr>
              <w:t> </w:t>
            </w:r>
          </w:p>
        </w:tc>
        <w:tc>
          <w:tcPr>
            <w:tcW w:w="850"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2014</w:t>
            </w:r>
          </w:p>
        </w:tc>
        <w:tc>
          <w:tcPr>
            <w:tcW w:w="851"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2015</w:t>
            </w:r>
          </w:p>
        </w:tc>
        <w:tc>
          <w:tcPr>
            <w:tcW w:w="850"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2016</w:t>
            </w:r>
          </w:p>
        </w:tc>
        <w:tc>
          <w:tcPr>
            <w:tcW w:w="851"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2017</w:t>
            </w:r>
          </w:p>
        </w:tc>
        <w:tc>
          <w:tcPr>
            <w:tcW w:w="911"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2018</w:t>
            </w:r>
          </w:p>
        </w:tc>
      </w:tr>
      <w:tr>
        <w:trPr>
          <w:trHeight w:val="189"/>
        </w:trPr>
        <w:tc>
          <w:tcPr>
            <w:tcW w:w="5031"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EU28 trade with Mozambique (mio €)</w:t>
            </w:r>
          </w:p>
        </w:tc>
        <w:tc>
          <w:tcPr>
            <w:tcW w:w="850"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eastAsia="en-GB"/>
              </w:rPr>
            </w:pPr>
          </w:p>
        </w:tc>
        <w:tc>
          <w:tcPr>
            <w:tcW w:w="851"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 </w:t>
            </w:r>
          </w:p>
        </w:tc>
        <w:tc>
          <w:tcPr>
            <w:tcW w:w="850"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 </w:t>
            </w:r>
          </w:p>
        </w:tc>
        <w:tc>
          <w:tcPr>
            <w:tcW w:w="851"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 </w:t>
            </w:r>
          </w:p>
        </w:tc>
        <w:tc>
          <w:tcPr>
            <w:tcW w:w="911"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 </w:t>
            </w:r>
          </w:p>
        </w:tc>
      </w:tr>
      <w:tr>
        <w:trPr>
          <w:trHeight w:val="189"/>
        </w:trPr>
        <w:tc>
          <w:tcPr>
            <w:tcW w:w="5031"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Imports</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1.366</w:t>
            </w:r>
          </w:p>
        </w:tc>
        <w:tc>
          <w:tcPr>
            <w:tcW w:w="85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1.435</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1.320</w:t>
            </w:r>
          </w:p>
        </w:tc>
        <w:tc>
          <w:tcPr>
            <w:tcW w:w="85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1.664</w:t>
            </w:r>
          </w:p>
        </w:tc>
        <w:tc>
          <w:tcPr>
            <w:tcW w:w="91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1.867</w:t>
            </w:r>
          </w:p>
        </w:tc>
      </w:tr>
      <w:tr>
        <w:trPr>
          <w:trHeight w:val="189"/>
        </w:trPr>
        <w:tc>
          <w:tcPr>
            <w:tcW w:w="5031"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Exports</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895</w:t>
            </w:r>
          </w:p>
        </w:tc>
        <w:tc>
          <w:tcPr>
            <w:tcW w:w="85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983</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681</w:t>
            </w:r>
          </w:p>
        </w:tc>
        <w:tc>
          <w:tcPr>
            <w:tcW w:w="85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532</w:t>
            </w:r>
          </w:p>
        </w:tc>
        <w:tc>
          <w:tcPr>
            <w:tcW w:w="91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697</w:t>
            </w:r>
          </w:p>
        </w:tc>
      </w:tr>
      <w:tr>
        <w:trPr>
          <w:trHeight w:val="189"/>
        </w:trPr>
        <w:tc>
          <w:tcPr>
            <w:tcW w:w="5031"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Balance</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-472</w:t>
            </w:r>
          </w:p>
        </w:tc>
        <w:tc>
          <w:tcPr>
            <w:tcW w:w="85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-452</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-638</w:t>
            </w:r>
          </w:p>
        </w:tc>
        <w:tc>
          <w:tcPr>
            <w:tcW w:w="85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-1.132</w:t>
            </w:r>
          </w:p>
        </w:tc>
        <w:tc>
          <w:tcPr>
            <w:tcW w:w="91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-1.170</w:t>
            </w:r>
          </w:p>
        </w:tc>
      </w:tr>
      <w:tr>
        <w:trPr>
          <w:trHeight w:val="189"/>
        </w:trPr>
        <w:tc>
          <w:tcPr>
            <w:tcW w:w="5031"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Share Mozambique in EU28 trade with Extra-EU28</w:t>
            </w:r>
          </w:p>
        </w:tc>
        <w:tc>
          <w:tcPr>
            <w:tcW w:w="850"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eastAsia="en-GB"/>
              </w:rPr>
            </w:pPr>
          </w:p>
        </w:tc>
        <w:tc>
          <w:tcPr>
            <w:tcW w:w="851"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 </w:t>
            </w:r>
          </w:p>
        </w:tc>
        <w:tc>
          <w:tcPr>
            <w:tcW w:w="850"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 </w:t>
            </w:r>
          </w:p>
        </w:tc>
        <w:tc>
          <w:tcPr>
            <w:tcW w:w="851"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 </w:t>
            </w:r>
          </w:p>
        </w:tc>
        <w:tc>
          <w:tcPr>
            <w:tcW w:w="911"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 </w:t>
            </w:r>
          </w:p>
        </w:tc>
      </w:tr>
      <w:tr>
        <w:trPr>
          <w:trHeight w:val="189"/>
        </w:trPr>
        <w:tc>
          <w:tcPr>
            <w:tcW w:w="5031"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Imports</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0,1%</w:t>
            </w:r>
          </w:p>
        </w:tc>
        <w:tc>
          <w:tcPr>
            <w:tcW w:w="85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0,1%</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0,1%</w:t>
            </w:r>
          </w:p>
        </w:tc>
        <w:tc>
          <w:tcPr>
            <w:tcW w:w="85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0,1%</w:t>
            </w:r>
          </w:p>
        </w:tc>
        <w:tc>
          <w:tcPr>
            <w:tcW w:w="91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0,1%</w:t>
            </w:r>
          </w:p>
        </w:tc>
      </w:tr>
      <w:tr>
        <w:trPr>
          <w:trHeight w:val="189"/>
        </w:trPr>
        <w:tc>
          <w:tcPr>
            <w:tcW w:w="5031"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Exports</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0,1%</w:t>
            </w:r>
          </w:p>
        </w:tc>
        <w:tc>
          <w:tcPr>
            <w:tcW w:w="85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0,1%</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0,0%</w:t>
            </w:r>
          </w:p>
        </w:tc>
        <w:tc>
          <w:tcPr>
            <w:tcW w:w="85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0,0%</w:t>
            </w:r>
          </w:p>
        </w:tc>
        <w:tc>
          <w:tcPr>
            <w:tcW w:w="91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0,0%</w:t>
            </w:r>
          </w:p>
        </w:tc>
      </w:tr>
      <w:tr>
        <w:trPr>
          <w:trHeight w:val="189"/>
        </w:trPr>
        <w:tc>
          <w:tcPr>
            <w:tcW w:w="5031"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Total (I+E)</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0,1%</w:t>
            </w:r>
          </w:p>
        </w:tc>
        <w:tc>
          <w:tcPr>
            <w:tcW w:w="85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0,1%</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0,1%</w:t>
            </w:r>
          </w:p>
        </w:tc>
        <w:tc>
          <w:tcPr>
            <w:tcW w:w="85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0,1%</w:t>
            </w:r>
          </w:p>
        </w:tc>
        <w:tc>
          <w:tcPr>
            <w:tcW w:w="91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0,1%</w:t>
            </w:r>
          </w:p>
        </w:tc>
      </w:tr>
      <w:tr>
        <w:trPr>
          <w:trHeight w:val="189"/>
        </w:trPr>
        <w:tc>
          <w:tcPr>
            <w:tcW w:w="9344" w:type="dxa"/>
            <w:gridSpan w:val="6"/>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Share EU28 in trade Mozambique with world</w:t>
            </w:r>
          </w:p>
        </w:tc>
      </w:tr>
      <w:tr>
        <w:trPr>
          <w:trHeight w:val="189"/>
        </w:trPr>
        <w:tc>
          <w:tcPr>
            <w:tcW w:w="5031"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Imports</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19,1%</w:t>
            </w:r>
          </w:p>
        </w:tc>
        <w:tc>
          <w:tcPr>
            <w:tcW w:w="85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22,5%</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19,5%</w:t>
            </w:r>
          </w:p>
        </w:tc>
        <w:tc>
          <w:tcPr>
            <w:tcW w:w="85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22,5%</w:t>
            </w:r>
          </w:p>
        </w:tc>
        <w:tc>
          <w:tcPr>
            <w:tcW w:w="91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18,1%</w:t>
            </w:r>
          </w:p>
        </w:tc>
      </w:tr>
      <w:tr>
        <w:trPr>
          <w:trHeight w:val="189"/>
        </w:trPr>
        <w:tc>
          <w:tcPr>
            <w:tcW w:w="5031"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Exports</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38,5%</w:t>
            </w:r>
          </w:p>
        </w:tc>
        <w:tc>
          <w:tcPr>
            <w:tcW w:w="85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45,9%</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32,0%</w:t>
            </w:r>
          </w:p>
        </w:tc>
        <w:tc>
          <w:tcPr>
            <w:tcW w:w="85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27,2%</w:t>
            </w:r>
          </w:p>
        </w:tc>
        <w:tc>
          <w:tcPr>
            <w:tcW w:w="91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31,6%</w:t>
            </w:r>
          </w:p>
        </w:tc>
      </w:tr>
      <w:tr>
        <w:trPr>
          <w:trHeight w:val="189"/>
        </w:trPr>
        <w:tc>
          <w:tcPr>
            <w:tcW w:w="5031"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Total (I+E)</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25,8%</w:t>
            </w:r>
          </w:p>
        </w:tc>
        <w:tc>
          <w:tcPr>
            <w:tcW w:w="85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29,2%</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24,3%</w:t>
            </w:r>
          </w:p>
        </w:tc>
        <w:tc>
          <w:tcPr>
            <w:tcW w:w="85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24,6%</w:t>
            </w:r>
          </w:p>
        </w:tc>
        <w:tc>
          <w:tcPr>
            <w:tcW w:w="91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24,0%</w:t>
            </w:r>
          </w:p>
        </w:tc>
      </w:tr>
      <w:tr>
        <w:trPr>
          <w:trHeight w:val="202"/>
        </w:trPr>
        <w:tc>
          <w:tcPr>
            <w:tcW w:w="6732" w:type="dxa"/>
            <w:gridSpan w:val="3"/>
            <w:tcBorders>
              <w:top w:val="single" w:sz="4" w:space="0" w:color="auto"/>
              <w:left w:val="nil"/>
              <w:bottom w:val="nil"/>
              <w:right w:val="nil"/>
            </w:tcBorders>
            <w:shd w:val="clear" w:color="000000" w:fill="FFFFFF"/>
            <w:noWrap/>
            <w:vAlign w:val="bottom"/>
            <w:hideMark/>
          </w:tcPr>
          <w:p>
            <w:pPr>
              <w:rPr>
                <w:rFonts w:eastAsia="Times New Roman"/>
                <w:noProof/>
                <w:sz w:val="12"/>
                <w:szCs w:val="12"/>
                <w:lang w:eastAsia="en-GB"/>
              </w:rPr>
            </w:pPr>
            <w:r>
              <w:rPr>
                <w:rFonts w:eastAsia="Times New Roman"/>
                <w:noProof/>
                <w:sz w:val="12"/>
                <w:szCs w:val="12"/>
                <w:lang w:eastAsia="en-GB"/>
              </w:rPr>
              <w:t xml:space="preserve">Source Trade G2 Statistics/ISDB </w:t>
            </w:r>
          </w:p>
        </w:tc>
        <w:tc>
          <w:tcPr>
            <w:tcW w:w="850"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eastAsia="en-GB"/>
              </w:rPr>
            </w:pPr>
            <w:r>
              <w:rPr>
                <w:rFonts w:eastAsia="Times New Roman"/>
                <w:noProof/>
                <w:sz w:val="18"/>
                <w:szCs w:val="18"/>
                <w:lang w:eastAsia="en-GB"/>
              </w:rPr>
              <w:t> </w:t>
            </w:r>
          </w:p>
        </w:tc>
        <w:tc>
          <w:tcPr>
            <w:tcW w:w="851"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eastAsia="en-GB"/>
              </w:rPr>
            </w:pPr>
            <w:r>
              <w:rPr>
                <w:rFonts w:eastAsia="Times New Roman"/>
                <w:noProof/>
                <w:sz w:val="18"/>
                <w:szCs w:val="18"/>
                <w:lang w:eastAsia="en-GB"/>
              </w:rPr>
              <w:t> </w:t>
            </w:r>
          </w:p>
        </w:tc>
        <w:tc>
          <w:tcPr>
            <w:tcW w:w="911" w:type="dxa"/>
            <w:tcBorders>
              <w:top w:val="single" w:sz="4" w:space="0" w:color="auto"/>
              <w:left w:val="nil"/>
              <w:bottom w:val="nil"/>
              <w:right w:val="nil"/>
            </w:tcBorders>
            <w:shd w:val="clear" w:color="000000" w:fill="FFFFFF"/>
            <w:noWrap/>
            <w:hideMark/>
          </w:tcPr>
          <w:p>
            <w:pPr>
              <w:jc w:val="right"/>
              <w:rPr>
                <w:rFonts w:eastAsia="Times New Roman"/>
                <w:noProof/>
                <w:sz w:val="12"/>
                <w:szCs w:val="12"/>
                <w:lang w:eastAsia="en-GB"/>
              </w:rPr>
            </w:pPr>
            <w:r>
              <w:rPr>
                <w:rFonts w:eastAsia="Times New Roman"/>
                <w:noProof/>
                <w:sz w:val="12"/>
                <w:szCs w:val="12"/>
                <w:lang w:eastAsia="en-GB"/>
              </w:rPr>
              <w:t>25-mars-19</w:t>
            </w:r>
          </w:p>
        </w:tc>
      </w:tr>
      <w:tr>
        <w:trPr>
          <w:trHeight w:val="189"/>
        </w:trPr>
        <w:tc>
          <w:tcPr>
            <w:tcW w:w="8433" w:type="dxa"/>
            <w:gridSpan w:val="5"/>
            <w:tcBorders>
              <w:top w:val="nil"/>
              <w:left w:val="nil"/>
              <w:bottom w:val="nil"/>
              <w:right w:val="nil"/>
            </w:tcBorders>
            <w:shd w:val="clear" w:color="000000" w:fill="FFFFFF"/>
            <w:noWrap/>
            <w:hideMark/>
          </w:tcPr>
          <w:p>
            <w:pPr>
              <w:rPr>
                <w:rFonts w:eastAsia="Times New Roman"/>
                <w:noProof/>
                <w:color w:val="000000"/>
                <w:sz w:val="12"/>
                <w:szCs w:val="12"/>
                <w:lang w:val="fr-BE" w:eastAsia="en-GB"/>
              </w:rPr>
            </w:pPr>
            <w:r>
              <w:rPr>
                <w:rFonts w:eastAsia="Times New Roman"/>
                <w:noProof/>
                <w:color w:val="000000"/>
                <w:sz w:val="12"/>
                <w:szCs w:val="12"/>
                <w:lang w:val="fr-BE" w:eastAsia="en-GB"/>
              </w:rPr>
              <w:t>Trade EU28: Eurostat COMEXT;  Trade Mozambique: IMF Dots</w:t>
            </w:r>
          </w:p>
        </w:tc>
        <w:tc>
          <w:tcPr>
            <w:tcW w:w="911"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fr-BE" w:eastAsia="en-GB"/>
              </w:rPr>
            </w:pPr>
            <w:r>
              <w:rPr>
                <w:rFonts w:eastAsia="Times New Roman"/>
                <w:noProof/>
                <w:color w:val="000000"/>
                <w:sz w:val="16"/>
                <w:szCs w:val="16"/>
                <w:lang w:val="fr-BE" w:eastAsia="en-GB"/>
              </w:rPr>
              <w:t> </w:t>
            </w:r>
          </w:p>
        </w:tc>
      </w:tr>
      <w:tr>
        <w:trPr>
          <w:trHeight w:val="189"/>
        </w:trPr>
        <w:tc>
          <w:tcPr>
            <w:tcW w:w="5031"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fr-BE" w:eastAsia="en-GB"/>
              </w:rPr>
            </w:pPr>
            <w:r>
              <w:rPr>
                <w:rFonts w:eastAsia="Times New Roman"/>
                <w:noProof/>
                <w:color w:val="000000"/>
                <w:sz w:val="16"/>
                <w:szCs w:val="16"/>
                <w:lang w:val="fr-BE" w:eastAsia="en-GB"/>
              </w:rPr>
              <w:t> </w:t>
            </w:r>
          </w:p>
        </w:tc>
        <w:tc>
          <w:tcPr>
            <w:tcW w:w="850"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fr-BE" w:eastAsia="en-GB"/>
              </w:rPr>
            </w:pPr>
            <w:r>
              <w:rPr>
                <w:rFonts w:eastAsia="Times New Roman"/>
                <w:noProof/>
                <w:color w:val="000000"/>
                <w:sz w:val="16"/>
                <w:szCs w:val="16"/>
                <w:lang w:val="fr-BE" w:eastAsia="en-GB"/>
              </w:rPr>
              <w:t> </w:t>
            </w:r>
          </w:p>
        </w:tc>
        <w:tc>
          <w:tcPr>
            <w:tcW w:w="851"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fr-BE" w:eastAsia="en-GB"/>
              </w:rPr>
            </w:pPr>
            <w:r>
              <w:rPr>
                <w:rFonts w:eastAsia="Times New Roman"/>
                <w:noProof/>
                <w:color w:val="000000"/>
                <w:sz w:val="16"/>
                <w:szCs w:val="16"/>
                <w:lang w:val="fr-BE" w:eastAsia="en-GB"/>
              </w:rPr>
              <w:t> </w:t>
            </w:r>
          </w:p>
        </w:tc>
        <w:tc>
          <w:tcPr>
            <w:tcW w:w="850"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fr-BE" w:eastAsia="en-GB"/>
              </w:rPr>
            </w:pPr>
            <w:r>
              <w:rPr>
                <w:rFonts w:eastAsia="Times New Roman"/>
                <w:noProof/>
                <w:color w:val="000000"/>
                <w:sz w:val="16"/>
                <w:szCs w:val="16"/>
                <w:lang w:val="fr-BE" w:eastAsia="en-GB"/>
              </w:rPr>
              <w:t> </w:t>
            </w:r>
          </w:p>
        </w:tc>
        <w:tc>
          <w:tcPr>
            <w:tcW w:w="851"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fr-BE" w:eastAsia="en-GB"/>
              </w:rPr>
            </w:pPr>
            <w:r>
              <w:rPr>
                <w:rFonts w:eastAsia="Times New Roman"/>
                <w:noProof/>
                <w:color w:val="000000"/>
                <w:sz w:val="16"/>
                <w:szCs w:val="16"/>
                <w:lang w:val="fr-BE" w:eastAsia="en-GB"/>
              </w:rPr>
              <w:t> </w:t>
            </w:r>
          </w:p>
        </w:tc>
        <w:tc>
          <w:tcPr>
            <w:tcW w:w="911"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fr-BE" w:eastAsia="en-GB"/>
              </w:rPr>
            </w:pPr>
            <w:r>
              <w:rPr>
                <w:rFonts w:eastAsia="Times New Roman"/>
                <w:noProof/>
                <w:color w:val="000000"/>
                <w:sz w:val="16"/>
                <w:szCs w:val="16"/>
                <w:lang w:val="fr-BE" w:eastAsia="en-GB"/>
              </w:rPr>
              <w:t> </w:t>
            </w:r>
          </w:p>
        </w:tc>
      </w:tr>
      <w:tr>
        <w:trPr>
          <w:trHeight w:val="202"/>
        </w:trPr>
        <w:tc>
          <w:tcPr>
            <w:tcW w:w="9344"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Total merchandise trade EU28 with Mozambique (mio €)</w:t>
            </w:r>
          </w:p>
        </w:tc>
      </w:tr>
      <w:tr>
        <w:trPr>
          <w:trHeight w:val="202"/>
        </w:trPr>
        <w:tc>
          <w:tcPr>
            <w:tcW w:w="5881"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eastAsia="en-GB"/>
              </w:rPr>
            </w:pPr>
            <w:r>
              <w:rPr>
                <w:rFonts w:eastAsia="Times New Roman"/>
                <w:b/>
                <w:bCs/>
                <w:noProof/>
                <w:sz w:val="16"/>
                <w:szCs w:val="16"/>
                <w:lang w:eastAsia="en-GB"/>
              </w:rPr>
              <w:t>Mozambique</w:t>
            </w:r>
          </w:p>
        </w:tc>
        <w:tc>
          <w:tcPr>
            <w:tcW w:w="851"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2017</w:t>
            </w:r>
          </w:p>
        </w:tc>
        <w:tc>
          <w:tcPr>
            <w:tcW w:w="85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2018</w:t>
            </w:r>
          </w:p>
        </w:tc>
        <w:tc>
          <w:tcPr>
            <w:tcW w:w="176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Growth</w:t>
            </w:r>
          </w:p>
        </w:tc>
      </w:tr>
      <w:tr>
        <w:trPr>
          <w:trHeight w:val="202"/>
        </w:trPr>
        <w:tc>
          <w:tcPr>
            <w:tcW w:w="5881"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851"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850"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851"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mio €</w:t>
            </w:r>
          </w:p>
        </w:tc>
        <w:tc>
          <w:tcPr>
            <w:tcW w:w="911"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annual %</w:t>
            </w:r>
          </w:p>
        </w:tc>
      </w:tr>
      <w:tr>
        <w:trPr>
          <w:trHeight w:val="202"/>
        </w:trPr>
        <w:tc>
          <w:tcPr>
            <w:tcW w:w="5031"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Imports</w:t>
            </w:r>
          </w:p>
        </w:tc>
        <w:tc>
          <w:tcPr>
            <w:tcW w:w="850"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5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1.664</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1.867</w:t>
            </w:r>
          </w:p>
        </w:tc>
        <w:tc>
          <w:tcPr>
            <w:tcW w:w="85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203</w:t>
            </w:r>
          </w:p>
        </w:tc>
        <w:tc>
          <w:tcPr>
            <w:tcW w:w="91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12,2%</w:t>
            </w:r>
          </w:p>
        </w:tc>
      </w:tr>
      <w:tr>
        <w:trPr>
          <w:trHeight w:val="202"/>
        </w:trPr>
        <w:tc>
          <w:tcPr>
            <w:tcW w:w="5031"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Exports</w:t>
            </w:r>
          </w:p>
        </w:tc>
        <w:tc>
          <w:tcPr>
            <w:tcW w:w="850"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5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532</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697</w:t>
            </w:r>
          </w:p>
        </w:tc>
        <w:tc>
          <w:tcPr>
            <w:tcW w:w="85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165</w:t>
            </w:r>
          </w:p>
        </w:tc>
        <w:tc>
          <w:tcPr>
            <w:tcW w:w="91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31,0%</w:t>
            </w:r>
          </w:p>
        </w:tc>
      </w:tr>
      <w:tr>
        <w:trPr>
          <w:trHeight w:val="202"/>
        </w:trPr>
        <w:tc>
          <w:tcPr>
            <w:tcW w:w="5031"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Balance</w:t>
            </w:r>
          </w:p>
        </w:tc>
        <w:tc>
          <w:tcPr>
            <w:tcW w:w="850"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5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-1.132</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-1.170</w:t>
            </w:r>
          </w:p>
        </w:tc>
        <w:tc>
          <w:tcPr>
            <w:tcW w:w="85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-38</w:t>
            </w:r>
          </w:p>
        </w:tc>
        <w:tc>
          <w:tcPr>
            <w:tcW w:w="911"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r>
      <w:tr>
        <w:trPr>
          <w:trHeight w:val="202"/>
        </w:trPr>
        <w:tc>
          <w:tcPr>
            <w:tcW w:w="5031"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Total trade</w:t>
            </w:r>
          </w:p>
        </w:tc>
        <w:tc>
          <w:tcPr>
            <w:tcW w:w="850"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51"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2.196</w:t>
            </w:r>
          </w:p>
        </w:tc>
        <w:tc>
          <w:tcPr>
            <w:tcW w:w="85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2.564</w:t>
            </w:r>
          </w:p>
        </w:tc>
        <w:tc>
          <w:tcPr>
            <w:tcW w:w="851"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368</w:t>
            </w:r>
          </w:p>
        </w:tc>
        <w:tc>
          <w:tcPr>
            <w:tcW w:w="911"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16,8%</w:t>
            </w:r>
          </w:p>
        </w:tc>
      </w:tr>
      <w:tr>
        <w:trPr>
          <w:trHeight w:val="215"/>
        </w:trPr>
        <w:tc>
          <w:tcPr>
            <w:tcW w:w="7582"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eastAsia="en-GB"/>
              </w:rPr>
            </w:pPr>
            <w:r>
              <w:rPr>
                <w:rFonts w:eastAsia="Times New Roman"/>
                <w:noProof/>
                <w:sz w:val="12"/>
                <w:szCs w:val="12"/>
                <w:lang w:eastAsia="en-GB"/>
              </w:rPr>
              <w:t>Source Trade G2 Statistics/ISDB from Eurostat COMEXT</w:t>
            </w:r>
          </w:p>
        </w:tc>
        <w:tc>
          <w:tcPr>
            <w:tcW w:w="851" w:type="dxa"/>
            <w:tcBorders>
              <w:top w:val="nil"/>
              <w:left w:val="nil"/>
              <w:bottom w:val="nil"/>
              <w:right w:val="nil"/>
            </w:tcBorders>
            <w:shd w:val="clear" w:color="000000" w:fill="FFFFFF"/>
            <w:noWrap/>
            <w:vAlign w:val="bottom"/>
            <w:hideMark/>
          </w:tcPr>
          <w:p>
            <w:pPr>
              <w:rPr>
                <w:rFonts w:eastAsia="Times New Roman"/>
                <w:noProof/>
                <w:sz w:val="18"/>
                <w:szCs w:val="18"/>
                <w:lang w:eastAsia="en-GB"/>
              </w:rPr>
            </w:pPr>
            <w:r>
              <w:rPr>
                <w:rFonts w:eastAsia="Times New Roman"/>
                <w:noProof/>
                <w:sz w:val="18"/>
                <w:szCs w:val="18"/>
                <w:lang w:eastAsia="en-GB"/>
              </w:rPr>
              <w:t> </w:t>
            </w:r>
          </w:p>
        </w:tc>
        <w:tc>
          <w:tcPr>
            <w:tcW w:w="911" w:type="dxa"/>
            <w:tcBorders>
              <w:top w:val="nil"/>
              <w:left w:val="nil"/>
              <w:bottom w:val="nil"/>
              <w:right w:val="nil"/>
            </w:tcBorders>
            <w:shd w:val="clear" w:color="000000" w:fill="FFFFFF"/>
            <w:noWrap/>
            <w:vAlign w:val="bottom"/>
            <w:hideMark/>
          </w:tcPr>
          <w:p>
            <w:pPr>
              <w:rPr>
                <w:rFonts w:eastAsia="Times New Roman"/>
                <w:noProof/>
                <w:sz w:val="18"/>
                <w:szCs w:val="18"/>
                <w:lang w:eastAsia="en-GB"/>
              </w:rPr>
            </w:pPr>
            <w:r>
              <w:rPr>
                <w:rFonts w:eastAsia="Times New Roman"/>
                <w:noProof/>
                <w:sz w:val="18"/>
                <w:szCs w:val="18"/>
                <w:lang w:eastAsia="en-GB"/>
              </w:rPr>
              <w:t> </w:t>
            </w:r>
          </w:p>
        </w:tc>
      </w:tr>
      <w:tr>
        <w:trPr>
          <w:trHeight w:val="202"/>
        </w:trPr>
        <w:tc>
          <w:tcPr>
            <w:tcW w:w="9344"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Agrifood trade EU28 with Mozambique (mio €)</w:t>
            </w:r>
          </w:p>
        </w:tc>
      </w:tr>
      <w:tr>
        <w:trPr>
          <w:trHeight w:val="229"/>
        </w:trPr>
        <w:tc>
          <w:tcPr>
            <w:tcW w:w="5881"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eastAsia="en-GB"/>
              </w:rPr>
            </w:pPr>
            <w:r>
              <w:rPr>
                <w:rFonts w:eastAsia="Times New Roman"/>
                <w:b/>
                <w:bCs/>
                <w:noProof/>
                <w:sz w:val="16"/>
                <w:szCs w:val="16"/>
                <w:lang w:eastAsia="en-GB"/>
              </w:rPr>
              <w:t>Mozambique</w:t>
            </w:r>
          </w:p>
        </w:tc>
        <w:tc>
          <w:tcPr>
            <w:tcW w:w="851"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2017</w:t>
            </w:r>
          </w:p>
        </w:tc>
        <w:tc>
          <w:tcPr>
            <w:tcW w:w="85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2018</w:t>
            </w:r>
          </w:p>
        </w:tc>
        <w:tc>
          <w:tcPr>
            <w:tcW w:w="176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Growth</w:t>
            </w:r>
          </w:p>
        </w:tc>
      </w:tr>
      <w:tr>
        <w:trPr>
          <w:trHeight w:val="202"/>
        </w:trPr>
        <w:tc>
          <w:tcPr>
            <w:tcW w:w="5881"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851"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850"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851"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mio €</w:t>
            </w:r>
          </w:p>
        </w:tc>
        <w:tc>
          <w:tcPr>
            <w:tcW w:w="911"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annual %</w:t>
            </w:r>
          </w:p>
        </w:tc>
      </w:tr>
      <w:tr>
        <w:trPr>
          <w:trHeight w:val="202"/>
        </w:trPr>
        <w:tc>
          <w:tcPr>
            <w:tcW w:w="5031"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Imports</w:t>
            </w:r>
          </w:p>
        </w:tc>
        <w:tc>
          <w:tcPr>
            <w:tcW w:w="850"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5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175</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166</w:t>
            </w:r>
          </w:p>
        </w:tc>
        <w:tc>
          <w:tcPr>
            <w:tcW w:w="85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-8</w:t>
            </w:r>
          </w:p>
        </w:tc>
        <w:tc>
          <w:tcPr>
            <w:tcW w:w="91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-4,7%</w:t>
            </w:r>
          </w:p>
        </w:tc>
      </w:tr>
      <w:tr>
        <w:trPr>
          <w:trHeight w:val="202"/>
        </w:trPr>
        <w:tc>
          <w:tcPr>
            <w:tcW w:w="5031"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Exports</w:t>
            </w:r>
          </w:p>
        </w:tc>
        <w:tc>
          <w:tcPr>
            <w:tcW w:w="850"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5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105</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88</w:t>
            </w:r>
          </w:p>
        </w:tc>
        <w:tc>
          <w:tcPr>
            <w:tcW w:w="85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-18</w:t>
            </w:r>
          </w:p>
        </w:tc>
        <w:tc>
          <w:tcPr>
            <w:tcW w:w="91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-16,7%</w:t>
            </w:r>
          </w:p>
        </w:tc>
      </w:tr>
      <w:tr>
        <w:trPr>
          <w:trHeight w:val="202"/>
        </w:trPr>
        <w:tc>
          <w:tcPr>
            <w:tcW w:w="5031"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Balance</w:t>
            </w:r>
          </w:p>
        </w:tc>
        <w:tc>
          <w:tcPr>
            <w:tcW w:w="850"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5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-70</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-79</w:t>
            </w:r>
          </w:p>
        </w:tc>
        <w:tc>
          <w:tcPr>
            <w:tcW w:w="85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-9</w:t>
            </w:r>
          </w:p>
        </w:tc>
        <w:tc>
          <w:tcPr>
            <w:tcW w:w="911"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r>
      <w:tr>
        <w:trPr>
          <w:trHeight w:val="202"/>
        </w:trPr>
        <w:tc>
          <w:tcPr>
            <w:tcW w:w="5031"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Total trade</w:t>
            </w:r>
          </w:p>
        </w:tc>
        <w:tc>
          <w:tcPr>
            <w:tcW w:w="850"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51"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280</w:t>
            </w:r>
          </w:p>
        </w:tc>
        <w:tc>
          <w:tcPr>
            <w:tcW w:w="85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254</w:t>
            </w:r>
          </w:p>
        </w:tc>
        <w:tc>
          <w:tcPr>
            <w:tcW w:w="851"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-26</w:t>
            </w:r>
          </w:p>
        </w:tc>
        <w:tc>
          <w:tcPr>
            <w:tcW w:w="911"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-9,2%</w:t>
            </w:r>
          </w:p>
        </w:tc>
      </w:tr>
      <w:tr>
        <w:trPr>
          <w:trHeight w:val="215"/>
        </w:trPr>
        <w:tc>
          <w:tcPr>
            <w:tcW w:w="7582"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eastAsia="en-GB"/>
              </w:rPr>
            </w:pPr>
            <w:r>
              <w:rPr>
                <w:rFonts w:eastAsia="Times New Roman"/>
                <w:noProof/>
                <w:sz w:val="12"/>
                <w:szCs w:val="12"/>
                <w:lang w:eastAsia="en-GB"/>
              </w:rPr>
              <w:t>Source Trade G2 Statistics/ISDB from Eurostat COMEXT</w:t>
            </w:r>
          </w:p>
        </w:tc>
        <w:tc>
          <w:tcPr>
            <w:tcW w:w="851" w:type="dxa"/>
            <w:tcBorders>
              <w:top w:val="nil"/>
              <w:left w:val="nil"/>
              <w:bottom w:val="nil"/>
              <w:right w:val="nil"/>
            </w:tcBorders>
            <w:shd w:val="clear" w:color="000000" w:fill="FFFFFF"/>
            <w:noWrap/>
            <w:vAlign w:val="bottom"/>
            <w:hideMark/>
          </w:tcPr>
          <w:p>
            <w:pPr>
              <w:rPr>
                <w:rFonts w:eastAsia="Times New Roman"/>
                <w:noProof/>
                <w:sz w:val="18"/>
                <w:szCs w:val="18"/>
                <w:lang w:eastAsia="en-GB"/>
              </w:rPr>
            </w:pPr>
            <w:r>
              <w:rPr>
                <w:rFonts w:eastAsia="Times New Roman"/>
                <w:noProof/>
                <w:sz w:val="18"/>
                <w:szCs w:val="18"/>
                <w:lang w:eastAsia="en-GB"/>
              </w:rPr>
              <w:t> </w:t>
            </w:r>
          </w:p>
        </w:tc>
        <w:tc>
          <w:tcPr>
            <w:tcW w:w="911" w:type="dxa"/>
            <w:tcBorders>
              <w:top w:val="nil"/>
              <w:left w:val="nil"/>
              <w:bottom w:val="nil"/>
              <w:right w:val="nil"/>
            </w:tcBorders>
            <w:shd w:val="clear" w:color="000000" w:fill="FFFFFF"/>
            <w:noWrap/>
            <w:vAlign w:val="bottom"/>
            <w:hideMark/>
          </w:tcPr>
          <w:p>
            <w:pPr>
              <w:rPr>
                <w:rFonts w:eastAsia="Times New Roman"/>
                <w:noProof/>
                <w:sz w:val="18"/>
                <w:szCs w:val="18"/>
                <w:lang w:eastAsia="en-GB"/>
              </w:rPr>
            </w:pPr>
            <w:r>
              <w:rPr>
                <w:rFonts w:eastAsia="Times New Roman"/>
                <w:noProof/>
                <w:sz w:val="18"/>
                <w:szCs w:val="18"/>
                <w:lang w:eastAsia="en-GB"/>
              </w:rPr>
              <w:t> </w:t>
            </w:r>
          </w:p>
        </w:tc>
      </w:tr>
      <w:tr>
        <w:trPr>
          <w:trHeight w:val="202"/>
        </w:trPr>
        <w:tc>
          <w:tcPr>
            <w:tcW w:w="9344"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NAMA trade EU28 with Mozambique (mio €)</w:t>
            </w:r>
          </w:p>
        </w:tc>
      </w:tr>
      <w:tr>
        <w:trPr>
          <w:trHeight w:val="202"/>
        </w:trPr>
        <w:tc>
          <w:tcPr>
            <w:tcW w:w="5881"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eastAsia="en-GB"/>
              </w:rPr>
            </w:pPr>
            <w:r>
              <w:rPr>
                <w:rFonts w:eastAsia="Times New Roman"/>
                <w:b/>
                <w:bCs/>
                <w:noProof/>
                <w:sz w:val="16"/>
                <w:szCs w:val="16"/>
                <w:lang w:eastAsia="en-GB"/>
              </w:rPr>
              <w:t>Mozambique</w:t>
            </w:r>
          </w:p>
        </w:tc>
        <w:tc>
          <w:tcPr>
            <w:tcW w:w="851"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2017</w:t>
            </w:r>
          </w:p>
        </w:tc>
        <w:tc>
          <w:tcPr>
            <w:tcW w:w="85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2018</w:t>
            </w:r>
          </w:p>
        </w:tc>
        <w:tc>
          <w:tcPr>
            <w:tcW w:w="176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Growth</w:t>
            </w:r>
          </w:p>
        </w:tc>
      </w:tr>
      <w:tr>
        <w:trPr>
          <w:trHeight w:val="202"/>
        </w:trPr>
        <w:tc>
          <w:tcPr>
            <w:tcW w:w="5881"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851"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850"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851"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mio €</w:t>
            </w:r>
          </w:p>
        </w:tc>
        <w:tc>
          <w:tcPr>
            <w:tcW w:w="911"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annual %</w:t>
            </w:r>
          </w:p>
        </w:tc>
      </w:tr>
      <w:tr>
        <w:trPr>
          <w:trHeight w:val="202"/>
        </w:trPr>
        <w:tc>
          <w:tcPr>
            <w:tcW w:w="5881" w:type="dxa"/>
            <w:gridSpan w:val="2"/>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EU28 imports</w:t>
            </w:r>
          </w:p>
        </w:tc>
        <w:tc>
          <w:tcPr>
            <w:tcW w:w="85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1.489</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1.700</w:t>
            </w:r>
          </w:p>
        </w:tc>
        <w:tc>
          <w:tcPr>
            <w:tcW w:w="85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211</w:t>
            </w:r>
          </w:p>
        </w:tc>
        <w:tc>
          <w:tcPr>
            <w:tcW w:w="91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14,2%</w:t>
            </w:r>
          </w:p>
        </w:tc>
      </w:tr>
      <w:tr>
        <w:trPr>
          <w:trHeight w:val="202"/>
        </w:trPr>
        <w:tc>
          <w:tcPr>
            <w:tcW w:w="5881" w:type="dxa"/>
            <w:gridSpan w:val="2"/>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EU28 exports</w:t>
            </w:r>
          </w:p>
        </w:tc>
        <w:tc>
          <w:tcPr>
            <w:tcW w:w="85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427</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609</w:t>
            </w:r>
          </w:p>
        </w:tc>
        <w:tc>
          <w:tcPr>
            <w:tcW w:w="85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183</w:t>
            </w:r>
          </w:p>
        </w:tc>
        <w:tc>
          <w:tcPr>
            <w:tcW w:w="91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42,8%</w:t>
            </w:r>
          </w:p>
        </w:tc>
      </w:tr>
      <w:tr>
        <w:trPr>
          <w:trHeight w:val="202"/>
        </w:trPr>
        <w:tc>
          <w:tcPr>
            <w:tcW w:w="5031"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Balance</w:t>
            </w:r>
          </w:p>
        </w:tc>
        <w:tc>
          <w:tcPr>
            <w:tcW w:w="850"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5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-1.062</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-1.091</w:t>
            </w:r>
          </w:p>
        </w:tc>
        <w:tc>
          <w:tcPr>
            <w:tcW w:w="85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-29</w:t>
            </w:r>
          </w:p>
        </w:tc>
        <w:tc>
          <w:tcPr>
            <w:tcW w:w="911"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r>
      <w:tr>
        <w:trPr>
          <w:trHeight w:val="202"/>
        </w:trPr>
        <w:tc>
          <w:tcPr>
            <w:tcW w:w="5031"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Total trade</w:t>
            </w:r>
          </w:p>
        </w:tc>
        <w:tc>
          <w:tcPr>
            <w:tcW w:w="850"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5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1.916</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2.310</w:t>
            </w:r>
          </w:p>
        </w:tc>
        <w:tc>
          <w:tcPr>
            <w:tcW w:w="85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394</w:t>
            </w:r>
          </w:p>
        </w:tc>
        <w:tc>
          <w:tcPr>
            <w:tcW w:w="911"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20,6%</w:t>
            </w:r>
          </w:p>
        </w:tc>
      </w:tr>
      <w:tr>
        <w:trPr>
          <w:trHeight w:val="215"/>
        </w:trPr>
        <w:tc>
          <w:tcPr>
            <w:tcW w:w="7582"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eastAsia="en-GB"/>
              </w:rPr>
            </w:pPr>
            <w:r>
              <w:rPr>
                <w:rFonts w:eastAsia="Times New Roman"/>
                <w:noProof/>
                <w:sz w:val="12"/>
                <w:szCs w:val="12"/>
                <w:lang w:eastAsia="en-GB"/>
              </w:rPr>
              <w:t>Source Trade G2 Statistics/ISDB from Eurostat COMEXT</w:t>
            </w:r>
          </w:p>
        </w:tc>
        <w:tc>
          <w:tcPr>
            <w:tcW w:w="851" w:type="dxa"/>
            <w:tcBorders>
              <w:top w:val="single" w:sz="4" w:space="0" w:color="auto"/>
              <w:left w:val="nil"/>
              <w:bottom w:val="nil"/>
              <w:right w:val="nil"/>
            </w:tcBorders>
            <w:shd w:val="clear" w:color="000000" w:fill="FFFFFF"/>
            <w:noWrap/>
            <w:vAlign w:val="bottom"/>
            <w:hideMark/>
          </w:tcPr>
          <w:p>
            <w:pPr>
              <w:rPr>
                <w:rFonts w:eastAsia="Times New Roman"/>
                <w:noProof/>
                <w:sz w:val="18"/>
                <w:szCs w:val="18"/>
                <w:lang w:eastAsia="en-GB"/>
              </w:rPr>
            </w:pPr>
            <w:r>
              <w:rPr>
                <w:rFonts w:eastAsia="Times New Roman"/>
                <w:noProof/>
                <w:sz w:val="18"/>
                <w:szCs w:val="18"/>
                <w:lang w:eastAsia="en-GB"/>
              </w:rPr>
              <w:t> </w:t>
            </w:r>
          </w:p>
        </w:tc>
        <w:tc>
          <w:tcPr>
            <w:tcW w:w="911" w:type="dxa"/>
            <w:tcBorders>
              <w:top w:val="nil"/>
              <w:left w:val="nil"/>
              <w:bottom w:val="nil"/>
              <w:right w:val="nil"/>
            </w:tcBorders>
            <w:shd w:val="clear" w:color="000000" w:fill="FFFFFF"/>
            <w:noWrap/>
            <w:vAlign w:val="bottom"/>
            <w:hideMark/>
          </w:tcPr>
          <w:p>
            <w:pPr>
              <w:rPr>
                <w:rFonts w:eastAsia="Times New Roman"/>
                <w:noProof/>
                <w:sz w:val="18"/>
                <w:szCs w:val="18"/>
                <w:lang w:eastAsia="en-GB"/>
              </w:rPr>
            </w:pPr>
            <w:r>
              <w:rPr>
                <w:rFonts w:eastAsia="Times New Roman"/>
                <w:noProof/>
                <w:sz w:val="18"/>
                <w:szCs w:val="18"/>
                <w:lang w:eastAsia="en-GB"/>
              </w:rPr>
              <w:t> </w:t>
            </w:r>
          </w:p>
        </w:tc>
      </w:tr>
      <w:tr>
        <w:trPr>
          <w:trHeight w:val="202"/>
        </w:trPr>
        <w:tc>
          <w:tcPr>
            <w:tcW w:w="9344" w:type="dxa"/>
            <w:gridSpan w:val="6"/>
            <w:tcBorders>
              <w:top w:val="nil"/>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Growth of Services trade EU28 with Mozambique (mio €)</w:t>
            </w:r>
          </w:p>
        </w:tc>
      </w:tr>
      <w:tr>
        <w:trPr>
          <w:trHeight w:val="202"/>
        </w:trPr>
        <w:tc>
          <w:tcPr>
            <w:tcW w:w="5881"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eastAsia="en-GB"/>
              </w:rPr>
            </w:pPr>
            <w:r>
              <w:rPr>
                <w:rFonts w:eastAsia="Times New Roman"/>
                <w:b/>
                <w:bCs/>
                <w:noProof/>
                <w:sz w:val="16"/>
                <w:szCs w:val="16"/>
                <w:lang w:eastAsia="en-GB"/>
              </w:rPr>
              <w:t>Mozambique</w:t>
            </w:r>
          </w:p>
        </w:tc>
        <w:tc>
          <w:tcPr>
            <w:tcW w:w="851"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2016</w:t>
            </w:r>
          </w:p>
        </w:tc>
        <w:tc>
          <w:tcPr>
            <w:tcW w:w="850"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2017</w:t>
            </w:r>
          </w:p>
        </w:tc>
        <w:tc>
          <w:tcPr>
            <w:tcW w:w="176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Growth</w:t>
            </w:r>
          </w:p>
        </w:tc>
      </w:tr>
      <w:tr>
        <w:trPr>
          <w:trHeight w:val="202"/>
        </w:trPr>
        <w:tc>
          <w:tcPr>
            <w:tcW w:w="5881"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851" w:type="dxa"/>
            <w:vMerge/>
            <w:tcBorders>
              <w:top w:val="nil"/>
              <w:left w:val="nil"/>
              <w:bottom w:val="single" w:sz="4" w:space="0" w:color="000000"/>
              <w:right w:val="nil"/>
            </w:tcBorders>
            <w:vAlign w:val="center"/>
            <w:hideMark/>
          </w:tcPr>
          <w:p>
            <w:pPr>
              <w:rPr>
                <w:rFonts w:eastAsia="Times New Roman"/>
                <w:b/>
                <w:bCs/>
                <w:noProof/>
                <w:sz w:val="16"/>
                <w:szCs w:val="16"/>
                <w:lang w:eastAsia="en-GB"/>
              </w:rPr>
            </w:pPr>
          </w:p>
        </w:tc>
        <w:tc>
          <w:tcPr>
            <w:tcW w:w="850" w:type="dxa"/>
            <w:vMerge/>
            <w:tcBorders>
              <w:top w:val="nil"/>
              <w:left w:val="nil"/>
              <w:bottom w:val="single" w:sz="4" w:space="0" w:color="000000"/>
              <w:right w:val="nil"/>
            </w:tcBorders>
            <w:vAlign w:val="center"/>
            <w:hideMark/>
          </w:tcPr>
          <w:p>
            <w:pPr>
              <w:rPr>
                <w:rFonts w:eastAsia="Times New Roman"/>
                <w:b/>
                <w:bCs/>
                <w:noProof/>
                <w:sz w:val="16"/>
                <w:szCs w:val="16"/>
                <w:lang w:eastAsia="en-GB"/>
              </w:rPr>
            </w:pPr>
          </w:p>
        </w:tc>
        <w:tc>
          <w:tcPr>
            <w:tcW w:w="851"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mio €</w:t>
            </w:r>
          </w:p>
        </w:tc>
        <w:tc>
          <w:tcPr>
            <w:tcW w:w="911"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annual %</w:t>
            </w:r>
          </w:p>
        </w:tc>
      </w:tr>
      <w:tr>
        <w:trPr>
          <w:trHeight w:val="202"/>
        </w:trPr>
        <w:tc>
          <w:tcPr>
            <w:tcW w:w="5031"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Imports</w:t>
            </w:r>
          </w:p>
        </w:tc>
        <w:tc>
          <w:tcPr>
            <w:tcW w:w="850"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5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177</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245</w:t>
            </w:r>
          </w:p>
        </w:tc>
        <w:tc>
          <w:tcPr>
            <w:tcW w:w="85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68</w:t>
            </w:r>
          </w:p>
        </w:tc>
        <w:tc>
          <w:tcPr>
            <w:tcW w:w="91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38,1%</w:t>
            </w:r>
          </w:p>
        </w:tc>
      </w:tr>
      <w:tr>
        <w:trPr>
          <w:trHeight w:val="202"/>
        </w:trPr>
        <w:tc>
          <w:tcPr>
            <w:tcW w:w="5031"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Exports</w:t>
            </w:r>
          </w:p>
        </w:tc>
        <w:tc>
          <w:tcPr>
            <w:tcW w:w="850"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5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580</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471</w:t>
            </w:r>
          </w:p>
        </w:tc>
        <w:tc>
          <w:tcPr>
            <w:tcW w:w="85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-109</w:t>
            </w:r>
          </w:p>
        </w:tc>
        <w:tc>
          <w:tcPr>
            <w:tcW w:w="91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-18,8%</w:t>
            </w:r>
          </w:p>
        </w:tc>
      </w:tr>
      <w:tr>
        <w:trPr>
          <w:trHeight w:val="202"/>
        </w:trPr>
        <w:tc>
          <w:tcPr>
            <w:tcW w:w="5031"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Balance</w:t>
            </w:r>
          </w:p>
        </w:tc>
        <w:tc>
          <w:tcPr>
            <w:tcW w:w="850"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5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403</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226</w:t>
            </w:r>
          </w:p>
        </w:tc>
        <w:tc>
          <w:tcPr>
            <w:tcW w:w="85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-176</w:t>
            </w:r>
          </w:p>
        </w:tc>
        <w:tc>
          <w:tcPr>
            <w:tcW w:w="911"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r>
      <w:tr>
        <w:trPr>
          <w:trHeight w:val="202"/>
        </w:trPr>
        <w:tc>
          <w:tcPr>
            <w:tcW w:w="5031"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Total trade</w:t>
            </w:r>
          </w:p>
        </w:tc>
        <w:tc>
          <w:tcPr>
            <w:tcW w:w="850"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51"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757</w:t>
            </w:r>
          </w:p>
        </w:tc>
        <w:tc>
          <w:tcPr>
            <w:tcW w:w="85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716</w:t>
            </w:r>
          </w:p>
        </w:tc>
        <w:tc>
          <w:tcPr>
            <w:tcW w:w="851"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-41</w:t>
            </w:r>
          </w:p>
        </w:tc>
        <w:tc>
          <w:tcPr>
            <w:tcW w:w="911"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-5,5%</w:t>
            </w:r>
          </w:p>
        </w:tc>
      </w:tr>
      <w:tr>
        <w:trPr>
          <w:trHeight w:val="215"/>
        </w:trPr>
        <w:tc>
          <w:tcPr>
            <w:tcW w:w="8433" w:type="dxa"/>
            <w:gridSpan w:val="5"/>
            <w:tcBorders>
              <w:top w:val="nil"/>
              <w:left w:val="nil"/>
              <w:bottom w:val="nil"/>
              <w:right w:val="nil"/>
            </w:tcBorders>
            <w:shd w:val="clear" w:color="000000" w:fill="FFFFFF"/>
            <w:noWrap/>
            <w:hideMark/>
          </w:tcPr>
          <w:p>
            <w:pPr>
              <w:rPr>
                <w:rFonts w:eastAsia="Times New Roman"/>
                <w:noProof/>
                <w:sz w:val="12"/>
                <w:szCs w:val="12"/>
                <w:lang w:eastAsia="en-GB"/>
              </w:rPr>
            </w:pPr>
            <w:r>
              <w:rPr>
                <w:rFonts w:eastAsia="Times New Roman"/>
                <w:noProof/>
                <w:sz w:val="12"/>
                <w:szCs w:val="12"/>
                <w:lang w:eastAsia="en-GB"/>
              </w:rPr>
              <w:t>Source Trade G2 Statistics/ISDB from Eurostat BOP statistics</w:t>
            </w:r>
          </w:p>
        </w:tc>
        <w:tc>
          <w:tcPr>
            <w:tcW w:w="911" w:type="dxa"/>
            <w:tcBorders>
              <w:top w:val="nil"/>
              <w:left w:val="nil"/>
              <w:bottom w:val="nil"/>
              <w:right w:val="nil"/>
            </w:tcBorders>
            <w:shd w:val="clear" w:color="000000" w:fill="FFFFFF"/>
            <w:noWrap/>
            <w:vAlign w:val="bottom"/>
            <w:hideMark/>
          </w:tcPr>
          <w:p>
            <w:pPr>
              <w:rPr>
                <w:rFonts w:eastAsia="Times New Roman"/>
                <w:noProof/>
                <w:sz w:val="18"/>
                <w:szCs w:val="18"/>
                <w:lang w:eastAsia="en-GB"/>
              </w:rPr>
            </w:pPr>
            <w:r>
              <w:rPr>
                <w:rFonts w:eastAsia="Times New Roman"/>
                <w:noProof/>
                <w:sz w:val="18"/>
                <w:szCs w:val="18"/>
                <w:lang w:eastAsia="en-GB"/>
              </w:rPr>
              <w:t> </w:t>
            </w:r>
          </w:p>
        </w:tc>
      </w:tr>
      <w:tr>
        <w:trPr>
          <w:trHeight w:val="215"/>
        </w:trPr>
        <w:tc>
          <w:tcPr>
            <w:tcW w:w="9344"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Services trade EU28 with Mozambique (mio €)</w:t>
            </w:r>
          </w:p>
        </w:tc>
      </w:tr>
      <w:tr>
        <w:trPr>
          <w:trHeight w:val="202"/>
        </w:trPr>
        <w:tc>
          <w:tcPr>
            <w:tcW w:w="5031"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5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2013</w:t>
            </w:r>
          </w:p>
        </w:tc>
        <w:tc>
          <w:tcPr>
            <w:tcW w:w="851"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2014</w:t>
            </w:r>
          </w:p>
        </w:tc>
        <w:tc>
          <w:tcPr>
            <w:tcW w:w="85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2015</w:t>
            </w:r>
          </w:p>
        </w:tc>
        <w:tc>
          <w:tcPr>
            <w:tcW w:w="851"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2016</w:t>
            </w:r>
          </w:p>
        </w:tc>
        <w:tc>
          <w:tcPr>
            <w:tcW w:w="911"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2017</w:t>
            </w:r>
          </w:p>
        </w:tc>
      </w:tr>
      <w:tr>
        <w:trPr>
          <w:trHeight w:val="202"/>
        </w:trPr>
        <w:tc>
          <w:tcPr>
            <w:tcW w:w="5031"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Imports</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225</w:t>
            </w:r>
          </w:p>
        </w:tc>
        <w:tc>
          <w:tcPr>
            <w:tcW w:w="85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264</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327</w:t>
            </w:r>
          </w:p>
        </w:tc>
        <w:tc>
          <w:tcPr>
            <w:tcW w:w="85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177</w:t>
            </w:r>
          </w:p>
        </w:tc>
        <w:tc>
          <w:tcPr>
            <w:tcW w:w="91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245</w:t>
            </w:r>
          </w:p>
        </w:tc>
      </w:tr>
      <w:tr>
        <w:trPr>
          <w:trHeight w:val="202"/>
        </w:trPr>
        <w:tc>
          <w:tcPr>
            <w:tcW w:w="5031"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Exports</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600</w:t>
            </w:r>
          </w:p>
        </w:tc>
        <w:tc>
          <w:tcPr>
            <w:tcW w:w="85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718</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970</w:t>
            </w:r>
          </w:p>
        </w:tc>
        <w:tc>
          <w:tcPr>
            <w:tcW w:w="85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580</w:t>
            </w:r>
          </w:p>
        </w:tc>
        <w:tc>
          <w:tcPr>
            <w:tcW w:w="91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471</w:t>
            </w:r>
          </w:p>
        </w:tc>
      </w:tr>
      <w:tr>
        <w:trPr>
          <w:trHeight w:val="202"/>
        </w:trPr>
        <w:tc>
          <w:tcPr>
            <w:tcW w:w="5031"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Balance</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375</w:t>
            </w:r>
          </w:p>
        </w:tc>
        <w:tc>
          <w:tcPr>
            <w:tcW w:w="85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454</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643</w:t>
            </w:r>
          </w:p>
        </w:tc>
        <w:tc>
          <w:tcPr>
            <w:tcW w:w="85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403</w:t>
            </w:r>
          </w:p>
        </w:tc>
        <w:tc>
          <w:tcPr>
            <w:tcW w:w="91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226</w:t>
            </w:r>
          </w:p>
        </w:tc>
      </w:tr>
      <w:tr>
        <w:trPr>
          <w:trHeight w:val="202"/>
        </w:trPr>
        <w:tc>
          <w:tcPr>
            <w:tcW w:w="5031"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Total trade</w:t>
            </w:r>
          </w:p>
        </w:tc>
        <w:tc>
          <w:tcPr>
            <w:tcW w:w="85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825</w:t>
            </w:r>
          </w:p>
        </w:tc>
        <w:tc>
          <w:tcPr>
            <w:tcW w:w="851"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983</w:t>
            </w:r>
          </w:p>
        </w:tc>
        <w:tc>
          <w:tcPr>
            <w:tcW w:w="85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1.297</w:t>
            </w:r>
          </w:p>
        </w:tc>
        <w:tc>
          <w:tcPr>
            <w:tcW w:w="851"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757</w:t>
            </w:r>
          </w:p>
        </w:tc>
        <w:tc>
          <w:tcPr>
            <w:tcW w:w="911"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716</w:t>
            </w:r>
          </w:p>
        </w:tc>
      </w:tr>
      <w:tr>
        <w:trPr>
          <w:trHeight w:val="202"/>
        </w:trPr>
        <w:tc>
          <w:tcPr>
            <w:tcW w:w="5031" w:type="dxa"/>
            <w:tcBorders>
              <w:top w:val="nil"/>
              <w:left w:val="nil"/>
              <w:bottom w:val="nil"/>
              <w:right w:val="nil"/>
            </w:tcBorders>
            <w:shd w:val="clear" w:color="000000" w:fill="FFFFFF"/>
            <w:noWrap/>
            <w:hideMark/>
          </w:tcPr>
          <w:p>
            <w:pPr>
              <w:rPr>
                <w:rFonts w:eastAsia="Times New Roman"/>
                <w:noProof/>
                <w:sz w:val="12"/>
                <w:szCs w:val="12"/>
                <w:lang w:eastAsia="en-GB"/>
              </w:rPr>
            </w:pPr>
            <w:r>
              <w:rPr>
                <w:rFonts w:eastAsia="Times New Roman"/>
                <w:noProof/>
                <w:sz w:val="12"/>
                <w:szCs w:val="12"/>
                <w:lang w:eastAsia="en-GB"/>
              </w:rPr>
              <w:t>Source Trade G2 Statistics/ISDB from Eurostat BOP statistics</w:t>
            </w:r>
          </w:p>
        </w:tc>
        <w:tc>
          <w:tcPr>
            <w:tcW w:w="850" w:type="dxa"/>
            <w:tcBorders>
              <w:top w:val="nil"/>
              <w:left w:val="nil"/>
              <w:bottom w:val="nil"/>
              <w:right w:val="nil"/>
            </w:tcBorders>
            <w:shd w:val="clear" w:color="000000" w:fill="FFFFFF"/>
            <w:noWrap/>
            <w:hideMark/>
          </w:tcPr>
          <w:p>
            <w:pPr>
              <w:rPr>
                <w:rFonts w:eastAsia="Times New Roman"/>
                <w:noProof/>
                <w:sz w:val="12"/>
                <w:szCs w:val="12"/>
                <w:lang w:eastAsia="en-GB"/>
              </w:rPr>
            </w:pPr>
            <w:r>
              <w:rPr>
                <w:rFonts w:eastAsia="Times New Roman"/>
                <w:noProof/>
                <w:sz w:val="12"/>
                <w:szCs w:val="12"/>
                <w:lang w:eastAsia="en-GB"/>
              </w:rPr>
              <w:t> </w:t>
            </w:r>
          </w:p>
        </w:tc>
        <w:tc>
          <w:tcPr>
            <w:tcW w:w="851"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50"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51"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911"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r>
      <w:tr>
        <w:trPr>
          <w:trHeight w:val="202"/>
        </w:trPr>
        <w:tc>
          <w:tcPr>
            <w:tcW w:w="9344"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Foreign Direct Investment (FDI) EU28 with Mozambique (mio €)</w:t>
            </w:r>
          </w:p>
        </w:tc>
      </w:tr>
      <w:tr>
        <w:trPr>
          <w:trHeight w:val="202"/>
        </w:trPr>
        <w:tc>
          <w:tcPr>
            <w:tcW w:w="5031"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50"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2013</w:t>
            </w:r>
          </w:p>
        </w:tc>
        <w:tc>
          <w:tcPr>
            <w:tcW w:w="851"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2014</w:t>
            </w:r>
          </w:p>
        </w:tc>
        <w:tc>
          <w:tcPr>
            <w:tcW w:w="85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2015</w:t>
            </w:r>
          </w:p>
        </w:tc>
        <w:tc>
          <w:tcPr>
            <w:tcW w:w="851"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2016</w:t>
            </w:r>
          </w:p>
        </w:tc>
        <w:tc>
          <w:tcPr>
            <w:tcW w:w="911"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2017</w:t>
            </w:r>
          </w:p>
        </w:tc>
      </w:tr>
      <w:tr>
        <w:trPr>
          <w:trHeight w:val="202"/>
        </w:trPr>
        <w:tc>
          <w:tcPr>
            <w:tcW w:w="9344"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eastAsia="en-GB"/>
              </w:rPr>
            </w:pPr>
            <w:r>
              <w:rPr>
                <w:rFonts w:eastAsia="Times New Roman"/>
                <w:b/>
                <w:bCs/>
                <w:i/>
                <w:iCs/>
                <w:noProof/>
                <w:sz w:val="16"/>
                <w:szCs w:val="16"/>
                <w:lang w:eastAsia="en-GB"/>
              </w:rPr>
              <w:t>FDI Stocks</w:t>
            </w:r>
          </w:p>
        </w:tc>
      </w:tr>
      <w:tr>
        <w:trPr>
          <w:trHeight w:val="202"/>
        </w:trPr>
        <w:tc>
          <w:tcPr>
            <w:tcW w:w="5031"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Inward</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11</w:t>
            </w:r>
          </w:p>
        </w:tc>
        <w:tc>
          <w:tcPr>
            <w:tcW w:w="85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388</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21</w:t>
            </w:r>
          </w:p>
        </w:tc>
        <w:tc>
          <w:tcPr>
            <w:tcW w:w="85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-309</w:t>
            </w:r>
          </w:p>
        </w:tc>
        <w:tc>
          <w:tcPr>
            <w:tcW w:w="91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-105</w:t>
            </w:r>
          </w:p>
        </w:tc>
      </w:tr>
      <w:tr>
        <w:trPr>
          <w:trHeight w:val="202"/>
        </w:trPr>
        <w:tc>
          <w:tcPr>
            <w:tcW w:w="5031"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Outward</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1.463</w:t>
            </w:r>
          </w:p>
        </w:tc>
        <w:tc>
          <w:tcPr>
            <w:tcW w:w="85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1.869</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2.572</w:t>
            </w:r>
          </w:p>
        </w:tc>
        <w:tc>
          <w:tcPr>
            <w:tcW w:w="85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2.367</w:t>
            </w:r>
          </w:p>
        </w:tc>
        <w:tc>
          <w:tcPr>
            <w:tcW w:w="91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1.879</w:t>
            </w:r>
          </w:p>
        </w:tc>
      </w:tr>
      <w:tr>
        <w:trPr>
          <w:trHeight w:val="202"/>
        </w:trPr>
        <w:tc>
          <w:tcPr>
            <w:tcW w:w="9344"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eastAsia="en-GB"/>
              </w:rPr>
            </w:pPr>
            <w:r>
              <w:rPr>
                <w:rFonts w:eastAsia="Times New Roman"/>
                <w:b/>
                <w:bCs/>
                <w:i/>
                <w:iCs/>
                <w:noProof/>
                <w:sz w:val="16"/>
                <w:szCs w:val="16"/>
                <w:lang w:eastAsia="en-GB"/>
              </w:rPr>
              <w:t>FDI Flows</w:t>
            </w:r>
          </w:p>
        </w:tc>
      </w:tr>
      <w:tr>
        <w:trPr>
          <w:trHeight w:val="202"/>
        </w:trPr>
        <w:tc>
          <w:tcPr>
            <w:tcW w:w="5031"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Inward</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10</w:t>
            </w:r>
          </w:p>
        </w:tc>
        <w:tc>
          <w:tcPr>
            <w:tcW w:w="85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w:t>
            </w:r>
          </w:p>
        </w:tc>
        <w:tc>
          <w:tcPr>
            <w:tcW w:w="850"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-405</w:t>
            </w:r>
          </w:p>
        </w:tc>
        <w:tc>
          <w:tcPr>
            <w:tcW w:w="85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-255</w:t>
            </w:r>
          </w:p>
        </w:tc>
        <w:tc>
          <w:tcPr>
            <w:tcW w:w="911"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175</w:t>
            </w:r>
          </w:p>
        </w:tc>
      </w:tr>
      <w:tr>
        <w:trPr>
          <w:trHeight w:val="202"/>
        </w:trPr>
        <w:tc>
          <w:tcPr>
            <w:tcW w:w="5031"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Outward</w:t>
            </w:r>
          </w:p>
        </w:tc>
        <w:tc>
          <w:tcPr>
            <w:tcW w:w="85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132</w:t>
            </w:r>
          </w:p>
        </w:tc>
        <w:tc>
          <w:tcPr>
            <w:tcW w:w="851"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202</w:t>
            </w:r>
          </w:p>
        </w:tc>
        <w:tc>
          <w:tcPr>
            <w:tcW w:w="850"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223</w:t>
            </w:r>
          </w:p>
        </w:tc>
        <w:tc>
          <w:tcPr>
            <w:tcW w:w="851"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67</w:t>
            </w:r>
          </w:p>
        </w:tc>
        <w:tc>
          <w:tcPr>
            <w:tcW w:w="911"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84</w:t>
            </w:r>
          </w:p>
        </w:tc>
      </w:tr>
      <w:tr>
        <w:trPr>
          <w:trHeight w:val="202"/>
        </w:trPr>
        <w:tc>
          <w:tcPr>
            <w:tcW w:w="5031" w:type="dxa"/>
            <w:tcBorders>
              <w:top w:val="single" w:sz="4" w:space="0" w:color="auto"/>
              <w:left w:val="nil"/>
              <w:bottom w:val="nil"/>
              <w:right w:val="nil"/>
            </w:tcBorders>
            <w:shd w:val="clear" w:color="000000" w:fill="FFFFFF"/>
            <w:noWrap/>
            <w:hideMark/>
          </w:tcPr>
          <w:p>
            <w:pPr>
              <w:rPr>
                <w:rFonts w:eastAsia="Times New Roman"/>
                <w:noProof/>
                <w:sz w:val="12"/>
                <w:szCs w:val="12"/>
                <w:lang w:eastAsia="en-GB"/>
              </w:rPr>
            </w:pPr>
            <w:r>
              <w:rPr>
                <w:rFonts w:eastAsia="Times New Roman"/>
                <w:noProof/>
                <w:sz w:val="12"/>
                <w:szCs w:val="12"/>
                <w:lang w:eastAsia="en-GB"/>
              </w:rPr>
              <w:t>Source Trade G2 Statistics/ISDB from Eurostat BOP statistics</w:t>
            </w:r>
          </w:p>
        </w:tc>
        <w:tc>
          <w:tcPr>
            <w:tcW w:w="850" w:type="dxa"/>
            <w:tcBorders>
              <w:top w:val="nil"/>
              <w:left w:val="nil"/>
              <w:bottom w:val="nil"/>
              <w:right w:val="nil"/>
            </w:tcBorders>
            <w:shd w:val="clear" w:color="000000" w:fill="FFFFFF"/>
            <w:noWrap/>
            <w:hideMark/>
          </w:tcPr>
          <w:p>
            <w:pPr>
              <w:rPr>
                <w:rFonts w:eastAsia="Times New Roman"/>
                <w:noProof/>
                <w:sz w:val="12"/>
                <w:szCs w:val="12"/>
                <w:lang w:eastAsia="en-GB"/>
              </w:rPr>
            </w:pPr>
            <w:r>
              <w:rPr>
                <w:rFonts w:eastAsia="Times New Roman"/>
                <w:noProof/>
                <w:sz w:val="12"/>
                <w:szCs w:val="12"/>
                <w:lang w:eastAsia="en-GB"/>
              </w:rPr>
              <w:t> </w:t>
            </w:r>
          </w:p>
        </w:tc>
        <w:tc>
          <w:tcPr>
            <w:tcW w:w="851"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50"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51"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911"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r>
    </w:tbl>
    <w:p>
      <w:pPr>
        <w:pStyle w:val="ChapterHead"/>
        <w:spacing w:after="0"/>
        <w:jc w:val="both"/>
        <w:rPr>
          <w:b/>
          <w:noProof/>
        </w:rPr>
      </w:pPr>
      <w:r>
        <w:rPr>
          <w:b/>
          <w:noProof/>
        </w:rPr>
        <w:t xml:space="preserve"> </w:t>
      </w:r>
    </w:p>
    <w:p>
      <w:pPr>
        <w:rPr>
          <w:b/>
          <w:noProof/>
        </w:rPr>
      </w:pPr>
      <w:bookmarkStart w:id="4269" w:name="_Toc9608315"/>
      <w:r>
        <w:rPr>
          <w:b/>
          <w:noProof/>
        </w:rPr>
        <w:t>Namibia:</w:t>
      </w:r>
      <w:bookmarkEnd w:id="4269"/>
    </w:p>
    <w:tbl>
      <w:tblPr>
        <w:tblW w:w="9096" w:type="dxa"/>
        <w:tblInd w:w="108" w:type="dxa"/>
        <w:tblLook w:val="04A0" w:firstRow="1" w:lastRow="0" w:firstColumn="1" w:lastColumn="0" w:noHBand="0" w:noVBand="1"/>
      </w:tblPr>
      <w:tblGrid>
        <w:gridCol w:w="4688"/>
        <w:gridCol w:w="869"/>
        <w:gridCol w:w="869"/>
        <w:gridCol w:w="869"/>
        <w:gridCol w:w="869"/>
        <w:gridCol w:w="932"/>
      </w:tblGrid>
      <w:tr>
        <w:trPr>
          <w:trHeight w:val="190"/>
        </w:trPr>
        <w:tc>
          <w:tcPr>
            <w:tcW w:w="9096"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Merchandise trade EU28 2014-2018</w:t>
            </w:r>
          </w:p>
        </w:tc>
      </w:tr>
      <w:tr>
        <w:trPr>
          <w:trHeight w:val="190"/>
        </w:trPr>
        <w:tc>
          <w:tcPr>
            <w:tcW w:w="4688" w:type="dxa"/>
            <w:tcBorders>
              <w:top w:val="single" w:sz="4" w:space="0" w:color="auto"/>
              <w:left w:val="nil"/>
              <w:bottom w:val="single" w:sz="4" w:space="0" w:color="auto"/>
              <w:right w:val="nil"/>
            </w:tcBorders>
            <w:shd w:val="clear" w:color="000000" w:fill="FFFFFF"/>
            <w:noWrap/>
            <w:vAlign w:val="bottom"/>
            <w:hideMark/>
          </w:tcPr>
          <w:p>
            <w:pPr>
              <w:rPr>
                <w:rFonts w:eastAsia="Times New Roman"/>
                <w:b/>
                <w:bCs/>
                <w:noProof/>
                <w:sz w:val="16"/>
                <w:szCs w:val="16"/>
                <w:lang w:eastAsia="en-GB"/>
              </w:rPr>
            </w:pPr>
            <w:r>
              <w:rPr>
                <w:rFonts w:eastAsia="Times New Roman"/>
                <w:b/>
                <w:bCs/>
                <w:noProof/>
                <w:sz w:val="16"/>
                <w:szCs w:val="16"/>
                <w:lang w:eastAsia="en-GB"/>
              </w:rPr>
              <w:t> </w:t>
            </w:r>
          </w:p>
        </w:tc>
        <w:tc>
          <w:tcPr>
            <w:tcW w:w="869"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2014</w:t>
            </w:r>
          </w:p>
        </w:tc>
        <w:tc>
          <w:tcPr>
            <w:tcW w:w="869"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2015</w:t>
            </w:r>
          </w:p>
        </w:tc>
        <w:tc>
          <w:tcPr>
            <w:tcW w:w="869"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2016</w:t>
            </w:r>
          </w:p>
        </w:tc>
        <w:tc>
          <w:tcPr>
            <w:tcW w:w="869"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2017</w:t>
            </w:r>
          </w:p>
        </w:tc>
        <w:tc>
          <w:tcPr>
            <w:tcW w:w="932"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2018</w:t>
            </w:r>
          </w:p>
        </w:tc>
      </w:tr>
      <w:tr>
        <w:trPr>
          <w:trHeight w:val="190"/>
        </w:trPr>
        <w:tc>
          <w:tcPr>
            <w:tcW w:w="4688"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EU28 trade with Namibia (mio €)</w:t>
            </w:r>
          </w:p>
        </w:tc>
        <w:tc>
          <w:tcPr>
            <w:tcW w:w="869"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eastAsia="en-GB"/>
              </w:rPr>
            </w:pPr>
          </w:p>
        </w:tc>
        <w:tc>
          <w:tcPr>
            <w:tcW w:w="869"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 </w:t>
            </w:r>
          </w:p>
        </w:tc>
        <w:tc>
          <w:tcPr>
            <w:tcW w:w="869"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 </w:t>
            </w:r>
          </w:p>
        </w:tc>
        <w:tc>
          <w:tcPr>
            <w:tcW w:w="869"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 </w:t>
            </w:r>
          </w:p>
        </w:tc>
        <w:tc>
          <w:tcPr>
            <w:tcW w:w="932"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 </w:t>
            </w:r>
          </w:p>
        </w:tc>
      </w:tr>
      <w:tr>
        <w:trPr>
          <w:trHeight w:val="190"/>
        </w:trPr>
        <w:tc>
          <w:tcPr>
            <w:tcW w:w="4688"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Imports</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963</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1.039</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1.097</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1.308</w:t>
            </w:r>
          </w:p>
        </w:tc>
        <w:tc>
          <w:tcPr>
            <w:tcW w:w="93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1.305</w:t>
            </w:r>
          </w:p>
        </w:tc>
      </w:tr>
      <w:tr>
        <w:trPr>
          <w:trHeight w:val="190"/>
        </w:trPr>
        <w:tc>
          <w:tcPr>
            <w:tcW w:w="4688"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Exports</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586</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404</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372</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493</w:t>
            </w:r>
          </w:p>
        </w:tc>
        <w:tc>
          <w:tcPr>
            <w:tcW w:w="93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430</w:t>
            </w:r>
          </w:p>
        </w:tc>
      </w:tr>
      <w:tr>
        <w:trPr>
          <w:trHeight w:val="190"/>
        </w:trPr>
        <w:tc>
          <w:tcPr>
            <w:tcW w:w="4688"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Balance</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-378</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-635</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-725</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-815</w:t>
            </w:r>
          </w:p>
        </w:tc>
        <w:tc>
          <w:tcPr>
            <w:tcW w:w="93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-875</w:t>
            </w:r>
          </w:p>
        </w:tc>
      </w:tr>
      <w:tr>
        <w:trPr>
          <w:trHeight w:val="190"/>
        </w:trPr>
        <w:tc>
          <w:tcPr>
            <w:tcW w:w="4688"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Share Namibia in EU28 trade with Extra-EU28</w:t>
            </w:r>
          </w:p>
        </w:tc>
        <w:tc>
          <w:tcPr>
            <w:tcW w:w="869"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eastAsia="en-GB"/>
              </w:rPr>
            </w:pPr>
          </w:p>
        </w:tc>
        <w:tc>
          <w:tcPr>
            <w:tcW w:w="869"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 </w:t>
            </w:r>
          </w:p>
        </w:tc>
        <w:tc>
          <w:tcPr>
            <w:tcW w:w="869"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 </w:t>
            </w:r>
          </w:p>
        </w:tc>
        <w:tc>
          <w:tcPr>
            <w:tcW w:w="869"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 </w:t>
            </w:r>
          </w:p>
        </w:tc>
        <w:tc>
          <w:tcPr>
            <w:tcW w:w="932" w:type="dxa"/>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 </w:t>
            </w:r>
          </w:p>
        </w:tc>
      </w:tr>
      <w:tr>
        <w:trPr>
          <w:trHeight w:val="190"/>
        </w:trPr>
        <w:tc>
          <w:tcPr>
            <w:tcW w:w="4688"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Imports</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0,1%</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0,1%</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0,1%</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0,1%</w:t>
            </w:r>
          </w:p>
        </w:tc>
        <w:tc>
          <w:tcPr>
            <w:tcW w:w="93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0,1%</w:t>
            </w:r>
          </w:p>
        </w:tc>
      </w:tr>
      <w:tr>
        <w:trPr>
          <w:trHeight w:val="190"/>
        </w:trPr>
        <w:tc>
          <w:tcPr>
            <w:tcW w:w="4688"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Exports</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0,0%</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0,0%</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0,0%</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0,0%</w:t>
            </w:r>
          </w:p>
        </w:tc>
        <w:tc>
          <w:tcPr>
            <w:tcW w:w="93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0,0%</w:t>
            </w:r>
          </w:p>
        </w:tc>
      </w:tr>
      <w:tr>
        <w:trPr>
          <w:trHeight w:val="190"/>
        </w:trPr>
        <w:tc>
          <w:tcPr>
            <w:tcW w:w="4688"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Total (I+E)</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0,0%</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0,0%</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0,0%</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0,0%</w:t>
            </w:r>
          </w:p>
        </w:tc>
        <w:tc>
          <w:tcPr>
            <w:tcW w:w="93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0,0%</w:t>
            </w:r>
          </w:p>
        </w:tc>
      </w:tr>
      <w:tr>
        <w:trPr>
          <w:trHeight w:val="190"/>
        </w:trPr>
        <w:tc>
          <w:tcPr>
            <w:tcW w:w="9096" w:type="dxa"/>
            <w:gridSpan w:val="6"/>
            <w:tcBorders>
              <w:top w:val="nil"/>
              <w:left w:val="nil"/>
              <w:bottom w:val="nil"/>
              <w:right w:val="nil"/>
            </w:tcBorders>
            <w:shd w:val="clear" w:color="000000" w:fill="FFFFFF"/>
            <w:noWrap/>
            <w:vAlign w:val="center"/>
            <w:hideMark/>
          </w:tcPr>
          <w:p>
            <w:pPr>
              <w:rPr>
                <w:rFonts w:eastAsia="Times New Roman"/>
                <w:b/>
                <w:bCs/>
                <w:i/>
                <w:iCs/>
                <w:noProof/>
                <w:sz w:val="16"/>
                <w:szCs w:val="16"/>
                <w:lang w:eastAsia="en-GB"/>
              </w:rPr>
            </w:pPr>
            <w:r>
              <w:rPr>
                <w:rFonts w:eastAsia="Times New Roman"/>
                <w:b/>
                <w:bCs/>
                <w:i/>
                <w:iCs/>
                <w:noProof/>
                <w:sz w:val="16"/>
                <w:szCs w:val="16"/>
                <w:lang w:eastAsia="en-GB"/>
              </w:rPr>
              <w:t>Share EU28 in trade Namibia with world</w:t>
            </w:r>
          </w:p>
        </w:tc>
      </w:tr>
      <w:tr>
        <w:trPr>
          <w:trHeight w:val="190"/>
        </w:trPr>
        <w:tc>
          <w:tcPr>
            <w:tcW w:w="4688"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Imports</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9,6%</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6,8%</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6,6%</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13,5%</w:t>
            </w:r>
          </w:p>
        </w:tc>
        <w:tc>
          <w:tcPr>
            <w:tcW w:w="93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12,3%</w:t>
            </w:r>
          </w:p>
        </w:tc>
      </w:tr>
      <w:tr>
        <w:trPr>
          <w:trHeight w:val="190"/>
        </w:trPr>
        <w:tc>
          <w:tcPr>
            <w:tcW w:w="4688"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Exports</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11,9%</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15,0%</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17,3%</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20,5%</w:t>
            </w:r>
          </w:p>
        </w:tc>
        <w:tc>
          <w:tcPr>
            <w:tcW w:w="93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37,4%</w:t>
            </w:r>
          </w:p>
        </w:tc>
      </w:tr>
      <w:tr>
        <w:trPr>
          <w:trHeight w:val="190"/>
        </w:trPr>
        <w:tc>
          <w:tcPr>
            <w:tcW w:w="4688"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Total (I+E)</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10,6%</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10,0%</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11,2%</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16,5%</w:t>
            </w:r>
          </w:p>
        </w:tc>
        <w:tc>
          <w:tcPr>
            <w:tcW w:w="93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24,1%</w:t>
            </w:r>
          </w:p>
        </w:tc>
      </w:tr>
      <w:tr>
        <w:trPr>
          <w:trHeight w:val="204"/>
        </w:trPr>
        <w:tc>
          <w:tcPr>
            <w:tcW w:w="6426" w:type="dxa"/>
            <w:gridSpan w:val="3"/>
            <w:tcBorders>
              <w:top w:val="single" w:sz="4" w:space="0" w:color="auto"/>
              <w:left w:val="nil"/>
              <w:bottom w:val="nil"/>
              <w:right w:val="nil"/>
            </w:tcBorders>
            <w:shd w:val="clear" w:color="000000" w:fill="FFFFFF"/>
            <w:noWrap/>
            <w:vAlign w:val="bottom"/>
            <w:hideMark/>
          </w:tcPr>
          <w:p>
            <w:pPr>
              <w:rPr>
                <w:rFonts w:eastAsia="Times New Roman"/>
                <w:noProof/>
                <w:sz w:val="12"/>
                <w:szCs w:val="12"/>
                <w:lang w:eastAsia="en-GB"/>
              </w:rPr>
            </w:pPr>
            <w:r>
              <w:rPr>
                <w:rFonts w:eastAsia="Times New Roman"/>
                <w:noProof/>
                <w:sz w:val="12"/>
                <w:szCs w:val="12"/>
                <w:lang w:eastAsia="en-GB"/>
              </w:rPr>
              <w:t xml:space="preserve">Source Trade G2 Statistics/ISDB </w:t>
            </w:r>
          </w:p>
        </w:tc>
        <w:tc>
          <w:tcPr>
            <w:tcW w:w="869"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eastAsia="en-GB"/>
              </w:rPr>
            </w:pPr>
            <w:r>
              <w:rPr>
                <w:rFonts w:eastAsia="Times New Roman"/>
                <w:noProof/>
                <w:sz w:val="18"/>
                <w:szCs w:val="18"/>
                <w:lang w:eastAsia="en-GB"/>
              </w:rPr>
              <w:t> </w:t>
            </w:r>
          </w:p>
        </w:tc>
        <w:tc>
          <w:tcPr>
            <w:tcW w:w="869"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eastAsia="en-GB"/>
              </w:rPr>
            </w:pPr>
            <w:r>
              <w:rPr>
                <w:rFonts w:eastAsia="Times New Roman"/>
                <w:noProof/>
                <w:sz w:val="18"/>
                <w:szCs w:val="18"/>
                <w:lang w:eastAsia="en-GB"/>
              </w:rPr>
              <w:t> </w:t>
            </w:r>
          </w:p>
        </w:tc>
        <w:tc>
          <w:tcPr>
            <w:tcW w:w="932" w:type="dxa"/>
            <w:tcBorders>
              <w:top w:val="single" w:sz="4" w:space="0" w:color="auto"/>
              <w:left w:val="nil"/>
              <w:bottom w:val="nil"/>
              <w:right w:val="nil"/>
            </w:tcBorders>
            <w:shd w:val="clear" w:color="000000" w:fill="FFFFFF"/>
            <w:noWrap/>
            <w:hideMark/>
          </w:tcPr>
          <w:p>
            <w:pPr>
              <w:jc w:val="right"/>
              <w:rPr>
                <w:rFonts w:eastAsia="Times New Roman"/>
                <w:noProof/>
                <w:sz w:val="12"/>
                <w:szCs w:val="12"/>
                <w:lang w:eastAsia="en-GB"/>
              </w:rPr>
            </w:pPr>
            <w:r>
              <w:rPr>
                <w:rFonts w:eastAsia="Times New Roman"/>
                <w:noProof/>
                <w:sz w:val="12"/>
                <w:szCs w:val="12"/>
                <w:lang w:eastAsia="en-GB"/>
              </w:rPr>
              <w:t>25-mars-19</w:t>
            </w:r>
          </w:p>
        </w:tc>
      </w:tr>
      <w:tr>
        <w:trPr>
          <w:trHeight w:val="190"/>
        </w:trPr>
        <w:tc>
          <w:tcPr>
            <w:tcW w:w="7295" w:type="dxa"/>
            <w:gridSpan w:val="4"/>
            <w:tcBorders>
              <w:top w:val="nil"/>
              <w:left w:val="nil"/>
              <w:bottom w:val="nil"/>
              <w:right w:val="nil"/>
            </w:tcBorders>
            <w:shd w:val="clear" w:color="000000" w:fill="FFFFFF"/>
            <w:noWrap/>
            <w:hideMark/>
          </w:tcPr>
          <w:p>
            <w:pPr>
              <w:rPr>
                <w:rFonts w:eastAsia="Times New Roman"/>
                <w:noProof/>
                <w:color w:val="000000"/>
                <w:sz w:val="12"/>
                <w:szCs w:val="12"/>
                <w:lang w:eastAsia="en-GB"/>
              </w:rPr>
            </w:pPr>
            <w:r>
              <w:rPr>
                <w:rFonts w:eastAsia="Times New Roman"/>
                <w:noProof/>
                <w:color w:val="000000"/>
                <w:sz w:val="12"/>
                <w:szCs w:val="12"/>
                <w:lang w:eastAsia="en-GB"/>
              </w:rPr>
              <w:t>Trade EU28: Eurostat COMEXT;  Trade Namibia: IMF Dots</w:t>
            </w:r>
          </w:p>
        </w:tc>
        <w:tc>
          <w:tcPr>
            <w:tcW w:w="869" w:type="dxa"/>
            <w:tcBorders>
              <w:top w:val="nil"/>
              <w:left w:val="nil"/>
              <w:bottom w:val="nil"/>
              <w:right w:val="nil"/>
            </w:tcBorders>
            <w:shd w:val="clear" w:color="000000" w:fill="FFFFFF"/>
            <w:noWrap/>
            <w:vAlign w:val="bottom"/>
            <w:hideMark/>
          </w:tcPr>
          <w:p>
            <w:pPr>
              <w:rPr>
                <w:rFonts w:eastAsia="Times New Roman"/>
                <w:noProof/>
                <w:color w:val="000000"/>
                <w:sz w:val="16"/>
                <w:szCs w:val="16"/>
                <w:lang w:eastAsia="en-GB"/>
              </w:rPr>
            </w:pPr>
            <w:r>
              <w:rPr>
                <w:rFonts w:eastAsia="Times New Roman"/>
                <w:noProof/>
                <w:color w:val="000000"/>
                <w:sz w:val="16"/>
                <w:szCs w:val="16"/>
                <w:lang w:eastAsia="en-GB"/>
              </w:rPr>
              <w:t> </w:t>
            </w:r>
          </w:p>
        </w:tc>
        <w:tc>
          <w:tcPr>
            <w:tcW w:w="932" w:type="dxa"/>
            <w:tcBorders>
              <w:top w:val="nil"/>
              <w:left w:val="nil"/>
              <w:bottom w:val="nil"/>
              <w:right w:val="nil"/>
            </w:tcBorders>
            <w:shd w:val="clear" w:color="000000" w:fill="FFFFFF"/>
            <w:noWrap/>
            <w:vAlign w:val="bottom"/>
            <w:hideMark/>
          </w:tcPr>
          <w:p>
            <w:pPr>
              <w:rPr>
                <w:rFonts w:eastAsia="Times New Roman"/>
                <w:noProof/>
                <w:color w:val="000000"/>
                <w:sz w:val="16"/>
                <w:szCs w:val="16"/>
                <w:lang w:eastAsia="en-GB"/>
              </w:rPr>
            </w:pPr>
            <w:r>
              <w:rPr>
                <w:rFonts w:eastAsia="Times New Roman"/>
                <w:noProof/>
                <w:color w:val="000000"/>
                <w:sz w:val="16"/>
                <w:szCs w:val="16"/>
                <w:lang w:eastAsia="en-GB"/>
              </w:rPr>
              <w:t> </w:t>
            </w:r>
          </w:p>
        </w:tc>
      </w:tr>
      <w:tr>
        <w:trPr>
          <w:trHeight w:val="190"/>
        </w:trPr>
        <w:tc>
          <w:tcPr>
            <w:tcW w:w="4688" w:type="dxa"/>
            <w:tcBorders>
              <w:top w:val="nil"/>
              <w:left w:val="nil"/>
              <w:bottom w:val="nil"/>
              <w:right w:val="nil"/>
            </w:tcBorders>
            <w:shd w:val="clear" w:color="000000" w:fill="FFFFFF"/>
            <w:noWrap/>
            <w:vAlign w:val="bottom"/>
            <w:hideMark/>
          </w:tcPr>
          <w:p>
            <w:pPr>
              <w:rPr>
                <w:rFonts w:eastAsia="Times New Roman"/>
                <w:noProof/>
                <w:color w:val="000000"/>
                <w:sz w:val="16"/>
                <w:szCs w:val="16"/>
                <w:lang w:eastAsia="en-GB"/>
              </w:rPr>
            </w:pPr>
            <w:r>
              <w:rPr>
                <w:rFonts w:eastAsia="Times New Roman"/>
                <w:noProof/>
                <w:color w:val="000000"/>
                <w:sz w:val="16"/>
                <w:szCs w:val="16"/>
                <w:lang w:eastAsia="en-GB"/>
              </w:rPr>
              <w:t> </w:t>
            </w:r>
          </w:p>
        </w:tc>
        <w:tc>
          <w:tcPr>
            <w:tcW w:w="869" w:type="dxa"/>
            <w:tcBorders>
              <w:top w:val="nil"/>
              <w:left w:val="nil"/>
              <w:bottom w:val="nil"/>
              <w:right w:val="nil"/>
            </w:tcBorders>
            <w:shd w:val="clear" w:color="000000" w:fill="FFFFFF"/>
            <w:noWrap/>
            <w:vAlign w:val="bottom"/>
            <w:hideMark/>
          </w:tcPr>
          <w:p>
            <w:pPr>
              <w:rPr>
                <w:rFonts w:eastAsia="Times New Roman"/>
                <w:noProof/>
                <w:color w:val="000000"/>
                <w:sz w:val="16"/>
                <w:szCs w:val="16"/>
                <w:lang w:eastAsia="en-GB"/>
              </w:rPr>
            </w:pPr>
            <w:r>
              <w:rPr>
                <w:rFonts w:eastAsia="Times New Roman"/>
                <w:noProof/>
                <w:color w:val="000000"/>
                <w:sz w:val="16"/>
                <w:szCs w:val="16"/>
                <w:lang w:eastAsia="en-GB"/>
              </w:rPr>
              <w:t> </w:t>
            </w:r>
          </w:p>
        </w:tc>
        <w:tc>
          <w:tcPr>
            <w:tcW w:w="869" w:type="dxa"/>
            <w:tcBorders>
              <w:top w:val="nil"/>
              <w:left w:val="nil"/>
              <w:bottom w:val="nil"/>
              <w:right w:val="nil"/>
            </w:tcBorders>
            <w:shd w:val="clear" w:color="000000" w:fill="FFFFFF"/>
            <w:noWrap/>
            <w:vAlign w:val="bottom"/>
            <w:hideMark/>
          </w:tcPr>
          <w:p>
            <w:pPr>
              <w:rPr>
                <w:rFonts w:eastAsia="Times New Roman"/>
                <w:noProof/>
                <w:color w:val="000000"/>
                <w:sz w:val="16"/>
                <w:szCs w:val="16"/>
                <w:lang w:eastAsia="en-GB"/>
              </w:rPr>
            </w:pPr>
            <w:r>
              <w:rPr>
                <w:rFonts w:eastAsia="Times New Roman"/>
                <w:noProof/>
                <w:color w:val="000000"/>
                <w:sz w:val="16"/>
                <w:szCs w:val="16"/>
                <w:lang w:eastAsia="en-GB"/>
              </w:rPr>
              <w:t> </w:t>
            </w:r>
          </w:p>
        </w:tc>
        <w:tc>
          <w:tcPr>
            <w:tcW w:w="869" w:type="dxa"/>
            <w:tcBorders>
              <w:top w:val="nil"/>
              <w:left w:val="nil"/>
              <w:bottom w:val="nil"/>
              <w:right w:val="nil"/>
            </w:tcBorders>
            <w:shd w:val="clear" w:color="000000" w:fill="FFFFFF"/>
            <w:noWrap/>
            <w:vAlign w:val="bottom"/>
            <w:hideMark/>
          </w:tcPr>
          <w:p>
            <w:pPr>
              <w:rPr>
                <w:rFonts w:eastAsia="Times New Roman"/>
                <w:noProof/>
                <w:color w:val="000000"/>
                <w:sz w:val="16"/>
                <w:szCs w:val="16"/>
                <w:lang w:eastAsia="en-GB"/>
              </w:rPr>
            </w:pPr>
            <w:r>
              <w:rPr>
                <w:rFonts w:eastAsia="Times New Roman"/>
                <w:noProof/>
                <w:color w:val="000000"/>
                <w:sz w:val="16"/>
                <w:szCs w:val="16"/>
                <w:lang w:eastAsia="en-GB"/>
              </w:rPr>
              <w:t> </w:t>
            </w:r>
          </w:p>
        </w:tc>
        <w:tc>
          <w:tcPr>
            <w:tcW w:w="869" w:type="dxa"/>
            <w:tcBorders>
              <w:top w:val="nil"/>
              <w:left w:val="nil"/>
              <w:bottom w:val="nil"/>
              <w:right w:val="nil"/>
            </w:tcBorders>
            <w:shd w:val="clear" w:color="000000" w:fill="FFFFFF"/>
            <w:noWrap/>
            <w:vAlign w:val="bottom"/>
            <w:hideMark/>
          </w:tcPr>
          <w:p>
            <w:pPr>
              <w:rPr>
                <w:rFonts w:eastAsia="Times New Roman"/>
                <w:noProof/>
                <w:color w:val="000000"/>
                <w:sz w:val="16"/>
                <w:szCs w:val="16"/>
                <w:lang w:eastAsia="en-GB"/>
              </w:rPr>
            </w:pPr>
            <w:r>
              <w:rPr>
                <w:rFonts w:eastAsia="Times New Roman"/>
                <w:noProof/>
                <w:color w:val="000000"/>
                <w:sz w:val="16"/>
                <w:szCs w:val="16"/>
                <w:lang w:eastAsia="en-GB"/>
              </w:rPr>
              <w:t> </w:t>
            </w:r>
          </w:p>
        </w:tc>
        <w:tc>
          <w:tcPr>
            <w:tcW w:w="932" w:type="dxa"/>
            <w:tcBorders>
              <w:top w:val="nil"/>
              <w:left w:val="nil"/>
              <w:bottom w:val="nil"/>
              <w:right w:val="nil"/>
            </w:tcBorders>
            <w:shd w:val="clear" w:color="000000" w:fill="FFFFFF"/>
            <w:noWrap/>
            <w:vAlign w:val="bottom"/>
            <w:hideMark/>
          </w:tcPr>
          <w:p>
            <w:pPr>
              <w:rPr>
                <w:rFonts w:eastAsia="Times New Roman"/>
                <w:noProof/>
                <w:color w:val="000000"/>
                <w:sz w:val="16"/>
                <w:szCs w:val="16"/>
                <w:lang w:eastAsia="en-GB"/>
              </w:rPr>
            </w:pPr>
            <w:r>
              <w:rPr>
                <w:rFonts w:eastAsia="Times New Roman"/>
                <w:noProof/>
                <w:color w:val="000000"/>
                <w:sz w:val="16"/>
                <w:szCs w:val="16"/>
                <w:lang w:eastAsia="en-GB"/>
              </w:rPr>
              <w:t> </w:t>
            </w:r>
          </w:p>
        </w:tc>
      </w:tr>
      <w:tr>
        <w:trPr>
          <w:trHeight w:val="204"/>
        </w:trPr>
        <w:tc>
          <w:tcPr>
            <w:tcW w:w="9096"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Total merchandise trade EU28 with Namibia (mio €)</w:t>
            </w:r>
          </w:p>
        </w:tc>
      </w:tr>
      <w:tr>
        <w:trPr>
          <w:trHeight w:val="204"/>
        </w:trPr>
        <w:tc>
          <w:tcPr>
            <w:tcW w:w="5557"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eastAsia="en-GB"/>
              </w:rPr>
            </w:pPr>
            <w:r>
              <w:rPr>
                <w:rFonts w:eastAsia="Times New Roman"/>
                <w:b/>
                <w:bCs/>
                <w:noProof/>
                <w:sz w:val="16"/>
                <w:szCs w:val="16"/>
                <w:lang w:eastAsia="en-GB"/>
              </w:rPr>
              <w:t>Namibia</w:t>
            </w:r>
          </w:p>
        </w:tc>
        <w:tc>
          <w:tcPr>
            <w:tcW w:w="869"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2017</w:t>
            </w:r>
          </w:p>
        </w:tc>
        <w:tc>
          <w:tcPr>
            <w:tcW w:w="869"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2018</w:t>
            </w:r>
          </w:p>
        </w:tc>
        <w:tc>
          <w:tcPr>
            <w:tcW w:w="1801"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Growth</w:t>
            </w:r>
          </w:p>
        </w:tc>
      </w:tr>
      <w:tr>
        <w:trPr>
          <w:trHeight w:val="204"/>
        </w:trPr>
        <w:tc>
          <w:tcPr>
            <w:tcW w:w="5557"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869"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869"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869"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mio €</w:t>
            </w:r>
          </w:p>
        </w:tc>
        <w:tc>
          <w:tcPr>
            <w:tcW w:w="932"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annual %</w:t>
            </w:r>
          </w:p>
        </w:tc>
      </w:tr>
      <w:tr>
        <w:trPr>
          <w:trHeight w:val="204"/>
        </w:trPr>
        <w:tc>
          <w:tcPr>
            <w:tcW w:w="4688"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Imports</w:t>
            </w:r>
          </w:p>
        </w:tc>
        <w:tc>
          <w:tcPr>
            <w:tcW w:w="86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1.308</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1.305</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w:t>
            </w:r>
          </w:p>
        </w:tc>
        <w:tc>
          <w:tcPr>
            <w:tcW w:w="93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-0,2%</w:t>
            </w:r>
          </w:p>
        </w:tc>
      </w:tr>
      <w:tr>
        <w:trPr>
          <w:trHeight w:val="204"/>
        </w:trPr>
        <w:tc>
          <w:tcPr>
            <w:tcW w:w="4688"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Exports</w:t>
            </w:r>
          </w:p>
        </w:tc>
        <w:tc>
          <w:tcPr>
            <w:tcW w:w="86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493</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430</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-63</w:t>
            </w:r>
          </w:p>
        </w:tc>
        <w:tc>
          <w:tcPr>
            <w:tcW w:w="93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-12,7%</w:t>
            </w:r>
          </w:p>
        </w:tc>
      </w:tr>
      <w:tr>
        <w:trPr>
          <w:trHeight w:val="204"/>
        </w:trPr>
        <w:tc>
          <w:tcPr>
            <w:tcW w:w="4688"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Balance</w:t>
            </w:r>
          </w:p>
        </w:tc>
        <w:tc>
          <w:tcPr>
            <w:tcW w:w="86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-815</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-875</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-60</w:t>
            </w:r>
          </w:p>
        </w:tc>
        <w:tc>
          <w:tcPr>
            <w:tcW w:w="932"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r>
      <w:tr>
        <w:trPr>
          <w:trHeight w:val="204"/>
        </w:trPr>
        <w:tc>
          <w:tcPr>
            <w:tcW w:w="4688"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Total trade</w:t>
            </w:r>
          </w:p>
        </w:tc>
        <w:tc>
          <w:tcPr>
            <w:tcW w:w="869"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69"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1.800</w:t>
            </w:r>
          </w:p>
        </w:tc>
        <w:tc>
          <w:tcPr>
            <w:tcW w:w="869"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1.735</w:t>
            </w:r>
          </w:p>
        </w:tc>
        <w:tc>
          <w:tcPr>
            <w:tcW w:w="869"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-65</w:t>
            </w:r>
          </w:p>
        </w:tc>
        <w:tc>
          <w:tcPr>
            <w:tcW w:w="932"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-3,6%</w:t>
            </w:r>
          </w:p>
        </w:tc>
      </w:tr>
      <w:tr>
        <w:trPr>
          <w:trHeight w:val="218"/>
        </w:trPr>
        <w:tc>
          <w:tcPr>
            <w:tcW w:w="7295"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eastAsia="en-GB"/>
              </w:rPr>
            </w:pPr>
            <w:r>
              <w:rPr>
                <w:rFonts w:eastAsia="Times New Roman"/>
                <w:noProof/>
                <w:sz w:val="12"/>
                <w:szCs w:val="12"/>
                <w:lang w:eastAsia="en-GB"/>
              </w:rPr>
              <w:t>Source Trade G2 Statistics/ISDB from Eurostat COMEXT</w:t>
            </w:r>
          </w:p>
        </w:tc>
        <w:tc>
          <w:tcPr>
            <w:tcW w:w="869" w:type="dxa"/>
            <w:tcBorders>
              <w:top w:val="nil"/>
              <w:left w:val="nil"/>
              <w:bottom w:val="nil"/>
              <w:right w:val="nil"/>
            </w:tcBorders>
            <w:shd w:val="clear" w:color="000000" w:fill="FFFFFF"/>
            <w:noWrap/>
            <w:vAlign w:val="bottom"/>
            <w:hideMark/>
          </w:tcPr>
          <w:p>
            <w:pPr>
              <w:rPr>
                <w:rFonts w:eastAsia="Times New Roman"/>
                <w:noProof/>
                <w:sz w:val="18"/>
                <w:szCs w:val="18"/>
                <w:lang w:eastAsia="en-GB"/>
              </w:rPr>
            </w:pPr>
            <w:r>
              <w:rPr>
                <w:rFonts w:eastAsia="Times New Roman"/>
                <w:noProof/>
                <w:sz w:val="18"/>
                <w:szCs w:val="18"/>
                <w:lang w:eastAsia="en-GB"/>
              </w:rPr>
              <w:t> </w:t>
            </w:r>
          </w:p>
        </w:tc>
        <w:tc>
          <w:tcPr>
            <w:tcW w:w="932" w:type="dxa"/>
            <w:tcBorders>
              <w:top w:val="nil"/>
              <w:left w:val="nil"/>
              <w:bottom w:val="nil"/>
              <w:right w:val="nil"/>
            </w:tcBorders>
            <w:shd w:val="clear" w:color="000000" w:fill="FFFFFF"/>
            <w:noWrap/>
            <w:vAlign w:val="bottom"/>
            <w:hideMark/>
          </w:tcPr>
          <w:p>
            <w:pPr>
              <w:rPr>
                <w:rFonts w:eastAsia="Times New Roman"/>
                <w:noProof/>
                <w:sz w:val="18"/>
                <w:szCs w:val="18"/>
                <w:lang w:eastAsia="en-GB"/>
              </w:rPr>
            </w:pPr>
            <w:r>
              <w:rPr>
                <w:rFonts w:eastAsia="Times New Roman"/>
                <w:noProof/>
                <w:sz w:val="18"/>
                <w:szCs w:val="18"/>
                <w:lang w:eastAsia="en-GB"/>
              </w:rPr>
              <w:t> </w:t>
            </w:r>
          </w:p>
        </w:tc>
      </w:tr>
      <w:tr>
        <w:trPr>
          <w:trHeight w:val="204"/>
        </w:trPr>
        <w:tc>
          <w:tcPr>
            <w:tcW w:w="9096"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Agrifood trade EU28 with Namibia (mio €)</w:t>
            </w:r>
          </w:p>
        </w:tc>
      </w:tr>
      <w:tr>
        <w:trPr>
          <w:trHeight w:val="231"/>
        </w:trPr>
        <w:tc>
          <w:tcPr>
            <w:tcW w:w="5557"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eastAsia="en-GB"/>
              </w:rPr>
            </w:pPr>
            <w:r>
              <w:rPr>
                <w:rFonts w:eastAsia="Times New Roman"/>
                <w:b/>
                <w:bCs/>
                <w:noProof/>
                <w:sz w:val="16"/>
                <w:szCs w:val="16"/>
                <w:lang w:eastAsia="en-GB"/>
              </w:rPr>
              <w:t>Namibia</w:t>
            </w:r>
          </w:p>
        </w:tc>
        <w:tc>
          <w:tcPr>
            <w:tcW w:w="869"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2017</w:t>
            </w:r>
          </w:p>
        </w:tc>
        <w:tc>
          <w:tcPr>
            <w:tcW w:w="869"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2018</w:t>
            </w:r>
          </w:p>
        </w:tc>
        <w:tc>
          <w:tcPr>
            <w:tcW w:w="1801"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Growth</w:t>
            </w:r>
          </w:p>
        </w:tc>
      </w:tr>
      <w:tr>
        <w:trPr>
          <w:trHeight w:val="204"/>
        </w:trPr>
        <w:tc>
          <w:tcPr>
            <w:tcW w:w="5557"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869"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869"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869"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mio €</w:t>
            </w:r>
          </w:p>
        </w:tc>
        <w:tc>
          <w:tcPr>
            <w:tcW w:w="932"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annual %</w:t>
            </w:r>
          </w:p>
        </w:tc>
      </w:tr>
      <w:tr>
        <w:trPr>
          <w:trHeight w:val="204"/>
        </w:trPr>
        <w:tc>
          <w:tcPr>
            <w:tcW w:w="4688"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Imports</w:t>
            </w:r>
          </w:p>
        </w:tc>
        <w:tc>
          <w:tcPr>
            <w:tcW w:w="86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96</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104</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8</w:t>
            </w:r>
          </w:p>
        </w:tc>
        <w:tc>
          <w:tcPr>
            <w:tcW w:w="93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8,2%</w:t>
            </w:r>
          </w:p>
        </w:tc>
      </w:tr>
      <w:tr>
        <w:trPr>
          <w:trHeight w:val="204"/>
        </w:trPr>
        <w:tc>
          <w:tcPr>
            <w:tcW w:w="4688"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Exports</w:t>
            </w:r>
          </w:p>
        </w:tc>
        <w:tc>
          <w:tcPr>
            <w:tcW w:w="86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46</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41</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-5</w:t>
            </w:r>
          </w:p>
        </w:tc>
        <w:tc>
          <w:tcPr>
            <w:tcW w:w="93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-11,5%</w:t>
            </w:r>
          </w:p>
        </w:tc>
      </w:tr>
      <w:tr>
        <w:trPr>
          <w:trHeight w:val="204"/>
        </w:trPr>
        <w:tc>
          <w:tcPr>
            <w:tcW w:w="4688"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Balance</w:t>
            </w:r>
          </w:p>
        </w:tc>
        <w:tc>
          <w:tcPr>
            <w:tcW w:w="86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-50</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-63</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-13</w:t>
            </w:r>
          </w:p>
        </w:tc>
        <w:tc>
          <w:tcPr>
            <w:tcW w:w="932"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r>
      <w:tr>
        <w:trPr>
          <w:trHeight w:val="204"/>
        </w:trPr>
        <w:tc>
          <w:tcPr>
            <w:tcW w:w="4688"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Total trade</w:t>
            </w:r>
          </w:p>
        </w:tc>
        <w:tc>
          <w:tcPr>
            <w:tcW w:w="86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69"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142</w:t>
            </w:r>
          </w:p>
        </w:tc>
        <w:tc>
          <w:tcPr>
            <w:tcW w:w="869"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144</w:t>
            </w:r>
          </w:p>
        </w:tc>
        <w:tc>
          <w:tcPr>
            <w:tcW w:w="869"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w:t>
            </w:r>
          </w:p>
        </w:tc>
        <w:tc>
          <w:tcPr>
            <w:tcW w:w="932"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1,8%</w:t>
            </w:r>
          </w:p>
        </w:tc>
      </w:tr>
      <w:tr>
        <w:trPr>
          <w:trHeight w:val="218"/>
        </w:trPr>
        <w:tc>
          <w:tcPr>
            <w:tcW w:w="7295"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eastAsia="en-GB"/>
              </w:rPr>
            </w:pPr>
            <w:r>
              <w:rPr>
                <w:rFonts w:eastAsia="Times New Roman"/>
                <w:noProof/>
                <w:sz w:val="12"/>
                <w:szCs w:val="12"/>
                <w:lang w:eastAsia="en-GB"/>
              </w:rPr>
              <w:t>Source Trade G2 Statistics/ISDB from Eurostat COMEXT</w:t>
            </w:r>
          </w:p>
        </w:tc>
        <w:tc>
          <w:tcPr>
            <w:tcW w:w="869" w:type="dxa"/>
            <w:tcBorders>
              <w:top w:val="nil"/>
              <w:left w:val="nil"/>
              <w:bottom w:val="nil"/>
              <w:right w:val="nil"/>
            </w:tcBorders>
            <w:shd w:val="clear" w:color="000000" w:fill="FFFFFF"/>
            <w:noWrap/>
            <w:vAlign w:val="bottom"/>
            <w:hideMark/>
          </w:tcPr>
          <w:p>
            <w:pPr>
              <w:rPr>
                <w:rFonts w:eastAsia="Times New Roman"/>
                <w:noProof/>
                <w:sz w:val="18"/>
                <w:szCs w:val="18"/>
                <w:lang w:eastAsia="en-GB"/>
              </w:rPr>
            </w:pPr>
            <w:r>
              <w:rPr>
                <w:rFonts w:eastAsia="Times New Roman"/>
                <w:noProof/>
                <w:sz w:val="18"/>
                <w:szCs w:val="18"/>
                <w:lang w:eastAsia="en-GB"/>
              </w:rPr>
              <w:t> </w:t>
            </w:r>
          </w:p>
        </w:tc>
        <w:tc>
          <w:tcPr>
            <w:tcW w:w="932" w:type="dxa"/>
            <w:tcBorders>
              <w:top w:val="nil"/>
              <w:left w:val="nil"/>
              <w:bottom w:val="nil"/>
              <w:right w:val="nil"/>
            </w:tcBorders>
            <w:shd w:val="clear" w:color="000000" w:fill="FFFFFF"/>
            <w:noWrap/>
            <w:vAlign w:val="bottom"/>
            <w:hideMark/>
          </w:tcPr>
          <w:p>
            <w:pPr>
              <w:rPr>
                <w:rFonts w:eastAsia="Times New Roman"/>
                <w:noProof/>
                <w:sz w:val="18"/>
                <w:szCs w:val="18"/>
                <w:lang w:eastAsia="en-GB"/>
              </w:rPr>
            </w:pPr>
            <w:r>
              <w:rPr>
                <w:rFonts w:eastAsia="Times New Roman"/>
                <w:noProof/>
                <w:sz w:val="18"/>
                <w:szCs w:val="18"/>
                <w:lang w:eastAsia="en-GB"/>
              </w:rPr>
              <w:t> </w:t>
            </w:r>
          </w:p>
        </w:tc>
      </w:tr>
      <w:tr>
        <w:trPr>
          <w:trHeight w:val="204"/>
        </w:trPr>
        <w:tc>
          <w:tcPr>
            <w:tcW w:w="9096"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NAMA trade EU28 with Namibia (mio €)</w:t>
            </w:r>
          </w:p>
        </w:tc>
      </w:tr>
      <w:tr>
        <w:trPr>
          <w:trHeight w:val="204"/>
        </w:trPr>
        <w:tc>
          <w:tcPr>
            <w:tcW w:w="5557"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eastAsia="en-GB"/>
              </w:rPr>
            </w:pPr>
            <w:r>
              <w:rPr>
                <w:rFonts w:eastAsia="Times New Roman"/>
                <w:b/>
                <w:bCs/>
                <w:noProof/>
                <w:sz w:val="16"/>
                <w:szCs w:val="16"/>
                <w:lang w:eastAsia="en-GB"/>
              </w:rPr>
              <w:t>Namibia</w:t>
            </w:r>
          </w:p>
        </w:tc>
        <w:tc>
          <w:tcPr>
            <w:tcW w:w="869"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2017</w:t>
            </w:r>
          </w:p>
        </w:tc>
        <w:tc>
          <w:tcPr>
            <w:tcW w:w="869"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2018</w:t>
            </w:r>
          </w:p>
        </w:tc>
        <w:tc>
          <w:tcPr>
            <w:tcW w:w="1801"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Growth</w:t>
            </w:r>
          </w:p>
        </w:tc>
      </w:tr>
      <w:tr>
        <w:trPr>
          <w:trHeight w:val="204"/>
        </w:trPr>
        <w:tc>
          <w:tcPr>
            <w:tcW w:w="5557"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869"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869"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869"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mio €</w:t>
            </w:r>
          </w:p>
        </w:tc>
        <w:tc>
          <w:tcPr>
            <w:tcW w:w="932"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annual %</w:t>
            </w:r>
          </w:p>
        </w:tc>
      </w:tr>
      <w:tr>
        <w:trPr>
          <w:trHeight w:val="204"/>
        </w:trPr>
        <w:tc>
          <w:tcPr>
            <w:tcW w:w="5557" w:type="dxa"/>
            <w:gridSpan w:val="2"/>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EU28 imports</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1.212</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1.201</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-11</w:t>
            </w:r>
          </w:p>
        </w:tc>
        <w:tc>
          <w:tcPr>
            <w:tcW w:w="93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-0,9%</w:t>
            </w:r>
          </w:p>
        </w:tc>
      </w:tr>
      <w:tr>
        <w:trPr>
          <w:trHeight w:val="204"/>
        </w:trPr>
        <w:tc>
          <w:tcPr>
            <w:tcW w:w="5557" w:type="dxa"/>
            <w:gridSpan w:val="2"/>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EU28 exports</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447</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390</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-57</w:t>
            </w:r>
          </w:p>
        </w:tc>
        <w:tc>
          <w:tcPr>
            <w:tcW w:w="93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-12,8%</w:t>
            </w:r>
          </w:p>
        </w:tc>
      </w:tr>
      <w:tr>
        <w:trPr>
          <w:trHeight w:val="204"/>
        </w:trPr>
        <w:tc>
          <w:tcPr>
            <w:tcW w:w="4688"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Balance</w:t>
            </w:r>
          </w:p>
        </w:tc>
        <w:tc>
          <w:tcPr>
            <w:tcW w:w="86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-765</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-812</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-47</w:t>
            </w:r>
          </w:p>
        </w:tc>
        <w:tc>
          <w:tcPr>
            <w:tcW w:w="932"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r>
      <w:tr>
        <w:trPr>
          <w:trHeight w:val="204"/>
        </w:trPr>
        <w:tc>
          <w:tcPr>
            <w:tcW w:w="4688"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Total trade</w:t>
            </w:r>
          </w:p>
        </w:tc>
        <w:tc>
          <w:tcPr>
            <w:tcW w:w="86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1.659</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1.591</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-68</w:t>
            </w:r>
          </w:p>
        </w:tc>
        <w:tc>
          <w:tcPr>
            <w:tcW w:w="932"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-4,1%</w:t>
            </w:r>
          </w:p>
        </w:tc>
      </w:tr>
      <w:tr>
        <w:trPr>
          <w:trHeight w:val="218"/>
        </w:trPr>
        <w:tc>
          <w:tcPr>
            <w:tcW w:w="7295"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eastAsia="en-GB"/>
              </w:rPr>
            </w:pPr>
            <w:r>
              <w:rPr>
                <w:rFonts w:eastAsia="Times New Roman"/>
                <w:noProof/>
                <w:sz w:val="12"/>
                <w:szCs w:val="12"/>
                <w:lang w:eastAsia="en-GB"/>
              </w:rPr>
              <w:t>Source Trade G2 Statistics/ISDB from Eurostat COMEXT</w:t>
            </w:r>
          </w:p>
        </w:tc>
        <w:tc>
          <w:tcPr>
            <w:tcW w:w="869" w:type="dxa"/>
            <w:tcBorders>
              <w:top w:val="single" w:sz="4" w:space="0" w:color="auto"/>
              <w:left w:val="nil"/>
              <w:bottom w:val="nil"/>
              <w:right w:val="nil"/>
            </w:tcBorders>
            <w:shd w:val="clear" w:color="000000" w:fill="FFFFFF"/>
            <w:noWrap/>
            <w:vAlign w:val="bottom"/>
            <w:hideMark/>
          </w:tcPr>
          <w:p>
            <w:pPr>
              <w:rPr>
                <w:rFonts w:eastAsia="Times New Roman"/>
                <w:noProof/>
                <w:sz w:val="18"/>
                <w:szCs w:val="18"/>
                <w:lang w:eastAsia="en-GB"/>
              </w:rPr>
            </w:pPr>
            <w:r>
              <w:rPr>
                <w:rFonts w:eastAsia="Times New Roman"/>
                <w:noProof/>
                <w:sz w:val="18"/>
                <w:szCs w:val="18"/>
                <w:lang w:eastAsia="en-GB"/>
              </w:rPr>
              <w:t> </w:t>
            </w:r>
          </w:p>
        </w:tc>
        <w:tc>
          <w:tcPr>
            <w:tcW w:w="932" w:type="dxa"/>
            <w:tcBorders>
              <w:top w:val="nil"/>
              <w:left w:val="nil"/>
              <w:bottom w:val="nil"/>
              <w:right w:val="nil"/>
            </w:tcBorders>
            <w:shd w:val="clear" w:color="000000" w:fill="FFFFFF"/>
            <w:noWrap/>
            <w:vAlign w:val="bottom"/>
            <w:hideMark/>
          </w:tcPr>
          <w:p>
            <w:pPr>
              <w:rPr>
                <w:rFonts w:eastAsia="Times New Roman"/>
                <w:noProof/>
                <w:sz w:val="18"/>
                <w:szCs w:val="18"/>
                <w:lang w:eastAsia="en-GB"/>
              </w:rPr>
            </w:pPr>
            <w:r>
              <w:rPr>
                <w:rFonts w:eastAsia="Times New Roman"/>
                <w:noProof/>
                <w:sz w:val="18"/>
                <w:szCs w:val="18"/>
                <w:lang w:eastAsia="en-GB"/>
              </w:rPr>
              <w:t> </w:t>
            </w:r>
          </w:p>
        </w:tc>
      </w:tr>
      <w:tr>
        <w:trPr>
          <w:trHeight w:val="204"/>
        </w:trPr>
        <w:tc>
          <w:tcPr>
            <w:tcW w:w="9096" w:type="dxa"/>
            <w:gridSpan w:val="6"/>
            <w:tcBorders>
              <w:top w:val="nil"/>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Growth of Services trade EU28 with Namibia (mio €) </w:t>
            </w:r>
          </w:p>
        </w:tc>
      </w:tr>
      <w:tr>
        <w:trPr>
          <w:trHeight w:val="204"/>
        </w:trPr>
        <w:tc>
          <w:tcPr>
            <w:tcW w:w="5557"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eastAsia="en-GB"/>
              </w:rPr>
            </w:pPr>
            <w:r>
              <w:rPr>
                <w:rFonts w:eastAsia="Times New Roman"/>
                <w:b/>
                <w:bCs/>
                <w:noProof/>
                <w:sz w:val="16"/>
                <w:szCs w:val="16"/>
                <w:lang w:eastAsia="en-GB"/>
              </w:rPr>
              <w:t>Namibia</w:t>
            </w:r>
          </w:p>
        </w:tc>
        <w:tc>
          <w:tcPr>
            <w:tcW w:w="869"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2016</w:t>
            </w:r>
          </w:p>
        </w:tc>
        <w:tc>
          <w:tcPr>
            <w:tcW w:w="869"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2017</w:t>
            </w:r>
          </w:p>
        </w:tc>
        <w:tc>
          <w:tcPr>
            <w:tcW w:w="1801"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Growth</w:t>
            </w:r>
          </w:p>
        </w:tc>
      </w:tr>
      <w:tr>
        <w:trPr>
          <w:trHeight w:val="204"/>
        </w:trPr>
        <w:tc>
          <w:tcPr>
            <w:tcW w:w="5557"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eastAsia="en-GB"/>
              </w:rPr>
            </w:pPr>
          </w:p>
        </w:tc>
        <w:tc>
          <w:tcPr>
            <w:tcW w:w="869" w:type="dxa"/>
            <w:vMerge/>
            <w:tcBorders>
              <w:top w:val="nil"/>
              <w:left w:val="nil"/>
              <w:bottom w:val="single" w:sz="4" w:space="0" w:color="000000"/>
              <w:right w:val="nil"/>
            </w:tcBorders>
            <w:vAlign w:val="center"/>
            <w:hideMark/>
          </w:tcPr>
          <w:p>
            <w:pPr>
              <w:rPr>
                <w:rFonts w:eastAsia="Times New Roman"/>
                <w:b/>
                <w:bCs/>
                <w:noProof/>
                <w:sz w:val="16"/>
                <w:szCs w:val="16"/>
                <w:lang w:eastAsia="en-GB"/>
              </w:rPr>
            </w:pPr>
          </w:p>
        </w:tc>
        <w:tc>
          <w:tcPr>
            <w:tcW w:w="869" w:type="dxa"/>
            <w:vMerge/>
            <w:tcBorders>
              <w:top w:val="nil"/>
              <w:left w:val="nil"/>
              <w:bottom w:val="single" w:sz="4" w:space="0" w:color="000000"/>
              <w:right w:val="nil"/>
            </w:tcBorders>
            <w:vAlign w:val="center"/>
            <w:hideMark/>
          </w:tcPr>
          <w:p>
            <w:pPr>
              <w:rPr>
                <w:rFonts w:eastAsia="Times New Roman"/>
                <w:b/>
                <w:bCs/>
                <w:noProof/>
                <w:sz w:val="16"/>
                <w:szCs w:val="16"/>
                <w:lang w:eastAsia="en-GB"/>
              </w:rPr>
            </w:pPr>
          </w:p>
        </w:tc>
        <w:tc>
          <w:tcPr>
            <w:tcW w:w="869"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mio €</w:t>
            </w:r>
          </w:p>
        </w:tc>
        <w:tc>
          <w:tcPr>
            <w:tcW w:w="932"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annual %</w:t>
            </w:r>
          </w:p>
        </w:tc>
      </w:tr>
      <w:tr>
        <w:trPr>
          <w:trHeight w:val="204"/>
        </w:trPr>
        <w:tc>
          <w:tcPr>
            <w:tcW w:w="4688"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Imports</w:t>
            </w:r>
          </w:p>
        </w:tc>
        <w:tc>
          <w:tcPr>
            <w:tcW w:w="86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399</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478</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78</w:t>
            </w:r>
          </w:p>
        </w:tc>
        <w:tc>
          <w:tcPr>
            <w:tcW w:w="93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19,6%</w:t>
            </w:r>
          </w:p>
        </w:tc>
      </w:tr>
      <w:tr>
        <w:trPr>
          <w:trHeight w:val="204"/>
        </w:trPr>
        <w:tc>
          <w:tcPr>
            <w:tcW w:w="4688"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Exports</w:t>
            </w:r>
          </w:p>
        </w:tc>
        <w:tc>
          <w:tcPr>
            <w:tcW w:w="86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184</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192</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8</w:t>
            </w:r>
          </w:p>
        </w:tc>
        <w:tc>
          <w:tcPr>
            <w:tcW w:w="93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4,2%</w:t>
            </w:r>
          </w:p>
        </w:tc>
      </w:tr>
      <w:tr>
        <w:trPr>
          <w:trHeight w:val="204"/>
        </w:trPr>
        <w:tc>
          <w:tcPr>
            <w:tcW w:w="4688"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Balance</w:t>
            </w:r>
          </w:p>
        </w:tc>
        <w:tc>
          <w:tcPr>
            <w:tcW w:w="86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-216</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-286</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-71</w:t>
            </w:r>
          </w:p>
        </w:tc>
        <w:tc>
          <w:tcPr>
            <w:tcW w:w="932"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r>
      <w:tr>
        <w:trPr>
          <w:trHeight w:val="204"/>
        </w:trPr>
        <w:tc>
          <w:tcPr>
            <w:tcW w:w="4688"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Total trade</w:t>
            </w:r>
          </w:p>
        </w:tc>
        <w:tc>
          <w:tcPr>
            <w:tcW w:w="869"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69"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583</w:t>
            </w:r>
          </w:p>
        </w:tc>
        <w:tc>
          <w:tcPr>
            <w:tcW w:w="869"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669</w:t>
            </w:r>
          </w:p>
        </w:tc>
        <w:tc>
          <w:tcPr>
            <w:tcW w:w="869"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86</w:t>
            </w:r>
          </w:p>
        </w:tc>
        <w:tc>
          <w:tcPr>
            <w:tcW w:w="932"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14,8%</w:t>
            </w:r>
          </w:p>
        </w:tc>
      </w:tr>
      <w:tr>
        <w:trPr>
          <w:trHeight w:val="218"/>
        </w:trPr>
        <w:tc>
          <w:tcPr>
            <w:tcW w:w="8164" w:type="dxa"/>
            <w:gridSpan w:val="5"/>
            <w:tcBorders>
              <w:top w:val="nil"/>
              <w:left w:val="nil"/>
              <w:bottom w:val="nil"/>
              <w:right w:val="nil"/>
            </w:tcBorders>
            <w:shd w:val="clear" w:color="000000" w:fill="FFFFFF"/>
            <w:noWrap/>
            <w:hideMark/>
          </w:tcPr>
          <w:p>
            <w:pPr>
              <w:rPr>
                <w:rFonts w:eastAsia="Times New Roman"/>
                <w:noProof/>
                <w:sz w:val="12"/>
                <w:szCs w:val="12"/>
                <w:lang w:eastAsia="en-GB"/>
              </w:rPr>
            </w:pPr>
            <w:r>
              <w:rPr>
                <w:rFonts w:eastAsia="Times New Roman"/>
                <w:noProof/>
                <w:sz w:val="12"/>
                <w:szCs w:val="12"/>
                <w:lang w:eastAsia="en-GB"/>
              </w:rPr>
              <w:t>Source Trade G2 Statistics/ISDB from Eurostat BOP statistics</w:t>
            </w:r>
          </w:p>
        </w:tc>
        <w:tc>
          <w:tcPr>
            <w:tcW w:w="932" w:type="dxa"/>
            <w:tcBorders>
              <w:top w:val="nil"/>
              <w:left w:val="nil"/>
              <w:bottom w:val="nil"/>
              <w:right w:val="nil"/>
            </w:tcBorders>
            <w:shd w:val="clear" w:color="000000" w:fill="FFFFFF"/>
            <w:noWrap/>
            <w:vAlign w:val="bottom"/>
            <w:hideMark/>
          </w:tcPr>
          <w:p>
            <w:pPr>
              <w:rPr>
                <w:rFonts w:eastAsia="Times New Roman"/>
                <w:noProof/>
                <w:sz w:val="18"/>
                <w:szCs w:val="18"/>
                <w:lang w:eastAsia="en-GB"/>
              </w:rPr>
            </w:pPr>
            <w:r>
              <w:rPr>
                <w:rFonts w:eastAsia="Times New Roman"/>
                <w:noProof/>
                <w:sz w:val="18"/>
                <w:szCs w:val="18"/>
                <w:lang w:eastAsia="en-GB"/>
              </w:rPr>
              <w:t> </w:t>
            </w:r>
          </w:p>
        </w:tc>
      </w:tr>
      <w:tr>
        <w:trPr>
          <w:trHeight w:val="218"/>
        </w:trPr>
        <w:tc>
          <w:tcPr>
            <w:tcW w:w="9096"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Services trade EU28 with Namibia (mio €)</w:t>
            </w:r>
          </w:p>
        </w:tc>
      </w:tr>
      <w:tr>
        <w:trPr>
          <w:trHeight w:val="204"/>
        </w:trPr>
        <w:tc>
          <w:tcPr>
            <w:tcW w:w="4688"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69"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2013</w:t>
            </w:r>
          </w:p>
        </w:tc>
        <w:tc>
          <w:tcPr>
            <w:tcW w:w="869"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2014</w:t>
            </w:r>
          </w:p>
        </w:tc>
        <w:tc>
          <w:tcPr>
            <w:tcW w:w="869"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2015</w:t>
            </w:r>
          </w:p>
        </w:tc>
        <w:tc>
          <w:tcPr>
            <w:tcW w:w="869"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2016</w:t>
            </w:r>
          </w:p>
        </w:tc>
        <w:tc>
          <w:tcPr>
            <w:tcW w:w="932"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2017</w:t>
            </w:r>
          </w:p>
        </w:tc>
      </w:tr>
      <w:tr>
        <w:trPr>
          <w:trHeight w:val="204"/>
        </w:trPr>
        <w:tc>
          <w:tcPr>
            <w:tcW w:w="4688"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Imports</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305</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387</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276</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399</w:t>
            </w:r>
          </w:p>
        </w:tc>
        <w:tc>
          <w:tcPr>
            <w:tcW w:w="93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478</w:t>
            </w:r>
          </w:p>
        </w:tc>
      </w:tr>
      <w:tr>
        <w:trPr>
          <w:trHeight w:val="204"/>
        </w:trPr>
        <w:tc>
          <w:tcPr>
            <w:tcW w:w="4688"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Exports</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215</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202</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255</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184</w:t>
            </w:r>
          </w:p>
        </w:tc>
        <w:tc>
          <w:tcPr>
            <w:tcW w:w="93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192</w:t>
            </w:r>
          </w:p>
        </w:tc>
      </w:tr>
      <w:tr>
        <w:trPr>
          <w:trHeight w:val="204"/>
        </w:trPr>
        <w:tc>
          <w:tcPr>
            <w:tcW w:w="4688"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Balance</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-90</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-185</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-20</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-216</w:t>
            </w:r>
          </w:p>
        </w:tc>
        <w:tc>
          <w:tcPr>
            <w:tcW w:w="93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-286</w:t>
            </w:r>
          </w:p>
        </w:tc>
      </w:tr>
      <w:tr>
        <w:trPr>
          <w:trHeight w:val="204"/>
        </w:trPr>
        <w:tc>
          <w:tcPr>
            <w:tcW w:w="4688"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Total trade</w:t>
            </w:r>
          </w:p>
        </w:tc>
        <w:tc>
          <w:tcPr>
            <w:tcW w:w="869"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519</w:t>
            </w:r>
          </w:p>
        </w:tc>
        <w:tc>
          <w:tcPr>
            <w:tcW w:w="869"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589</w:t>
            </w:r>
          </w:p>
        </w:tc>
        <w:tc>
          <w:tcPr>
            <w:tcW w:w="869"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531</w:t>
            </w:r>
          </w:p>
        </w:tc>
        <w:tc>
          <w:tcPr>
            <w:tcW w:w="869"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583</w:t>
            </w:r>
          </w:p>
        </w:tc>
        <w:tc>
          <w:tcPr>
            <w:tcW w:w="932"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669</w:t>
            </w:r>
          </w:p>
        </w:tc>
      </w:tr>
      <w:tr>
        <w:trPr>
          <w:trHeight w:val="204"/>
        </w:trPr>
        <w:tc>
          <w:tcPr>
            <w:tcW w:w="4688" w:type="dxa"/>
            <w:tcBorders>
              <w:top w:val="nil"/>
              <w:left w:val="nil"/>
              <w:bottom w:val="nil"/>
              <w:right w:val="nil"/>
            </w:tcBorders>
            <w:shd w:val="clear" w:color="000000" w:fill="FFFFFF"/>
            <w:noWrap/>
            <w:hideMark/>
          </w:tcPr>
          <w:p>
            <w:pPr>
              <w:rPr>
                <w:rFonts w:eastAsia="Times New Roman"/>
                <w:noProof/>
                <w:sz w:val="12"/>
                <w:szCs w:val="12"/>
                <w:lang w:eastAsia="en-GB"/>
              </w:rPr>
            </w:pPr>
            <w:r>
              <w:rPr>
                <w:rFonts w:eastAsia="Times New Roman"/>
                <w:noProof/>
                <w:sz w:val="12"/>
                <w:szCs w:val="12"/>
                <w:lang w:eastAsia="en-GB"/>
              </w:rPr>
              <w:t>Source Trade G2 Statistics/ISDB from Eurostat BOP statistics</w:t>
            </w:r>
          </w:p>
        </w:tc>
        <w:tc>
          <w:tcPr>
            <w:tcW w:w="869" w:type="dxa"/>
            <w:tcBorders>
              <w:top w:val="nil"/>
              <w:left w:val="nil"/>
              <w:bottom w:val="nil"/>
              <w:right w:val="nil"/>
            </w:tcBorders>
            <w:shd w:val="clear" w:color="000000" w:fill="FFFFFF"/>
            <w:noWrap/>
            <w:hideMark/>
          </w:tcPr>
          <w:p>
            <w:pPr>
              <w:rPr>
                <w:rFonts w:eastAsia="Times New Roman"/>
                <w:noProof/>
                <w:sz w:val="12"/>
                <w:szCs w:val="12"/>
                <w:lang w:eastAsia="en-GB"/>
              </w:rPr>
            </w:pPr>
            <w:r>
              <w:rPr>
                <w:rFonts w:eastAsia="Times New Roman"/>
                <w:noProof/>
                <w:sz w:val="12"/>
                <w:szCs w:val="12"/>
                <w:lang w:eastAsia="en-GB"/>
              </w:rPr>
              <w:t> </w:t>
            </w:r>
          </w:p>
        </w:tc>
        <w:tc>
          <w:tcPr>
            <w:tcW w:w="86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6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6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932"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r>
      <w:tr>
        <w:trPr>
          <w:trHeight w:val="204"/>
        </w:trPr>
        <w:tc>
          <w:tcPr>
            <w:tcW w:w="9096"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Foreign Direct Investment (FDI) EU28 with Namibia (mio €)</w:t>
            </w:r>
          </w:p>
        </w:tc>
      </w:tr>
      <w:tr>
        <w:trPr>
          <w:trHeight w:val="204"/>
        </w:trPr>
        <w:tc>
          <w:tcPr>
            <w:tcW w:w="4688"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69"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eastAsia="en-GB"/>
              </w:rPr>
            </w:pPr>
            <w:r>
              <w:rPr>
                <w:rFonts w:eastAsia="Times New Roman"/>
                <w:b/>
                <w:bCs/>
                <w:noProof/>
                <w:sz w:val="16"/>
                <w:szCs w:val="16"/>
                <w:lang w:eastAsia="en-GB"/>
              </w:rPr>
              <w:t>2013</w:t>
            </w:r>
          </w:p>
        </w:tc>
        <w:tc>
          <w:tcPr>
            <w:tcW w:w="869"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2014</w:t>
            </w:r>
          </w:p>
        </w:tc>
        <w:tc>
          <w:tcPr>
            <w:tcW w:w="869"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2015</w:t>
            </w:r>
          </w:p>
        </w:tc>
        <w:tc>
          <w:tcPr>
            <w:tcW w:w="869"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2016</w:t>
            </w:r>
          </w:p>
        </w:tc>
        <w:tc>
          <w:tcPr>
            <w:tcW w:w="932"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eastAsia="en-GB"/>
              </w:rPr>
            </w:pPr>
            <w:r>
              <w:rPr>
                <w:rFonts w:eastAsia="Times New Roman"/>
                <w:b/>
                <w:bCs/>
                <w:noProof/>
                <w:sz w:val="16"/>
                <w:szCs w:val="16"/>
                <w:lang w:eastAsia="en-GB"/>
              </w:rPr>
              <w:t>2017</w:t>
            </w:r>
          </w:p>
        </w:tc>
      </w:tr>
      <w:tr>
        <w:trPr>
          <w:trHeight w:val="204"/>
        </w:trPr>
        <w:tc>
          <w:tcPr>
            <w:tcW w:w="9096"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eastAsia="en-GB"/>
              </w:rPr>
            </w:pPr>
            <w:r>
              <w:rPr>
                <w:rFonts w:eastAsia="Times New Roman"/>
                <w:b/>
                <w:bCs/>
                <w:i/>
                <w:iCs/>
                <w:noProof/>
                <w:sz w:val="16"/>
                <w:szCs w:val="16"/>
                <w:lang w:eastAsia="en-GB"/>
              </w:rPr>
              <w:t>FDI Stocks</w:t>
            </w:r>
          </w:p>
        </w:tc>
      </w:tr>
      <w:tr>
        <w:trPr>
          <w:trHeight w:val="204"/>
        </w:trPr>
        <w:tc>
          <w:tcPr>
            <w:tcW w:w="4688"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Inward</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115</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149</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187</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167</w:t>
            </w:r>
          </w:p>
        </w:tc>
        <w:tc>
          <w:tcPr>
            <w:tcW w:w="93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390</w:t>
            </w:r>
          </w:p>
        </w:tc>
      </w:tr>
      <w:tr>
        <w:trPr>
          <w:trHeight w:val="204"/>
        </w:trPr>
        <w:tc>
          <w:tcPr>
            <w:tcW w:w="4688"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Outward</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344</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240</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668</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351</w:t>
            </w:r>
          </w:p>
        </w:tc>
        <w:tc>
          <w:tcPr>
            <w:tcW w:w="93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283</w:t>
            </w:r>
          </w:p>
        </w:tc>
      </w:tr>
      <w:tr>
        <w:trPr>
          <w:trHeight w:val="204"/>
        </w:trPr>
        <w:tc>
          <w:tcPr>
            <w:tcW w:w="9096"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eastAsia="en-GB"/>
              </w:rPr>
            </w:pPr>
            <w:r>
              <w:rPr>
                <w:rFonts w:eastAsia="Times New Roman"/>
                <w:b/>
                <w:bCs/>
                <w:i/>
                <w:iCs/>
                <w:noProof/>
                <w:sz w:val="16"/>
                <w:szCs w:val="16"/>
                <w:lang w:eastAsia="en-GB"/>
              </w:rPr>
              <w:t>FDI Flows</w:t>
            </w:r>
          </w:p>
        </w:tc>
      </w:tr>
      <w:tr>
        <w:trPr>
          <w:trHeight w:val="204"/>
        </w:trPr>
        <w:tc>
          <w:tcPr>
            <w:tcW w:w="4688"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Inward</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-20</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-19</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-40</w:t>
            </w:r>
          </w:p>
        </w:tc>
        <w:tc>
          <w:tcPr>
            <w:tcW w:w="869"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w:t>
            </w:r>
          </w:p>
        </w:tc>
        <w:tc>
          <w:tcPr>
            <w:tcW w:w="932" w:type="dxa"/>
            <w:tcBorders>
              <w:top w:val="nil"/>
              <w:left w:val="nil"/>
              <w:bottom w:val="nil"/>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5</w:t>
            </w:r>
          </w:p>
        </w:tc>
      </w:tr>
      <w:tr>
        <w:trPr>
          <w:trHeight w:val="204"/>
        </w:trPr>
        <w:tc>
          <w:tcPr>
            <w:tcW w:w="4688"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Outward</w:t>
            </w:r>
          </w:p>
        </w:tc>
        <w:tc>
          <w:tcPr>
            <w:tcW w:w="869"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-974</w:t>
            </w:r>
          </w:p>
        </w:tc>
        <w:tc>
          <w:tcPr>
            <w:tcW w:w="869"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223</w:t>
            </w:r>
          </w:p>
        </w:tc>
        <w:tc>
          <w:tcPr>
            <w:tcW w:w="869"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37</w:t>
            </w:r>
          </w:p>
        </w:tc>
        <w:tc>
          <w:tcPr>
            <w:tcW w:w="869"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137</w:t>
            </w:r>
          </w:p>
        </w:tc>
        <w:tc>
          <w:tcPr>
            <w:tcW w:w="932"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eastAsia="en-GB"/>
              </w:rPr>
            </w:pPr>
            <w:r>
              <w:rPr>
                <w:rFonts w:eastAsia="Times New Roman"/>
                <w:noProof/>
                <w:sz w:val="16"/>
                <w:szCs w:val="16"/>
                <w:lang w:eastAsia="en-GB"/>
              </w:rPr>
              <w:t>75</w:t>
            </w:r>
          </w:p>
        </w:tc>
      </w:tr>
      <w:tr>
        <w:trPr>
          <w:trHeight w:val="204"/>
        </w:trPr>
        <w:tc>
          <w:tcPr>
            <w:tcW w:w="4688" w:type="dxa"/>
            <w:tcBorders>
              <w:top w:val="single" w:sz="4" w:space="0" w:color="auto"/>
              <w:left w:val="nil"/>
              <w:bottom w:val="nil"/>
              <w:right w:val="nil"/>
            </w:tcBorders>
            <w:shd w:val="clear" w:color="000000" w:fill="FFFFFF"/>
            <w:noWrap/>
            <w:hideMark/>
          </w:tcPr>
          <w:p>
            <w:pPr>
              <w:rPr>
                <w:rFonts w:eastAsia="Times New Roman"/>
                <w:noProof/>
                <w:sz w:val="12"/>
                <w:szCs w:val="12"/>
                <w:lang w:eastAsia="en-GB"/>
              </w:rPr>
            </w:pPr>
            <w:r>
              <w:rPr>
                <w:rFonts w:eastAsia="Times New Roman"/>
                <w:noProof/>
                <w:sz w:val="12"/>
                <w:szCs w:val="12"/>
                <w:lang w:eastAsia="en-GB"/>
              </w:rPr>
              <w:t>Source Trade G2 Statistics/ISDB from Eurostat BOP statistics</w:t>
            </w:r>
          </w:p>
        </w:tc>
        <w:tc>
          <w:tcPr>
            <w:tcW w:w="869" w:type="dxa"/>
            <w:tcBorders>
              <w:top w:val="nil"/>
              <w:left w:val="nil"/>
              <w:bottom w:val="nil"/>
              <w:right w:val="nil"/>
            </w:tcBorders>
            <w:shd w:val="clear" w:color="000000" w:fill="FFFFFF"/>
            <w:noWrap/>
            <w:hideMark/>
          </w:tcPr>
          <w:p>
            <w:pPr>
              <w:rPr>
                <w:rFonts w:eastAsia="Times New Roman"/>
                <w:noProof/>
                <w:sz w:val="12"/>
                <w:szCs w:val="12"/>
                <w:lang w:eastAsia="en-GB"/>
              </w:rPr>
            </w:pPr>
            <w:r>
              <w:rPr>
                <w:rFonts w:eastAsia="Times New Roman"/>
                <w:noProof/>
                <w:sz w:val="12"/>
                <w:szCs w:val="12"/>
                <w:lang w:eastAsia="en-GB"/>
              </w:rPr>
              <w:t> </w:t>
            </w:r>
          </w:p>
        </w:tc>
        <w:tc>
          <w:tcPr>
            <w:tcW w:w="86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6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869"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c>
          <w:tcPr>
            <w:tcW w:w="932" w:type="dxa"/>
            <w:tcBorders>
              <w:top w:val="nil"/>
              <w:left w:val="nil"/>
              <w:bottom w:val="nil"/>
              <w:right w:val="nil"/>
            </w:tcBorders>
            <w:shd w:val="clear" w:color="000000" w:fill="FFFFFF"/>
            <w:noWrap/>
            <w:vAlign w:val="bottom"/>
            <w:hideMark/>
          </w:tcPr>
          <w:p>
            <w:pPr>
              <w:rPr>
                <w:rFonts w:eastAsia="Times New Roman"/>
                <w:noProof/>
                <w:sz w:val="16"/>
                <w:szCs w:val="16"/>
                <w:lang w:eastAsia="en-GB"/>
              </w:rPr>
            </w:pPr>
            <w:r>
              <w:rPr>
                <w:rFonts w:eastAsia="Times New Roman"/>
                <w:noProof/>
                <w:sz w:val="16"/>
                <w:szCs w:val="16"/>
                <w:lang w:eastAsia="en-GB"/>
              </w:rPr>
              <w:t> </w:t>
            </w:r>
          </w:p>
        </w:tc>
      </w:tr>
    </w:tbl>
    <w:p>
      <w:pPr>
        <w:pStyle w:val="ChapterHead"/>
        <w:spacing w:after="0"/>
        <w:jc w:val="both"/>
        <w:rPr>
          <w:b/>
          <w:noProof/>
        </w:rPr>
      </w:pPr>
      <w:r>
        <w:rPr>
          <w:b/>
          <w:noProof/>
        </w:rPr>
        <w:br w:type="page"/>
      </w:r>
    </w:p>
    <w:p>
      <w:pPr>
        <w:pStyle w:val="ChapterHead"/>
        <w:jc w:val="both"/>
        <w:rPr>
          <w:b/>
          <w:noProof/>
        </w:rPr>
      </w:pPr>
      <w:bookmarkStart w:id="4270" w:name="_Toc9608316"/>
      <w:bookmarkStart w:id="4271" w:name="_Toc16000867"/>
      <w:r>
        <w:rPr>
          <w:b/>
          <w:noProof/>
        </w:rPr>
        <w:t>ANNUAL INFO SHEET ON THE IMPLEMENTATION OF THE INTERIM ECONOMIC PARTNERSHIP AGREEMENT BETWEEN THE EU AND EASTERN AND SOUTHERN AFRICAN STATES</w:t>
      </w:r>
      <w:bookmarkEnd w:id="4251"/>
      <w:bookmarkEnd w:id="4252"/>
      <w:bookmarkEnd w:id="4253"/>
      <w:bookmarkEnd w:id="4270"/>
      <w:bookmarkEnd w:id="4271"/>
    </w:p>
    <w:p>
      <w:pPr>
        <w:pStyle w:val="ManualHeading1"/>
      </w:pPr>
      <w:bookmarkStart w:id="4272" w:name="_Toc9008516"/>
      <w:bookmarkStart w:id="4273" w:name="_Toc9008919"/>
      <w:bookmarkStart w:id="4274" w:name="_Toc9348915"/>
      <w:bookmarkStart w:id="4275" w:name="_Toc9608317"/>
      <w:bookmarkStart w:id="4276" w:name="_Toc16000868"/>
      <w:r>
        <w:t>1.</w:t>
      </w:r>
      <w:r>
        <w:tab/>
        <w:t>Introduction</w:t>
      </w:r>
      <w:bookmarkEnd w:id="4272"/>
      <w:bookmarkEnd w:id="4273"/>
      <w:bookmarkEnd w:id="4274"/>
      <w:bookmarkEnd w:id="4275"/>
      <w:bookmarkEnd w:id="4276"/>
    </w:p>
    <w:p>
      <w:pPr>
        <w:jc w:val="both"/>
        <w:rPr>
          <w:noProof/>
        </w:rPr>
      </w:pPr>
      <w:r>
        <w:rPr>
          <w:noProof/>
        </w:rPr>
        <w:t xml:space="preserve">Pending an EPA with the full Eastern and Southern African region, an interim EPA was signed in 2009 by four ESA countries (Madagascar, Mauritius, Seychelles and Zimbabwe). This ESA-EU interim EPA (iEPA) has been provisionally applied since 14 May 2012 for the four countries. Comoros signed the EPA in 2017, ratified it in December 2018 and implements it since 7 February 2019. Zambia took part in the negotiations of the interim EPA and it may decide to sign the agreement in the near future. </w:t>
      </w:r>
    </w:p>
    <w:p>
      <w:pPr>
        <w:jc w:val="both"/>
        <w:rPr>
          <w:noProof/>
        </w:rPr>
      </w:pPr>
    </w:p>
    <w:p>
      <w:pPr>
        <w:jc w:val="both"/>
        <w:rPr>
          <w:noProof/>
        </w:rPr>
      </w:pPr>
      <w:r>
        <w:rPr>
          <w:noProof/>
        </w:rPr>
        <w:t>The interim EPA offers duty free quota free access in the EU for all imports from ESA as of 1</w:t>
      </w:r>
      <w:r>
        <w:rPr>
          <w:noProof/>
          <w:vertAlign w:val="superscript"/>
        </w:rPr>
        <w:t>st</w:t>
      </w:r>
      <w:r>
        <w:rPr>
          <w:noProof/>
        </w:rPr>
        <w:t xml:space="preserve"> January 2008. ESA partner countries are in the process of liberalising their market to EU imports in line with the individual schedules of each ESA partner country, annexed to the interim EPA.</w:t>
      </w:r>
      <w:r>
        <w:rPr>
          <w:rStyle w:val="FootnoteReference"/>
          <w:noProof/>
        </w:rPr>
        <w:footnoteReference w:id="112"/>
      </w:r>
      <w:r>
        <w:rPr>
          <w:noProof/>
        </w:rPr>
        <w:t xml:space="preserve"> By 2022, Madagascar and Zimbabwe will liberalise around 80% of their trade, while Mauritius and Seychelles will liberalise 96 and 98%, respectively. Goods excluded from liberalisation vary according to the individual offer but include predominantly agricultural products and some industrial goods such as plastics, paper, or textiles.</w:t>
      </w:r>
      <w:r>
        <w:rPr>
          <w:rStyle w:val="FootnoteReference"/>
          <w:noProof/>
        </w:rPr>
        <w:footnoteReference w:id="113"/>
      </w:r>
      <w:r>
        <w:rPr>
          <w:noProof/>
        </w:rPr>
        <w:t xml:space="preserve"> Comoros will liberalise over a period of 9 years, after a 5 year preparatory period. </w:t>
      </w:r>
    </w:p>
    <w:p>
      <w:pPr>
        <w:jc w:val="both"/>
        <w:rPr>
          <w:noProof/>
        </w:rPr>
      </w:pPr>
    </w:p>
    <w:p>
      <w:pPr>
        <w:jc w:val="both"/>
        <w:rPr>
          <w:noProof/>
        </w:rPr>
      </w:pPr>
      <w:r>
        <w:rPr>
          <w:noProof/>
        </w:rPr>
        <w:t>An established, functioning EPA Committee serves as a platform for dialogue in a spirit of partnership to oversee and monitor the agreement's implementation and to take appropriate decisions. In 2017, the four ESA partner countries expressed their interest to deepen the agreement beyond trade in goods. Scoping missions conducted in 2018 made substantial progress. A joint scoping paper was concluded in May 2019 and negotiations may be launched in due time.</w:t>
      </w:r>
    </w:p>
    <w:p>
      <w:pPr>
        <w:pStyle w:val="ManualHeading1"/>
      </w:pPr>
      <w:bookmarkStart w:id="4277" w:name="_Toc9008517"/>
      <w:bookmarkStart w:id="4278" w:name="_Toc9008920"/>
      <w:bookmarkStart w:id="4279" w:name="_Toc9348916"/>
      <w:bookmarkStart w:id="4280" w:name="_Toc9608318"/>
      <w:bookmarkStart w:id="4281" w:name="_Toc16000869"/>
      <w:r>
        <w:t>2.</w:t>
      </w:r>
      <w:r>
        <w:tab/>
        <w:t>Evolution of trade</w:t>
      </w:r>
      <w:bookmarkEnd w:id="4277"/>
      <w:bookmarkEnd w:id="4278"/>
      <w:bookmarkEnd w:id="4279"/>
      <w:bookmarkEnd w:id="4280"/>
      <w:bookmarkEnd w:id="4281"/>
    </w:p>
    <w:p>
      <w:pPr>
        <w:pStyle w:val="Heading2"/>
        <w:ind w:left="0" w:firstLine="0"/>
      </w:pPr>
      <w:bookmarkStart w:id="4282" w:name="_Toc9008518"/>
      <w:bookmarkStart w:id="4283" w:name="_Toc9008921"/>
      <w:bookmarkStart w:id="4284" w:name="_Toc9348917"/>
      <w:bookmarkStart w:id="4285" w:name="_Toc9608319"/>
      <w:bookmarkStart w:id="4286" w:name="_Toc16000870"/>
      <w:r>
        <w:t>2.1 Trade in Goods</w:t>
      </w:r>
      <w:bookmarkEnd w:id="4282"/>
      <w:bookmarkEnd w:id="4283"/>
      <w:bookmarkEnd w:id="4284"/>
      <w:bookmarkEnd w:id="4285"/>
      <w:bookmarkEnd w:id="4286"/>
    </w:p>
    <w:p>
      <w:pPr>
        <w:jc w:val="both"/>
        <w:rPr>
          <w:rFonts w:eastAsia="Calibri"/>
          <w:noProof/>
          <w:lang w:eastAsia="en-GB"/>
        </w:rPr>
      </w:pPr>
      <w:r>
        <w:rPr>
          <w:rFonts w:eastAsia="Calibri"/>
          <w:noProof/>
          <w:lang w:eastAsia="en-GB"/>
        </w:rPr>
        <w:t>In 2018, the EPA was implemented by Madagascar, Mauritius, Seychelles and Zimbabwe. While the EU’s share as a destination for ESA4 exports has been shrinking over the past decade, the bloc remains the second largest trade partner for ESA4 after South Africa. In 2018, the main export destination of ESA4 was South Africa (27%), followed by the EU (26%), the United Arab Emirates (11%) and the US (8%). In 2008, the EU still accounted for 51% of ESA4 exports</w:t>
      </w:r>
      <w:r>
        <w:rPr>
          <w:rFonts w:eastAsia="Calibri"/>
          <w:noProof/>
        </w:rPr>
        <w:t xml:space="preserve">. ESA4 imports in 2018 mainly came from South Africa (30%), the EU (16%), China (12%) and India (9%). Within the EU, </w:t>
      </w:r>
      <w:r>
        <w:rPr>
          <w:rFonts w:eastAsia="Calibri"/>
          <w:noProof/>
          <w:lang w:eastAsia="en-GB"/>
        </w:rPr>
        <w:t xml:space="preserve">France accounts for almost half of imports from </w:t>
      </w:r>
      <w:r>
        <w:rPr>
          <w:rFonts w:eastAsia="Calibri"/>
          <w:noProof/>
        </w:rPr>
        <w:t>ESA4</w:t>
      </w:r>
      <w:r>
        <w:rPr>
          <w:rFonts w:eastAsia="Calibri"/>
          <w:noProof/>
          <w:lang w:eastAsia="en-GB"/>
        </w:rPr>
        <w:t>, followed by</w:t>
      </w:r>
      <w:r>
        <w:rPr>
          <w:rFonts w:eastAsia="Calibri"/>
          <w:noProof/>
        </w:rPr>
        <w:t xml:space="preserve"> the UK, Germany and Belgium.</w:t>
      </w:r>
      <w:r>
        <w:rPr>
          <w:rFonts w:eastAsia="Calibri"/>
          <w:noProof/>
          <w:lang w:eastAsia="en-GB"/>
        </w:rPr>
        <w:t xml:space="preserve"> </w:t>
      </w:r>
    </w:p>
    <w:p>
      <w:pPr>
        <w:jc w:val="both"/>
        <w:rPr>
          <w:rFonts w:eastAsia="Calibri"/>
          <w:noProof/>
          <w:lang w:eastAsia="en-GB"/>
        </w:rPr>
      </w:pPr>
    </w:p>
    <w:p>
      <w:pPr>
        <w:jc w:val="both"/>
        <w:rPr>
          <w:rFonts w:eastAsia="Calibri"/>
          <w:noProof/>
          <w:lang w:val="en-IE"/>
        </w:rPr>
      </w:pPr>
      <w:r>
        <w:rPr>
          <w:rFonts w:eastAsia="Calibri"/>
          <w:noProof/>
          <w:lang w:val="en-IE"/>
        </w:rPr>
        <w:t xml:space="preserve">In 2018, </w:t>
      </w:r>
      <w:r>
        <w:rPr>
          <w:rFonts w:eastAsia="Calibri"/>
          <w:b/>
          <w:noProof/>
          <w:lang w:val="en-IE"/>
        </w:rPr>
        <w:t>total trade</w:t>
      </w:r>
      <w:r>
        <w:rPr>
          <w:rFonts w:eastAsia="Calibri"/>
          <w:noProof/>
          <w:lang w:val="en-IE"/>
        </w:rPr>
        <w:t xml:space="preserve"> </w:t>
      </w:r>
      <w:r>
        <w:rPr>
          <w:rFonts w:eastAsia="Calibri"/>
          <w:b/>
          <w:noProof/>
          <w:lang w:val="en-IE"/>
        </w:rPr>
        <w:t xml:space="preserve">between the EU and ESA4 </w:t>
      </w:r>
      <w:r>
        <w:rPr>
          <w:rFonts w:eastAsia="Calibri"/>
          <w:noProof/>
          <w:lang w:val="en-IE"/>
        </w:rPr>
        <w:t xml:space="preserve">is highest with Madagascar (€1.9 billion) and Mauritius (€1.8 billion), followed by Zimbabwe (€689 million) and Seychelles (€596 million). </w:t>
      </w:r>
    </w:p>
    <w:p>
      <w:pPr>
        <w:jc w:val="both"/>
        <w:rPr>
          <w:rFonts w:eastAsia="Calibri"/>
          <w:noProof/>
        </w:rPr>
      </w:pPr>
      <w:r>
        <w:rPr>
          <w:rFonts w:eastAsia="Calibri"/>
          <w:noProof/>
          <w:lang w:eastAsia="en-GB"/>
        </w:rPr>
        <w:t xml:space="preserve">Although total trade with ESA4 decreased by </w:t>
      </w:r>
      <w:r>
        <w:rPr>
          <w:rFonts w:eastAsia="Calibri"/>
          <w:noProof/>
          <w:lang w:val="en-IE"/>
        </w:rPr>
        <w:t>€</w:t>
      </w:r>
      <w:r>
        <w:rPr>
          <w:rFonts w:eastAsia="Calibri"/>
          <w:noProof/>
          <w:lang w:eastAsia="en-GB"/>
        </w:rPr>
        <w:t xml:space="preserve">173 million (-3.3%) in 2018, the trade balance remains positive for ESA4. EU imports from </w:t>
      </w:r>
      <w:r>
        <w:rPr>
          <w:rFonts w:eastAsia="Calibri"/>
          <w:noProof/>
        </w:rPr>
        <w:t xml:space="preserve">ESA4 decreased by </w:t>
      </w:r>
      <w:r>
        <w:rPr>
          <w:rFonts w:eastAsia="Calibri"/>
          <w:noProof/>
          <w:lang w:val="en-IE"/>
        </w:rPr>
        <w:t xml:space="preserve">€100 million (-3.5%) to €2.75 billion and EU exports to </w:t>
      </w:r>
      <w:r>
        <w:rPr>
          <w:rFonts w:eastAsia="Calibri"/>
          <w:noProof/>
        </w:rPr>
        <w:t xml:space="preserve">ESA4 decreased by </w:t>
      </w:r>
      <w:r>
        <w:rPr>
          <w:rFonts w:eastAsia="Calibri"/>
          <w:noProof/>
          <w:lang w:val="en-IE"/>
        </w:rPr>
        <w:t>€</w:t>
      </w:r>
      <w:r>
        <w:rPr>
          <w:rFonts w:eastAsia="Calibri"/>
          <w:noProof/>
        </w:rPr>
        <w:t xml:space="preserve">73 million (-3.1%) to </w:t>
      </w:r>
      <w:r>
        <w:rPr>
          <w:rFonts w:eastAsia="Calibri"/>
          <w:noProof/>
          <w:lang w:val="en-IE"/>
        </w:rPr>
        <w:t>€</w:t>
      </w:r>
      <w:r>
        <w:rPr>
          <w:rFonts w:eastAsia="Calibri"/>
          <w:noProof/>
        </w:rPr>
        <w:t xml:space="preserve">2.26 billion. </w:t>
      </w:r>
    </w:p>
    <w:p>
      <w:pPr>
        <w:jc w:val="both"/>
        <w:rPr>
          <w:rFonts w:eastAsia="Calibri"/>
          <w:noProof/>
        </w:rPr>
      </w:pPr>
    </w:p>
    <w:p>
      <w:pPr>
        <w:jc w:val="both"/>
        <w:rPr>
          <w:rFonts w:eastAsia="Calibri"/>
          <w:noProof/>
          <w:lang w:val="en-IE"/>
        </w:rPr>
      </w:pPr>
      <w:r>
        <w:rPr>
          <w:rFonts w:eastAsia="Calibri"/>
          <w:noProof/>
          <w:lang w:eastAsia="en-GB"/>
        </w:rPr>
        <w:drawing>
          <wp:anchor distT="0" distB="0" distL="114300" distR="114300" simplePos="0" relativeHeight="251657216" behindDoc="1" locked="0" layoutInCell="1" allowOverlap="1">
            <wp:simplePos x="0" y="0"/>
            <wp:positionH relativeFrom="column">
              <wp:posOffset>-1905</wp:posOffset>
            </wp:positionH>
            <wp:positionV relativeFrom="paragraph">
              <wp:posOffset>3948</wp:posOffset>
            </wp:positionV>
            <wp:extent cx="4333240" cy="2548255"/>
            <wp:effectExtent l="0" t="0" r="0" b="4445"/>
            <wp:wrapTight wrapText="bothSides">
              <wp:wrapPolygon edited="0">
                <wp:start x="0" y="0"/>
                <wp:lineTo x="0" y="21476"/>
                <wp:lineTo x="21461" y="21476"/>
                <wp:lineTo x="21461" y="0"/>
                <wp:lineTo x="0" y="0"/>
              </wp:wrapPolygon>
            </wp:wrapTight>
            <wp:docPr id="84719524" name="Picture 84719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33240" cy="2548255"/>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noProof/>
        </w:rPr>
        <w:t xml:space="preserve">However, regional aggregated figures mask differences between the four ESA partner states: </w:t>
      </w:r>
      <w:r>
        <w:rPr>
          <w:rFonts w:eastAsia="Calibri"/>
          <w:noProof/>
          <w:lang w:val="en-IE"/>
        </w:rPr>
        <w:t>Importantly, EU imports from Madagascar increased by €62 million (5.3%) and imports from Seychelles are up €8 million (2.8%). By contrast, imports from Mauritius decreased by €168 million (18%) and imports from Zimbabwe are relatively unchanged (-0.3%). EU exports to Madagascar (-1.8%), Mauritius (-8.7%) and Seychelles (-0.4%) decreased, but exports to Zimbabwe increased (+€42 million or 22%).</w:t>
      </w:r>
    </w:p>
    <w:p>
      <w:pPr>
        <w:jc w:val="both"/>
        <w:rPr>
          <w:rFonts w:eastAsia="Calibri"/>
          <w:noProof/>
          <w:lang w:val="en-IE"/>
        </w:rPr>
      </w:pPr>
    </w:p>
    <w:p>
      <w:pPr>
        <w:jc w:val="both"/>
        <w:rPr>
          <w:rFonts w:eastAsia="Calibri"/>
          <w:noProof/>
          <w:lang w:val="en-IE"/>
        </w:rPr>
      </w:pPr>
      <w:r>
        <w:rPr>
          <w:rFonts w:eastAsia="Calibri"/>
          <w:noProof/>
          <w:lang w:eastAsia="en-GB"/>
        </w:rPr>
        <w:t xml:space="preserve">The overall </w:t>
      </w:r>
      <w:r>
        <w:rPr>
          <w:rFonts w:eastAsia="Calibri"/>
          <w:b/>
          <w:noProof/>
          <w:lang w:eastAsia="en-GB"/>
        </w:rPr>
        <w:t>decrease in</w:t>
      </w:r>
      <w:r>
        <w:rPr>
          <w:rFonts w:eastAsia="Calibri"/>
          <w:noProof/>
          <w:lang w:eastAsia="en-GB"/>
        </w:rPr>
        <w:t xml:space="preserve"> </w:t>
      </w:r>
      <w:r>
        <w:rPr>
          <w:rFonts w:eastAsia="Calibri"/>
          <w:b/>
          <w:noProof/>
          <w:lang w:eastAsia="en-GB"/>
        </w:rPr>
        <w:t xml:space="preserve">EU imports from </w:t>
      </w:r>
      <w:r>
        <w:rPr>
          <w:rFonts w:eastAsia="Calibri"/>
          <w:b/>
          <w:noProof/>
        </w:rPr>
        <w:t>ESA4</w:t>
      </w:r>
      <w:r>
        <w:rPr>
          <w:rFonts w:eastAsia="Calibri"/>
          <w:noProof/>
        </w:rPr>
        <w:t xml:space="preserve"> in 2018 is mainly caused by a sharp fall in </w:t>
      </w:r>
      <w:r>
        <w:rPr>
          <w:rFonts w:eastAsia="Calibri"/>
          <w:b/>
          <w:noProof/>
        </w:rPr>
        <w:t>sugar</w:t>
      </w:r>
      <w:r>
        <w:rPr>
          <w:rFonts w:eastAsia="Calibri"/>
          <w:noProof/>
        </w:rPr>
        <w:t xml:space="preserve"> imports from Mauritius (-</w:t>
      </w:r>
      <w:r>
        <w:rPr>
          <w:rFonts w:eastAsia="Calibri"/>
          <w:noProof/>
          <w:lang w:val="en-IE"/>
        </w:rPr>
        <w:t xml:space="preserve">€101 million or 56%) and Zimbabwe (-€25 million or 100%), as well as declining imports of </w:t>
      </w:r>
      <w:r>
        <w:rPr>
          <w:rFonts w:eastAsia="Calibri"/>
          <w:b/>
          <w:noProof/>
          <w:lang w:val="en-IE"/>
        </w:rPr>
        <w:t>tobacco</w:t>
      </w:r>
      <w:r>
        <w:rPr>
          <w:rFonts w:eastAsia="Calibri"/>
          <w:noProof/>
          <w:lang w:val="en-IE"/>
        </w:rPr>
        <w:t xml:space="preserve"> from Zimbabwe (-26 million or 23%) and </w:t>
      </w:r>
      <w:r>
        <w:rPr>
          <w:rFonts w:eastAsia="Calibri"/>
          <w:b/>
          <w:noProof/>
          <w:lang w:val="en-IE"/>
        </w:rPr>
        <w:t>nickel</w:t>
      </w:r>
      <w:r>
        <w:rPr>
          <w:rFonts w:eastAsia="Calibri"/>
          <w:noProof/>
          <w:lang w:val="en-IE"/>
        </w:rPr>
        <w:t xml:space="preserve"> from Madagascar (</w:t>
      </w:r>
      <w:r>
        <w:rPr>
          <w:rFonts w:eastAsia="Calibri"/>
          <w:noProof/>
        </w:rPr>
        <w:t>-</w:t>
      </w:r>
      <w:r>
        <w:rPr>
          <w:rFonts w:eastAsia="Calibri"/>
          <w:noProof/>
          <w:lang w:val="en-IE"/>
        </w:rPr>
        <w:t xml:space="preserve">€25 million or 33%). </w:t>
      </w:r>
    </w:p>
    <w:p>
      <w:pPr>
        <w:jc w:val="both"/>
        <w:rPr>
          <w:rFonts w:eastAsia="Calibri"/>
          <w:noProof/>
          <w:lang w:val="en-IE"/>
        </w:rPr>
      </w:pPr>
    </w:p>
    <w:p>
      <w:pPr>
        <w:jc w:val="both"/>
        <w:rPr>
          <w:rFonts w:eastAsia="Calibri"/>
          <w:noProof/>
          <w:lang w:val="en-IE"/>
        </w:rPr>
      </w:pPr>
      <w:r>
        <w:rPr>
          <w:rFonts w:eastAsia="Calibri"/>
          <w:b/>
          <w:noProof/>
          <w:lang w:val="en-IE"/>
        </w:rPr>
        <w:t>EU imports have risen</w:t>
      </w:r>
      <w:r>
        <w:rPr>
          <w:rFonts w:eastAsia="Calibri"/>
          <w:noProof/>
          <w:lang w:val="en-IE"/>
        </w:rPr>
        <w:t xml:space="preserve"> for </w:t>
      </w:r>
      <w:r>
        <w:rPr>
          <w:rFonts w:eastAsia="Calibri"/>
          <w:b/>
          <w:noProof/>
          <w:lang w:val="en-IE"/>
        </w:rPr>
        <w:t>iron and steel</w:t>
      </w:r>
      <w:r>
        <w:rPr>
          <w:rFonts w:eastAsia="Calibri"/>
          <w:noProof/>
          <w:lang w:val="en-IE"/>
        </w:rPr>
        <w:t xml:space="preserve"> from Zimbabwe (</w:t>
      </w:r>
      <w:r>
        <w:rPr>
          <w:rFonts w:eastAsia="Calibri"/>
          <w:noProof/>
        </w:rPr>
        <w:t>+</w:t>
      </w:r>
      <w:r>
        <w:rPr>
          <w:rFonts w:eastAsia="Calibri"/>
          <w:noProof/>
          <w:lang w:val="en-IE"/>
        </w:rPr>
        <w:t xml:space="preserve">€30 million or 27%), </w:t>
      </w:r>
      <w:r>
        <w:rPr>
          <w:rFonts w:eastAsia="Calibri"/>
          <w:b/>
          <w:noProof/>
          <w:lang w:val="en-IE"/>
        </w:rPr>
        <w:t>vanilla</w:t>
      </w:r>
      <w:r>
        <w:rPr>
          <w:rFonts w:eastAsia="Calibri"/>
          <w:noProof/>
          <w:lang w:val="en-IE"/>
        </w:rPr>
        <w:t xml:space="preserve"> from Madagascar (</w:t>
      </w:r>
      <w:r>
        <w:rPr>
          <w:rFonts w:eastAsia="Calibri"/>
          <w:noProof/>
        </w:rPr>
        <w:t>+</w:t>
      </w:r>
      <w:r>
        <w:rPr>
          <w:rFonts w:eastAsia="Calibri"/>
          <w:noProof/>
          <w:lang w:val="en-IE"/>
        </w:rPr>
        <w:t xml:space="preserve">€50 million or 12.7%) and </w:t>
      </w:r>
      <w:r>
        <w:rPr>
          <w:rFonts w:eastAsia="Calibri"/>
          <w:b/>
          <w:noProof/>
          <w:lang w:val="en-IE"/>
        </w:rPr>
        <w:t>apparel and clothing</w:t>
      </w:r>
      <w:r>
        <w:rPr>
          <w:rFonts w:eastAsia="Calibri"/>
          <w:noProof/>
          <w:lang w:val="en-IE"/>
        </w:rPr>
        <w:t xml:space="preserve"> from Madagascar (+€25 million or 7.3%). At the same time, Mauritius’ exports of apparel and clothing decreased slightly by €16 million or 7%.</w:t>
      </w:r>
    </w:p>
    <w:p>
      <w:pPr>
        <w:jc w:val="both"/>
        <w:rPr>
          <w:rFonts w:eastAsia="Calibri"/>
          <w:noProof/>
          <w:lang w:val="en-IE"/>
        </w:rPr>
      </w:pPr>
    </w:p>
    <w:p>
      <w:pPr>
        <w:jc w:val="both"/>
        <w:rPr>
          <w:rFonts w:eastAsia="Calibri"/>
          <w:noProof/>
          <w:lang w:val="en-IE"/>
        </w:rPr>
      </w:pPr>
      <w:r>
        <w:rPr>
          <w:rFonts w:eastAsia="Calibri"/>
          <w:noProof/>
          <w:lang w:val="en-IE"/>
        </w:rPr>
        <w:t xml:space="preserve">For Mauritius and Seychelles, exports of fresh or frozen </w:t>
      </w:r>
      <w:r>
        <w:rPr>
          <w:rFonts w:eastAsia="Calibri"/>
          <w:b/>
          <w:noProof/>
          <w:lang w:val="en-IE"/>
        </w:rPr>
        <w:t>fish</w:t>
      </w:r>
      <w:r>
        <w:rPr>
          <w:rFonts w:eastAsia="Calibri"/>
          <w:noProof/>
          <w:lang w:val="en-IE"/>
        </w:rPr>
        <w:t xml:space="preserve"> to the EU increased (Mauritius +€4 million or 21%, Seychelles +€8 million or 18.5%). However, export values of prepared and preserved fish increased for Seychelles (+€6.3 million or 2.8%) but decreased for Mauritius (-€13 million or 5.2%). </w:t>
      </w:r>
    </w:p>
    <w:p>
      <w:pPr>
        <w:jc w:val="both"/>
        <w:rPr>
          <w:rFonts w:eastAsia="Calibri"/>
          <w:noProof/>
          <w:lang w:val="en-IE"/>
        </w:rPr>
      </w:pPr>
    </w:p>
    <w:p>
      <w:pPr>
        <w:jc w:val="both"/>
        <w:rPr>
          <w:rFonts w:eastAsia="Calibri"/>
          <w:noProof/>
          <w:lang w:val="en-IE"/>
        </w:rPr>
      </w:pPr>
      <w:r>
        <w:rPr>
          <w:rFonts w:eastAsia="Calibri"/>
          <w:noProof/>
          <w:lang w:val="en-IE"/>
        </w:rPr>
        <w:t xml:space="preserve">Preference utilisation rates for ESA4 exports to the EU are high, ranging from 92-98% for the four countries. </w:t>
      </w:r>
    </w:p>
    <w:p>
      <w:pPr>
        <w:jc w:val="both"/>
        <w:rPr>
          <w:rFonts w:eastAsia="Calibri"/>
          <w:noProof/>
          <w:lang w:val="en-IE"/>
        </w:rPr>
      </w:pPr>
    </w:p>
    <w:p>
      <w:pPr>
        <w:jc w:val="both"/>
        <w:rPr>
          <w:noProof/>
        </w:rPr>
      </w:pPr>
      <w:r>
        <w:rPr>
          <w:rFonts w:eastAsia="Calibri"/>
          <w:noProof/>
        </w:rPr>
        <w:t>Exports are becoming</w:t>
      </w:r>
      <w:r>
        <w:rPr>
          <w:rFonts w:eastAsia="Calibri"/>
          <w:b/>
          <w:noProof/>
        </w:rPr>
        <w:t xml:space="preserve"> increasingly diversified</w:t>
      </w:r>
      <w:r>
        <w:rPr>
          <w:rFonts w:eastAsia="Calibri"/>
          <w:noProof/>
        </w:rPr>
        <w:t xml:space="preserve"> </w:t>
      </w:r>
      <w:r>
        <w:rPr>
          <w:rFonts w:eastAsia="Calibri"/>
          <w:b/>
          <w:noProof/>
        </w:rPr>
        <w:t>for Madagascar and Mauritius</w:t>
      </w:r>
      <w:r>
        <w:rPr>
          <w:rFonts w:eastAsia="Calibri"/>
          <w:noProof/>
        </w:rPr>
        <w:t xml:space="preserve">, but </w:t>
      </w:r>
      <w:r>
        <w:rPr>
          <w:rFonts w:eastAsia="Calibri"/>
          <w:b/>
          <w:noProof/>
        </w:rPr>
        <w:t>diversification is stagnating for Zimbabwe and Seychelles</w:t>
      </w:r>
      <w:r>
        <w:rPr>
          <w:rFonts w:eastAsia="Calibri"/>
          <w:noProof/>
        </w:rPr>
        <w:t>. In 2018, the top 10 export products (HS 6-digit) accounted for 63% of Madagascar’s total exports to the EU, 62% for Mauritius, 64% for Zimbabwe, but 98% for Seychelles. Looking at the number of different products exported to the EU with a minimum value of €1 million: i</w:t>
      </w:r>
      <w:r>
        <w:rPr>
          <w:noProof/>
          <w:lang w:eastAsia="en-GB"/>
        </w:rPr>
        <w:t xml:space="preserve">n 2018, the EU imported 100 different products </w:t>
      </w:r>
      <w:r>
        <w:rPr>
          <w:noProof/>
        </w:rPr>
        <w:t xml:space="preserve">from Madagascar (up from 69 in 2008; mostly different textile products, however), 75 from Mauritius (up from 69), 25 from Zimbabwe (26 in 2008) and 9 from Seychelles (up from 6). </w:t>
      </w:r>
    </w:p>
    <w:p>
      <w:pPr>
        <w:jc w:val="both"/>
        <w:rPr>
          <w:noProof/>
        </w:rPr>
      </w:pPr>
    </w:p>
    <w:p>
      <w:pPr>
        <w:jc w:val="both"/>
        <w:rPr>
          <w:rFonts w:eastAsia="Calibri"/>
          <w:noProof/>
          <w:lang w:val="en-IE"/>
        </w:rPr>
      </w:pPr>
      <w:r>
        <w:rPr>
          <w:rFonts w:eastAsia="Calibri"/>
          <w:noProof/>
          <w:lang w:val="en-IE"/>
        </w:rPr>
        <w:t xml:space="preserve">A number of structural problems impact the (diminishing) </w:t>
      </w:r>
      <w:r>
        <w:rPr>
          <w:rFonts w:eastAsia="Calibri"/>
          <w:b/>
          <w:noProof/>
          <w:lang w:val="en-IE"/>
        </w:rPr>
        <w:t>competitiveness</w:t>
      </w:r>
      <w:r>
        <w:rPr>
          <w:rFonts w:eastAsia="Calibri"/>
          <w:noProof/>
          <w:lang w:val="en-IE"/>
        </w:rPr>
        <w:t xml:space="preserve"> of the economy of </w:t>
      </w:r>
      <w:r>
        <w:rPr>
          <w:rFonts w:eastAsia="Calibri"/>
          <w:b/>
          <w:noProof/>
          <w:lang w:val="en-IE"/>
        </w:rPr>
        <w:t>Mauritius</w:t>
      </w:r>
      <w:r>
        <w:rPr>
          <w:rFonts w:eastAsia="Calibri"/>
          <w:noProof/>
          <w:lang w:val="en-IE"/>
        </w:rPr>
        <w:t xml:space="preserve">. Traditional export sectors are breaking away. For example, the end of the sugar quota in the EU is causing a heavy contraction in sugar exports to the EU of almost all ACP countries; and the Mauritian textile industry is endangered by increasing labour costs and strong competitors such as Bangladesh, Vietnam and even Madagascar now. Recently, Mauritius has taken important steps towards an economy based on more sophisticated and high-tech manufacturing and services. For example, exports of medical devices are growing. According to Mauritian national statistics, global exports of medical devices (HS 9018) have reached €25.9 million in 2018, €17 million of which are going to the EU. According to Eurostat data, EU imports of medical devices from Mauritius stood at €12 million in 2018, a strong increase from €4 million in 2008, but still small compared to the earnings in the “old” export sectors such as textile and sugar. </w:t>
      </w:r>
    </w:p>
    <w:p>
      <w:pPr>
        <w:jc w:val="both"/>
        <w:rPr>
          <w:rFonts w:eastAsia="Calibri"/>
          <w:noProof/>
          <w:lang w:val="en-IE"/>
        </w:rPr>
      </w:pPr>
    </w:p>
    <w:p>
      <w:pPr>
        <w:jc w:val="both"/>
        <w:rPr>
          <w:rFonts w:eastAsia="Calibri"/>
          <w:noProof/>
          <w:lang w:val="en-IE"/>
        </w:rPr>
      </w:pPr>
      <w:r>
        <w:rPr>
          <w:rFonts w:eastAsia="Calibri"/>
          <w:noProof/>
          <w:lang w:val="en-IE"/>
        </w:rPr>
        <w:t xml:space="preserve">For </w:t>
      </w:r>
      <w:r>
        <w:rPr>
          <w:rFonts w:eastAsia="Calibri"/>
          <w:b/>
          <w:noProof/>
          <w:lang w:val="en-IE"/>
        </w:rPr>
        <w:t>Madagascar</w:t>
      </w:r>
      <w:r>
        <w:rPr>
          <w:rFonts w:eastAsia="Calibri"/>
          <w:noProof/>
          <w:lang w:val="en-IE"/>
        </w:rPr>
        <w:t xml:space="preserve">, the outlook is brighter; exports could accelerate even more with changes in the overall business environment and investment climate. Similarly, </w:t>
      </w:r>
      <w:r>
        <w:rPr>
          <w:rFonts w:eastAsia="Calibri"/>
          <w:b/>
          <w:noProof/>
          <w:lang w:val="en-IE"/>
        </w:rPr>
        <w:t>Zimbabwe</w:t>
      </w:r>
      <w:r>
        <w:rPr>
          <w:rFonts w:eastAsia="Calibri"/>
          <w:noProof/>
          <w:lang w:val="en-IE"/>
        </w:rPr>
        <w:t xml:space="preserve"> has enormous export potential but as long as the economic situation remains uncertain, with no serious business climate reforms and no foreign capital inflows, necessary investments will not take place. For </w:t>
      </w:r>
      <w:r>
        <w:rPr>
          <w:rFonts w:eastAsia="Calibri"/>
          <w:b/>
          <w:noProof/>
          <w:lang w:val="en-IE"/>
        </w:rPr>
        <w:t>Seychelles</w:t>
      </w:r>
      <w:r>
        <w:rPr>
          <w:rFonts w:eastAsia="Calibri"/>
          <w:noProof/>
          <w:lang w:val="en-IE"/>
        </w:rPr>
        <w:t xml:space="preserve">, the lack of diversification is serious; the country is aiming at exporting more fisheries by-products and processed fish products but is hindered by human resource limitations. </w:t>
      </w:r>
    </w:p>
    <w:p>
      <w:pPr>
        <w:jc w:val="both"/>
        <w:rPr>
          <w:rFonts w:eastAsia="Calibri"/>
          <w:noProof/>
          <w:lang w:val="en-IE"/>
        </w:rPr>
      </w:pPr>
    </w:p>
    <w:tbl>
      <w:tblPr>
        <w:tblStyle w:val="TableGrid"/>
        <w:tblW w:w="0" w:type="auto"/>
        <w:tblLook w:val="04A0" w:firstRow="1" w:lastRow="0" w:firstColumn="1" w:lastColumn="0" w:noHBand="0" w:noVBand="1"/>
      </w:tblPr>
      <w:tblGrid>
        <w:gridCol w:w="534"/>
        <w:gridCol w:w="2268"/>
        <w:gridCol w:w="2268"/>
        <w:gridCol w:w="2126"/>
        <w:gridCol w:w="2092"/>
      </w:tblGrid>
      <w:tr>
        <w:tc>
          <w:tcPr>
            <w:tcW w:w="9288" w:type="dxa"/>
            <w:gridSpan w:val="5"/>
          </w:tcPr>
          <w:p>
            <w:pPr>
              <w:rPr>
                <w:rFonts w:eastAsia="Calibri"/>
                <w:b/>
                <w:noProof/>
                <w:sz w:val="20"/>
                <w:szCs w:val="20"/>
              </w:rPr>
            </w:pPr>
            <w:r>
              <w:rPr>
                <w:rFonts w:eastAsia="Calibri"/>
                <w:b/>
                <w:noProof/>
                <w:sz w:val="20"/>
                <w:szCs w:val="20"/>
              </w:rPr>
              <w:t>Top 10 EU imports from ESA4 in 2018</w:t>
            </w:r>
          </w:p>
        </w:tc>
      </w:tr>
      <w:tr>
        <w:tc>
          <w:tcPr>
            <w:tcW w:w="534" w:type="dxa"/>
          </w:tcPr>
          <w:p>
            <w:pPr>
              <w:rPr>
                <w:rFonts w:eastAsia="Calibri"/>
                <w:noProof/>
                <w:sz w:val="20"/>
                <w:szCs w:val="20"/>
              </w:rPr>
            </w:pPr>
          </w:p>
        </w:tc>
        <w:tc>
          <w:tcPr>
            <w:tcW w:w="2268" w:type="dxa"/>
          </w:tcPr>
          <w:p>
            <w:pPr>
              <w:rPr>
                <w:rFonts w:eastAsia="Calibri"/>
                <w:b/>
                <w:noProof/>
                <w:sz w:val="20"/>
                <w:szCs w:val="20"/>
              </w:rPr>
            </w:pPr>
            <w:r>
              <w:rPr>
                <w:rFonts w:eastAsia="Calibri"/>
                <w:b/>
                <w:noProof/>
                <w:sz w:val="20"/>
                <w:szCs w:val="20"/>
              </w:rPr>
              <w:t>Madagascar</w:t>
            </w:r>
          </w:p>
        </w:tc>
        <w:tc>
          <w:tcPr>
            <w:tcW w:w="2268" w:type="dxa"/>
          </w:tcPr>
          <w:p>
            <w:pPr>
              <w:rPr>
                <w:rFonts w:eastAsia="Calibri"/>
                <w:b/>
                <w:noProof/>
                <w:sz w:val="20"/>
                <w:szCs w:val="20"/>
              </w:rPr>
            </w:pPr>
            <w:r>
              <w:rPr>
                <w:rFonts w:eastAsia="Calibri"/>
                <w:b/>
                <w:noProof/>
                <w:sz w:val="20"/>
                <w:szCs w:val="20"/>
              </w:rPr>
              <w:t>Mauritius</w:t>
            </w:r>
          </w:p>
        </w:tc>
        <w:tc>
          <w:tcPr>
            <w:tcW w:w="2126" w:type="dxa"/>
          </w:tcPr>
          <w:p>
            <w:pPr>
              <w:rPr>
                <w:rFonts w:eastAsia="Calibri"/>
                <w:b/>
                <w:noProof/>
                <w:sz w:val="20"/>
                <w:szCs w:val="20"/>
              </w:rPr>
            </w:pPr>
            <w:r>
              <w:rPr>
                <w:rFonts w:eastAsia="Calibri"/>
                <w:b/>
                <w:noProof/>
                <w:sz w:val="20"/>
                <w:szCs w:val="20"/>
              </w:rPr>
              <w:t>Seychelles</w:t>
            </w:r>
          </w:p>
        </w:tc>
        <w:tc>
          <w:tcPr>
            <w:tcW w:w="2092" w:type="dxa"/>
          </w:tcPr>
          <w:p>
            <w:pPr>
              <w:rPr>
                <w:rFonts w:eastAsia="Calibri"/>
                <w:b/>
                <w:noProof/>
                <w:sz w:val="20"/>
                <w:szCs w:val="20"/>
              </w:rPr>
            </w:pPr>
            <w:r>
              <w:rPr>
                <w:rFonts w:eastAsia="Calibri"/>
                <w:b/>
                <w:noProof/>
                <w:sz w:val="20"/>
                <w:szCs w:val="20"/>
              </w:rPr>
              <w:t>Zimbabwe</w:t>
            </w:r>
          </w:p>
        </w:tc>
      </w:tr>
      <w:tr>
        <w:tc>
          <w:tcPr>
            <w:tcW w:w="534" w:type="dxa"/>
          </w:tcPr>
          <w:p>
            <w:pPr>
              <w:rPr>
                <w:rFonts w:eastAsia="Calibri"/>
                <w:noProof/>
                <w:sz w:val="20"/>
                <w:szCs w:val="20"/>
              </w:rPr>
            </w:pPr>
            <w:r>
              <w:rPr>
                <w:rFonts w:eastAsia="Calibri"/>
                <w:noProof/>
                <w:sz w:val="20"/>
                <w:szCs w:val="20"/>
              </w:rPr>
              <w:t>1</w:t>
            </w:r>
          </w:p>
        </w:tc>
        <w:tc>
          <w:tcPr>
            <w:tcW w:w="2268" w:type="dxa"/>
          </w:tcPr>
          <w:p>
            <w:pPr>
              <w:rPr>
                <w:rFonts w:eastAsia="Calibri"/>
                <w:noProof/>
                <w:sz w:val="20"/>
                <w:szCs w:val="20"/>
              </w:rPr>
            </w:pPr>
            <w:r>
              <w:rPr>
                <w:rFonts w:eastAsia="Calibri"/>
                <w:noProof/>
                <w:sz w:val="20"/>
                <w:szCs w:val="20"/>
              </w:rPr>
              <w:t>Vanilla</w:t>
            </w:r>
          </w:p>
        </w:tc>
        <w:tc>
          <w:tcPr>
            <w:tcW w:w="2268" w:type="dxa"/>
          </w:tcPr>
          <w:p>
            <w:pPr>
              <w:rPr>
                <w:rFonts w:eastAsia="Calibri"/>
                <w:noProof/>
                <w:sz w:val="20"/>
                <w:szCs w:val="20"/>
              </w:rPr>
            </w:pPr>
            <w:r>
              <w:rPr>
                <w:rFonts w:eastAsia="Calibri"/>
                <w:noProof/>
                <w:sz w:val="20"/>
                <w:szCs w:val="20"/>
              </w:rPr>
              <w:t>Prepared or preserved tunas, skipjack etc.</w:t>
            </w:r>
          </w:p>
        </w:tc>
        <w:tc>
          <w:tcPr>
            <w:tcW w:w="2126" w:type="dxa"/>
          </w:tcPr>
          <w:p>
            <w:pPr>
              <w:rPr>
                <w:rFonts w:eastAsia="Calibri"/>
                <w:noProof/>
                <w:sz w:val="20"/>
                <w:szCs w:val="20"/>
              </w:rPr>
            </w:pPr>
            <w:r>
              <w:rPr>
                <w:rFonts w:eastAsia="Calibri"/>
                <w:noProof/>
                <w:sz w:val="20"/>
                <w:szCs w:val="20"/>
              </w:rPr>
              <w:t>Prepared or preserved tunas, skipjack etc.</w:t>
            </w:r>
          </w:p>
        </w:tc>
        <w:tc>
          <w:tcPr>
            <w:tcW w:w="2092" w:type="dxa"/>
          </w:tcPr>
          <w:p>
            <w:pPr>
              <w:rPr>
                <w:rFonts w:eastAsia="Calibri"/>
                <w:noProof/>
                <w:sz w:val="20"/>
                <w:szCs w:val="20"/>
              </w:rPr>
            </w:pPr>
            <w:r>
              <w:rPr>
                <w:noProof/>
                <w:sz w:val="20"/>
                <w:szCs w:val="20"/>
              </w:rPr>
              <w:t>Tobacco</w:t>
            </w:r>
          </w:p>
        </w:tc>
      </w:tr>
      <w:tr>
        <w:tc>
          <w:tcPr>
            <w:tcW w:w="534" w:type="dxa"/>
          </w:tcPr>
          <w:p>
            <w:pPr>
              <w:rPr>
                <w:rFonts w:eastAsia="Calibri"/>
                <w:noProof/>
                <w:sz w:val="20"/>
                <w:szCs w:val="20"/>
              </w:rPr>
            </w:pPr>
            <w:r>
              <w:rPr>
                <w:rFonts w:eastAsia="Calibri"/>
                <w:noProof/>
                <w:sz w:val="20"/>
                <w:szCs w:val="20"/>
              </w:rPr>
              <w:t>2</w:t>
            </w:r>
          </w:p>
        </w:tc>
        <w:tc>
          <w:tcPr>
            <w:tcW w:w="2268" w:type="dxa"/>
          </w:tcPr>
          <w:p>
            <w:pPr>
              <w:rPr>
                <w:rFonts w:eastAsia="Calibri"/>
                <w:noProof/>
                <w:sz w:val="20"/>
                <w:szCs w:val="20"/>
              </w:rPr>
            </w:pPr>
            <w:r>
              <w:rPr>
                <w:rFonts w:eastAsia="Calibri"/>
                <w:noProof/>
                <w:sz w:val="20"/>
                <w:szCs w:val="20"/>
              </w:rPr>
              <w:t>Cobalt matters</w:t>
            </w:r>
          </w:p>
        </w:tc>
        <w:tc>
          <w:tcPr>
            <w:tcW w:w="2268" w:type="dxa"/>
          </w:tcPr>
          <w:p>
            <w:pPr>
              <w:rPr>
                <w:rFonts w:eastAsia="Calibri"/>
                <w:noProof/>
                <w:sz w:val="20"/>
                <w:szCs w:val="20"/>
              </w:rPr>
            </w:pPr>
            <w:r>
              <w:rPr>
                <w:rFonts w:eastAsia="Calibri"/>
                <w:noProof/>
                <w:sz w:val="20"/>
                <w:szCs w:val="20"/>
              </w:rPr>
              <w:t>T-shirts, singlets and other vests of cotton</w:t>
            </w:r>
          </w:p>
        </w:tc>
        <w:tc>
          <w:tcPr>
            <w:tcW w:w="2126" w:type="dxa"/>
          </w:tcPr>
          <w:p>
            <w:pPr>
              <w:rPr>
                <w:rFonts w:eastAsia="Calibri"/>
                <w:noProof/>
                <w:sz w:val="20"/>
                <w:szCs w:val="20"/>
              </w:rPr>
            </w:pPr>
            <w:r>
              <w:rPr>
                <w:noProof/>
                <w:sz w:val="20"/>
                <w:szCs w:val="20"/>
              </w:rPr>
              <w:t xml:space="preserve">Frozen yellowfin tunas </w:t>
            </w:r>
          </w:p>
        </w:tc>
        <w:tc>
          <w:tcPr>
            <w:tcW w:w="2092" w:type="dxa"/>
          </w:tcPr>
          <w:p>
            <w:pPr>
              <w:rPr>
                <w:rFonts w:eastAsia="Calibri"/>
                <w:noProof/>
                <w:sz w:val="20"/>
                <w:szCs w:val="20"/>
              </w:rPr>
            </w:pPr>
            <w:r>
              <w:rPr>
                <w:noProof/>
                <w:sz w:val="20"/>
                <w:szCs w:val="20"/>
              </w:rPr>
              <w:t>Diamonds, unsorted</w:t>
            </w:r>
          </w:p>
        </w:tc>
      </w:tr>
      <w:tr>
        <w:tc>
          <w:tcPr>
            <w:tcW w:w="534" w:type="dxa"/>
          </w:tcPr>
          <w:p>
            <w:pPr>
              <w:rPr>
                <w:rFonts w:eastAsia="Calibri"/>
                <w:noProof/>
                <w:sz w:val="20"/>
                <w:szCs w:val="20"/>
              </w:rPr>
            </w:pPr>
            <w:r>
              <w:rPr>
                <w:rFonts w:eastAsia="Calibri"/>
                <w:noProof/>
                <w:sz w:val="20"/>
                <w:szCs w:val="20"/>
              </w:rPr>
              <w:t>3</w:t>
            </w:r>
          </w:p>
        </w:tc>
        <w:tc>
          <w:tcPr>
            <w:tcW w:w="2268" w:type="dxa"/>
          </w:tcPr>
          <w:p>
            <w:pPr>
              <w:rPr>
                <w:rFonts w:eastAsia="Calibri"/>
                <w:noProof/>
                <w:sz w:val="20"/>
                <w:szCs w:val="20"/>
              </w:rPr>
            </w:pPr>
            <w:r>
              <w:rPr>
                <w:rFonts w:eastAsia="Calibri"/>
                <w:noProof/>
                <w:sz w:val="20"/>
                <w:szCs w:val="20"/>
              </w:rPr>
              <w:t>Frozen shrimps and prawns</w:t>
            </w:r>
          </w:p>
        </w:tc>
        <w:tc>
          <w:tcPr>
            <w:tcW w:w="2268" w:type="dxa"/>
          </w:tcPr>
          <w:p>
            <w:pPr>
              <w:rPr>
                <w:rFonts w:eastAsia="Calibri"/>
                <w:noProof/>
                <w:sz w:val="20"/>
                <w:szCs w:val="20"/>
              </w:rPr>
            </w:pPr>
            <w:r>
              <w:rPr>
                <w:rFonts w:eastAsia="Calibri"/>
                <w:noProof/>
                <w:sz w:val="20"/>
                <w:szCs w:val="20"/>
              </w:rPr>
              <w:t>Cane sugar (170199)</w:t>
            </w:r>
          </w:p>
        </w:tc>
        <w:tc>
          <w:tcPr>
            <w:tcW w:w="2126" w:type="dxa"/>
          </w:tcPr>
          <w:p>
            <w:pPr>
              <w:rPr>
                <w:rFonts w:eastAsia="Calibri"/>
                <w:noProof/>
                <w:sz w:val="20"/>
                <w:szCs w:val="20"/>
              </w:rPr>
            </w:pPr>
            <w:r>
              <w:rPr>
                <w:noProof/>
                <w:sz w:val="20"/>
                <w:szCs w:val="20"/>
              </w:rPr>
              <w:t>Frozen skipjack or stripe-bellied bonito</w:t>
            </w:r>
          </w:p>
        </w:tc>
        <w:tc>
          <w:tcPr>
            <w:tcW w:w="2092" w:type="dxa"/>
          </w:tcPr>
          <w:p>
            <w:pPr>
              <w:rPr>
                <w:rFonts w:eastAsia="Calibri"/>
                <w:noProof/>
                <w:sz w:val="20"/>
                <w:szCs w:val="20"/>
              </w:rPr>
            </w:pPr>
            <w:r>
              <w:rPr>
                <w:noProof/>
                <w:sz w:val="20"/>
                <w:szCs w:val="20"/>
              </w:rPr>
              <w:t>Ferro-chromium, containing by weight &gt; 4% of carbon</w:t>
            </w:r>
          </w:p>
        </w:tc>
      </w:tr>
      <w:tr>
        <w:tc>
          <w:tcPr>
            <w:tcW w:w="534" w:type="dxa"/>
          </w:tcPr>
          <w:p>
            <w:pPr>
              <w:rPr>
                <w:rFonts w:eastAsia="Calibri"/>
                <w:noProof/>
                <w:sz w:val="20"/>
                <w:szCs w:val="20"/>
              </w:rPr>
            </w:pPr>
            <w:r>
              <w:rPr>
                <w:rFonts w:eastAsia="Calibri"/>
                <w:noProof/>
                <w:sz w:val="20"/>
                <w:szCs w:val="20"/>
              </w:rPr>
              <w:t>4</w:t>
            </w:r>
          </w:p>
        </w:tc>
        <w:tc>
          <w:tcPr>
            <w:tcW w:w="2268" w:type="dxa"/>
          </w:tcPr>
          <w:p>
            <w:pPr>
              <w:rPr>
                <w:rFonts w:eastAsia="Calibri"/>
                <w:noProof/>
                <w:sz w:val="20"/>
                <w:szCs w:val="20"/>
              </w:rPr>
            </w:pPr>
            <w:r>
              <w:rPr>
                <w:rFonts w:eastAsia="Calibri"/>
                <w:noProof/>
                <w:sz w:val="20"/>
                <w:szCs w:val="20"/>
              </w:rPr>
              <w:t>Jerseys, pullovers, cardigans, waistcoats (etc.) of Kashmir</w:t>
            </w:r>
          </w:p>
        </w:tc>
        <w:tc>
          <w:tcPr>
            <w:tcW w:w="2268" w:type="dxa"/>
          </w:tcPr>
          <w:p>
            <w:pPr>
              <w:rPr>
                <w:rFonts w:eastAsia="Calibri"/>
                <w:noProof/>
                <w:sz w:val="20"/>
                <w:szCs w:val="20"/>
              </w:rPr>
            </w:pPr>
            <w:r>
              <w:rPr>
                <w:rFonts w:eastAsia="Calibri"/>
                <w:noProof/>
                <w:sz w:val="20"/>
                <w:szCs w:val="20"/>
              </w:rPr>
              <w:t>Raw cane sugar not containing flavouring or colouring (170114)</w:t>
            </w:r>
          </w:p>
        </w:tc>
        <w:tc>
          <w:tcPr>
            <w:tcW w:w="2126" w:type="dxa"/>
          </w:tcPr>
          <w:p>
            <w:pPr>
              <w:rPr>
                <w:rFonts w:eastAsia="Calibri"/>
                <w:noProof/>
                <w:sz w:val="20"/>
                <w:szCs w:val="20"/>
              </w:rPr>
            </w:pPr>
            <w:r>
              <w:rPr>
                <w:noProof/>
                <w:sz w:val="20"/>
                <w:szCs w:val="20"/>
              </w:rPr>
              <w:t>Light oils and preparations</w:t>
            </w:r>
          </w:p>
        </w:tc>
        <w:tc>
          <w:tcPr>
            <w:tcW w:w="2092" w:type="dxa"/>
          </w:tcPr>
          <w:p>
            <w:pPr>
              <w:rPr>
                <w:rFonts w:eastAsia="Calibri"/>
                <w:noProof/>
                <w:sz w:val="20"/>
                <w:szCs w:val="20"/>
              </w:rPr>
            </w:pPr>
            <w:r>
              <w:rPr>
                <w:noProof/>
                <w:sz w:val="20"/>
                <w:szCs w:val="20"/>
              </w:rPr>
              <w:t>Fresh or dried oranges</w:t>
            </w:r>
          </w:p>
        </w:tc>
      </w:tr>
      <w:tr>
        <w:tc>
          <w:tcPr>
            <w:tcW w:w="534" w:type="dxa"/>
          </w:tcPr>
          <w:p>
            <w:pPr>
              <w:rPr>
                <w:rFonts w:eastAsia="Calibri"/>
                <w:noProof/>
                <w:sz w:val="20"/>
                <w:szCs w:val="20"/>
              </w:rPr>
            </w:pPr>
            <w:r>
              <w:rPr>
                <w:rFonts w:eastAsia="Calibri"/>
                <w:noProof/>
                <w:sz w:val="20"/>
                <w:szCs w:val="20"/>
              </w:rPr>
              <w:t>5</w:t>
            </w:r>
          </w:p>
        </w:tc>
        <w:tc>
          <w:tcPr>
            <w:tcW w:w="2268" w:type="dxa"/>
          </w:tcPr>
          <w:p>
            <w:pPr>
              <w:rPr>
                <w:rFonts w:eastAsia="Calibri"/>
                <w:noProof/>
                <w:sz w:val="20"/>
                <w:szCs w:val="20"/>
              </w:rPr>
            </w:pPr>
            <w:r>
              <w:rPr>
                <w:rFonts w:eastAsia="Calibri"/>
                <w:noProof/>
                <w:sz w:val="20"/>
                <w:szCs w:val="20"/>
              </w:rPr>
              <w:t>Nickel</w:t>
            </w:r>
          </w:p>
        </w:tc>
        <w:tc>
          <w:tcPr>
            <w:tcW w:w="2268" w:type="dxa"/>
          </w:tcPr>
          <w:p>
            <w:pPr>
              <w:rPr>
                <w:rFonts w:eastAsia="Calibri"/>
                <w:noProof/>
                <w:sz w:val="20"/>
                <w:szCs w:val="20"/>
              </w:rPr>
            </w:pPr>
            <w:r>
              <w:rPr>
                <w:rFonts w:eastAsia="Calibri"/>
                <w:noProof/>
                <w:sz w:val="20"/>
                <w:szCs w:val="20"/>
              </w:rPr>
              <w:t>Men’s or boys’ trousers, bib and brace overalls (etc.) of cotton</w:t>
            </w:r>
          </w:p>
        </w:tc>
        <w:tc>
          <w:tcPr>
            <w:tcW w:w="2126" w:type="dxa"/>
          </w:tcPr>
          <w:p>
            <w:pPr>
              <w:rPr>
                <w:rFonts w:eastAsia="Calibri"/>
                <w:noProof/>
                <w:sz w:val="20"/>
                <w:szCs w:val="20"/>
              </w:rPr>
            </w:pPr>
            <w:r>
              <w:rPr>
                <w:noProof/>
                <w:sz w:val="20"/>
                <w:szCs w:val="20"/>
              </w:rPr>
              <w:t>Frozen bigeye tunas</w:t>
            </w:r>
          </w:p>
        </w:tc>
        <w:tc>
          <w:tcPr>
            <w:tcW w:w="2092" w:type="dxa"/>
          </w:tcPr>
          <w:p>
            <w:pPr>
              <w:rPr>
                <w:rFonts w:eastAsia="Calibri"/>
                <w:noProof/>
                <w:sz w:val="20"/>
                <w:szCs w:val="20"/>
              </w:rPr>
            </w:pPr>
            <w:r>
              <w:rPr>
                <w:noProof/>
                <w:sz w:val="20"/>
                <w:szCs w:val="20"/>
              </w:rPr>
              <w:t>Raw hides and skins of reptiles</w:t>
            </w:r>
          </w:p>
        </w:tc>
      </w:tr>
      <w:tr>
        <w:tc>
          <w:tcPr>
            <w:tcW w:w="534" w:type="dxa"/>
          </w:tcPr>
          <w:p>
            <w:pPr>
              <w:rPr>
                <w:rFonts w:eastAsia="Calibri"/>
                <w:noProof/>
                <w:sz w:val="20"/>
                <w:szCs w:val="20"/>
              </w:rPr>
            </w:pPr>
            <w:r>
              <w:rPr>
                <w:rFonts w:eastAsia="Calibri"/>
                <w:noProof/>
                <w:sz w:val="20"/>
                <w:szCs w:val="20"/>
              </w:rPr>
              <w:t>6</w:t>
            </w:r>
          </w:p>
        </w:tc>
        <w:tc>
          <w:tcPr>
            <w:tcW w:w="2268" w:type="dxa"/>
          </w:tcPr>
          <w:p>
            <w:pPr>
              <w:rPr>
                <w:rFonts w:eastAsia="Calibri"/>
                <w:noProof/>
                <w:sz w:val="20"/>
                <w:szCs w:val="20"/>
              </w:rPr>
            </w:pPr>
            <w:r>
              <w:rPr>
                <w:rFonts w:eastAsia="Calibri"/>
                <w:noProof/>
                <w:sz w:val="20"/>
                <w:szCs w:val="20"/>
              </w:rPr>
              <w:t>Shawls, scarves (etc.) of silk</w:t>
            </w:r>
          </w:p>
        </w:tc>
        <w:tc>
          <w:tcPr>
            <w:tcW w:w="2268" w:type="dxa"/>
          </w:tcPr>
          <w:p>
            <w:pPr>
              <w:rPr>
                <w:rFonts w:eastAsia="Calibri"/>
                <w:noProof/>
                <w:sz w:val="20"/>
                <w:szCs w:val="20"/>
              </w:rPr>
            </w:pPr>
            <w:r>
              <w:rPr>
                <w:noProof/>
                <w:sz w:val="20"/>
                <w:szCs w:val="20"/>
              </w:rPr>
              <w:t>Men's or boys' shirts of cotton</w:t>
            </w:r>
          </w:p>
        </w:tc>
        <w:tc>
          <w:tcPr>
            <w:tcW w:w="2126" w:type="dxa"/>
          </w:tcPr>
          <w:p>
            <w:pPr>
              <w:rPr>
                <w:rFonts w:eastAsia="Calibri"/>
                <w:noProof/>
                <w:sz w:val="20"/>
                <w:szCs w:val="20"/>
              </w:rPr>
            </w:pPr>
            <w:r>
              <w:rPr>
                <w:noProof/>
                <w:sz w:val="20"/>
                <w:szCs w:val="20"/>
              </w:rPr>
              <w:t xml:space="preserve">Prepared or preserved fish </w:t>
            </w:r>
          </w:p>
        </w:tc>
        <w:tc>
          <w:tcPr>
            <w:tcW w:w="2092" w:type="dxa"/>
          </w:tcPr>
          <w:p>
            <w:pPr>
              <w:rPr>
                <w:rFonts w:eastAsia="Calibri"/>
                <w:noProof/>
                <w:sz w:val="20"/>
                <w:szCs w:val="20"/>
              </w:rPr>
            </w:pPr>
            <w:r>
              <w:rPr>
                <w:noProof/>
                <w:sz w:val="20"/>
                <w:szCs w:val="20"/>
              </w:rPr>
              <w:t>Fresh or chilled peas</w:t>
            </w:r>
          </w:p>
        </w:tc>
      </w:tr>
      <w:tr>
        <w:tc>
          <w:tcPr>
            <w:tcW w:w="534" w:type="dxa"/>
          </w:tcPr>
          <w:p>
            <w:pPr>
              <w:rPr>
                <w:rFonts w:eastAsia="Calibri"/>
                <w:noProof/>
                <w:sz w:val="20"/>
                <w:szCs w:val="20"/>
              </w:rPr>
            </w:pPr>
            <w:r>
              <w:rPr>
                <w:rFonts w:eastAsia="Calibri"/>
                <w:noProof/>
                <w:sz w:val="20"/>
                <w:szCs w:val="20"/>
              </w:rPr>
              <w:t>7</w:t>
            </w:r>
          </w:p>
        </w:tc>
        <w:tc>
          <w:tcPr>
            <w:tcW w:w="2268" w:type="dxa"/>
          </w:tcPr>
          <w:p>
            <w:pPr>
              <w:rPr>
                <w:rFonts w:eastAsia="Calibri"/>
                <w:noProof/>
                <w:sz w:val="20"/>
                <w:szCs w:val="20"/>
              </w:rPr>
            </w:pPr>
            <w:r>
              <w:rPr>
                <w:rFonts w:eastAsia="Calibri"/>
                <w:noProof/>
                <w:sz w:val="20"/>
                <w:szCs w:val="20"/>
              </w:rPr>
              <w:t>Vegetables saps and extracts</w:t>
            </w:r>
          </w:p>
        </w:tc>
        <w:tc>
          <w:tcPr>
            <w:tcW w:w="2268" w:type="dxa"/>
          </w:tcPr>
          <w:p>
            <w:pPr>
              <w:rPr>
                <w:rFonts w:eastAsia="Calibri"/>
                <w:noProof/>
                <w:sz w:val="20"/>
                <w:szCs w:val="20"/>
              </w:rPr>
            </w:pPr>
            <w:r>
              <w:rPr>
                <w:noProof/>
                <w:sz w:val="20"/>
                <w:szCs w:val="20"/>
              </w:rPr>
              <w:t>Articles of jewellery</w:t>
            </w:r>
          </w:p>
        </w:tc>
        <w:tc>
          <w:tcPr>
            <w:tcW w:w="2126" w:type="dxa"/>
          </w:tcPr>
          <w:p>
            <w:pPr>
              <w:rPr>
                <w:rFonts w:eastAsia="Calibri"/>
                <w:noProof/>
                <w:sz w:val="20"/>
                <w:szCs w:val="20"/>
              </w:rPr>
            </w:pPr>
            <w:r>
              <w:rPr>
                <w:noProof/>
                <w:sz w:val="20"/>
                <w:szCs w:val="20"/>
              </w:rPr>
              <w:t>Fresh or chilled fillets of fish, n.e.s.</w:t>
            </w:r>
          </w:p>
        </w:tc>
        <w:tc>
          <w:tcPr>
            <w:tcW w:w="2092" w:type="dxa"/>
          </w:tcPr>
          <w:p>
            <w:pPr>
              <w:rPr>
                <w:rFonts w:eastAsia="Calibri"/>
                <w:noProof/>
                <w:sz w:val="20"/>
                <w:szCs w:val="20"/>
              </w:rPr>
            </w:pPr>
            <w:r>
              <w:rPr>
                <w:noProof/>
                <w:sz w:val="20"/>
                <w:szCs w:val="20"/>
              </w:rPr>
              <w:t>Black tea</w:t>
            </w:r>
          </w:p>
        </w:tc>
      </w:tr>
      <w:tr>
        <w:tc>
          <w:tcPr>
            <w:tcW w:w="534" w:type="dxa"/>
          </w:tcPr>
          <w:p>
            <w:pPr>
              <w:rPr>
                <w:rFonts w:eastAsia="Calibri"/>
                <w:noProof/>
                <w:sz w:val="20"/>
                <w:szCs w:val="20"/>
              </w:rPr>
            </w:pPr>
            <w:r>
              <w:rPr>
                <w:rFonts w:eastAsia="Calibri"/>
                <w:noProof/>
                <w:sz w:val="20"/>
                <w:szCs w:val="20"/>
              </w:rPr>
              <w:t>8</w:t>
            </w:r>
          </w:p>
        </w:tc>
        <w:tc>
          <w:tcPr>
            <w:tcW w:w="2268" w:type="dxa"/>
          </w:tcPr>
          <w:p>
            <w:pPr>
              <w:rPr>
                <w:rFonts w:eastAsia="Calibri"/>
                <w:noProof/>
                <w:sz w:val="20"/>
                <w:szCs w:val="20"/>
              </w:rPr>
            </w:pPr>
            <w:r>
              <w:rPr>
                <w:rFonts w:eastAsia="Calibri"/>
                <w:noProof/>
                <w:sz w:val="20"/>
                <w:szCs w:val="20"/>
              </w:rPr>
              <w:t>Fresh tamarinds, cashew apples, jackfruit, lychees, passion fruit, other</w:t>
            </w:r>
          </w:p>
        </w:tc>
        <w:tc>
          <w:tcPr>
            <w:tcW w:w="2268" w:type="dxa"/>
          </w:tcPr>
          <w:p>
            <w:pPr>
              <w:rPr>
                <w:rFonts w:eastAsia="Calibri"/>
                <w:noProof/>
                <w:sz w:val="20"/>
                <w:szCs w:val="20"/>
              </w:rPr>
            </w:pPr>
            <w:r>
              <w:rPr>
                <w:noProof/>
                <w:sz w:val="20"/>
                <w:szCs w:val="20"/>
              </w:rPr>
              <w:t>Jerseys, pullovers, cardigans, waistcoats etc., of cotton</w:t>
            </w:r>
          </w:p>
        </w:tc>
        <w:tc>
          <w:tcPr>
            <w:tcW w:w="2126" w:type="dxa"/>
          </w:tcPr>
          <w:p>
            <w:pPr>
              <w:rPr>
                <w:rFonts w:eastAsia="Calibri"/>
                <w:noProof/>
                <w:sz w:val="20"/>
                <w:szCs w:val="20"/>
              </w:rPr>
            </w:pPr>
            <w:r>
              <w:rPr>
                <w:noProof/>
                <w:sz w:val="20"/>
                <w:szCs w:val="20"/>
              </w:rPr>
              <w:t>Fresh or chilled yellowfin tunas</w:t>
            </w:r>
          </w:p>
        </w:tc>
        <w:tc>
          <w:tcPr>
            <w:tcW w:w="2092" w:type="dxa"/>
          </w:tcPr>
          <w:p>
            <w:pPr>
              <w:rPr>
                <w:rFonts w:eastAsia="Calibri"/>
                <w:noProof/>
                <w:sz w:val="20"/>
                <w:szCs w:val="20"/>
              </w:rPr>
            </w:pPr>
            <w:r>
              <w:rPr>
                <w:noProof/>
                <w:sz w:val="20"/>
                <w:szCs w:val="20"/>
              </w:rPr>
              <w:t>Granite, crude or roughly trimmed</w:t>
            </w:r>
          </w:p>
        </w:tc>
      </w:tr>
      <w:tr>
        <w:tc>
          <w:tcPr>
            <w:tcW w:w="534" w:type="dxa"/>
          </w:tcPr>
          <w:p>
            <w:pPr>
              <w:rPr>
                <w:rFonts w:eastAsia="Calibri"/>
                <w:noProof/>
                <w:sz w:val="20"/>
                <w:szCs w:val="20"/>
              </w:rPr>
            </w:pPr>
            <w:r>
              <w:rPr>
                <w:rFonts w:eastAsia="Calibri"/>
                <w:noProof/>
                <w:sz w:val="20"/>
                <w:szCs w:val="20"/>
              </w:rPr>
              <w:t>9</w:t>
            </w:r>
          </w:p>
        </w:tc>
        <w:tc>
          <w:tcPr>
            <w:tcW w:w="2268" w:type="dxa"/>
          </w:tcPr>
          <w:p>
            <w:pPr>
              <w:rPr>
                <w:rFonts w:eastAsia="Calibri"/>
                <w:noProof/>
                <w:sz w:val="20"/>
                <w:szCs w:val="20"/>
              </w:rPr>
            </w:pPr>
            <w:r>
              <w:rPr>
                <w:rFonts w:eastAsia="Calibri"/>
                <w:noProof/>
                <w:sz w:val="20"/>
                <w:szCs w:val="20"/>
              </w:rPr>
              <w:t>Prepared or preserved tunas, skipjack, etc.</w:t>
            </w:r>
          </w:p>
        </w:tc>
        <w:tc>
          <w:tcPr>
            <w:tcW w:w="2268" w:type="dxa"/>
          </w:tcPr>
          <w:p>
            <w:pPr>
              <w:rPr>
                <w:rFonts w:eastAsia="Calibri"/>
                <w:noProof/>
                <w:sz w:val="20"/>
                <w:szCs w:val="20"/>
              </w:rPr>
            </w:pPr>
            <w:r>
              <w:rPr>
                <w:noProof/>
                <w:sz w:val="20"/>
                <w:szCs w:val="20"/>
              </w:rPr>
              <w:t>T-shirts, singlets and other vests of textile materials</w:t>
            </w:r>
          </w:p>
        </w:tc>
        <w:tc>
          <w:tcPr>
            <w:tcW w:w="2126" w:type="dxa"/>
          </w:tcPr>
          <w:p>
            <w:pPr>
              <w:rPr>
                <w:rFonts w:eastAsia="Calibri"/>
                <w:noProof/>
                <w:sz w:val="20"/>
                <w:szCs w:val="20"/>
              </w:rPr>
            </w:pPr>
            <w:r>
              <w:rPr>
                <w:noProof/>
                <w:sz w:val="20"/>
                <w:szCs w:val="20"/>
              </w:rPr>
              <w:t>Instruments and appliances used in medical, surgical or veterinary sciences, n.e.s.</w:t>
            </w:r>
          </w:p>
        </w:tc>
        <w:tc>
          <w:tcPr>
            <w:tcW w:w="2092" w:type="dxa"/>
          </w:tcPr>
          <w:p>
            <w:pPr>
              <w:rPr>
                <w:rFonts w:eastAsia="Calibri"/>
                <w:noProof/>
                <w:sz w:val="20"/>
                <w:szCs w:val="20"/>
              </w:rPr>
            </w:pPr>
            <w:r>
              <w:rPr>
                <w:noProof/>
                <w:sz w:val="20"/>
                <w:szCs w:val="20"/>
              </w:rPr>
              <w:t>Arsenic sulfides, alunite, pozzuolana, earth colours and other mineral substances, n.e.s.</w:t>
            </w:r>
          </w:p>
        </w:tc>
      </w:tr>
      <w:tr>
        <w:tc>
          <w:tcPr>
            <w:tcW w:w="534" w:type="dxa"/>
          </w:tcPr>
          <w:p>
            <w:pPr>
              <w:rPr>
                <w:rFonts w:eastAsia="Calibri"/>
                <w:noProof/>
                <w:sz w:val="20"/>
                <w:szCs w:val="20"/>
              </w:rPr>
            </w:pPr>
            <w:r>
              <w:rPr>
                <w:rFonts w:eastAsia="Calibri"/>
                <w:noProof/>
                <w:sz w:val="20"/>
                <w:szCs w:val="20"/>
              </w:rPr>
              <w:t>10</w:t>
            </w:r>
          </w:p>
        </w:tc>
        <w:tc>
          <w:tcPr>
            <w:tcW w:w="2268" w:type="dxa"/>
          </w:tcPr>
          <w:p>
            <w:pPr>
              <w:rPr>
                <w:rFonts w:eastAsia="Calibri"/>
                <w:noProof/>
                <w:sz w:val="20"/>
                <w:szCs w:val="20"/>
              </w:rPr>
            </w:pPr>
            <w:r>
              <w:rPr>
                <w:rFonts w:eastAsia="Calibri"/>
                <w:noProof/>
                <w:sz w:val="20"/>
                <w:szCs w:val="20"/>
              </w:rPr>
              <w:t>Jerseys, pullovers, cardigans, waistcoats (etc.) of wool</w:t>
            </w:r>
          </w:p>
        </w:tc>
        <w:tc>
          <w:tcPr>
            <w:tcW w:w="2268" w:type="dxa"/>
          </w:tcPr>
          <w:p>
            <w:pPr>
              <w:rPr>
                <w:rFonts w:eastAsia="Calibri"/>
                <w:noProof/>
                <w:sz w:val="20"/>
                <w:szCs w:val="20"/>
              </w:rPr>
            </w:pPr>
            <w:r>
              <w:rPr>
                <w:noProof/>
                <w:sz w:val="20"/>
                <w:szCs w:val="20"/>
              </w:rPr>
              <w:t xml:space="preserve">Women's or girls' trousers, bib and brace overalls </w:t>
            </w:r>
            <w:r>
              <w:rPr>
                <w:rFonts w:eastAsia="Calibri"/>
                <w:noProof/>
                <w:sz w:val="20"/>
                <w:szCs w:val="20"/>
              </w:rPr>
              <w:t>(etc.) of cotton</w:t>
            </w:r>
          </w:p>
        </w:tc>
        <w:tc>
          <w:tcPr>
            <w:tcW w:w="2126" w:type="dxa"/>
          </w:tcPr>
          <w:p>
            <w:pPr>
              <w:rPr>
                <w:rFonts w:eastAsia="Calibri"/>
                <w:noProof/>
                <w:sz w:val="20"/>
                <w:szCs w:val="20"/>
              </w:rPr>
            </w:pPr>
            <w:r>
              <w:rPr>
                <w:noProof/>
                <w:sz w:val="20"/>
                <w:szCs w:val="20"/>
              </w:rPr>
              <w:t>Fats and oils of fish</w:t>
            </w:r>
          </w:p>
        </w:tc>
        <w:tc>
          <w:tcPr>
            <w:tcW w:w="2092" w:type="dxa"/>
          </w:tcPr>
          <w:p>
            <w:pPr>
              <w:rPr>
                <w:rFonts w:eastAsia="Calibri"/>
                <w:noProof/>
                <w:sz w:val="20"/>
                <w:szCs w:val="20"/>
              </w:rPr>
            </w:pPr>
            <w:r>
              <w:rPr>
                <w:noProof/>
                <w:sz w:val="20"/>
                <w:szCs w:val="20"/>
              </w:rPr>
              <w:t>Leather further prepared after tanning or crusting, of reptiles</w:t>
            </w:r>
          </w:p>
        </w:tc>
      </w:tr>
    </w:tbl>
    <w:p>
      <w:pPr>
        <w:jc w:val="both"/>
        <w:rPr>
          <w:rFonts w:eastAsia="Calibri"/>
          <w:i/>
          <w:noProof/>
          <w:sz w:val="18"/>
          <w:szCs w:val="18"/>
        </w:rPr>
      </w:pPr>
      <w:r>
        <w:rPr>
          <w:rFonts w:eastAsia="Calibri"/>
          <w:i/>
          <w:noProof/>
          <w:sz w:val="18"/>
          <w:szCs w:val="18"/>
        </w:rPr>
        <w:t>Source: Eurostat, product names partly simplified</w:t>
      </w:r>
    </w:p>
    <w:p>
      <w:pPr>
        <w:jc w:val="both"/>
        <w:rPr>
          <w:rFonts w:eastAsia="Calibri"/>
          <w:noProof/>
        </w:rPr>
      </w:pPr>
    </w:p>
    <w:p>
      <w:pPr>
        <w:jc w:val="both"/>
        <w:rPr>
          <w:rFonts w:eastAsia="Calibri"/>
          <w:noProof/>
        </w:rPr>
      </w:pPr>
    </w:p>
    <w:p>
      <w:pPr>
        <w:jc w:val="both"/>
        <w:rPr>
          <w:rFonts w:eastAsia="Calibri"/>
          <w:noProof/>
        </w:rPr>
      </w:pPr>
      <w:r>
        <w:rPr>
          <w:rFonts w:eastAsia="Calibri"/>
          <w:noProof/>
        </w:rPr>
        <w:t xml:space="preserve">Decreasing </w:t>
      </w:r>
      <w:r>
        <w:rPr>
          <w:rFonts w:eastAsia="Calibri"/>
          <w:b/>
          <w:noProof/>
        </w:rPr>
        <w:t>EU exports</w:t>
      </w:r>
      <w:r>
        <w:rPr>
          <w:rFonts w:eastAsia="Calibri"/>
          <w:noProof/>
        </w:rPr>
        <w:t xml:space="preserve"> to ESA4 (-</w:t>
      </w:r>
      <w:r>
        <w:rPr>
          <w:rFonts w:eastAsia="Calibri"/>
          <w:noProof/>
          <w:lang w:val="en-IE"/>
        </w:rPr>
        <w:t xml:space="preserve">€73 million) </w:t>
      </w:r>
      <w:r>
        <w:rPr>
          <w:rFonts w:eastAsia="Calibri"/>
          <w:noProof/>
        </w:rPr>
        <w:t xml:space="preserve">can be explained by the unusual spike in aircraft exports in 2017 which did not happen in 2018 (a decrease of </w:t>
      </w:r>
      <w:r>
        <w:rPr>
          <w:rFonts w:eastAsia="Calibri"/>
          <w:noProof/>
          <w:lang w:val="en-IE"/>
        </w:rPr>
        <w:t>€179 million</w:t>
      </w:r>
      <w:r>
        <w:rPr>
          <w:rFonts w:eastAsia="Calibri"/>
          <w:noProof/>
        </w:rPr>
        <w:t xml:space="preserve">). </w:t>
      </w:r>
      <w:r>
        <w:rPr>
          <w:rFonts w:eastAsia="Calibri"/>
          <w:noProof/>
          <w:lang w:val="en-IE"/>
        </w:rPr>
        <w:t xml:space="preserve">Disregarding the aircraft sector, EU exports to </w:t>
      </w:r>
      <w:r>
        <w:rPr>
          <w:rFonts w:eastAsia="Calibri"/>
          <w:noProof/>
        </w:rPr>
        <w:t xml:space="preserve">ESA4 actually increased by 0.5% in 2018. </w:t>
      </w:r>
    </w:p>
    <w:p>
      <w:pPr>
        <w:jc w:val="both"/>
        <w:rPr>
          <w:rFonts w:eastAsia="Calibri"/>
          <w:noProof/>
        </w:rPr>
      </w:pPr>
    </w:p>
    <w:p>
      <w:pPr>
        <w:jc w:val="both"/>
        <w:rPr>
          <w:rFonts w:eastAsia="Calibri"/>
          <w:noProof/>
        </w:rPr>
      </w:pPr>
      <w:r>
        <w:rPr>
          <w:rFonts w:eastAsia="Calibri"/>
          <w:noProof/>
        </w:rPr>
        <w:t>Main export increases in 2018 are mineral fuels and oils (€45 million or 574%), machinery and mechanical appliances (€28 million or 8%), textiles (€15 million or 10%), silk (€14 million or 84%) and cereals (€14 million or 68%). Besides aircraft and aircraft parts, main export decreases concern frozen fish (-€26 million or -20%) and chemical products (-€19 million or -38%).</w:t>
      </w:r>
    </w:p>
    <w:p>
      <w:pPr>
        <w:jc w:val="both"/>
        <w:rPr>
          <w:rFonts w:eastAsia="Calibri"/>
          <w:noProof/>
        </w:rPr>
      </w:pPr>
    </w:p>
    <w:p>
      <w:pPr>
        <w:jc w:val="both"/>
        <w:rPr>
          <w:rFonts w:eastAsia="Calibri"/>
          <w:noProof/>
        </w:rPr>
      </w:pPr>
      <w:r>
        <w:rPr>
          <w:rFonts w:eastAsia="Calibri"/>
          <w:noProof/>
        </w:rPr>
        <w:t xml:space="preserve">In 2018, the </w:t>
      </w:r>
      <w:r>
        <w:rPr>
          <w:rFonts w:eastAsia="Calibri"/>
          <w:b/>
          <w:noProof/>
        </w:rPr>
        <w:t>agri-food trade balance</w:t>
      </w:r>
      <w:r>
        <w:rPr>
          <w:rFonts w:eastAsia="Calibri"/>
          <w:noProof/>
        </w:rPr>
        <w:t xml:space="preserve"> was positive for ESA4 (€504 million). While EU imports of sugar shrunk by 62% (from €204 million in 2017 to €78 million in 2018), imports of tropical fruits increased (from €350 million in 2017 to €392 million in 2018), which however did not offset the decrease of sugar imports. EU exported mainly wheat (€33 million), followed by pet food, food preparation not specified, pasta and pastry, and infant food and other cereals, starch or milk preparations. </w:t>
      </w:r>
    </w:p>
    <w:p>
      <w:pPr>
        <w:jc w:val="both"/>
        <w:rPr>
          <w:rFonts w:eastAsia="Calibri"/>
          <w:noProof/>
        </w:rPr>
      </w:pPr>
    </w:p>
    <w:tbl>
      <w:tblPr>
        <w:tblStyle w:val="TableGrid"/>
        <w:tblW w:w="0" w:type="auto"/>
        <w:tblInd w:w="392" w:type="dxa"/>
        <w:tblLook w:val="04A0" w:firstRow="1" w:lastRow="0" w:firstColumn="1" w:lastColumn="0" w:noHBand="0" w:noVBand="1"/>
      </w:tblPr>
      <w:tblGrid>
        <w:gridCol w:w="8505"/>
      </w:tblGrid>
      <w:tr>
        <w:trPr>
          <w:trHeight w:val="5068"/>
        </w:trPr>
        <w:tc>
          <w:tcPr>
            <w:tcW w:w="8505" w:type="dxa"/>
            <w:vAlign w:val="center"/>
          </w:tcPr>
          <w:p>
            <w:pPr>
              <w:jc w:val="both"/>
              <w:rPr>
                <w:rFonts w:eastAsia="Calibri"/>
                <w:b/>
                <w:noProof/>
              </w:rPr>
            </w:pPr>
            <w:r>
              <w:rPr>
                <w:rFonts w:eastAsia="Calibri"/>
                <w:b/>
                <w:noProof/>
              </w:rPr>
              <w:t xml:space="preserve">Jewellery exported from Mauritius and Zimbabwe – Patrick Mavros </w:t>
            </w:r>
          </w:p>
          <w:p>
            <w:pPr>
              <w:jc w:val="both"/>
              <w:rPr>
                <w:rFonts w:eastAsia="Calibri"/>
                <w:noProof/>
              </w:rPr>
            </w:pPr>
            <w:r>
              <w:rPr>
                <w:rFonts w:eastAsia="Calibri"/>
                <w:noProof/>
              </w:rPr>
              <w:t xml:space="preserve">Jewellery exports from Mauritius to the EU have increased by 30% from 2008 to 2018, reaching €20.1 million (3% of total exports to the EU). For Zimbabwe, jewellery exports are still a niche product, with exports worth around €400,000 in 2018. </w:t>
            </w:r>
          </w:p>
          <w:p>
            <w:pPr>
              <w:jc w:val="both"/>
              <w:rPr>
                <w:rFonts w:eastAsia="Calibri"/>
                <w:noProof/>
              </w:rPr>
            </w:pPr>
            <w:r>
              <w:rPr>
                <w:rFonts w:eastAsia="Calibri"/>
                <w:noProof/>
              </w:rPr>
              <w:t xml:space="preserve">Patrick Mavros is a self-taught jewellery artist from Zimbabwe. He started up in the 1970s and, against all odds, runs a successful company with 60 employees in Harare, producing nature-inspired jewellery pieces and sculptures, exported to overseas markets. </w:t>
            </w:r>
          </w:p>
          <w:p>
            <w:pPr>
              <w:jc w:val="both"/>
              <w:rPr>
                <w:rFonts w:eastAsia="Calibri"/>
                <w:noProof/>
              </w:rPr>
            </w:pPr>
            <w:r>
              <w:rPr>
                <w:rFonts w:eastAsia="Calibri"/>
                <w:noProof/>
              </w:rPr>
              <w:t xml:space="preserve">His son, Forbes Mavros, migrated to Mauritius in the early 2000s and started up his own jewellery workshop, slowly growing form a one-person business into a large open-space atelier with a factory, employing 50 persons. He has invested in a Swedish purification system to guarantee environmentally friendly production and donates part of the proceeds to the Mauritian Wildlife Foundation. </w:t>
            </w:r>
          </w:p>
          <w:p>
            <w:pPr>
              <w:jc w:val="both"/>
              <w:rPr>
                <w:rFonts w:eastAsia="Calibri"/>
                <w:noProof/>
                <w:sz w:val="20"/>
                <w:szCs w:val="20"/>
              </w:rPr>
            </w:pPr>
            <w:r>
              <w:rPr>
                <w:rFonts w:eastAsia="Calibri"/>
                <w:noProof/>
              </w:rPr>
              <w:t xml:space="preserve">Both ateliers sell more than 60% of their products abroad, including particularly the EU, which offers both Mauritius and Zimbabwe duty free quota free market access for their products under the EPA. Patrick Mavros also has a physical store in London. Another target audience are tourists visiting the country, which goes in line with joint efforts of the EU and Mauritius and Zimbabwe to further boost sustainable tourism and increase local value added in the tourism value chain. </w:t>
            </w:r>
          </w:p>
        </w:tc>
      </w:tr>
    </w:tbl>
    <w:p>
      <w:pPr>
        <w:pStyle w:val="Heading2"/>
        <w:ind w:left="0" w:firstLine="0"/>
      </w:pPr>
      <w:bookmarkStart w:id="4287" w:name="_Toc9008519"/>
      <w:bookmarkStart w:id="4288" w:name="_Toc9008922"/>
      <w:bookmarkStart w:id="4289" w:name="_Toc9348918"/>
      <w:bookmarkStart w:id="4290" w:name="_Toc9608320"/>
      <w:bookmarkStart w:id="4291" w:name="_Toc16000871"/>
      <w:r>
        <w:t>2.2 Trade in Services</w:t>
      </w:r>
      <w:bookmarkEnd w:id="4287"/>
      <w:bookmarkEnd w:id="4288"/>
      <w:bookmarkEnd w:id="4289"/>
      <w:bookmarkEnd w:id="4290"/>
      <w:bookmarkEnd w:id="4291"/>
      <w:r>
        <w:t xml:space="preserve"> </w:t>
      </w:r>
    </w:p>
    <w:p>
      <w:pPr>
        <w:jc w:val="both"/>
        <w:rPr>
          <w:noProof/>
        </w:rPr>
      </w:pPr>
      <w:r>
        <w:rPr>
          <w:noProof/>
        </w:rPr>
        <w:t xml:space="preserve">The interim EPA does not include provisions on services. In 2017 (latest year for which data is available), total EU services imports from ESA4 decreased by €176 million to €2.2 billion, The change was driven by a decrease of services imports from Mauritius (the most important services trade partner among ESA4) by </w:t>
      </w:r>
      <w:r>
        <w:rPr>
          <w:rFonts w:eastAsia="Calibri"/>
          <w:noProof/>
          <w:lang w:val="en-IE"/>
        </w:rPr>
        <w:t>€</w:t>
      </w:r>
      <w:r>
        <w:rPr>
          <w:noProof/>
        </w:rPr>
        <w:t xml:space="preserve">143 million or 9.5%, to </w:t>
      </w:r>
      <w:r>
        <w:rPr>
          <w:rFonts w:eastAsia="Calibri"/>
          <w:noProof/>
          <w:lang w:val="en-IE"/>
        </w:rPr>
        <w:t>€</w:t>
      </w:r>
      <w:r>
        <w:rPr>
          <w:noProof/>
        </w:rPr>
        <w:t xml:space="preserve">1.4 billion. </w:t>
      </w:r>
    </w:p>
    <w:p>
      <w:pPr>
        <w:jc w:val="both"/>
        <w:rPr>
          <w:noProof/>
        </w:rPr>
      </w:pPr>
    </w:p>
    <w:p>
      <w:pPr>
        <w:jc w:val="both"/>
        <w:rPr>
          <w:rFonts w:eastAsia="Calibri"/>
          <w:noProof/>
          <w:lang w:val="en-IE"/>
        </w:rPr>
      </w:pPr>
      <w:r>
        <w:rPr>
          <w:noProof/>
        </w:rPr>
        <w:t xml:space="preserve">Services imports from Madagascar are growing, albeit from low levels – total imports reached </w:t>
      </w:r>
      <w:r>
        <w:rPr>
          <w:rFonts w:eastAsia="Calibri"/>
          <w:noProof/>
          <w:lang w:val="en-IE"/>
        </w:rPr>
        <w:t>€</w:t>
      </w:r>
      <w:r>
        <w:rPr>
          <w:noProof/>
        </w:rPr>
        <w:t xml:space="preserve">376 million in 2017 (+13.2%). Services imports from Seychelles decreased by </w:t>
      </w:r>
      <w:r>
        <w:rPr>
          <w:rFonts w:eastAsia="Calibri"/>
          <w:noProof/>
          <w:lang w:val="en-IE"/>
        </w:rPr>
        <w:t xml:space="preserve">16%; services imports from Zimbabwe are marginal and decreased by 6.6%. </w:t>
      </w:r>
    </w:p>
    <w:p>
      <w:pPr>
        <w:jc w:val="both"/>
        <w:rPr>
          <w:noProof/>
        </w:rPr>
      </w:pPr>
    </w:p>
    <w:p>
      <w:pPr>
        <w:jc w:val="both"/>
        <w:rPr>
          <w:noProof/>
          <w:lang w:eastAsia="en-GB"/>
        </w:rPr>
      </w:pPr>
      <w:r>
        <w:rPr>
          <w:noProof/>
          <w:lang w:eastAsia="en-GB"/>
        </w:rPr>
        <w:t xml:space="preserve">On the other hand, EU services exports to ESA4 in total increased to </w:t>
      </w:r>
      <w:r>
        <w:rPr>
          <w:rFonts w:eastAsia="Calibri"/>
          <w:noProof/>
          <w:lang w:val="en-IE"/>
        </w:rPr>
        <w:t>€</w:t>
      </w:r>
      <w:r>
        <w:rPr>
          <w:noProof/>
          <w:lang w:eastAsia="en-GB"/>
        </w:rPr>
        <w:t xml:space="preserve">2.6 billion in 2017, an increase of 43.8% over 2016. The EU runs a surplus with Zimbabwe and Mauritius, but a deficit with Madagascar and Seychelles. </w:t>
      </w:r>
    </w:p>
    <w:p>
      <w:pPr>
        <w:jc w:val="both"/>
        <w:rPr>
          <w:noProof/>
          <w:lang w:eastAsia="en-GB"/>
        </w:rPr>
      </w:pPr>
    </w:p>
    <w:p>
      <w:pPr>
        <w:jc w:val="both"/>
        <w:rPr>
          <w:noProof/>
          <w:lang w:eastAsia="en-GB"/>
        </w:rPr>
      </w:pPr>
      <w:r>
        <w:rPr>
          <w:noProof/>
          <w:lang w:eastAsia="en-GB"/>
        </w:rPr>
        <w:t xml:space="preserve">The four ESA countries are very keen on negotiating provisions on trade in services; in particular Mauritius hopes to find a new growth engine in services exports. Mauritius took part in the WTO’s negotiations for a Trade in Services Agreement (TISA) and now would be interested to use the ESA EPA opportunities, as TISA is not going forward. Financial services and tourism are the main sectors of interest. </w:t>
      </w:r>
    </w:p>
    <w:p>
      <w:pPr>
        <w:pStyle w:val="Heading2"/>
        <w:ind w:left="0" w:firstLine="0"/>
      </w:pPr>
      <w:bookmarkStart w:id="4292" w:name="_Toc9008520"/>
      <w:bookmarkStart w:id="4293" w:name="_Toc9008923"/>
      <w:bookmarkStart w:id="4294" w:name="_Toc9348919"/>
      <w:bookmarkStart w:id="4295" w:name="_Toc9608321"/>
      <w:bookmarkStart w:id="4296" w:name="_Toc16000872"/>
      <w:r>
        <w:t>2.3 Foreign Direct investment (FDI)</w:t>
      </w:r>
      <w:bookmarkEnd w:id="4292"/>
      <w:bookmarkEnd w:id="4293"/>
      <w:bookmarkEnd w:id="4294"/>
      <w:bookmarkEnd w:id="4295"/>
      <w:bookmarkEnd w:id="4296"/>
    </w:p>
    <w:p>
      <w:pPr>
        <w:jc w:val="both"/>
        <w:rPr>
          <w:rFonts w:eastAsia="Calibri"/>
          <w:noProof/>
          <w:lang w:val="en-IE"/>
        </w:rPr>
      </w:pPr>
      <w:r>
        <w:rPr>
          <w:noProof/>
          <w:lang w:eastAsia="en-GB"/>
        </w:rPr>
        <w:t xml:space="preserve">Current EU FDI stocks in ESA4 stand at </w:t>
      </w:r>
      <w:r>
        <w:rPr>
          <w:rFonts w:eastAsia="Calibri"/>
          <w:noProof/>
          <w:lang w:val="en-IE"/>
        </w:rPr>
        <w:t>€23.2 billion for Mauritius, €982 million for Seychelles, €457 million for Zimbabwe and €55 million for Madagascar.</w:t>
      </w:r>
    </w:p>
    <w:p>
      <w:pPr>
        <w:jc w:val="both"/>
        <w:rPr>
          <w:rFonts w:eastAsia="Calibri"/>
          <w:noProof/>
          <w:lang w:val="en-IE"/>
        </w:rPr>
      </w:pPr>
    </w:p>
    <w:p>
      <w:pPr>
        <w:jc w:val="both"/>
        <w:rPr>
          <w:rFonts w:eastAsia="Calibri"/>
          <w:noProof/>
          <w:lang w:val="en-IE"/>
        </w:rPr>
      </w:pPr>
      <w:r>
        <w:rPr>
          <w:rFonts w:eastAsia="Calibri"/>
          <w:noProof/>
          <w:lang w:val="en-IE"/>
        </w:rPr>
        <w:t xml:space="preserve">FDI inflows in 2017 amounted to €1.3 billion for Mauritius, €26 million for Zimbabwe, €17 million for Madagascar and €9 million for Seychelles. </w:t>
      </w:r>
    </w:p>
    <w:p>
      <w:pPr>
        <w:jc w:val="both"/>
        <w:rPr>
          <w:rFonts w:eastAsia="Calibri"/>
          <w:noProof/>
          <w:lang w:val="en-IE"/>
        </w:rPr>
      </w:pPr>
    </w:p>
    <w:p>
      <w:pPr>
        <w:jc w:val="both"/>
        <w:rPr>
          <w:rFonts w:eastAsia="Calibri"/>
          <w:noProof/>
          <w:lang w:val="en-IE"/>
        </w:rPr>
      </w:pPr>
      <w:r>
        <w:rPr>
          <w:rFonts w:eastAsia="Calibri"/>
          <w:noProof/>
          <w:lang w:val="en-IE"/>
        </w:rPr>
        <w:t xml:space="preserve">According to Mauritian national statistics, investment inflows from the EU amounted to Rs. 10.6 billion (approx. €271 million) in 2017 and </w:t>
      </w:r>
      <w:r>
        <w:rPr>
          <w:noProof/>
          <w:lang w:eastAsia="en-GB"/>
        </w:rPr>
        <w:t xml:space="preserve">Rs 8.4 billion (approx. </w:t>
      </w:r>
      <w:r>
        <w:rPr>
          <w:rFonts w:eastAsia="Calibri"/>
          <w:noProof/>
          <w:lang w:val="en-IE"/>
        </w:rPr>
        <w:t>€2 million) in 2018. While in 2017, the EU accounted for about half of Mauritius’s gross direct investment flows, this figure was down to one quarter in 2018.</w:t>
      </w:r>
      <w:r>
        <w:rPr>
          <w:rStyle w:val="FootnoteReference"/>
          <w:noProof/>
          <w:lang w:eastAsia="en-GB"/>
        </w:rPr>
        <w:footnoteReference w:id="114"/>
      </w:r>
    </w:p>
    <w:p>
      <w:pPr>
        <w:jc w:val="both"/>
        <w:rPr>
          <w:noProof/>
          <w:lang w:eastAsia="en-GB"/>
        </w:rPr>
      </w:pPr>
    </w:p>
    <w:p>
      <w:pPr>
        <w:jc w:val="both"/>
        <w:rPr>
          <w:noProof/>
        </w:rPr>
      </w:pPr>
      <w:r>
        <w:rPr>
          <w:noProof/>
        </w:rPr>
        <w:t xml:space="preserve">Mauritius stands out as the single most important jurisdiction in Africa offering a stable legal environment. In particular, Mauritius has gathered a reliable reputation regarding its banking structures and increasingly expanded its financial sector. As such, Mauritius is the largest EU FDI recipient among the ESA4 partners but also a partner to work within the context of anti-money laundering and taxation policy. </w:t>
      </w:r>
    </w:p>
    <w:p>
      <w:pPr>
        <w:jc w:val="both"/>
        <w:rPr>
          <w:noProof/>
          <w:lang w:eastAsia="en-GB"/>
        </w:rPr>
      </w:pPr>
    </w:p>
    <w:p>
      <w:pPr>
        <w:jc w:val="both"/>
        <w:rPr>
          <w:noProof/>
          <w:lang w:eastAsia="en-GB"/>
        </w:rPr>
      </w:pPr>
      <w:r>
        <w:rPr>
          <w:noProof/>
          <w:lang w:eastAsia="en-GB"/>
        </w:rPr>
        <w:t>FDI in Mauritius is mostly in financial sector and real estate. The same is true for Seychelles where the financial/offshore sector is growing rapidly; the government considers the financial sector as the third pillar of economic development after tourism and fisheries. Productive investment in both countries can be found in tourism, but also in manufacturing for Mauritius. For Seychelles, an example for productive investment is a German-Seychelles joint venture, Sun Tech Seychelles</w:t>
      </w:r>
      <w:r>
        <w:rPr>
          <w:rStyle w:val="FootnoteReference"/>
          <w:noProof/>
          <w:lang w:eastAsia="en-GB"/>
        </w:rPr>
        <w:footnoteReference w:id="115"/>
      </w:r>
      <w:r>
        <w:rPr>
          <w:noProof/>
          <w:lang w:eastAsia="en-GB"/>
        </w:rPr>
        <w:t xml:space="preserve">, which provides solar photovoltaic technology and after sales services in the Seychelles.  </w:t>
      </w:r>
    </w:p>
    <w:p>
      <w:pPr>
        <w:pStyle w:val="ManualHeading1"/>
      </w:pPr>
      <w:bookmarkStart w:id="4297" w:name="_Toc16000873"/>
      <w:r>
        <w:t>3.</w:t>
      </w:r>
      <w:r>
        <w:tab/>
        <w:t>Issues addressed in the annual EPA Committee Meeting</w:t>
      </w:r>
      <w:bookmarkEnd w:id="4297"/>
    </w:p>
    <w:p>
      <w:pPr>
        <w:jc w:val="both"/>
        <w:rPr>
          <w:noProof/>
        </w:rPr>
      </w:pPr>
      <w:r>
        <w:rPr>
          <w:noProof/>
        </w:rPr>
        <w:t>The main issues addressed by the 7</w:t>
      </w:r>
      <w:r>
        <w:rPr>
          <w:noProof/>
          <w:vertAlign w:val="superscript"/>
        </w:rPr>
        <w:t>th</w:t>
      </w:r>
      <w:r>
        <w:rPr>
          <w:noProof/>
        </w:rPr>
        <w:t xml:space="preserve"> Meeting of the EPA Committee in January 2019 (in Brussels) were:</w:t>
      </w:r>
    </w:p>
    <w:p>
      <w:pPr>
        <w:pStyle w:val="ListParagraph"/>
        <w:numPr>
          <w:ilvl w:val="0"/>
          <w:numId w:val="37"/>
        </w:numPr>
        <w:jc w:val="both"/>
        <w:rPr>
          <w:rFonts w:ascii="Times New Roman" w:hAnsi="Times New Roman" w:cs="Times New Roman"/>
          <w:noProof/>
          <w:sz w:val="24"/>
          <w:szCs w:val="24"/>
        </w:rPr>
      </w:pPr>
      <w:r>
        <w:rPr>
          <w:rFonts w:ascii="Times New Roman" w:hAnsi="Times New Roman" w:cs="Times New Roman"/>
          <w:noProof/>
          <w:sz w:val="24"/>
          <w:szCs w:val="24"/>
        </w:rPr>
        <w:t>Agreement on modernisation of rules of origin and adoption by the EPA Committee by mid-2019;</w:t>
      </w:r>
    </w:p>
    <w:p>
      <w:pPr>
        <w:pStyle w:val="ListParagraph"/>
        <w:numPr>
          <w:ilvl w:val="0"/>
          <w:numId w:val="37"/>
        </w:numPr>
        <w:jc w:val="both"/>
        <w:rPr>
          <w:rFonts w:ascii="Times New Roman" w:hAnsi="Times New Roman" w:cs="Times New Roman"/>
          <w:noProof/>
          <w:sz w:val="24"/>
          <w:szCs w:val="24"/>
        </w:rPr>
      </w:pPr>
      <w:r>
        <w:rPr>
          <w:rFonts w:ascii="Times New Roman" w:hAnsi="Times New Roman" w:cs="Times New Roman"/>
          <w:noProof/>
          <w:sz w:val="24"/>
          <w:szCs w:val="24"/>
        </w:rPr>
        <w:t xml:space="preserve">Agreement to put in place a Monitoring and Evaluation Mechanism to ensure an effective implementation of the interim EPA; </w:t>
      </w:r>
    </w:p>
    <w:p>
      <w:pPr>
        <w:pStyle w:val="ListParagraph"/>
        <w:numPr>
          <w:ilvl w:val="0"/>
          <w:numId w:val="37"/>
        </w:numPr>
        <w:jc w:val="both"/>
        <w:rPr>
          <w:rFonts w:ascii="Times New Roman" w:hAnsi="Times New Roman" w:cs="Times New Roman"/>
          <w:noProof/>
          <w:sz w:val="24"/>
          <w:szCs w:val="24"/>
        </w:rPr>
      </w:pPr>
      <w:r>
        <w:rPr>
          <w:rFonts w:ascii="Times New Roman" w:hAnsi="Times New Roman" w:cs="Times New Roman"/>
          <w:noProof/>
          <w:sz w:val="24"/>
          <w:szCs w:val="24"/>
        </w:rPr>
        <w:t>Initiated discussions on the scope and objectives of the envisioned deepening of the agreement (covering additional topics) which the ESA4 have asked for. The deepening will evolve around the issues mentioned in the rendez-vous clause of the interim agreement;</w:t>
      </w:r>
    </w:p>
    <w:p>
      <w:pPr>
        <w:pStyle w:val="ListParagraph"/>
        <w:numPr>
          <w:ilvl w:val="0"/>
          <w:numId w:val="37"/>
        </w:numPr>
        <w:jc w:val="both"/>
        <w:rPr>
          <w:rFonts w:ascii="Times New Roman" w:hAnsi="Times New Roman" w:cs="Times New Roman"/>
          <w:noProof/>
          <w:sz w:val="24"/>
          <w:szCs w:val="24"/>
        </w:rPr>
      </w:pPr>
      <w:r>
        <w:rPr>
          <w:rFonts w:ascii="Times New Roman" w:hAnsi="Times New Roman" w:cs="Times New Roman"/>
          <w:noProof/>
          <w:sz w:val="24"/>
          <w:szCs w:val="24"/>
        </w:rPr>
        <w:t>Progress on the support to EPA implementation under both the 10</w:t>
      </w:r>
      <w:r>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and the 11</w:t>
      </w:r>
      <w:r>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European Development Fund (EDF);</w:t>
      </w:r>
    </w:p>
    <w:p>
      <w:pPr>
        <w:pStyle w:val="ListParagraph"/>
        <w:numPr>
          <w:ilvl w:val="0"/>
          <w:numId w:val="37"/>
        </w:numPr>
        <w:jc w:val="both"/>
        <w:rPr>
          <w:rFonts w:ascii="Times New Roman" w:hAnsi="Times New Roman" w:cs="Times New Roman"/>
          <w:noProof/>
          <w:sz w:val="24"/>
          <w:szCs w:val="24"/>
        </w:rPr>
      </w:pPr>
      <w:r>
        <w:rPr>
          <w:rFonts w:ascii="Times New Roman" w:hAnsi="Times New Roman" w:cs="Times New Roman"/>
          <w:noProof/>
          <w:sz w:val="24"/>
          <w:szCs w:val="24"/>
        </w:rPr>
        <w:t>Agreement to setup a coordination mechanism financed by the EU to assist ESA side in the negotiations that may be launched in 2019 after conclusion of the joint scoping paper, which the Parties are currently discussing;</w:t>
      </w:r>
    </w:p>
    <w:p>
      <w:pPr>
        <w:pStyle w:val="ListParagraph"/>
        <w:numPr>
          <w:ilvl w:val="0"/>
          <w:numId w:val="37"/>
        </w:numPr>
        <w:jc w:val="both"/>
        <w:rPr>
          <w:rFonts w:ascii="Times New Roman" w:hAnsi="Times New Roman" w:cs="Times New Roman"/>
          <w:noProof/>
          <w:sz w:val="24"/>
          <w:szCs w:val="24"/>
        </w:rPr>
      </w:pPr>
      <w:r>
        <w:rPr>
          <w:rFonts w:ascii="Times New Roman" w:hAnsi="Times New Roman" w:cs="Times New Roman"/>
          <w:noProof/>
          <w:sz w:val="24"/>
          <w:szCs w:val="24"/>
        </w:rPr>
        <w:t>Discussion on the ESA commitments to the development of internationally agreed standards for cooperation between tax jurisdictions.</w:t>
      </w:r>
    </w:p>
    <w:p>
      <w:pPr>
        <w:pStyle w:val="ManualHeading1"/>
      </w:pPr>
      <w:bookmarkStart w:id="4298" w:name="_Toc16000874"/>
      <w:r>
        <w:t>4.</w:t>
      </w:r>
      <w:r>
        <w:tab/>
        <w:t>Development Cooperation</w:t>
      </w:r>
      <w:bookmarkEnd w:id="4298"/>
    </w:p>
    <w:p>
      <w:pPr>
        <w:jc w:val="both"/>
        <w:rPr>
          <w:noProof/>
        </w:rPr>
      </w:pPr>
      <w:r>
        <w:rPr>
          <w:noProof/>
        </w:rPr>
        <w:t xml:space="preserve">Development cooperation is essential for EPA implementation and for ensuring the long-term sustainable development impact of the agreement. Each of the four ESA EPA countries benefits from an envelope of </w:t>
      </w:r>
      <w:r>
        <w:rPr>
          <w:b/>
          <w:noProof/>
        </w:rPr>
        <w:t>€10 million under the SADC regional programme</w:t>
      </w:r>
      <w:r>
        <w:rPr>
          <w:noProof/>
        </w:rPr>
        <w:t xml:space="preserve"> to support </w:t>
      </w:r>
      <w:r>
        <w:rPr>
          <w:b/>
          <w:noProof/>
        </w:rPr>
        <w:t>EPA implementation</w:t>
      </w:r>
      <w:r>
        <w:rPr>
          <w:noProof/>
        </w:rPr>
        <w:t xml:space="preserve"> and </w:t>
      </w:r>
      <w:r>
        <w:rPr>
          <w:b/>
          <w:noProof/>
        </w:rPr>
        <w:t>export competitiveness</w:t>
      </w:r>
      <w:r>
        <w:rPr>
          <w:noProof/>
        </w:rPr>
        <w:t xml:space="preserve">. The respective technical assistance programmes are currently in different states of preparation or implementation. Comoros having recently joined the EPA will also benefit from similar support measures.  </w:t>
      </w:r>
    </w:p>
    <w:p>
      <w:pPr>
        <w:jc w:val="both"/>
        <w:rPr>
          <w:noProof/>
        </w:rPr>
      </w:pPr>
    </w:p>
    <w:p>
      <w:pPr>
        <w:jc w:val="both"/>
        <w:rPr>
          <w:noProof/>
        </w:rPr>
      </w:pPr>
      <w:r>
        <w:rPr>
          <w:noProof/>
        </w:rPr>
        <w:t xml:space="preserve">Under the EPA-dedicated programmes, </w:t>
      </w:r>
      <w:r>
        <w:rPr>
          <w:b/>
          <w:noProof/>
        </w:rPr>
        <w:t>Mauritius</w:t>
      </w:r>
      <w:r>
        <w:rPr>
          <w:noProof/>
        </w:rPr>
        <w:t xml:space="preserve"> is already implementing a project to improve the ease-of-doing-business and investment regulatory framework. An e-licensing platform has been developed as a single point of entry for business licenses and permits, shortening and simplifying the application procedure. In addition, technical assistance will for the implementation of Intellectual Property Rights (IPR), a key reform to support the transformation to a knowledge-based economy.</w:t>
      </w:r>
    </w:p>
    <w:p>
      <w:pPr>
        <w:jc w:val="both"/>
        <w:rPr>
          <w:noProof/>
        </w:rPr>
      </w:pPr>
    </w:p>
    <w:p>
      <w:pPr>
        <w:jc w:val="both"/>
        <w:rPr>
          <w:noProof/>
        </w:rPr>
      </w:pPr>
      <w:r>
        <w:rPr>
          <w:noProof/>
        </w:rPr>
        <w:t xml:space="preserve">Under the intra-ACP TRADECOM programme, 32 SMEs benefitted from capacity building in 2018 in the area of productivity and marketing, which has enabled a number of them to start exporting to regional markets. Furthermore, from its national envelope, Mauritius and the EU are preparing a programme on tertiary education and innovation that may launch next year. </w:t>
      </w:r>
    </w:p>
    <w:p>
      <w:pPr>
        <w:jc w:val="both"/>
        <w:rPr>
          <w:noProof/>
        </w:rPr>
      </w:pPr>
    </w:p>
    <w:p>
      <w:pPr>
        <w:jc w:val="both"/>
        <w:rPr>
          <w:noProof/>
        </w:rPr>
      </w:pPr>
      <w:r>
        <w:rPr>
          <w:noProof/>
        </w:rPr>
        <w:t xml:space="preserve">In </w:t>
      </w:r>
      <w:r>
        <w:rPr>
          <w:b/>
          <w:noProof/>
        </w:rPr>
        <w:t>Seychelles</w:t>
      </w:r>
      <w:r>
        <w:rPr>
          <w:noProof/>
        </w:rPr>
        <w:t xml:space="preserve">, the EPA-related project is focusing on trade policy capacity building (long-term technical assistance for the Trade Ministry) and private sector development in manufacturing and agriculture &amp; fisheries, with an emphasis on niche sectors that could generate exports. The project will support the realisation of the EPA Implementation Strategy, the first of its kind in the trade domain in Seychelles, formulated with active participation from public and private sector actors. </w:t>
      </w:r>
    </w:p>
    <w:p>
      <w:pPr>
        <w:jc w:val="both"/>
        <w:rPr>
          <w:noProof/>
        </w:rPr>
      </w:pPr>
    </w:p>
    <w:p>
      <w:pPr>
        <w:jc w:val="both"/>
        <w:rPr>
          <w:noProof/>
        </w:rPr>
      </w:pPr>
      <w:r>
        <w:rPr>
          <w:noProof/>
        </w:rPr>
        <w:t xml:space="preserve">In </w:t>
      </w:r>
      <w:r>
        <w:rPr>
          <w:b/>
          <w:noProof/>
        </w:rPr>
        <w:t>Zimbabwe</w:t>
      </w:r>
      <w:r>
        <w:rPr>
          <w:noProof/>
        </w:rPr>
        <w:t xml:space="preserve">, the inception phase of a project that will focus on capacity development for the Trade Ministry, as well as SME development in selected value-chains, was successfully concluded in 2018. Capacity building measures for the government are ongoing, while the work on SME development will start in 2019.  </w:t>
      </w:r>
    </w:p>
    <w:p>
      <w:pPr>
        <w:jc w:val="both"/>
        <w:rPr>
          <w:noProof/>
        </w:rPr>
      </w:pPr>
    </w:p>
    <w:p>
      <w:pPr>
        <w:jc w:val="both"/>
        <w:rPr>
          <w:noProof/>
        </w:rPr>
      </w:pPr>
      <w:r>
        <w:rPr>
          <w:noProof/>
        </w:rPr>
        <w:t xml:space="preserve">In </w:t>
      </w:r>
      <w:r>
        <w:rPr>
          <w:b/>
          <w:noProof/>
        </w:rPr>
        <w:t>Madagascar</w:t>
      </w:r>
      <w:r>
        <w:rPr>
          <w:noProof/>
        </w:rPr>
        <w:t xml:space="preserve">, a project focusing on trade facilitation and export promotion (establishment of an export promotion agency) is under preparation but delayed due to the on-going government formation process after the </w:t>
      </w:r>
      <w:r>
        <w:rPr>
          <w:bCs/>
          <w:noProof/>
        </w:rPr>
        <w:t xml:space="preserve">2018 presidential </w:t>
      </w:r>
      <w:r>
        <w:rPr>
          <w:noProof/>
        </w:rPr>
        <w:t>elections. The project should also support competitiveness in tourism, IT and textile sectors. With EU support, Madagascar has already successfully set up a well-functioning dialogue platform where business and government come together to discuss issues surrounding the EPA, export performance and the business climate. The annual roundtables organised by the delegation are also important dialogue platforms for private business and the government.</w:t>
      </w:r>
    </w:p>
    <w:p>
      <w:pPr>
        <w:jc w:val="both"/>
        <w:rPr>
          <w:noProof/>
        </w:rPr>
      </w:pPr>
    </w:p>
    <w:p>
      <w:pPr>
        <w:jc w:val="both"/>
        <w:rPr>
          <w:rFonts w:eastAsia="Calibri"/>
          <w:noProof/>
          <w:lang w:val="en-IE"/>
        </w:rPr>
      </w:pPr>
      <w:r>
        <w:rPr>
          <w:noProof/>
        </w:rPr>
        <w:t xml:space="preserve">For the upcoming negotiations to deepen the EPA, the EU supports ESA4 (or in future ESA5) with an </w:t>
      </w:r>
      <w:r>
        <w:rPr>
          <w:b/>
          <w:noProof/>
        </w:rPr>
        <w:t>EPA Coordination Hub</w:t>
      </w:r>
      <w:r>
        <w:rPr>
          <w:noProof/>
        </w:rPr>
        <w:t xml:space="preserve"> (</w:t>
      </w:r>
      <w:r>
        <w:rPr>
          <w:rFonts w:eastAsia="Calibri"/>
          <w:noProof/>
          <w:lang w:val="en-IE"/>
        </w:rPr>
        <w:t>€1 million) to facilitate the preparations of the negotiations.</w:t>
      </w:r>
    </w:p>
    <w:p>
      <w:pPr>
        <w:jc w:val="both"/>
        <w:rPr>
          <w:rFonts w:eastAsia="Calibri"/>
          <w:noProof/>
          <w:lang w:val="en-IE"/>
        </w:rPr>
      </w:pPr>
    </w:p>
    <w:p>
      <w:pPr>
        <w:jc w:val="both"/>
        <w:rPr>
          <w:rFonts w:eastAsia="Calibri"/>
          <w:noProof/>
          <w:lang w:val="en-IE"/>
        </w:rPr>
      </w:pPr>
      <w:r>
        <w:rPr>
          <w:rFonts w:eastAsia="Calibri"/>
          <w:noProof/>
          <w:lang w:val="en-IE"/>
        </w:rPr>
        <w:t xml:space="preserve">Furthermore, there are currently two </w:t>
      </w:r>
      <w:r>
        <w:rPr>
          <w:rFonts w:eastAsia="Calibri"/>
          <w:b/>
          <w:noProof/>
          <w:lang w:val="en-IE"/>
        </w:rPr>
        <w:t>infrastructure sector</w:t>
      </w:r>
      <w:r>
        <w:rPr>
          <w:rFonts w:eastAsia="Calibri"/>
          <w:noProof/>
          <w:lang w:val="en-IE"/>
        </w:rPr>
        <w:t xml:space="preserve"> </w:t>
      </w:r>
      <w:r>
        <w:rPr>
          <w:rFonts w:eastAsia="Calibri"/>
          <w:b/>
          <w:noProof/>
          <w:lang w:val="en-IE"/>
        </w:rPr>
        <w:t>blending</w:t>
      </w:r>
      <w:r>
        <w:rPr>
          <w:rFonts w:eastAsia="Calibri"/>
          <w:noProof/>
          <w:lang w:val="en-IE"/>
        </w:rPr>
        <w:t xml:space="preserve"> projects on-going or under preparation, that would strongly facilitate trade opportunities, namely the extension of Port Victoria in Seychelles (€5 million) and the extension of the airport in Rodrigues in Mauritius (€10 million grant). </w:t>
      </w:r>
    </w:p>
    <w:p>
      <w:pPr>
        <w:jc w:val="both"/>
        <w:rPr>
          <w:noProof/>
        </w:rPr>
      </w:pPr>
    </w:p>
    <w:p>
      <w:pPr>
        <w:jc w:val="both"/>
        <w:rPr>
          <w:rFonts w:eastAsia="Calibri"/>
          <w:noProof/>
          <w:lang w:val="en-IE"/>
        </w:rPr>
      </w:pPr>
      <w:r>
        <w:rPr>
          <w:noProof/>
        </w:rPr>
        <w:t xml:space="preserve">In addition to EPA specific programmes, the EU and the four ESA countries have embarked on a number of cooperation initiatives in the area of sustainable economic development. The EU in particular provides funding to the </w:t>
      </w:r>
      <w:r>
        <w:rPr>
          <w:b/>
          <w:noProof/>
        </w:rPr>
        <w:t>Indian Ocean Commission (IOC),</w:t>
      </w:r>
      <w:r>
        <w:rPr>
          <w:noProof/>
        </w:rPr>
        <w:t xml:space="preserve"> to a total amount of </w:t>
      </w:r>
      <w:r>
        <w:rPr>
          <w:rFonts w:eastAsia="Calibri"/>
          <w:noProof/>
          <w:lang w:val="en-IE"/>
        </w:rPr>
        <w:t>€107 million under the 10</w:t>
      </w:r>
      <w:r>
        <w:rPr>
          <w:rFonts w:eastAsia="Calibri"/>
          <w:noProof/>
          <w:vertAlign w:val="superscript"/>
          <w:lang w:val="en-IE"/>
        </w:rPr>
        <w:t>th</w:t>
      </w:r>
      <w:r>
        <w:rPr>
          <w:rFonts w:eastAsia="Calibri"/>
          <w:noProof/>
          <w:lang w:val="en-IE"/>
        </w:rPr>
        <w:t xml:space="preserve"> European Development Fund (EDF). Some key projects include: </w:t>
      </w:r>
    </w:p>
    <w:p>
      <w:pPr>
        <w:pStyle w:val="ListParagraph"/>
        <w:numPr>
          <w:ilvl w:val="0"/>
          <w:numId w:val="49"/>
        </w:numPr>
        <w:spacing w:after="240" w:line="240" w:lineRule="auto"/>
        <w:jc w:val="both"/>
        <w:rPr>
          <w:rFonts w:ascii="Times New Roman" w:hAnsi="Times New Roman" w:cs="Times New Roman"/>
          <w:noProof/>
          <w:sz w:val="24"/>
        </w:rPr>
      </w:pPr>
      <w:r>
        <w:rPr>
          <w:rFonts w:ascii="Times New Roman" w:hAnsi="Times New Roman" w:cs="Times New Roman"/>
          <w:b/>
          <w:noProof/>
          <w:sz w:val="24"/>
        </w:rPr>
        <w:t>SMARTFISH (</w:t>
      </w:r>
      <w:r>
        <w:rPr>
          <w:rFonts w:ascii="Times New Roman" w:eastAsia="Calibri" w:hAnsi="Times New Roman" w:cs="Times New Roman"/>
          <w:noProof/>
          <w:sz w:val="24"/>
          <w:lang w:val="en-IE"/>
        </w:rPr>
        <w:t>€</w:t>
      </w:r>
      <w:r>
        <w:rPr>
          <w:rFonts w:ascii="Times New Roman" w:hAnsi="Times New Roman" w:cs="Times New Roman"/>
          <w:b/>
          <w:noProof/>
          <w:sz w:val="24"/>
        </w:rPr>
        <w:t>37 million):</w:t>
      </w:r>
      <w:r>
        <w:rPr>
          <w:rFonts w:ascii="Times New Roman" w:hAnsi="Times New Roman" w:cs="Times New Roman"/>
          <w:noProof/>
          <w:sz w:val="24"/>
        </w:rPr>
        <w:t xml:space="preserve"> the project supported the implementation of the ESA-IO fisheries strategic priorities for sustainable management and development of the inland and marine fisheries and aquaculture sector. (Project activities ended in April 2018) </w:t>
      </w:r>
    </w:p>
    <w:p>
      <w:pPr>
        <w:pStyle w:val="ListParagraph"/>
        <w:numPr>
          <w:ilvl w:val="0"/>
          <w:numId w:val="49"/>
        </w:numPr>
        <w:spacing w:after="240" w:line="240" w:lineRule="auto"/>
        <w:jc w:val="both"/>
        <w:rPr>
          <w:rFonts w:ascii="Times New Roman" w:hAnsi="Times New Roman" w:cs="Times New Roman"/>
          <w:noProof/>
          <w:sz w:val="24"/>
        </w:rPr>
      </w:pPr>
      <w:r>
        <w:rPr>
          <w:rFonts w:ascii="Times New Roman" w:hAnsi="Times New Roman" w:cs="Times New Roman"/>
          <w:b/>
          <w:noProof/>
          <w:sz w:val="24"/>
        </w:rPr>
        <w:t>ISLANDS (</w:t>
      </w:r>
      <w:r>
        <w:rPr>
          <w:rFonts w:ascii="Times New Roman" w:eastAsia="Calibri" w:hAnsi="Times New Roman" w:cs="Times New Roman"/>
          <w:b/>
          <w:noProof/>
          <w:sz w:val="24"/>
          <w:lang w:val="en-IE"/>
        </w:rPr>
        <w:t>€</w:t>
      </w:r>
      <w:r>
        <w:rPr>
          <w:rFonts w:ascii="Times New Roman" w:hAnsi="Times New Roman" w:cs="Times New Roman"/>
          <w:b/>
          <w:noProof/>
          <w:sz w:val="24"/>
        </w:rPr>
        <w:t>17.5 million):</w:t>
      </w:r>
      <w:r>
        <w:rPr>
          <w:rFonts w:ascii="Times New Roman" w:hAnsi="Times New Roman" w:cs="Times New Roman"/>
          <w:noProof/>
          <w:sz w:val="24"/>
        </w:rPr>
        <w:t xml:space="preserve"> the project addressed specific development constraints of Small Islands Developing States (SIDS) beneficiary countries (their natural characteristics linked to insularity, relative smallness, proneness to natural disasters and limited access to capital) and fostered regional and global SIDS-SIDS cross-fertilisation. (Project ended in December 2017)</w:t>
      </w:r>
    </w:p>
    <w:p>
      <w:pPr>
        <w:pStyle w:val="ListParagraph"/>
        <w:numPr>
          <w:ilvl w:val="0"/>
          <w:numId w:val="49"/>
        </w:numPr>
        <w:spacing w:after="240" w:line="240" w:lineRule="auto"/>
        <w:jc w:val="both"/>
        <w:rPr>
          <w:rFonts w:ascii="Times New Roman" w:hAnsi="Times New Roman" w:cs="Times New Roman"/>
          <w:noProof/>
          <w:sz w:val="24"/>
        </w:rPr>
      </w:pPr>
      <w:r>
        <w:rPr>
          <w:rFonts w:ascii="Times New Roman" w:hAnsi="Times New Roman" w:cs="Times New Roman"/>
          <w:b/>
          <w:noProof/>
          <w:sz w:val="24"/>
        </w:rPr>
        <w:t>Regional Integration Support Programme (</w:t>
      </w:r>
      <w:r>
        <w:rPr>
          <w:rFonts w:ascii="Times New Roman" w:eastAsia="Calibri" w:hAnsi="Times New Roman" w:cs="Times New Roman"/>
          <w:b/>
          <w:noProof/>
          <w:sz w:val="24"/>
          <w:lang w:val="en-IE"/>
        </w:rPr>
        <w:t>€</w:t>
      </w:r>
      <w:r>
        <w:rPr>
          <w:rFonts w:ascii="Times New Roman" w:hAnsi="Times New Roman" w:cs="Times New Roman"/>
          <w:b/>
          <w:noProof/>
          <w:sz w:val="24"/>
        </w:rPr>
        <w:t>6.15 million):</w:t>
      </w:r>
      <w:r>
        <w:rPr>
          <w:rFonts w:ascii="Times New Roman" w:hAnsi="Times New Roman" w:cs="Times New Roman"/>
          <w:noProof/>
          <w:sz w:val="24"/>
        </w:rPr>
        <w:t xml:space="preserve"> objective is to contribute to deepened integration and competitiveness of the ESA-IO region.</w:t>
      </w:r>
    </w:p>
    <w:p>
      <w:pPr>
        <w:jc w:val="both"/>
        <w:rPr>
          <w:rFonts w:eastAsia="Calibri"/>
          <w:noProof/>
          <w:lang w:val="en-IE"/>
        </w:rPr>
      </w:pPr>
      <w:r>
        <w:rPr>
          <w:noProof/>
        </w:rPr>
        <w:t>New projects under the 11</w:t>
      </w:r>
      <w:r>
        <w:rPr>
          <w:noProof/>
          <w:vertAlign w:val="superscript"/>
        </w:rPr>
        <w:t>th</w:t>
      </w:r>
      <w:r>
        <w:rPr>
          <w:noProof/>
        </w:rPr>
        <w:t xml:space="preserve"> EDF on</w:t>
      </w:r>
      <w:r>
        <w:rPr>
          <w:b/>
          <w:noProof/>
        </w:rPr>
        <w:t xml:space="preserve"> competitiveness and business facilitation (</w:t>
      </w:r>
      <w:r>
        <w:rPr>
          <w:rFonts w:eastAsia="Calibri"/>
          <w:noProof/>
          <w:lang w:val="en-IE"/>
        </w:rPr>
        <w:t xml:space="preserve">€8 million), </w:t>
      </w:r>
      <w:r>
        <w:rPr>
          <w:rFonts w:eastAsia="Calibri"/>
          <w:b/>
          <w:noProof/>
          <w:lang w:val="en-IE"/>
        </w:rPr>
        <w:t>natural resource management/climate change and disaster risk management</w:t>
      </w:r>
      <w:r>
        <w:rPr>
          <w:rFonts w:eastAsia="Calibri"/>
          <w:noProof/>
          <w:lang w:val="en-IE"/>
        </w:rPr>
        <w:t xml:space="preserve"> (€16 million) and regional </w:t>
      </w:r>
      <w:r>
        <w:rPr>
          <w:rFonts w:eastAsia="Calibri"/>
          <w:b/>
          <w:noProof/>
          <w:lang w:val="en-IE"/>
        </w:rPr>
        <w:t>food security</w:t>
      </w:r>
      <w:r>
        <w:rPr>
          <w:rFonts w:eastAsia="Calibri"/>
          <w:noProof/>
          <w:lang w:val="en-IE"/>
        </w:rPr>
        <w:t xml:space="preserve"> (€16 million) are currently under preparation.</w:t>
      </w:r>
    </w:p>
    <w:p>
      <w:pPr>
        <w:jc w:val="both"/>
        <w:rPr>
          <w:rFonts w:eastAsia="Calibri"/>
          <w:noProof/>
          <w:lang w:val="en-IE"/>
        </w:rPr>
      </w:pPr>
    </w:p>
    <w:p>
      <w:pPr>
        <w:jc w:val="both"/>
        <w:rPr>
          <w:rFonts w:eastAsia="Calibri"/>
          <w:noProof/>
          <w:lang w:val="en-IE"/>
        </w:rPr>
      </w:pPr>
      <w:r>
        <w:rPr>
          <w:rFonts w:eastAsia="Calibri"/>
          <w:noProof/>
          <w:lang w:val="en-IE"/>
        </w:rPr>
        <w:t xml:space="preserve">As all ESA4 states are also members of the Southern African Development Community (SADC), they benefit from significant development assistance provided to regional integration and private sector development in the SADC region (more details see chapter on the SADC EPA). </w:t>
      </w:r>
    </w:p>
    <w:p>
      <w:pPr>
        <w:pStyle w:val="ManualHeading1"/>
      </w:pPr>
      <w:bookmarkStart w:id="4299" w:name="_Toc16000875"/>
      <w:bookmarkStart w:id="4300" w:name="_Toc9008523"/>
      <w:bookmarkStart w:id="4301" w:name="_Toc9008926"/>
      <w:bookmarkStart w:id="4302" w:name="_Toc9348922"/>
      <w:bookmarkStart w:id="4303" w:name="_Toc9608324"/>
      <w:r>
        <w:t>5.</w:t>
      </w:r>
      <w:r>
        <w:tab/>
        <w:t>Progress made, main open issues and follow-up actions</w:t>
      </w:r>
      <w:bookmarkEnd w:id="4299"/>
    </w:p>
    <w:bookmarkEnd w:id="4300"/>
    <w:bookmarkEnd w:id="4301"/>
    <w:bookmarkEnd w:id="4302"/>
    <w:bookmarkEnd w:id="4303"/>
    <w:p>
      <w:pPr>
        <w:jc w:val="both"/>
        <w:rPr>
          <w:noProof/>
        </w:rPr>
      </w:pPr>
      <w:r>
        <w:rPr>
          <w:noProof/>
        </w:rPr>
        <w:t xml:space="preserve">All ESA4 countries are implementing the Agreement and have made tariff cuts according to their liberalisation schedule. Nevertheless, Zimbabwe has recently paused the implementation of new tariff cuts; discussions are ongoing to find a solution. </w:t>
      </w:r>
    </w:p>
    <w:p>
      <w:pPr>
        <w:jc w:val="both"/>
        <w:rPr>
          <w:noProof/>
        </w:rPr>
      </w:pPr>
    </w:p>
    <w:p>
      <w:pPr>
        <w:jc w:val="both"/>
        <w:rPr>
          <w:noProof/>
        </w:rPr>
      </w:pPr>
      <w:r>
        <w:rPr>
          <w:noProof/>
        </w:rPr>
        <w:t>Following the ESA States’ expressed interest in "deepening" (new issues) and "widening" (new members) the existing iEPA</w:t>
      </w:r>
      <w:r>
        <w:rPr>
          <w:rStyle w:val="FootnoteReference"/>
          <w:noProof/>
        </w:rPr>
        <w:footnoteReference w:id="116"/>
      </w:r>
      <w:r>
        <w:rPr>
          <w:noProof/>
        </w:rPr>
        <w:t xml:space="preserve">, both sides undertook to jointly define the scope and objectives of the deepening before launching the negotiation process. A joint scoping paper has been concluded in May 2019 and the launch of negotiations is expected shortly. </w:t>
      </w:r>
    </w:p>
    <w:p>
      <w:pPr>
        <w:jc w:val="both"/>
        <w:rPr>
          <w:noProof/>
        </w:rPr>
      </w:pPr>
    </w:p>
    <w:p>
      <w:pPr>
        <w:jc w:val="both"/>
        <w:rPr>
          <w:noProof/>
        </w:rPr>
      </w:pPr>
      <w:r>
        <w:rPr>
          <w:noProof/>
        </w:rPr>
        <w:t>As for widening, Comoros has already joined the EPA (it signed the agreement in July 2017, ratified it in January 2019 and deposited the instrument of ratification on 7 February 2019). Zambia can, at any time, also sign and ratify the agreement that it initialled in 2007. As for the other ESA States</w:t>
      </w:r>
      <w:r>
        <w:rPr>
          <w:rStyle w:val="FootnoteReference"/>
          <w:noProof/>
        </w:rPr>
        <w:footnoteReference w:id="117"/>
      </w:r>
      <w:r>
        <w:rPr>
          <w:noProof/>
        </w:rPr>
        <w:t>, the EPA is open for accession by all of them but they will first need to submit market access offers before eventually joining the agreement.</w:t>
      </w:r>
    </w:p>
    <w:p>
      <w:pPr>
        <w:jc w:val="both"/>
        <w:rPr>
          <w:noProof/>
        </w:rPr>
      </w:pPr>
    </w:p>
    <w:p>
      <w:pPr>
        <w:jc w:val="both"/>
        <w:rPr>
          <w:noProof/>
        </w:rPr>
      </w:pPr>
      <w:r>
        <w:rPr>
          <w:noProof/>
        </w:rPr>
        <w:t xml:space="preserve">There are challenges raised by non-tariff measures that need to be tackled by constructive dialogue between the competent services and by appropriate EU support. The prospects of an ESA5 Business Forum, an awareness-raising EPA seminar in Zimbabwe and specific training on geographical indications have been raised. </w:t>
      </w:r>
    </w:p>
    <w:p>
      <w:pPr>
        <w:pStyle w:val="ManualHeading1"/>
      </w:pPr>
      <w:bookmarkStart w:id="4304" w:name="_Toc9008524"/>
      <w:bookmarkStart w:id="4305" w:name="_Toc9008927"/>
      <w:bookmarkStart w:id="4306" w:name="_Toc9348923"/>
      <w:bookmarkStart w:id="4307" w:name="_Toc9608325"/>
      <w:bookmarkStart w:id="4308" w:name="_Toc16000876"/>
      <w:r>
        <w:t>6.</w:t>
      </w:r>
      <w:r>
        <w:tab/>
        <w:t>Conclusions and outlook</w:t>
      </w:r>
      <w:bookmarkEnd w:id="4304"/>
      <w:bookmarkEnd w:id="4305"/>
      <w:bookmarkEnd w:id="4306"/>
      <w:bookmarkEnd w:id="4307"/>
      <w:bookmarkEnd w:id="4308"/>
    </w:p>
    <w:p>
      <w:pPr>
        <w:jc w:val="both"/>
        <w:rPr>
          <w:noProof/>
        </w:rPr>
      </w:pPr>
      <w:r>
        <w:rPr>
          <w:noProof/>
        </w:rPr>
        <w:t xml:space="preserve">In 2018, EU imports from Madagascar, Seychelles and Zimbabwe increased, while imports from Mauritius decreased, as did overall EU exports to ESA4. Comoros joined the EPA on 7 February 2019. Zambia may follow in 2019. The year 2019 may see the launch of negotiations to deepen the EPA towards a comprehensive agreement covering a range of modern trade policy topics. </w:t>
      </w:r>
    </w:p>
    <w:p>
      <w:pPr>
        <w:jc w:val="both"/>
        <w:rPr>
          <w:noProof/>
        </w:rPr>
      </w:pPr>
    </w:p>
    <w:p>
      <w:pPr>
        <w:jc w:val="both"/>
        <w:rPr>
          <w:noProof/>
        </w:rPr>
      </w:pPr>
      <w:r>
        <w:rPr>
          <w:noProof/>
        </w:rPr>
        <w:t xml:space="preserve">Overall, the very different economic profiles and levels of development of ESA4, now ESA5, render implementation and negotiation challenging. Nevertheless, there are natural complementarities and the countries see the potential for cooperation among themselves, both in the context of the EPA and beyond: Labour shortages in Mauritius can be addressed by employing Malagasy and by delocalising e.g. textile production to Madagascar. Madagascar can supply Mauritius and Seychelles with needed fruits and vegetables, if SPS issues are resolved. Mauritius experience in reforming the business environment is key for Madagascar, Seychelles and Zimbabwe in unblocking their development prospects. Zimbabwe, finally, features high in Mauritius’ Africa Strategy, as a close partner to invest in. </w:t>
      </w:r>
    </w:p>
    <w:p>
      <w:pPr>
        <w:pStyle w:val="ManualHeading1"/>
      </w:pPr>
      <w:bookmarkStart w:id="4309" w:name="_Toc9008525"/>
      <w:bookmarkStart w:id="4310" w:name="_Toc9008928"/>
      <w:bookmarkStart w:id="4311" w:name="_Toc9348924"/>
      <w:bookmarkStart w:id="4312" w:name="_Toc9608326"/>
      <w:bookmarkStart w:id="4313" w:name="_Toc16000877"/>
      <w:r>
        <w:t>7.</w:t>
      </w:r>
      <w:r>
        <w:tab/>
        <w:t>Statistics</w:t>
      </w:r>
      <w:bookmarkEnd w:id="4309"/>
      <w:bookmarkEnd w:id="4310"/>
      <w:bookmarkEnd w:id="4311"/>
      <w:bookmarkEnd w:id="4312"/>
      <w:bookmarkEnd w:id="4313"/>
    </w:p>
    <w:tbl>
      <w:tblPr>
        <w:tblW w:w="9729" w:type="dxa"/>
        <w:tblInd w:w="108" w:type="dxa"/>
        <w:tblLook w:val="04A0" w:firstRow="1" w:lastRow="0" w:firstColumn="1" w:lastColumn="0" w:noHBand="0" w:noVBand="1"/>
      </w:tblPr>
      <w:tblGrid>
        <w:gridCol w:w="5739"/>
        <w:gridCol w:w="798"/>
        <w:gridCol w:w="798"/>
        <w:gridCol w:w="798"/>
        <w:gridCol w:w="798"/>
        <w:gridCol w:w="798"/>
      </w:tblGrid>
      <w:tr>
        <w:trPr>
          <w:trHeight w:val="210"/>
        </w:trPr>
        <w:tc>
          <w:tcPr>
            <w:tcW w:w="5739" w:type="dxa"/>
            <w:tcBorders>
              <w:top w:val="nil"/>
              <w:left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798" w:type="dxa"/>
            <w:tcBorders>
              <w:top w:val="nil"/>
              <w:left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798" w:type="dxa"/>
            <w:tcBorders>
              <w:top w:val="nil"/>
              <w:left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798" w:type="dxa"/>
            <w:tcBorders>
              <w:top w:val="nil"/>
              <w:left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798" w:type="dxa"/>
            <w:tcBorders>
              <w:top w:val="nil"/>
              <w:left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798" w:type="dxa"/>
            <w:tcBorders>
              <w:top w:val="nil"/>
              <w:left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10"/>
        </w:trPr>
        <w:tc>
          <w:tcPr>
            <w:tcW w:w="9729" w:type="dxa"/>
            <w:gridSpan w:val="6"/>
            <w:tcBorders>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Merchandise trade EU28 with ESA4 States 2014-2018</w:t>
            </w:r>
          </w:p>
        </w:tc>
      </w:tr>
      <w:tr>
        <w:trPr>
          <w:trHeight w:val="210"/>
        </w:trPr>
        <w:tc>
          <w:tcPr>
            <w:tcW w:w="5739" w:type="dxa"/>
            <w:tcBorders>
              <w:top w:val="single" w:sz="4" w:space="0" w:color="auto"/>
              <w:left w:val="nil"/>
              <w:bottom w:val="single" w:sz="4" w:space="0" w:color="auto"/>
              <w:right w:val="nil"/>
            </w:tcBorders>
            <w:shd w:val="clear" w:color="000000" w:fill="FFFFFF"/>
            <w:noWrap/>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 </w:t>
            </w:r>
          </w:p>
        </w:tc>
        <w:tc>
          <w:tcPr>
            <w:tcW w:w="798"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798"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798"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798"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798"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r>
      <w:tr>
        <w:trPr>
          <w:trHeight w:val="210"/>
        </w:trPr>
        <w:tc>
          <w:tcPr>
            <w:tcW w:w="5739"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xml:space="preserve">EU28 trade with </w:t>
            </w:r>
            <w:r>
              <w:rPr>
                <w:rFonts w:eastAsia="Times New Roman"/>
                <w:b/>
                <w:bCs/>
                <w:noProof/>
                <w:sz w:val="16"/>
                <w:szCs w:val="16"/>
                <w:lang w:val="en-IE" w:eastAsia="en-IE"/>
              </w:rPr>
              <w:t xml:space="preserve">ESA4 States </w:t>
            </w:r>
            <w:r>
              <w:rPr>
                <w:rFonts w:eastAsia="Times New Roman"/>
                <w:b/>
                <w:bCs/>
                <w:i/>
                <w:iCs/>
                <w:noProof/>
                <w:sz w:val="16"/>
                <w:szCs w:val="16"/>
                <w:lang w:val="en-IE" w:eastAsia="en-IE"/>
              </w:rPr>
              <w:t>(mio €)</w:t>
            </w:r>
          </w:p>
        </w:tc>
        <w:tc>
          <w:tcPr>
            <w:tcW w:w="798"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n-IE" w:eastAsia="en-IE"/>
              </w:rPr>
            </w:pPr>
          </w:p>
        </w:tc>
        <w:tc>
          <w:tcPr>
            <w:tcW w:w="798"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798"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798"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798"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r>
      <w:tr>
        <w:trPr>
          <w:trHeight w:val="210"/>
        </w:trPr>
        <w:tc>
          <w:tcPr>
            <w:tcW w:w="573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2.580</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2.450</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2.470</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2.853</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2.754</w:t>
            </w:r>
          </w:p>
        </w:tc>
      </w:tr>
      <w:tr>
        <w:trPr>
          <w:trHeight w:val="210"/>
        </w:trPr>
        <w:tc>
          <w:tcPr>
            <w:tcW w:w="573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1.865</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1.981</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1.955</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2.332</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2.259</w:t>
            </w:r>
          </w:p>
        </w:tc>
      </w:tr>
      <w:tr>
        <w:trPr>
          <w:trHeight w:val="210"/>
        </w:trPr>
        <w:tc>
          <w:tcPr>
            <w:tcW w:w="573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-715</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-469</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-514</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-521</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-494</w:t>
            </w:r>
          </w:p>
        </w:tc>
      </w:tr>
      <w:tr>
        <w:trPr>
          <w:trHeight w:val="210"/>
        </w:trPr>
        <w:tc>
          <w:tcPr>
            <w:tcW w:w="5739"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xml:space="preserve">Share </w:t>
            </w:r>
            <w:r>
              <w:rPr>
                <w:rFonts w:eastAsia="Times New Roman"/>
                <w:b/>
                <w:bCs/>
                <w:noProof/>
                <w:sz w:val="16"/>
                <w:szCs w:val="16"/>
                <w:lang w:val="en-IE" w:eastAsia="en-IE"/>
              </w:rPr>
              <w:t>ESA4 States</w:t>
            </w:r>
            <w:r>
              <w:rPr>
                <w:rFonts w:eastAsia="Times New Roman"/>
                <w:b/>
                <w:bCs/>
                <w:i/>
                <w:iCs/>
                <w:noProof/>
                <w:sz w:val="16"/>
                <w:szCs w:val="16"/>
                <w:lang w:val="en-IE" w:eastAsia="en-IE"/>
              </w:rPr>
              <w:t xml:space="preserve"> in EU28 trade with Extra-EU28</w:t>
            </w:r>
          </w:p>
        </w:tc>
        <w:tc>
          <w:tcPr>
            <w:tcW w:w="798"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n-IE" w:eastAsia="en-IE"/>
              </w:rPr>
            </w:pPr>
          </w:p>
        </w:tc>
        <w:tc>
          <w:tcPr>
            <w:tcW w:w="798"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798"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798"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798"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r>
      <w:tr>
        <w:trPr>
          <w:trHeight w:val="210"/>
        </w:trPr>
        <w:tc>
          <w:tcPr>
            <w:tcW w:w="573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r>
      <w:tr>
        <w:trPr>
          <w:trHeight w:val="210"/>
        </w:trPr>
        <w:tc>
          <w:tcPr>
            <w:tcW w:w="573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r>
      <w:tr>
        <w:trPr>
          <w:trHeight w:val="210"/>
        </w:trPr>
        <w:tc>
          <w:tcPr>
            <w:tcW w:w="573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r>
      <w:tr>
        <w:trPr>
          <w:trHeight w:val="225"/>
        </w:trPr>
        <w:tc>
          <w:tcPr>
            <w:tcW w:w="9729" w:type="dxa"/>
            <w:gridSpan w:val="6"/>
            <w:tcBorders>
              <w:top w:val="single" w:sz="4" w:space="0" w:color="auto"/>
              <w:left w:val="nil"/>
              <w:bottom w:val="nil"/>
              <w:right w:val="nil"/>
            </w:tcBorders>
            <w:shd w:val="clear" w:color="000000" w:fill="FFFFFF"/>
            <w:noWrap/>
            <w:vAlign w:val="bottom"/>
            <w:hideMark/>
          </w:tcPr>
          <w:p>
            <w:pPr>
              <w:rPr>
                <w:rFonts w:eastAsia="Times New Roman"/>
                <w:noProof/>
                <w:sz w:val="12"/>
                <w:szCs w:val="12"/>
                <w:lang w:val="en-IE" w:eastAsia="en-IE"/>
              </w:rPr>
            </w:pPr>
            <w:r>
              <w:rPr>
                <w:rFonts w:eastAsia="Times New Roman"/>
                <w:noProof/>
                <w:sz w:val="12"/>
                <w:szCs w:val="12"/>
                <w:lang w:val="en-IE" w:eastAsia="en-IE"/>
              </w:rPr>
              <w:t>Source Trade G2 Statistics/ISDB                                                                                                                                                                                                                  25-mars-19</w:t>
            </w:r>
          </w:p>
        </w:tc>
      </w:tr>
      <w:tr>
        <w:trPr>
          <w:trHeight w:val="210"/>
        </w:trPr>
        <w:tc>
          <w:tcPr>
            <w:tcW w:w="9729" w:type="dxa"/>
            <w:gridSpan w:val="6"/>
            <w:tcBorders>
              <w:top w:val="nil"/>
              <w:left w:val="nil"/>
              <w:bottom w:val="nil"/>
              <w:right w:val="nil"/>
            </w:tcBorders>
            <w:shd w:val="clear" w:color="000000" w:fill="FFFFFF"/>
            <w:noWrap/>
            <w:hideMark/>
          </w:tcPr>
          <w:p>
            <w:pPr>
              <w:rPr>
                <w:rFonts w:eastAsia="Times New Roman"/>
                <w:noProof/>
                <w:color w:val="000000"/>
                <w:sz w:val="12"/>
                <w:szCs w:val="12"/>
                <w:lang w:val="en-IE" w:eastAsia="en-IE"/>
              </w:rPr>
            </w:pPr>
            <w:r>
              <w:rPr>
                <w:rFonts w:eastAsia="Times New Roman"/>
                <w:noProof/>
                <w:color w:val="000000"/>
                <w:sz w:val="12"/>
                <w:szCs w:val="12"/>
                <w:lang w:val="en-IE" w:eastAsia="en-IE"/>
              </w:rPr>
              <w:t>Trade EU28: Eurostat COMEXT;  Trade EPA (interim) Eastern and Southern Africa (ESA): IMF Dots</w:t>
            </w:r>
          </w:p>
        </w:tc>
      </w:tr>
      <w:tr>
        <w:trPr>
          <w:trHeight w:val="210"/>
        </w:trPr>
        <w:tc>
          <w:tcPr>
            <w:tcW w:w="5739"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798"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798"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798"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798"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798"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25"/>
        </w:trPr>
        <w:tc>
          <w:tcPr>
            <w:tcW w:w="9729"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 of merchandise trade EU28 with ESA4 States (mio €)</w:t>
            </w:r>
          </w:p>
        </w:tc>
      </w:tr>
      <w:tr>
        <w:trPr>
          <w:trHeight w:val="225"/>
        </w:trPr>
        <w:tc>
          <w:tcPr>
            <w:tcW w:w="6537"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EPA (interim) Eastern and Southern Africa (ESA)</w:t>
            </w:r>
          </w:p>
        </w:tc>
        <w:tc>
          <w:tcPr>
            <w:tcW w:w="798"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798"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596"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6537"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798"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798"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798"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98"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573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79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2.853</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2.754</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-100</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-3,5%</w:t>
            </w:r>
          </w:p>
        </w:tc>
      </w:tr>
      <w:tr>
        <w:trPr>
          <w:trHeight w:val="225"/>
        </w:trPr>
        <w:tc>
          <w:tcPr>
            <w:tcW w:w="573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79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2.332</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2.259</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-73</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-3,1%</w:t>
            </w:r>
          </w:p>
        </w:tc>
      </w:tr>
      <w:tr>
        <w:trPr>
          <w:trHeight w:val="225"/>
        </w:trPr>
        <w:tc>
          <w:tcPr>
            <w:tcW w:w="573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79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-521</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-494</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w:t>
            </w:r>
          </w:p>
        </w:tc>
        <w:tc>
          <w:tcPr>
            <w:tcW w:w="79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5739"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798"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9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5.185</w:t>
            </w:r>
          </w:p>
        </w:tc>
        <w:tc>
          <w:tcPr>
            <w:tcW w:w="79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5.013</w:t>
            </w:r>
          </w:p>
        </w:tc>
        <w:tc>
          <w:tcPr>
            <w:tcW w:w="79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-173</w:t>
            </w:r>
          </w:p>
        </w:tc>
        <w:tc>
          <w:tcPr>
            <w:tcW w:w="79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-3,3%</w:t>
            </w:r>
          </w:p>
        </w:tc>
      </w:tr>
      <w:tr>
        <w:trPr>
          <w:trHeight w:val="240"/>
        </w:trPr>
        <w:tc>
          <w:tcPr>
            <w:tcW w:w="8133"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798"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798"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9729"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Agrifood trade EU28 with ESA4 States (mio €)</w:t>
            </w:r>
          </w:p>
        </w:tc>
      </w:tr>
      <w:tr>
        <w:trPr>
          <w:trHeight w:val="255"/>
        </w:trPr>
        <w:tc>
          <w:tcPr>
            <w:tcW w:w="6537"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EPA (interim) Eastern and Southern Africa (ESA)</w:t>
            </w:r>
          </w:p>
        </w:tc>
        <w:tc>
          <w:tcPr>
            <w:tcW w:w="798"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798"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596"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6537"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798"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798"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798"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98"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573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79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924</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839</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-86</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-9,3%</w:t>
            </w:r>
          </w:p>
        </w:tc>
      </w:tr>
      <w:tr>
        <w:trPr>
          <w:trHeight w:val="225"/>
        </w:trPr>
        <w:tc>
          <w:tcPr>
            <w:tcW w:w="573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79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308</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335</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8,7%</w:t>
            </w:r>
          </w:p>
        </w:tc>
      </w:tr>
      <w:tr>
        <w:trPr>
          <w:trHeight w:val="225"/>
        </w:trPr>
        <w:tc>
          <w:tcPr>
            <w:tcW w:w="573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79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-616</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-504</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113</w:t>
            </w:r>
          </w:p>
        </w:tc>
        <w:tc>
          <w:tcPr>
            <w:tcW w:w="79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5739"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79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9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1.233</w:t>
            </w:r>
          </w:p>
        </w:tc>
        <w:tc>
          <w:tcPr>
            <w:tcW w:w="79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1.174</w:t>
            </w:r>
          </w:p>
        </w:tc>
        <w:tc>
          <w:tcPr>
            <w:tcW w:w="79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-59</w:t>
            </w:r>
          </w:p>
        </w:tc>
        <w:tc>
          <w:tcPr>
            <w:tcW w:w="79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-4,8%</w:t>
            </w:r>
          </w:p>
        </w:tc>
      </w:tr>
      <w:tr>
        <w:trPr>
          <w:trHeight w:val="240"/>
        </w:trPr>
        <w:tc>
          <w:tcPr>
            <w:tcW w:w="8133"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798"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798"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9729"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NAMA trade EU28 with ESA4 States (mio €)</w:t>
            </w:r>
          </w:p>
        </w:tc>
      </w:tr>
      <w:tr>
        <w:trPr>
          <w:trHeight w:val="225"/>
        </w:trPr>
        <w:tc>
          <w:tcPr>
            <w:tcW w:w="6537"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EPA (interim) Eastern and Southern Africa (ESA)</w:t>
            </w:r>
          </w:p>
        </w:tc>
        <w:tc>
          <w:tcPr>
            <w:tcW w:w="798"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798"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596"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6537"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798"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798"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798"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98"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6537"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imports</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1.929</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1.915</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-0,7%</w:t>
            </w:r>
          </w:p>
        </w:tc>
      </w:tr>
      <w:tr>
        <w:trPr>
          <w:trHeight w:val="225"/>
        </w:trPr>
        <w:tc>
          <w:tcPr>
            <w:tcW w:w="6537"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exports</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2.024</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1.924</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-100</w:t>
            </w:r>
          </w:p>
        </w:tc>
        <w:tc>
          <w:tcPr>
            <w:tcW w:w="79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-4,9%</w:t>
            </w:r>
          </w:p>
        </w:tc>
      </w:tr>
      <w:tr>
        <w:trPr>
          <w:trHeight w:val="225"/>
        </w:trPr>
        <w:tc>
          <w:tcPr>
            <w:tcW w:w="5739" w:type="dxa"/>
            <w:tcBorders>
              <w:top w:val="nil"/>
              <w:left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798" w:type="dxa"/>
            <w:tcBorders>
              <w:top w:val="nil"/>
              <w:left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98" w:type="dxa"/>
            <w:tcBorders>
              <w:top w:val="nil"/>
              <w:left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95</w:t>
            </w:r>
          </w:p>
        </w:tc>
        <w:tc>
          <w:tcPr>
            <w:tcW w:w="798" w:type="dxa"/>
            <w:tcBorders>
              <w:top w:val="nil"/>
              <w:left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w:t>
            </w:r>
          </w:p>
        </w:tc>
        <w:tc>
          <w:tcPr>
            <w:tcW w:w="798" w:type="dxa"/>
            <w:tcBorders>
              <w:top w:val="nil"/>
              <w:left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-86</w:t>
            </w:r>
          </w:p>
        </w:tc>
        <w:tc>
          <w:tcPr>
            <w:tcW w:w="798" w:type="dxa"/>
            <w:tcBorders>
              <w:top w:val="nil"/>
              <w:left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5739"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798"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9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3.953</w:t>
            </w:r>
          </w:p>
        </w:tc>
        <w:tc>
          <w:tcPr>
            <w:tcW w:w="79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3.839</w:t>
            </w:r>
          </w:p>
        </w:tc>
        <w:tc>
          <w:tcPr>
            <w:tcW w:w="79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-114</w:t>
            </w:r>
          </w:p>
        </w:tc>
        <w:tc>
          <w:tcPr>
            <w:tcW w:w="798"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-2,9%</w:t>
            </w:r>
          </w:p>
        </w:tc>
      </w:tr>
    </w:tbl>
    <w:p>
      <w:pPr>
        <w:pStyle w:val="ChapterHead"/>
        <w:tabs>
          <w:tab w:val="left" w:pos="2758"/>
        </w:tabs>
        <w:spacing w:after="0"/>
        <w:jc w:val="both"/>
        <w:rPr>
          <w:b/>
          <w:noProof/>
        </w:rPr>
      </w:pPr>
      <w:r>
        <w:rPr>
          <w:b/>
          <w:noProof/>
        </w:rPr>
        <w:tab/>
      </w:r>
    </w:p>
    <w:tbl>
      <w:tblPr>
        <w:tblW w:w="9967" w:type="dxa"/>
        <w:tblCellMar>
          <w:left w:w="0" w:type="dxa"/>
          <w:right w:w="0" w:type="dxa"/>
        </w:tblCellMar>
        <w:tblLook w:val="04A0" w:firstRow="1" w:lastRow="0" w:firstColumn="1" w:lastColumn="0" w:noHBand="0" w:noVBand="1"/>
      </w:tblPr>
      <w:tblGrid>
        <w:gridCol w:w="4598"/>
        <w:gridCol w:w="991"/>
        <w:gridCol w:w="989"/>
        <w:gridCol w:w="989"/>
        <w:gridCol w:w="1199"/>
        <w:gridCol w:w="1201"/>
      </w:tblGrid>
      <w:tr>
        <w:trPr>
          <w:trHeight w:val="168"/>
        </w:trPr>
        <w:tc>
          <w:tcPr>
            <w:tcW w:w="9967" w:type="dxa"/>
            <w:gridSpan w:val="6"/>
            <w:tcBorders>
              <w:top w:val="nil"/>
              <w:left w:val="nil"/>
              <w:bottom w:val="single" w:sz="8" w:space="0" w:color="auto"/>
            </w:tcBorders>
            <w:shd w:val="clear" w:color="auto" w:fill="FFFFFF"/>
            <w:noWrap/>
            <w:tcMar>
              <w:top w:w="0" w:type="dxa"/>
              <w:left w:w="108" w:type="dxa"/>
              <w:bottom w:w="0" w:type="dxa"/>
              <w:right w:w="108" w:type="dxa"/>
            </w:tcMar>
            <w:vAlign w:val="center"/>
            <w:hideMark/>
          </w:tcPr>
          <w:p>
            <w:pPr>
              <w:jc w:val="center"/>
              <w:rPr>
                <w:rFonts w:eastAsia="Calibri"/>
                <w:b/>
                <w:bCs/>
                <w:noProof/>
                <w:sz w:val="16"/>
                <w:szCs w:val="16"/>
                <w:lang w:eastAsia="en-GB"/>
              </w:rPr>
            </w:pPr>
            <w:r>
              <w:rPr>
                <w:rFonts w:eastAsia="Calibri"/>
                <w:b/>
                <w:bCs/>
                <w:noProof/>
                <w:sz w:val="16"/>
                <w:szCs w:val="16"/>
                <w:lang w:eastAsia="en-GB"/>
              </w:rPr>
              <w:t>Growth in Services trade EU28 with ESA4 (mio €)</w:t>
            </w:r>
          </w:p>
        </w:tc>
      </w:tr>
      <w:tr>
        <w:trPr>
          <w:trHeight w:val="168"/>
        </w:trPr>
        <w:tc>
          <w:tcPr>
            <w:tcW w:w="5589" w:type="dxa"/>
            <w:gridSpan w:val="2"/>
            <w:vMerge w:val="restart"/>
            <w:tcBorders>
              <w:top w:val="nil"/>
              <w:left w:val="nil"/>
              <w:bottom w:val="single" w:sz="8" w:space="0" w:color="000000"/>
              <w:right w:val="nil"/>
            </w:tcBorders>
            <w:shd w:val="clear" w:color="auto" w:fill="FFFFFF"/>
            <w:tcMar>
              <w:top w:w="0" w:type="dxa"/>
              <w:left w:w="108" w:type="dxa"/>
              <w:bottom w:w="0" w:type="dxa"/>
              <w:right w:w="108" w:type="dxa"/>
            </w:tcMar>
            <w:vAlign w:val="center"/>
            <w:hideMark/>
          </w:tcPr>
          <w:p>
            <w:pPr>
              <w:jc w:val="center"/>
              <w:rPr>
                <w:rFonts w:eastAsia="Calibri"/>
                <w:b/>
                <w:bCs/>
                <w:noProof/>
                <w:sz w:val="16"/>
                <w:szCs w:val="16"/>
                <w:lang w:eastAsia="en-GB"/>
              </w:rPr>
            </w:pPr>
          </w:p>
        </w:tc>
        <w:tc>
          <w:tcPr>
            <w:tcW w:w="989" w:type="dxa"/>
            <w:vMerge w:val="restart"/>
            <w:tcBorders>
              <w:top w:val="nil"/>
              <w:left w:val="nil"/>
              <w:bottom w:val="single" w:sz="8" w:space="0" w:color="000000"/>
              <w:right w:val="nil"/>
            </w:tcBorders>
            <w:shd w:val="clear" w:color="auto" w:fill="FFFFFF"/>
            <w:noWrap/>
            <w:tcMar>
              <w:top w:w="0" w:type="dxa"/>
              <w:left w:w="108" w:type="dxa"/>
              <w:bottom w:w="0" w:type="dxa"/>
              <w:right w:w="108" w:type="dxa"/>
            </w:tcMar>
            <w:vAlign w:val="center"/>
            <w:hideMark/>
          </w:tcPr>
          <w:p>
            <w:pPr>
              <w:jc w:val="center"/>
              <w:rPr>
                <w:rFonts w:eastAsia="Calibri"/>
                <w:b/>
                <w:bCs/>
                <w:noProof/>
                <w:sz w:val="16"/>
                <w:szCs w:val="16"/>
                <w:lang w:eastAsia="en-GB"/>
              </w:rPr>
            </w:pPr>
            <w:r>
              <w:rPr>
                <w:rFonts w:eastAsia="Calibri"/>
                <w:b/>
                <w:bCs/>
                <w:noProof/>
                <w:sz w:val="16"/>
                <w:szCs w:val="16"/>
                <w:lang w:eastAsia="en-GB"/>
              </w:rPr>
              <w:t>2016</w:t>
            </w:r>
          </w:p>
        </w:tc>
        <w:tc>
          <w:tcPr>
            <w:tcW w:w="989" w:type="dxa"/>
            <w:vMerge w:val="restart"/>
            <w:tcBorders>
              <w:top w:val="nil"/>
              <w:left w:val="nil"/>
              <w:bottom w:val="single" w:sz="8" w:space="0" w:color="000000"/>
              <w:right w:val="nil"/>
            </w:tcBorders>
            <w:shd w:val="clear" w:color="auto" w:fill="FFFFFF"/>
            <w:noWrap/>
            <w:tcMar>
              <w:top w:w="0" w:type="dxa"/>
              <w:left w:w="108" w:type="dxa"/>
              <w:bottom w:w="0" w:type="dxa"/>
              <w:right w:w="108" w:type="dxa"/>
            </w:tcMar>
            <w:vAlign w:val="center"/>
            <w:hideMark/>
          </w:tcPr>
          <w:p>
            <w:pPr>
              <w:jc w:val="center"/>
              <w:rPr>
                <w:rFonts w:eastAsia="Calibri"/>
                <w:b/>
                <w:bCs/>
                <w:noProof/>
                <w:sz w:val="16"/>
                <w:szCs w:val="16"/>
                <w:lang w:eastAsia="en-GB"/>
              </w:rPr>
            </w:pPr>
            <w:r>
              <w:rPr>
                <w:rFonts w:eastAsia="Calibri"/>
                <w:b/>
                <w:bCs/>
                <w:noProof/>
                <w:sz w:val="16"/>
                <w:szCs w:val="16"/>
                <w:lang w:eastAsia="en-GB"/>
              </w:rPr>
              <w:t>2017</w:t>
            </w:r>
          </w:p>
        </w:tc>
        <w:tc>
          <w:tcPr>
            <w:tcW w:w="2400" w:type="dxa"/>
            <w:gridSpan w:val="2"/>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pPr>
              <w:jc w:val="center"/>
              <w:rPr>
                <w:rFonts w:eastAsia="Calibri"/>
                <w:b/>
                <w:bCs/>
                <w:noProof/>
                <w:sz w:val="16"/>
                <w:szCs w:val="16"/>
                <w:lang w:eastAsia="en-GB"/>
              </w:rPr>
            </w:pPr>
            <w:r>
              <w:rPr>
                <w:rFonts w:eastAsia="Calibri"/>
                <w:b/>
                <w:bCs/>
                <w:noProof/>
                <w:sz w:val="16"/>
                <w:szCs w:val="16"/>
                <w:lang w:eastAsia="en-GB"/>
              </w:rPr>
              <w:t>Growth</w:t>
            </w:r>
          </w:p>
        </w:tc>
      </w:tr>
      <w:tr>
        <w:trPr>
          <w:trHeight w:val="168"/>
        </w:trPr>
        <w:tc>
          <w:tcPr>
            <w:tcW w:w="0" w:type="auto"/>
            <w:gridSpan w:val="2"/>
            <w:vMerge/>
            <w:tcBorders>
              <w:top w:val="nil"/>
              <w:left w:val="nil"/>
              <w:bottom w:val="single" w:sz="8" w:space="0" w:color="000000"/>
              <w:right w:val="nil"/>
            </w:tcBorders>
            <w:vAlign w:val="center"/>
            <w:hideMark/>
          </w:tcPr>
          <w:p>
            <w:pPr>
              <w:rPr>
                <w:rFonts w:eastAsia="Calibri"/>
                <w:b/>
                <w:bCs/>
                <w:noProof/>
                <w:sz w:val="16"/>
                <w:szCs w:val="16"/>
                <w:lang w:eastAsia="en-GB"/>
              </w:rPr>
            </w:pPr>
          </w:p>
        </w:tc>
        <w:tc>
          <w:tcPr>
            <w:tcW w:w="0" w:type="auto"/>
            <w:vMerge/>
            <w:tcBorders>
              <w:top w:val="nil"/>
              <w:left w:val="nil"/>
              <w:bottom w:val="single" w:sz="8" w:space="0" w:color="000000"/>
              <w:right w:val="nil"/>
            </w:tcBorders>
            <w:vAlign w:val="center"/>
            <w:hideMark/>
          </w:tcPr>
          <w:p>
            <w:pPr>
              <w:rPr>
                <w:rFonts w:eastAsia="Calibri"/>
                <w:b/>
                <w:bCs/>
                <w:noProof/>
                <w:sz w:val="16"/>
                <w:szCs w:val="16"/>
                <w:lang w:eastAsia="en-GB"/>
              </w:rPr>
            </w:pPr>
          </w:p>
        </w:tc>
        <w:tc>
          <w:tcPr>
            <w:tcW w:w="0" w:type="auto"/>
            <w:vMerge/>
            <w:tcBorders>
              <w:top w:val="nil"/>
              <w:left w:val="nil"/>
              <w:bottom w:val="single" w:sz="8" w:space="0" w:color="000000"/>
              <w:right w:val="nil"/>
            </w:tcBorders>
            <w:vAlign w:val="center"/>
            <w:hideMark/>
          </w:tcPr>
          <w:p>
            <w:pPr>
              <w:rPr>
                <w:rFonts w:eastAsia="Calibri"/>
                <w:b/>
                <w:bCs/>
                <w:noProof/>
                <w:sz w:val="16"/>
                <w:szCs w:val="16"/>
                <w:lang w:eastAsia="en-GB"/>
              </w:rPr>
            </w:pPr>
          </w:p>
        </w:tc>
        <w:tc>
          <w:tcPr>
            <w:tcW w:w="1199" w:type="dxa"/>
            <w:tcBorders>
              <w:top w:val="nil"/>
              <w:left w:val="nil"/>
              <w:bottom w:val="single" w:sz="8" w:space="0" w:color="auto"/>
              <w:right w:val="nil"/>
            </w:tcBorders>
            <w:shd w:val="clear" w:color="auto" w:fill="FFFFFF"/>
            <w:noWrap/>
            <w:tcMar>
              <w:top w:w="0" w:type="dxa"/>
              <w:left w:w="108" w:type="dxa"/>
              <w:bottom w:w="0" w:type="dxa"/>
              <w:right w:w="108" w:type="dxa"/>
            </w:tcMar>
            <w:vAlign w:val="bottom"/>
            <w:hideMark/>
          </w:tcPr>
          <w:p>
            <w:pPr>
              <w:jc w:val="center"/>
              <w:rPr>
                <w:rFonts w:eastAsia="Calibri"/>
                <w:b/>
                <w:bCs/>
                <w:noProof/>
                <w:sz w:val="16"/>
                <w:szCs w:val="16"/>
                <w:lang w:eastAsia="en-GB"/>
              </w:rPr>
            </w:pPr>
            <w:r>
              <w:rPr>
                <w:rFonts w:eastAsia="Calibri"/>
                <w:b/>
                <w:bCs/>
                <w:noProof/>
                <w:sz w:val="16"/>
                <w:szCs w:val="16"/>
                <w:lang w:eastAsia="en-GB"/>
              </w:rPr>
              <w:t>mio €</w:t>
            </w:r>
          </w:p>
        </w:tc>
        <w:tc>
          <w:tcPr>
            <w:tcW w:w="1201" w:type="dxa"/>
            <w:tcBorders>
              <w:top w:val="nil"/>
              <w:left w:val="nil"/>
              <w:bottom w:val="single" w:sz="8" w:space="0" w:color="auto"/>
              <w:right w:val="nil"/>
            </w:tcBorders>
            <w:shd w:val="clear" w:color="auto" w:fill="FFFFFF"/>
            <w:noWrap/>
            <w:tcMar>
              <w:top w:w="0" w:type="dxa"/>
              <w:left w:w="108" w:type="dxa"/>
              <w:bottom w:w="0" w:type="dxa"/>
              <w:right w:w="108" w:type="dxa"/>
            </w:tcMar>
            <w:vAlign w:val="bottom"/>
            <w:hideMark/>
          </w:tcPr>
          <w:p>
            <w:pPr>
              <w:jc w:val="center"/>
              <w:rPr>
                <w:rFonts w:eastAsia="Calibri"/>
                <w:b/>
                <w:bCs/>
                <w:noProof/>
                <w:sz w:val="16"/>
                <w:szCs w:val="16"/>
                <w:lang w:eastAsia="en-GB"/>
              </w:rPr>
            </w:pPr>
            <w:r>
              <w:rPr>
                <w:rFonts w:eastAsia="Calibri"/>
                <w:b/>
                <w:bCs/>
                <w:noProof/>
                <w:sz w:val="16"/>
                <w:szCs w:val="16"/>
                <w:lang w:eastAsia="en-GB"/>
              </w:rPr>
              <w:t>annual %</w:t>
            </w:r>
          </w:p>
        </w:tc>
      </w:tr>
      <w:tr>
        <w:trPr>
          <w:trHeight w:val="168"/>
        </w:trPr>
        <w:tc>
          <w:tcPr>
            <w:tcW w:w="4598" w:type="dxa"/>
            <w:shd w:val="clear" w:color="auto" w:fill="FFFFFF"/>
            <w:noWrap/>
            <w:tcMar>
              <w:top w:w="0" w:type="dxa"/>
              <w:left w:w="108" w:type="dxa"/>
              <w:bottom w:w="0" w:type="dxa"/>
              <w:right w:w="108" w:type="dxa"/>
            </w:tcMar>
            <w:vAlign w:val="bottom"/>
            <w:hideMark/>
          </w:tcPr>
          <w:p>
            <w:pPr>
              <w:rPr>
                <w:rFonts w:eastAsia="Calibri"/>
                <w:noProof/>
                <w:sz w:val="16"/>
                <w:szCs w:val="16"/>
                <w:lang w:eastAsia="en-GB"/>
              </w:rPr>
            </w:pPr>
            <w:r>
              <w:rPr>
                <w:rFonts w:eastAsia="Calibri"/>
                <w:noProof/>
                <w:sz w:val="16"/>
                <w:szCs w:val="16"/>
                <w:lang w:eastAsia="en-GB"/>
              </w:rPr>
              <w:t>Imports</w:t>
            </w:r>
          </w:p>
        </w:tc>
        <w:tc>
          <w:tcPr>
            <w:tcW w:w="991" w:type="dxa"/>
            <w:shd w:val="clear" w:color="auto" w:fill="FFFFFF"/>
            <w:noWrap/>
            <w:tcMar>
              <w:top w:w="0" w:type="dxa"/>
              <w:left w:w="108" w:type="dxa"/>
              <w:bottom w:w="0" w:type="dxa"/>
              <w:right w:w="108" w:type="dxa"/>
            </w:tcMar>
            <w:vAlign w:val="bottom"/>
            <w:hideMark/>
          </w:tcPr>
          <w:p>
            <w:pPr>
              <w:rPr>
                <w:rFonts w:eastAsia="Calibri"/>
                <w:noProof/>
                <w:sz w:val="16"/>
                <w:szCs w:val="16"/>
                <w:lang w:eastAsia="en-GB"/>
              </w:rPr>
            </w:pPr>
            <w:r>
              <w:rPr>
                <w:rFonts w:eastAsia="Calibri"/>
                <w:noProof/>
                <w:sz w:val="16"/>
                <w:szCs w:val="16"/>
                <w:lang w:eastAsia="en-GB"/>
              </w:rPr>
              <w:t> </w:t>
            </w:r>
          </w:p>
        </w:tc>
        <w:tc>
          <w:tcPr>
            <w:tcW w:w="989" w:type="dxa"/>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2.381</w:t>
            </w:r>
          </w:p>
        </w:tc>
        <w:tc>
          <w:tcPr>
            <w:tcW w:w="989" w:type="dxa"/>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2.205</w:t>
            </w:r>
          </w:p>
        </w:tc>
        <w:tc>
          <w:tcPr>
            <w:tcW w:w="1199" w:type="dxa"/>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-176</w:t>
            </w:r>
          </w:p>
        </w:tc>
        <w:tc>
          <w:tcPr>
            <w:tcW w:w="1201" w:type="dxa"/>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-7,4%</w:t>
            </w:r>
          </w:p>
        </w:tc>
      </w:tr>
      <w:tr>
        <w:trPr>
          <w:trHeight w:val="168"/>
        </w:trPr>
        <w:tc>
          <w:tcPr>
            <w:tcW w:w="4598" w:type="dxa"/>
            <w:shd w:val="clear" w:color="auto" w:fill="FFFFFF"/>
            <w:noWrap/>
            <w:tcMar>
              <w:top w:w="0" w:type="dxa"/>
              <w:left w:w="108" w:type="dxa"/>
              <w:bottom w:w="0" w:type="dxa"/>
              <w:right w:w="108" w:type="dxa"/>
            </w:tcMar>
            <w:vAlign w:val="bottom"/>
            <w:hideMark/>
          </w:tcPr>
          <w:p>
            <w:pPr>
              <w:rPr>
                <w:rFonts w:eastAsia="Calibri"/>
                <w:noProof/>
                <w:sz w:val="16"/>
                <w:szCs w:val="16"/>
                <w:lang w:eastAsia="en-GB"/>
              </w:rPr>
            </w:pPr>
            <w:r>
              <w:rPr>
                <w:rFonts w:eastAsia="Calibri"/>
                <w:noProof/>
                <w:sz w:val="16"/>
                <w:szCs w:val="16"/>
                <w:lang w:eastAsia="en-GB"/>
              </w:rPr>
              <w:t>Exports</w:t>
            </w:r>
          </w:p>
        </w:tc>
        <w:tc>
          <w:tcPr>
            <w:tcW w:w="991" w:type="dxa"/>
            <w:shd w:val="clear" w:color="auto" w:fill="FFFFFF"/>
            <w:noWrap/>
            <w:tcMar>
              <w:top w:w="0" w:type="dxa"/>
              <w:left w:w="108" w:type="dxa"/>
              <w:bottom w:w="0" w:type="dxa"/>
              <w:right w:w="108" w:type="dxa"/>
            </w:tcMar>
            <w:vAlign w:val="bottom"/>
            <w:hideMark/>
          </w:tcPr>
          <w:p>
            <w:pPr>
              <w:rPr>
                <w:rFonts w:eastAsia="Calibri"/>
                <w:noProof/>
                <w:sz w:val="16"/>
                <w:szCs w:val="16"/>
                <w:lang w:eastAsia="en-GB"/>
              </w:rPr>
            </w:pPr>
            <w:r>
              <w:rPr>
                <w:rFonts w:eastAsia="Calibri"/>
                <w:noProof/>
                <w:sz w:val="16"/>
                <w:szCs w:val="16"/>
                <w:lang w:eastAsia="en-GB"/>
              </w:rPr>
              <w:t> </w:t>
            </w:r>
          </w:p>
        </w:tc>
        <w:tc>
          <w:tcPr>
            <w:tcW w:w="989" w:type="dxa"/>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1.962</w:t>
            </w:r>
          </w:p>
        </w:tc>
        <w:tc>
          <w:tcPr>
            <w:tcW w:w="989" w:type="dxa"/>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2.569</w:t>
            </w:r>
          </w:p>
        </w:tc>
        <w:tc>
          <w:tcPr>
            <w:tcW w:w="1199" w:type="dxa"/>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607</w:t>
            </w:r>
          </w:p>
        </w:tc>
        <w:tc>
          <w:tcPr>
            <w:tcW w:w="1201" w:type="dxa"/>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30,9%</w:t>
            </w:r>
          </w:p>
        </w:tc>
      </w:tr>
      <w:tr>
        <w:trPr>
          <w:trHeight w:val="168"/>
        </w:trPr>
        <w:tc>
          <w:tcPr>
            <w:tcW w:w="4598" w:type="dxa"/>
            <w:shd w:val="clear" w:color="auto" w:fill="FFFFFF"/>
            <w:noWrap/>
            <w:tcMar>
              <w:top w:w="0" w:type="dxa"/>
              <w:left w:w="108" w:type="dxa"/>
              <w:bottom w:w="0" w:type="dxa"/>
              <w:right w:w="108" w:type="dxa"/>
            </w:tcMar>
            <w:vAlign w:val="bottom"/>
            <w:hideMark/>
          </w:tcPr>
          <w:p>
            <w:pPr>
              <w:rPr>
                <w:rFonts w:eastAsia="Calibri"/>
                <w:noProof/>
                <w:sz w:val="16"/>
                <w:szCs w:val="16"/>
                <w:lang w:eastAsia="en-GB"/>
              </w:rPr>
            </w:pPr>
            <w:r>
              <w:rPr>
                <w:rFonts w:eastAsia="Calibri"/>
                <w:noProof/>
                <w:sz w:val="16"/>
                <w:szCs w:val="16"/>
                <w:lang w:eastAsia="en-GB"/>
              </w:rPr>
              <w:t>Balance</w:t>
            </w:r>
          </w:p>
        </w:tc>
        <w:tc>
          <w:tcPr>
            <w:tcW w:w="991" w:type="dxa"/>
            <w:shd w:val="clear" w:color="auto" w:fill="FFFFFF"/>
            <w:noWrap/>
            <w:tcMar>
              <w:top w:w="0" w:type="dxa"/>
              <w:left w:w="108" w:type="dxa"/>
              <w:bottom w:w="0" w:type="dxa"/>
              <w:right w:w="108" w:type="dxa"/>
            </w:tcMar>
            <w:vAlign w:val="bottom"/>
            <w:hideMark/>
          </w:tcPr>
          <w:p>
            <w:pPr>
              <w:rPr>
                <w:rFonts w:eastAsia="Calibri"/>
                <w:noProof/>
                <w:sz w:val="16"/>
                <w:szCs w:val="16"/>
                <w:lang w:eastAsia="en-GB"/>
              </w:rPr>
            </w:pPr>
            <w:r>
              <w:rPr>
                <w:rFonts w:eastAsia="Calibri"/>
                <w:noProof/>
                <w:sz w:val="16"/>
                <w:szCs w:val="16"/>
                <w:lang w:eastAsia="en-GB"/>
              </w:rPr>
              <w:t> </w:t>
            </w:r>
          </w:p>
        </w:tc>
        <w:tc>
          <w:tcPr>
            <w:tcW w:w="989" w:type="dxa"/>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-419</w:t>
            </w:r>
          </w:p>
        </w:tc>
        <w:tc>
          <w:tcPr>
            <w:tcW w:w="989" w:type="dxa"/>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365</w:t>
            </w:r>
          </w:p>
        </w:tc>
        <w:tc>
          <w:tcPr>
            <w:tcW w:w="1199" w:type="dxa"/>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784</w:t>
            </w:r>
          </w:p>
        </w:tc>
        <w:tc>
          <w:tcPr>
            <w:tcW w:w="1201" w:type="dxa"/>
            <w:shd w:val="clear" w:color="auto" w:fill="FFFFFF"/>
            <w:noWrap/>
            <w:tcMar>
              <w:top w:w="0" w:type="dxa"/>
              <w:left w:w="108" w:type="dxa"/>
              <w:bottom w:w="0" w:type="dxa"/>
              <w:right w:w="108" w:type="dxa"/>
            </w:tcMar>
            <w:hideMark/>
          </w:tcPr>
          <w:p>
            <w:pPr>
              <w:jc w:val="right"/>
              <w:rPr>
                <w:rFonts w:eastAsia="Calibri"/>
                <w:noProof/>
                <w:sz w:val="16"/>
                <w:szCs w:val="16"/>
                <w:lang w:eastAsia="en-GB"/>
              </w:rPr>
            </w:pPr>
          </w:p>
        </w:tc>
      </w:tr>
      <w:tr>
        <w:trPr>
          <w:trHeight w:val="168"/>
        </w:trPr>
        <w:tc>
          <w:tcPr>
            <w:tcW w:w="4598" w:type="dxa"/>
            <w:tcBorders>
              <w:top w:val="nil"/>
              <w:left w:val="nil"/>
              <w:bottom w:val="single" w:sz="8" w:space="0" w:color="auto"/>
              <w:right w:val="nil"/>
            </w:tcBorders>
            <w:shd w:val="clear" w:color="auto" w:fill="FFFFFF"/>
            <w:noWrap/>
            <w:tcMar>
              <w:top w:w="0" w:type="dxa"/>
              <w:left w:w="108" w:type="dxa"/>
              <w:bottom w:w="0" w:type="dxa"/>
              <w:right w:w="108" w:type="dxa"/>
            </w:tcMar>
            <w:vAlign w:val="bottom"/>
            <w:hideMark/>
          </w:tcPr>
          <w:p>
            <w:pPr>
              <w:rPr>
                <w:rFonts w:eastAsia="Calibri"/>
                <w:noProof/>
                <w:sz w:val="16"/>
                <w:szCs w:val="16"/>
                <w:lang w:eastAsia="en-GB"/>
              </w:rPr>
            </w:pPr>
            <w:r>
              <w:rPr>
                <w:rFonts w:eastAsia="Calibri"/>
                <w:noProof/>
                <w:sz w:val="16"/>
                <w:szCs w:val="16"/>
                <w:lang w:eastAsia="en-GB"/>
              </w:rPr>
              <w:t>Total trade</w:t>
            </w:r>
          </w:p>
        </w:tc>
        <w:tc>
          <w:tcPr>
            <w:tcW w:w="991" w:type="dxa"/>
            <w:tcBorders>
              <w:top w:val="nil"/>
              <w:left w:val="nil"/>
              <w:bottom w:val="single" w:sz="8" w:space="0" w:color="auto"/>
              <w:right w:val="nil"/>
            </w:tcBorders>
            <w:shd w:val="clear" w:color="auto" w:fill="FFFFFF"/>
            <w:noWrap/>
            <w:tcMar>
              <w:top w:w="0" w:type="dxa"/>
              <w:left w:w="108" w:type="dxa"/>
              <w:bottom w:w="0" w:type="dxa"/>
              <w:right w:w="108" w:type="dxa"/>
            </w:tcMar>
            <w:vAlign w:val="bottom"/>
            <w:hideMark/>
          </w:tcPr>
          <w:p>
            <w:pPr>
              <w:rPr>
                <w:rFonts w:eastAsia="Calibri"/>
                <w:noProof/>
                <w:sz w:val="16"/>
                <w:szCs w:val="16"/>
                <w:lang w:eastAsia="en-GB"/>
              </w:rPr>
            </w:pPr>
            <w:r>
              <w:rPr>
                <w:rFonts w:eastAsia="Calibri"/>
                <w:noProof/>
                <w:sz w:val="16"/>
                <w:szCs w:val="16"/>
                <w:lang w:eastAsia="en-GB"/>
              </w:rPr>
              <w:t> </w:t>
            </w:r>
          </w:p>
        </w:tc>
        <w:tc>
          <w:tcPr>
            <w:tcW w:w="989" w:type="dxa"/>
            <w:tcBorders>
              <w:top w:val="nil"/>
              <w:left w:val="nil"/>
              <w:bottom w:val="single" w:sz="8" w:space="0" w:color="auto"/>
              <w:right w:val="nil"/>
            </w:tcBorders>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4.343</w:t>
            </w:r>
          </w:p>
        </w:tc>
        <w:tc>
          <w:tcPr>
            <w:tcW w:w="989" w:type="dxa"/>
            <w:tcBorders>
              <w:top w:val="nil"/>
              <w:left w:val="nil"/>
              <w:bottom w:val="single" w:sz="8" w:space="0" w:color="auto"/>
              <w:right w:val="nil"/>
            </w:tcBorders>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4.774</w:t>
            </w:r>
          </w:p>
        </w:tc>
        <w:tc>
          <w:tcPr>
            <w:tcW w:w="1199" w:type="dxa"/>
            <w:tcBorders>
              <w:top w:val="nil"/>
              <w:left w:val="nil"/>
              <w:bottom w:val="single" w:sz="8" w:space="0" w:color="auto"/>
              <w:right w:val="nil"/>
            </w:tcBorders>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431</w:t>
            </w:r>
          </w:p>
        </w:tc>
        <w:tc>
          <w:tcPr>
            <w:tcW w:w="1201" w:type="dxa"/>
            <w:tcBorders>
              <w:top w:val="nil"/>
              <w:left w:val="nil"/>
              <w:bottom w:val="single" w:sz="8" w:space="0" w:color="auto"/>
              <w:right w:val="nil"/>
            </w:tcBorders>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9,9%</w:t>
            </w:r>
          </w:p>
        </w:tc>
      </w:tr>
      <w:tr>
        <w:trPr>
          <w:trHeight w:val="179"/>
        </w:trPr>
        <w:tc>
          <w:tcPr>
            <w:tcW w:w="8766" w:type="dxa"/>
            <w:gridSpan w:val="5"/>
            <w:shd w:val="clear" w:color="auto" w:fill="FFFFFF"/>
            <w:noWrap/>
            <w:tcMar>
              <w:top w:w="0" w:type="dxa"/>
              <w:left w:w="108" w:type="dxa"/>
              <w:bottom w:w="0" w:type="dxa"/>
              <w:right w:w="108" w:type="dxa"/>
            </w:tcMar>
            <w:hideMark/>
          </w:tcPr>
          <w:p>
            <w:pPr>
              <w:rPr>
                <w:rFonts w:eastAsia="Calibri"/>
                <w:noProof/>
                <w:sz w:val="12"/>
                <w:szCs w:val="12"/>
                <w:lang w:eastAsia="en-GB"/>
              </w:rPr>
            </w:pPr>
            <w:r>
              <w:rPr>
                <w:rFonts w:eastAsia="Calibri"/>
                <w:noProof/>
                <w:sz w:val="12"/>
                <w:szCs w:val="12"/>
                <w:lang w:eastAsia="en-GB"/>
              </w:rPr>
              <w:t>Source Trade G2 Statistics/ISDB from Eurostat BOP statistics</w:t>
            </w:r>
          </w:p>
        </w:tc>
        <w:tc>
          <w:tcPr>
            <w:tcW w:w="1201" w:type="dxa"/>
            <w:shd w:val="clear" w:color="auto" w:fill="FFFFFF"/>
            <w:noWrap/>
            <w:tcMar>
              <w:top w:w="0" w:type="dxa"/>
              <w:left w:w="108" w:type="dxa"/>
              <w:bottom w:w="0" w:type="dxa"/>
              <w:right w:w="108" w:type="dxa"/>
            </w:tcMar>
            <w:vAlign w:val="bottom"/>
            <w:hideMark/>
          </w:tcPr>
          <w:p>
            <w:pPr>
              <w:rPr>
                <w:rFonts w:eastAsia="Calibri"/>
                <w:noProof/>
                <w:sz w:val="18"/>
                <w:szCs w:val="18"/>
                <w:lang w:eastAsia="en-GB"/>
              </w:rPr>
            </w:pPr>
            <w:r>
              <w:rPr>
                <w:rFonts w:eastAsia="Calibri"/>
                <w:noProof/>
                <w:sz w:val="18"/>
                <w:szCs w:val="18"/>
                <w:lang w:eastAsia="en-GB"/>
              </w:rPr>
              <w:t> </w:t>
            </w:r>
          </w:p>
        </w:tc>
      </w:tr>
      <w:tr>
        <w:trPr>
          <w:trHeight w:val="179"/>
        </w:trPr>
        <w:tc>
          <w:tcPr>
            <w:tcW w:w="9967" w:type="dxa"/>
            <w:gridSpan w:val="6"/>
            <w:shd w:val="clear" w:color="auto" w:fill="FFFFFF"/>
            <w:noWrap/>
            <w:tcMar>
              <w:top w:w="0" w:type="dxa"/>
              <w:left w:w="108" w:type="dxa"/>
              <w:bottom w:w="0" w:type="dxa"/>
              <w:right w:w="108" w:type="dxa"/>
            </w:tcMar>
            <w:vAlign w:val="center"/>
            <w:hideMark/>
          </w:tcPr>
          <w:p>
            <w:pPr>
              <w:jc w:val="center"/>
              <w:rPr>
                <w:rFonts w:eastAsia="Calibri"/>
                <w:b/>
                <w:bCs/>
                <w:noProof/>
                <w:sz w:val="16"/>
                <w:szCs w:val="16"/>
                <w:lang w:eastAsia="en-GB"/>
              </w:rPr>
            </w:pPr>
            <w:r>
              <w:rPr>
                <w:rFonts w:eastAsia="Calibri"/>
                <w:b/>
                <w:bCs/>
                <w:noProof/>
                <w:sz w:val="16"/>
                <w:szCs w:val="16"/>
                <w:lang w:eastAsia="en-GB"/>
              </w:rPr>
              <w:t>Total Services trade EU28 with ESA4 (mio €)</w:t>
            </w:r>
          </w:p>
        </w:tc>
      </w:tr>
      <w:tr>
        <w:trPr>
          <w:trHeight w:val="168"/>
        </w:trPr>
        <w:tc>
          <w:tcPr>
            <w:tcW w:w="4598"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bottom"/>
            <w:hideMark/>
          </w:tcPr>
          <w:p>
            <w:pPr>
              <w:rPr>
                <w:rFonts w:eastAsia="Calibri"/>
                <w:noProof/>
                <w:sz w:val="16"/>
                <w:szCs w:val="16"/>
                <w:lang w:eastAsia="en-GB"/>
              </w:rPr>
            </w:pPr>
            <w:r>
              <w:rPr>
                <w:rFonts w:eastAsia="Calibri"/>
                <w:noProof/>
                <w:sz w:val="16"/>
                <w:szCs w:val="16"/>
                <w:lang w:eastAsia="en-GB"/>
              </w:rPr>
              <w:t> </w:t>
            </w:r>
          </w:p>
        </w:tc>
        <w:tc>
          <w:tcPr>
            <w:tcW w:w="991"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pPr>
              <w:jc w:val="center"/>
              <w:rPr>
                <w:rFonts w:eastAsia="Calibri"/>
                <w:b/>
                <w:bCs/>
                <w:noProof/>
                <w:sz w:val="16"/>
                <w:szCs w:val="16"/>
                <w:lang w:eastAsia="en-GB"/>
              </w:rPr>
            </w:pPr>
            <w:r>
              <w:rPr>
                <w:rFonts w:eastAsia="Calibri"/>
                <w:b/>
                <w:bCs/>
                <w:noProof/>
                <w:sz w:val="16"/>
                <w:szCs w:val="16"/>
                <w:lang w:eastAsia="en-GB"/>
              </w:rPr>
              <w:t>2013</w:t>
            </w:r>
          </w:p>
        </w:tc>
        <w:tc>
          <w:tcPr>
            <w:tcW w:w="989"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pPr>
              <w:jc w:val="center"/>
              <w:rPr>
                <w:rFonts w:eastAsia="Calibri"/>
                <w:b/>
                <w:bCs/>
                <w:noProof/>
                <w:sz w:val="16"/>
                <w:szCs w:val="16"/>
                <w:lang w:eastAsia="en-GB"/>
              </w:rPr>
            </w:pPr>
            <w:r>
              <w:rPr>
                <w:rFonts w:eastAsia="Calibri"/>
                <w:b/>
                <w:bCs/>
                <w:noProof/>
                <w:sz w:val="16"/>
                <w:szCs w:val="16"/>
                <w:lang w:eastAsia="en-GB"/>
              </w:rPr>
              <w:t>2014</w:t>
            </w:r>
          </w:p>
        </w:tc>
        <w:tc>
          <w:tcPr>
            <w:tcW w:w="989"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pPr>
              <w:jc w:val="center"/>
              <w:rPr>
                <w:rFonts w:eastAsia="Calibri"/>
                <w:b/>
                <w:bCs/>
                <w:noProof/>
                <w:sz w:val="16"/>
                <w:szCs w:val="16"/>
                <w:lang w:eastAsia="en-GB"/>
              </w:rPr>
            </w:pPr>
            <w:r>
              <w:rPr>
                <w:rFonts w:eastAsia="Calibri"/>
                <w:b/>
                <w:bCs/>
                <w:noProof/>
                <w:sz w:val="16"/>
                <w:szCs w:val="16"/>
                <w:lang w:eastAsia="en-GB"/>
              </w:rPr>
              <w:t>2015</w:t>
            </w:r>
          </w:p>
        </w:tc>
        <w:tc>
          <w:tcPr>
            <w:tcW w:w="1199"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pPr>
              <w:jc w:val="center"/>
              <w:rPr>
                <w:rFonts w:eastAsia="Calibri"/>
                <w:b/>
                <w:bCs/>
                <w:noProof/>
                <w:sz w:val="16"/>
                <w:szCs w:val="16"/>
                <w:lang w:eastAsia="en-GB"/>
              </w:rPr>
            </w:pPr>
            <w:r>
              <w:rPr>
                <w:rFonts w:eastAsia="Calibri"/>
                <w:b/>
                <w:bCs/>
                <w:noProof/>
                <w:sz w:val="16"/>
                <w:szCs w:val="16"/>
                <w:lang w:eastAsia="en-GB"/>
              </w:rPr>
              <w:t>2016</w:t>
            </w:r>
          </w:p>
        </w:tc>
        <w:tc>
          <w:tcPr>
            <w:tcW w:w="1201"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pPr>
              <w:jc w:val="center"/>
              <w:rPr>
                <w:rFonts w:eastAsia="Calibri"/>
                <w:b/>
                <w:bCs/>
                <w:noProof/>
                <w:sz w:val="16"/>
                <w:szCs w:val="16"/>
                <w:lang w:eastAsia="en-GB"/>
              </w:rPr>
            </w:pPr>
            <w:r>
              <w:rPr>
                <w:rFonts w:eastAsia="Calibri"/>
                <w:b/>
                <w:bCs/>
                <w:noProof/>
                <w:sz w:val="16"/>
                <w:szCs w:val="16"/>
                <w:lang w:eastAsia="en-GB"/>
              </w:rPr>
              <w:t>2017</w:t>
            </w:r>
          </w:p>
        </w:tc>
      </w:tr>
      <w:tr>
        <w:trPr>
          <w:trHeight w:val="168"/>
        </w:trPr>
        <w:tc>
          <w:tcPr>
            <w:tcW w:w="4598" w:type="dxa"/>
            <w:shd w:val="clear" w:color="auto" w:fill="FFFFFF"/>
            <w:noWrap/>
            <w:tcMar>
              <w:top w:w="0" w:type="dxa"/>
              <w:left w:w="108" w:type="dxa"/>
              <w:bottom w:w="0" w:type="dxa"/>
              <w:right w:w="108" w:type="dxa"/>
            </w:tcMar>
            <w:vAlign w:val="bottom"/>
            <w:hideMark/>
          </w:tcPr>
          <w:p>
            <w:pPr>
              <w:rPr>
                <w:rFonts w:eastAsia="Calibri"/>
                <w:noProof/>
                <w:sz w:val="16"/>
                <w:szCs w:val="16"/>
                <w:lang w:eastAsia="en-GB"/>
              </w:rPr>
            </w:pPr>
            <w:r>
              <w:rPr>
                <w:rFonts w:eastAsia="Calibri"/>
                <w:noProof/>
                <w:sz w:val="16"/>
                <w:szCs w:val="16"/>
                <w:lang w:eastAsia="en-GB"/>
              </w:rPr>
              <w:t>Imports</w:t>
            </w:r>
          </w:p>
        </w:tc>
        <w:tc>
          <w:tcPr>
            <w:tcW w:w="991" w:type="dxa"/>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2.051</w:t>
            </w:r>
          </w:p>
        </w:tc>
        <w:tc>
          <w:tcPr>
            <w:tcW w:w="989" w:type="dxa"/>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2.348</w:t>
            </w:r>
          </w:p>
        </w:tc>
        <w:tc>
          <w:tcPr>
            <w:tcW w:w="989" w:type="dxa"/>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2.602</w:t>
            </w:r>
          </w:p>
        </w:tc>
        <w:tc>
          <w:tcPr>
            <w:tcW w:w="1199" w:type="dxa"/>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2.381</w:t>
            </w:r>
          </w:p>
        </w:tc>
        <w:tc>
          <w:tcPr>
            <w:tcW w:w="1201" w:type="dxa"/>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2.205</w:t>
            </w:r>
          </w:p>
        </w:tc>
      </w:tr>
      <w:tr>
        <w:trPr>
          <w:trHeight w:val="168"/>
        </w:trPr>
        <w:tc>
          <w:tcPr>
            <w:tcW w:w="4598" w:type="dxa"/>
            <w:shd w:val="clear" w:color="auto" w:fill="FFFFFF"/>
            <w:noWrap/>
            <w:tcMar>
              <w:top w:w="0" w:type="dxa"/>
              <w:left w:w="108" w:type="dxa"/>
              <w:bottom w:w="0" w:type="dxa"/>
              <w:right w:w="108" w:type="dxa"/>
            </w:tcMar>
            <w:vAlign w:val="bottom"/>
            <w:hideMark/>
          </w:tcPr>
          <w:p>
            <w:pPr>
              <w:rPr>
                <w:rFonts w:eastAsia="Calibri"/>
                <w:noProof/>
                <w:sz w:val="16"/>
                <w:szCs w:val="16"/>
                <w:lang w:eastAsia="en-GB"/>
              </w:rPr>
            </w:pPr>
            <w:r>
              <w:rPr>
                <w:rFonts w:eastAsia="Calibri"/>
                <w:noProof/>
                <w:sz w:val="16"/>
                <w:szCs w:val="16"/>
                <w:lang w:eastAsia="en-GB"/>
              </w:rPr>
              <w:t>Exports</w:t>
            </w:r>
          </w:p>
        </w:tc>
        <w:tc>
          <w:tcPr>
            <w:tcW w:w="991" w:type="dxa"/>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1.425</w:t>
            </w:r>
          </w:p>
        </w:tc>
        <w:tc>
          <w:tcPr>
            <w:tcW w:w="989" w:type="dxa"/>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1.804</w:t>
            </w:r>
          </w:p>
        </w:tc>
        <w:tc>
          <w:tcPr>
            <w:tcW w:w="989" w:type="dxa"/>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1.730</w:t>
            </w:r>
          </w:p>
        </w:tc>
        <w:tc>
          <w:tcPr>
            <w:tcW w:w="1199" w:type="dxa"/>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1.962</w:t>
            </w:r>
          </w:p>
        </w:tc>
        <w:tc>
          <w:tcPr>
            <w:tcW w:w="1201" w:type="dxa"/>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2.569</w:t>
            </w:r>
          </w:p>
        </w:tc>
      </w:tr>
      <w:tr>
        <w:trPr>
          <w:trHeight w:val="168"/>
        </w:trPr>
        <w:tc>
          <w:tcPr>
            <w:tcW w:w="4598" w:type="dxa"/>
            <w:shd w:val="clear" w:color="auto" w:fill="FFFFFF"/>
            <w:noWrap/>
            <w:tcMar>
              <w:top w:w="0" w:type="dxa"/>
              <w:left w:w="108" w:type="dxa"/>
              <w:bottom w:w="0" w:type="dxa"/>
              <w:right w:w="108" w:type="dxa"/>
            </w:tcMar>
            <w:vAlign w:val="bottom"/>
            <w:hideMark/>
          </w:tcPr>
          <w:p>
            <w:pPr>
              <w:rPr>
                <w:rFonts w:eastAsia="Calibri"/>
                <w:noProof/>
                <w:sz w:val="16"/>
                <w:szCs w:val="16"/>
                <w:lang w:eastAsia="en-GB"/>
              </w:rPr>
            </w:pPr>
            <w:r>
              <w:rPr>
                <w:rFonts w:eastAsia="Calibri"/>
                <w:noProof/>
                <w:sz w:val="16"/>
                <w:szCs w:val="16"/>
                <w:lang w:eastAsia="en-GB"/>
              </w:rPr>
              <w:t>Balance</w:t>
            </w:r>
          </w:p>
        </w:tc>
        <w:tc>
          <w:tcPr>
            <w:tcW w:w="991" w:type="dxa"/>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-627</w:t>
            </w:r>
          </w:p>
        </w:tc>
        <w:tc>
          <w:tcPr>
            <w:tcW w:w="989" w:type="dxa"/>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-544</w:t>
            </w:r>
          </w:p>
        </w:tc>
        <w:tc>
          <w:tcPr>
            <w:tcW w:w="989" w:type="dxa"/>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-872</w:t>
            </w:r>
          </w:p>
        </w:tc>
        <w:tc>
          <w:tcPr>
            <w:tcW w:w="1199" w:type="dxa"/>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-419</w:t>
            </w:r>
          </w:p>
        </w:tc>
        <w:tc>
          <w:tcPr>
            <w:tcW w:w="1201" w:type="dxa"/>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365</w:t>
            </w:r>
          </w:p>
        </w:tc>
      </w:tr>
      <w:tr>
        <w:trPr>
          <w:trHeight w:val="168"/>
        </w:trPr>
        <w:tc>
          <w:tcPr>
            <w:tcW w:w="4598" w:type="dxa"/>
            <w:tcBorders>
              <w:top w:val="nil"/>
              <w:left w:val="nil"/>
              <w:bottom w:val="single" w:sz="8" w:space="0" w:color="auto"/>
              <w:right w:val="nil"/>
            </w:tcBorders>
            <w:shd w:val="clear" w:color="auto" w:fill="FFFFFF"/>
            <w:noWrap/>
            <w:tcMar>
              <w:top w:w="0" w:type="dxa"/>
              <w:left w:w="108" w:type="dxa"/>
              <w:bottom w:w="0" w:type="dxa"/>
              <w:right w:w="108" w:type="dxa"/>
            </w:tcMar>
            <w:vAlign w:val="bottom"/>
            <w:hideMark/>
          </w:tcPr>
          <w:p>
            <w:pPr>
              <w:rPr>
                <w:rFonts w:eastAsia="Calibri"/>
                <w:noProof/>
                <w:sz w:val="16"/>
                <w:szCs w:val="16"/>
                <w:lang w:eastAsia="en-GB"/>
              </w:rPr>
            </w:pPr>
            <w:r>
              <w:rPr>
                <w:rFonts w:eastAsia="Calibri"/>
                <w:noProof/>
                <w:sz w:val="16"/>
                <w:szCs w:val="16"/>
                <w:lang w:eastAsia="en-GB"/>
              </w:rPr>
              <w:t>Total trade</w:t>
            </w:r>
          </w:p>
        </w:tc>
        <w:tc>
          <w:tcPr>
            <w:tcW w:w="991" w:type="dxa"/>
            <w:tcBorders>
              <w:top w:val="nil"/>
              <w:left w:val="nil"/>
              <w:bottom w:val="single" w:sz="8" w:space="0" w:color="auto"/>
              <w:right w:val="nil"/>
            </w:tcBorders>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3.476</w:t>
            </w:r>
          </w:p>
        </w:tc>
        <w:tc>
          <w:tcPr>
            <w:tcW w:w="989" w:type="dxa"/>
            <w:tcBorders>
              <w:top w:val="nil"/>
              <w:left w:val="nil"/>
              <w:bottom w:val="single" w:sz="8" w:space="0" w:color="auto"/>
              <w:right w:val="nil"/>
            </w:tcBorders>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4.151</w:t>
            </w:r>
          </w:p>
        </w:tc>
        <w:tc>
          <w:tcPr>
            <w:tcW w:w="989" w:type="dxa"/>
            <w:tcBorders>
              <w:top w:val="nil"/>
              <w:left w:val="nil"/>
              <w:bottom w:val="single" w:sz="8" w:space="0" w:color="auto"/>
              <w:right w:val="nil"/>
            </w:tcBorders>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4.332</w:t>
            </w:r>
          </w:p>
        </w:tc>
        <w:tc>
          <w:tcPr>
            <w:tcW w:w="1199" w:type="dxa"/>
            <w:tcBorders>
              <w:top w:val="nil"/>
              <w:left w:val="nil"/>
              <w:bottom w:val="single" w:sz="8" w:space="0" w:color="auto"/>
              <w:right w:val="nil"/>
            </w:tcBorders>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4.343</w:t>
            </w:r>
          </w:p>
        </w:tc>
        <w:tc>
          <w:tcPr>
            <w:tcW w:w="1201" w:type="dxa"/>
            <w:tcBorders>
              <w:top w:val="nil"/>
              <w:left w:val="nil"/>
              <w:bottom w:val="single" w:sz="8" w:space="0" w:color="auto"/>
              <w:right w:val="nil"/>
            </w:tcBorders>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4.774</w:t>
            </w:r>
          </w:p>
        </w:tc>
      </w:tr>
      <w:tr>
        <w:trPr>
          <w:trHeight w:val="168"/>
        </w:trPr>
        <w:tc>
          <w:tcPr>
            <w:tcW w:w="4598" w:type="dxa"/>
            <w:shd w:val="clear" w:color="auto" w:fill="FFFFFF"/>
            <w:noWrap/>
            <w:tcMar>
              <w:top w:w="0" w:type="dxa"/>
              <w:left w:w="108" w:type="dxa"/>
              <w:bottom w:w="0" w:type="dxa"/>
              <w:right w:w="108" w:type="dxa"/>
            </w:tcMar>
            <w:hideMark/>
          </w:tcPr>
          <w:p>
            <w:pPr>
              <w:rPr>
                <w:rFonts w:eastAsia="Calibri"/>
                <w:noProof/>
                <w:sz w:val="12"/>
                <w:szCs w:val="12"/>
                <w:lang w:eastAsia="en-GB"/>
              </w:rPr>
            </w:pPr>
            <w:r>
              <w:rPr>
                <w:rFonts w:eastAsia="Calibri"/>
                <w:noProof/>
                <w:sz w:val="12"/>
                <w:szCs w:val="12"/>
                <w:lang w:eastAsia="en-GB"/>
              </w:rPr>
              <w:t>Source Trade G2 Statistics/ISDB from Eurostat BOP statistics</w:t>
            </w:r>
          </w:p>
        </w:tc>
        <w:tc>
          <w:tcPr>
            <w:tcW w:w="991" w:type="dxa"/>
            <w:shd w:val="clear" w:color="auto" w:fill="FFFFFF"/>
            <w:noWrap/>
            <w:tcMar>
              <w:top w:w="0" w:type="dxa"/>
              <w:left w:w="108" w:type="dxa"/>
              <w:bottom w:w="0" w:type="dxa"/>
              <w:right w:w="108" w:type="dxa"/>
            </w:tcMar>
            <w:hideMark/>
          </w:tcPr>
          <w:p>
            <w:pPr>
              <w:rPr>
                <w:rFonts w:eastAsia="Calibri"/>
                <w:noProof/>
                <w:sz w:val="12"/>
                <w:szCs w:val="12"/>
                <w:lang w:eastAsia="en-GB"/>
              </w:rPr>
            </w:pPr>
            <w:r>
              <w:rPr>
                <w:rFonts w:eastAsia="Calibri"/>
                <w:noProof/>
                <w:sz w:val="12"/>
                <w:szCs w:val="12"/>
                <w:lang w:eastAsia="en-GB"/>
              </w:rPr>
              <w:t> </w:t>
            </w:r>
          </w:p>
        </w:tc>
        <w:tc>
          <w:tcPr>
            <w:tcW w:w="989" w:type="dxa"/>
            <w:shd w:val="clear" w:color="auto" w:fill="FFFFFF"/>
            <w:noWrap/>
            <w:tcMar>
              <w:top w:w="0" w:type="dxa"/>
              <w:left w:w="108" w:type="dxa"/>
              <w:bottom w:w="0" w:type="dxa"/>
              <w:right w:w="108" w:type="dxa"/>
            </w:tcMar>
            <w:vAlign w:val="bottom"/>
            <w:hideMark/>
          </w:tcPr>
          <w:p>
            <w:pPr>
              <w:rPr>
                <w:rFonts w:eastAsia="Calibri"/>
                <w:noProof/>
                <w:sz w:val="16"/>
                <w:szCs w:val="16"/>
                <w:lang w:eastAsia="en-GB"/>
              </w:rPr>
            </w:pPr>
            <w:r>
              <w:rPr>
                <w:rFonts w:eastAsia="Calibri"/>
                <w:noProof/>
                <w:sz w:val="16"/>
                <w:szCs w:val="16"/>
                <w:lang w:eastAsia="en-GB"/>
              </w:rPr>
              <w:t> </w:t>
            </w:r>
          </w:p>
        </w:tc>
        <w:tc>
          <w:tcPr>
            <w:tcW w:w="989" w:type="dxa"/>
            <w:shd w:val="clear" w:color="auto" w:fill="FFFFFF"/>
            <w:noWrap/>
            <w:tcMar>
              <w:top w:w="0" w:type="dxa"/>
              <w:left w:w="108" w:type="dxa"/>
              <w:bottom w:w="0" w:type="dxa"/>
              <w:right w:w="108" w:type="dxa"/>
            </w:tcMar>
            <w:vAlign w:val="bottom"/>
            <w:hideMark/>
          </w:tcPr>
          <w:p>
            <w:pPr>
              <w:rPr>
                <w:rFonts w:eastAsia="Calibri"/>
                <w:noProof/>
                <w:sz w:val="16"/>
                <w:szCs w:val="16"/>
                <w:lang w:eastAsia="en-GB"/>
              </w:rPr>
            </w:pPr>
            <w:r>
              <w:rPr>
                <w:rFonts w:eastAsia="Calibri"/>
                <w:noProof/>
                <w:sz w:val="16"/>
                <w:szCs w:val="16"/>
                <w:lang w:eastAsia="en-GB"/>
              </w:rPr>
              <w:t> </w:t>
            </w:r>
          </w:p>
        </w:tc>
        <w:tc>
          <w:tcPr>
            <w:tcW w:w="1199" w:type="dxa"/>
            <w:shd w:val="clear" w:color="auto" w:fill="FFFFFF"/>
            <w:noWrap/>
            <w:tcMar>
              <w:top w:w="0" w:type="dxa"/>
              <w:left w:w="108" w:type="dxa"/>
              <w:bottom w:w="0" w:type="dxa"/>
              <w:right w:w="108" w:type="dxa"/>
            </w:tcMar>
            <w:vAlign w:val="bottom"/>
            <w:hideMark/>
          </w:tcPr>
          <w:p>
            <w:pPr>
              <w:rPr>
                <w:rFonts w:eastAsia="Calibri"/>
                <w:noProof/>
                <w:sz w:val="16"/>
                <w:szCs w:val="16"/>
                <w:lang w:eastAsia="en-GB"/>
              </w:rPr>
            </w:pPr>
            <w:r>
              <w:rPr>
                <w:rFonts w:eastAsia="Calibri"/>
                <w:noProof/>
                <w:sz w:val="16"/>
                <w:szCs w:val="16"/>
                <w:lang w:eastAsia="en-GB"/>
              </w:rPr>
              <w:t> </w:t>
            </w:r>
          </w:p>
        </w:tc>
        <w:tc>
          <w:tcPr>
            <w:tcW w:w="1201" w:type="dxa"/>
            <w:shd w:val="clear" w:color="auto" w:fill="FFFFFF"/>
            <w:noWrap/>
            <w:tcMar>
              <w:top w:w="0" w:type="dxa"/>
              <w:left w:w="108" w:type="dxa"/>
              <w:bottom w:w="0" w:type="dxa"/>
              <w:right w:w="108" w:type="dxa"/>
            </w:tcMar>
            <w:vAlign w:val="bottom"/>
            <w:hideMark/>
          </w:tcPr>
          <w:p>
            <w:pPr>
              <w:rPr>
                <w:rFonts w:eastAsia="Calibri"/>
                <w:noProof/>
                <w:sz w:val="16"/>
                <w:szCs w:val="16"/>
                <w:lang w:eastAsia="en-GB"/>
              </w:rPr>
            </w:pPr>
            <w:r>
              <w:rPr>
                <w:rFonts w:eastAsia="Calibri"/>
                <w:noProof/>
                <w:sz w:val="16"/>
                <w:szCs w:val="16"/>
                <w:lang w:eastAsia="en-GB"/>
              </w:rPr>
              <w:t> </w:t>
            </w:r>
          </w:p>
        </w:tc>
      </w:tr>
      <w:tr>
        <w:trPr>
          <w:trHeight w:val="168"/>
        </w:trPr>
        <w:tc>
          <w:tcPr>
            <w:tcW w:w="9967" w:type="dxa"/>
            <w:gridSpan w:val="6"/>
            <w:shd w:val="clear" w:color="auto" w:fill="FFFFFF"/>
            <w:noWrap/>
            <w:tcMar>
              <w:top w:w="0" w:type="dxa"/>
              <w:left w:w="108" w:type="dxa"/>
              <w:bottom w:w="0" w:type="dxa"/>
              <w:right w:w="108" w:type="dxa"/>
            </w:tcMar>
            <w:vAlign w:val="center"/>
            <w:hideMark/>
          </w:tcPr>
          <w:p>
            <w:pPr>
              <w:jc w:val="center"/>
              <w:rPr>
                <w:rFonts w:eastAsia="Calibri"/>
                <w:b/>
                <w:bCs/>
                <w:noProof/>
                <w:sz w:val="16"/>
                <w:szCs w:val="16"/>
                <w:lang w:eastAsia="en-GB"/>
              </w:rPr>
            </w:pPr>
          </w:p>
          <w:p>
            <w:pPr>
              <w:jc w:val="center"/>
              <w:rPr>
                <w:rFonts w:eastAsia="Calibri"/>
                <w:b/>
                <w:bCs/>
                <w:noProof/>
                <w:sz w:val="16"/>
                <w:szCs w:val="16"/>
                <w:lang w:eastAsia="en-GB"/>
              </w:rPr>
            </w:pPr>
          </w:p>
          <w:p>
            <w:pPr>
              <w:jc w:val="center"/>
              <w:rPr>
                <w:rFonts w:eastAsia="Calibri"/>
                <w:b/>
                <w:bCs/>
                <w:noProof/>
                <w:sz w:val="16"/>
                <w:szCs w:val="16"/>
                <w:lang w:eastAsia="en-GB"/>
              </w:rPr>
            </w:pPr>
            <w:r>
              <w:rPr>
                <w:rFonts w:eastAsia="Calibri"/>
                <w:b/>
                <w:bCs/>
                <w:noProof/>
                <w:sz w:val="16"/>
                <w:szCs w:val="16"/>
                <w:lang w:eastAsia="en-GB"/>
              </w:rPr>
              <w:t>Foreign Direct Investment (FDI) EU28 with ESA4 (mio €)</w:t>
            </w:r>
          </w:p>
        </w:tc>
      </w:tr>
      <w:tr>
        <w:trPr>
          <w:trHeight w:val="168"/>
        </w:trPr>
        <w:tc>
          <w:tcPr>
            <w:tcW w:w="4598"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bottom"/>
            <w:hideMark/>
          </w:tcPr>
          <w:p>
            <w:pPr>
              <w:rPr>
                <w:rFonts w:eastAsia="Calibri"/>
                <w:noProof/>
                <w:sz w:val="16"/>
                <w:szCs w:val="16"/>
                <w:lang w:eastAsia="en-GB"/>
              </w:rPr>
            </w:pPr>
            <w:r>
              <w:rPr>
                <w:rFonts w:eastAsia="Calibri"/>
                <w:noProof/>
                <w:sz w:val="16"/>
                <w:szCs w:val="16"/>
                <w:lang w:eastAsia="en-GB"/>
              </w:rPr>
              <w:t> </w:t>
            </w:r>
          </w:p>
        </w:tc>
        <w:tc>
          <w:tcPr>
            <w:tcW w:w="991"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bottom"/>
            <w:hideMark/>
          </w:tcPr>
          <w:p>
            <w:pPr>
              <w:jc w:val="center"/>
              <w:rPr>
                <w:rFonts w:eastAsia="Calibri"/>
                <w:b/>
                <w:bCs/>
                <w:noProof/>
                <w:sz w:val="16"/>
                <w:szCs w:val="16"/>
                <w:lang w:eastAsia="en-GB"/>
              </w:rPr>
            </w:pPr>
            <w:r>
              <w:rPr>
                <w:rFonts w:eastAsia="Calibri"/>
                <w:b/>
                <w:bCs/>
                <w:noProof/>
                <w:sz w:val="16"/>
                <w:szCs w:val="16"/>
                <w:lang w:eastAsia="en-GB"/>
              </w:rPr>
              <w:t>2013</w:t>
            </w:r>
          </w:p>
        </w:tc>
        <w:tc>
          <w:tcPr>
            <w:tcW w:w="989"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pPr>
              <w:jc w:val="center"/>
              <w:rPr>
                <w:rFonts w:eastAsia="Calibri"/>
                <w:b/>
                <w:bCs/>
                <w:noProof/>
                <w:sz w:val="16"/>
                <w:szCs w:val="16"/>
                <w:lang w:eastAsia="en-GB"/>
              </w:rPr>
            </w:pPr>
            <w:r>
              <w:rPr>
                <w:rFonts w:eastAsia="Calibri"/>
                <w:b/>
                <w:bCs/>
                <w:noProof/>
                <w:sz w:val="16"/>
                <w:szCs w:val="16"/>
                <w:lang w:eastAsia="en-GB"/>
              </w:rPr>
              <w:t>2014</w:t>
            </w:r>
          </w:p>
        </w:tc>
        <w:tc>
          <w:tcPr>
            <w:tcW w:w="989"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pPr>
              <w:jc w:val="center"/>
              <w:rPr>
                <w:rFonts w:eastAsia="Calibri"/>
                <w:b/>
                <w:bCs/>
                <w:noProof/>
                <w:sz w:val="16"/>
                <w:szCs w:val="16"/>
                <w:lang w:eastAsia="en-GB"/>
              </w:rPr>
            </w:pPr>
            <w:r>
              <w:rPr>
                <w:rFonts w:eastAsia="Calibri"/>
                <w:b/>
                <w:bCs/>
                <w:noProof/>
                <w:sz w:val="16"/>
                <w:szCs w:val="16"/>
                <w:lang w:eastAsia="en-GB"/>
              </w:rPr>
              <w:t>2015</w:t>
            </w:r>
          </w:p>
        </w:tc>
        <w:tc>
          <w:tcPr>
            <w:tcW w:w="1199"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pPr>
              <w:jc w:val="center"/>
              <w:rPr>
                <w:rFonts w:eastAsia="Calibri"/>
                <w:b/>
                <w:bCs/>
                <w:noProof/>
                <w:sz w:val="16"/>
                <w:szCs w:val="16"/>
                <w:lang w:eastAsia="en-GB"/>
              </w:rPr>
            </w:pPr>
            <w:r>
              <w:rPr>
                <w:rFonts w:eastAsia="Calibri"/>
                <w:b/>
                <w:bCs/>
                <w:noProof/>
                <w:sz w:val="16"/>
                <w:szCs w:val="16"/>
                <w:lang w:eastAsia="en-GB"/>
              </w:rPr>
              <w:t>2016</w:t>
            </w:r>
          </w:p>
        </w:tc>
        <w:tc>
          <w:tcPr>
            <w:tcW w:w="1201"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pPr>
              <w:jc w:val="center"/>
              <w:rPr>
                <w:rFonts w:eastAsia="Calibri"/>
                <w:b/>
                <w:bCs/>
                <w:noProof/>
                <w:sz w:val="16"/>
                <w:szCs w:val="16"/>
                <w:lang w:eastAsia="en-GB"/>
              </w:rPr>
            </w:pPr>
            <w:r>
              <w:rPr>
                <w:rFonts w:eastAsia="Calibri"/>
                <w:b/>
                <w:bCs/>
                <w:noProof/>
                <w:sz w:val="16"/>
                <w:szCs w:val="16"/>
                <w:lang w:eastAsia="en-GB"/>
              </w:rPr>
              <w:t>2017</w:t>
            </w:r>
          </w:p>
        </w:tc>
      </w:tr>
      <w:tr>
        <w:trPr>
          <w:trHeight w:val="168"/>
        </w:trPr>
        <w:tc>
          <w:tcPr>
            <w:tcW w:w="9967" w:type="dxa"/>
            <w:gridSpan w:val="6"/>
            <w:shd w:val="clear" w:color="auto" w:fill="FFFFFF"/>
            <w:noWrap/>
            <w:tcMar>
              <w:top w:w="0" w:type="dxa"/>
              <w:left w:w="108" w:type="dxa"/>
              <w:bottom w:w="0" w:type="dxa"/>
              <w:right w:w="108" w:type="dxa"/>
            </w:tcMar>
            <w:vAlign w:val="center"/>
            <w:hideMark/>
          </w:tcPr>
          <w:p>
            <w:pPr>
              <w:jc w:val="center"/>
              <w:rPr>
                <w:rFonts w:eastAsia="Calibri"/>
                <w:b/>
                <w:bCs/>
                <w:i/>
                <w:iCs/>
                <w:noProof/>
                <w:sz w:val="16"/>
                <w:szCs w:val="16"/>
                <w:lang w:eastAsia="en-GB"/>
              </w:rPr>
            </w:pPr>
            <w:r>
              <w:rPr>
                <w:rFonts w:eastAsia="Calibri"/>
                <w:b/>
                <w:bCs/>
                <w:i/>
                <w:iCs/>
                <w:noProof/>
                <w:sz w:val="16"/>
                <w:szCs w:val="16"/>
                <w:lang w:eastAsia="en-GB"/>
              </w:rPr>
              <w:t>FDI Stocks</w:t>
            </w:r>
          </w:p>
        </w:tc>
      </w:tr>
      <w:tr>
        <w:trPr>
          <w:trHeight w:val="168"/>
        </w:trPr>
        <w:tc>
          <w:tcPr>
            <w:tcW w:w="4598" w:type="dxa"/>
            <w:shd w:val="clear" w:color="auto" w:fill="FFFFFF"/>
            <w:noWrap/>
            <w:tcMar>
              <w:top w:w="0" w:type="dxa"/>
              <w:left w:w="108" w:type="dxa"/>
              <w:bottom w:w="0" w:type="dxa"/>
              <w:right w:w="108" w:type="dxa"/>
            </w:tcMar>
            <w:vAlign w:val="bottom"/>
            <w:hideMark/>
          </w:tcPr>
          <w:p>
            <w:pPr>
              <w:rPr>
                <w:rFonts w:eastAsia="Calibri"/>
                <w:noProof/>
                <w:sz w:val="16"/>
                <w:szCs w:val="16"/>
                <w:lang w:eastAsia="en-GB"/>
              </w:rPr>
            </w:pPr>
            <w:r>
              <w:rPr>
                <w:rFonts w:eastAsia="Calibri"/>
                <w:noProof/>
                <w:sz w:val="16"/>
                <w:szCs w:val="16"/>
                <w:lang w:eastAsia="en-GB"/>
              </w:rPr>
              <w:t>Inward</w:t>
            </w:r>
          </w:p>
        </w:tc>
        <w:tc>
          <w:tcPr>
            <w:tcW w:w="991" w:type="dxa"/>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2.568</w:t>
            </w:r>
          </w:p>
        </w:tc>
        <w:tc>
          <w:tcPr>
            <w:tcW w:w="989" w:type="dxa"/>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5.811</w:t>
            </w:r>
          </w:p>
        </w:tc>
        <w:tc>
          <w:tcPr>
            <w:tcW w:w="989" w:type="dxa"/>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4.422</w:t>
            </w:r>
          </w:p>
        </w:tc>
        <w:tc>
          <w:tcPr>
            <w:tcW w:w="1199" w:type="dxa"/>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8.843</w:t>
            </w:r>
          </w:p>
        </w:tc>
        <w:tc>
          <w:tcPr>
            <w:tcW w:w="1201" w:type="dxa"/>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6.710</w:t>
            </w:r>
          </w:p>
        </w:tc>
      </w:tr>
      <w:tr>
        <w:trPr>
          <w:trHeight w:val="168"/>
        </w:trPr>
        <w:tc>
          <w:tcPr>
            <w:tcW w:w="4598" w:type="dxa"/>
            <w:shd w:val="clear" w:color="auto" w:fill="FFFFFF"/>
            <w:noWrap/>
            <w:tcMar>
              <w:top w:w="0" w:type="dxa"/>
              <w:left w:w="108" w:type="dxa"/>
              <w:bottom w:w="0" w:type="dxa"/>
              <w:right w:w="108" w:type="dxa"/>
            </w:tcMar>
            <w:vAlign w:val="bottom"/>
            <w:hideMark/>
          </w:tcPr>
          <w:p>
            <w:pPr>
              <w:rPr>
                <w:rFonts w:eastAsia="Calibri"/>
                <w:noProof/>
                <w:sz w:val="16"/>
                <w:szCs w:val="16"/>
                <w:lang w:eastAsia="en-GB"/>
              </w:rPr>
            </w:pPr>
            <w:r>
              <w:rPr>
                <w:rFonts w:eastAsia="Calibri"/>
                <w:noProof/>
                <w:sz w:val="16"/>
                <w:szCs w:val="16"/>
                <w:lang w:eastAsia="en-GB"/>
              </w:rPr>
              <w:t>Outward</w:t>
            </w:r>
          </w:p>
        </w:tc>
        <w:tc>
          <w:tcPr>
            <w:tcW w:w="991" w:type="dxa"/>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15.223</w:t>
            </w:r>
          </w:p>
        </w:tc>
        <w:tc>
          <w:tcPr>
            <w:tcW w:w="989" w:type="dxa"/>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21.518</w:t>
            </w:r>
          </w:p>
        </w:tc>
        <w:tc>
          <w:tcPr>
            <w:tcW w:w="989" w:type="dxa"/>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21.815</w:t>
            </w:r>
          </w:p>
        </w:tc>
        <w:tc>
          <w:tcPr>
            <w:tcW w:w="1199" w:type="dxa"/>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21.099</w:t>
            </w:r>
          </w:p>
        </w:tc>
        <w:tc>
          <w:tcPr>
            <w:tcW w:w="1201" w:type="dxa"/>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24.671</w:t>
            </w:r>
          </w:p>
        </w:tc>
      </w:tr>
      <w:tr>
        <w:trPr>
          <w:trHeight w:val="168"/>
        </w:trPr>
        <w:tc>
          <w:tcPr>
            <w:tcW w:w="9967" w:type="dxa"/>
            <w:gridSpan w:val="6"/>
            <w:shd w:val="clear" w:color="auto" w:fill="FFFFFF"/>
            <w:noWrap/>
            <w:tcMar>
              <w:top w:w="0" w:type="dxa"/>
              <w:left w:w="108" w:type="dxa"/>
              <w:bottom w:w="0" w:type="dxa"/>
              <w:right w:w="108" w:type="dxa"/>
            </w:tcMar>
            <w:vAlign w:val="center"/>
            <w:hideMark/>
          </w:tcPr>
          <w:p>
            <w:pPr>
              <w:jc w:val="center"/>
              <w:rPr>
                <w:rFonts w:eastAsia="Calibri"/>
                <w:b/>
                <w:bCs/>
                <w:i/>
                <w:iCs/>
                <w:noProof/>
                <w:sz w:val="16"/>
                <w:szCs w:val="16"/>
                <w:lang w:eastAsia="en-GB"/>
              </w:rPr>
            </w:pPr>
            <w:r>
              <w:rPr>
                <w:rFonts w:eastAsia="Calibri"/>
                <w:b/>
                <w:bCs/>
                <w:i/>
                <w:iCs/>
                <w:noProof/>
                <w:sz w:val="16"/>
                <w:szCs w:val="16"/>
                <w:lang w:eastAsia="en-GB"/>
              </w:rPr>
              <w:t>FDI Flows</w:t>
            </w:r>
          </w:p>
        </w:tc>
      </w:tr>
      <w:tr>
        <w:trPr>
          <w:trHeight w:val="168"/>
        </w:trPr>
        <w:tc>
          <w:tcPr>
            <w:tcW w:w="4598" w:type="dxa"/>
            <w:shd w:val="clear" w:color="auto" w:fill="FFFFFF"/>
            <w:noWrap/>
            <w:tcMar>
              <w:top w:w="0" w:type="dxa"/>
              <w:left w:w="108" w:type="dxa"/>
              <w:bottom w:w="0" w:type="dxa"/>
              <w:right w:w="108" w:type="dxa"/>
            </w:tcMar>
            <w:vAlign w:val="bottom"/>
            <w:hideMark/>
          </w:tcPr>
          <w:p>
            <w:pPr>
              <w:rPr>
                <w:rFonts w:eastAsia="Calibri"/>
                <w:noProof/>
                <w:sz w:val="16"/>
                <w:szCs w:val="16"/>
                <w:lang w:eastAsia="en-GB"/>
              </w:rPr>
            </w:pPr>
            <w:r>
              <w:rPr>
                <w:rFonts w:eastAsia="Calibri"/>
                <w:noProof/>
                <w:sz w:val="16"/>
                <w:szCs w:val="16"/>
                <w:lang w:eastAsia="en-GB"/>
              </w:rPr>
              <w:t>Inward</w:t>
            </w:r>
          </w:p>
        </w:tc>
        <w:tc>
          <w:tcPr>
            <w:tcW w:w="991" w:type="dxa"/>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1.878</w:t>
            </w:r>
          </w:p>
        </w:tc>
        <w:tc>
          <w:tcPr>
            <w:tcW w:w="989" w:type="dxa"/>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1.328</w:t>
            </w:r>
          </w:p>
        </w:tc>
        <w:tc>
          <w:tcPr>
            <w:tcW w:w="989" w:type="dxa"/>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-1.839</w:t>
            </w:r>
          </w:p>
        </w:tc>
        <w:tc>
          <w:tcPr>
            <w:tcW w:w="1199" w:type="dxa"/>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678</w:t>
            </w:r>
          </w:p>
        </w:tc>
        <w:tc>
          <w:tcPr>
            <w:tcW w:w="1201" w:type="dxa"/>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-1.240</w:t>
            </w:r>
          </w:p>
        </w:tc>
      </w:tr>
      <w:tr>
        <w:trPr>
          <w:trHeight w:val="168"/>
        </w:trPr>
        <w:tc>
          <w:tcPr>
            <w:tcW w:w="4598" w:type="dxa"/>
            <w:shd w:val="clear" w:color="auto" w:fill="FFFFFF"/>
            <w:noWrap/>
            <w:tcMar>
              <w:top w:w="0" w:type="dxa"/>
              <w:left w:w="108" w:type="dxa"/>
              <w:bottom w:w="0" w:type="dxa"/>
              <w:right w:w="108" w:type="dxa"/>
            </w:tcMar>
            <w:vAlign w:val="bottom"/>
            <w:hideMark/>
          </w:tcPr>
          <w:p>
            <w:pPr>
              <w:rPr>
                <w:rFonts w:eastAsia="Calibri"/>
                <w:noProof/>
                <w:sz w:val="16"/>
                <w:szCs w:val="16"/>
                <w:lang w:eastAsia="en-GB"/>
              </w:rPr>
            </w:pPr>
            <w:r>
              <w:rPr>
                <w:rFonts w:eastAsia="Calibri"/>
                <w:noProof/>
                <w:sz w:val="16"/>
                <w:szCs w:val="16"/>
                <w:lang w:eastAsia="en-GB"/>
              </w:rPr>
              <w:t>Outward</w:t>
            </w:r>
          </w:p>
        </w:tc>
        <w:tc>
          <w:tcPr>
            <w:tcW w:w="991" w:type="dxa"/>
            <w:tcBorders>
              <w:top w:val="nil"/>
              <w:left w:val="nil"/>
              <w:bottom w:val="single" w:sz="8" w:space="0" w:color="auto"/>
              <w:right w:val="nil"/>
            </w:tcBorders>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1.706</w:t>
            </w:r>
          </w:p>
        </w:tc>
        <w:tc>
          <w:tcPr>
            <w:tcW w:w="989" w:type="dxa"/>
            <w:tcBorders>
              <w:top w:val="nil"/>
              <w:left w:val="nil"/>
              <w:bottom w:val="single" w:sz="8" w:space="0" w:color="auto"/>
              <w:right w:val="nil"/>
            </w:tcBorders>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210</w:t>
            </w:r>
          </w:p>
        </w:tc>
        <w:tc>
          <w:tcPr>
            <w:tcW w:w="989" w:type="dxa"/>
            <w:tcBorders>
              <w:top w:val="nil"/>
              <w:left w:val="nil"/>
              <w:bottom w:val="single" w:sz="8" w:space="0" w:color="auto"/>
              <w:right w:val="nil"/>
            </w:tcBorders>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1.412</w:t>
            </w:r>
          </w:p>
        </w:tc>
        <w:tc>
          <w:tcPr>
            <w:tcW w:w="1199" w:type="dxa"/>
            <w:tcBorders>
              <w:top w:val="nil"/>
              <w:left w:val="nil"/>
              <w:bottom w:val="single" w:sz="8" w:space="0" w:color="auto"/>
              <w:right w:val="nil"/>
            </w:tcBorders>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-5.496</w:t>
            </w:r>
          </w:p>
        </w:tc>
        <w:tc>
          <w:tcPr>
            <w:tcW w:w="1201" w:type="dxa"/>
            <w:tcBorders>
              <w:top w:val="nil"/>
              <w:left w:val="nil"/>
              <w:bottom w:val="single" w:sz="8" w:space="0" w:color="auto"/>
              <w:right w:val="nil"/>
            </w:tcBorders>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1.331</w:t>
            </w:r>
          </w:p>
        </w:tc>
      </w:tr>
      <w:tr>
        <w:trPr>
          <w:trHeight w:val="168"/>
        </w:trPr>
        <w:tc>
          <w:tcPr>
            <w:tcW w:w="4598" w:type="dxa"/>
            <w:tcBorders>
              <w:top w:val="single" w:sz="8" w:space="0" w:color="auto"/>
              <w:left w:val="nil"/>
              <w:bottom w:val="nil"/>
              <w:right w:val="nil"/>
            </w:tcBorders>
            <w:shd w:val="clear" w:color="auto" w:fill="FFFFFF"/>
            <w:noWrap/>
            <w:tcMar>
              <w:top w:w="0" w:type="dxa"/>
              <w:left w:w="108" w:type="dxa"/>
              <w:bottom w:w="0" w:type="dxa"/>
              <w:right w:w="108" w:type="dxa"/>
            </w:tcMar>
            <w:hideMark/>
          </w:tcPr>
          <w:p>
            <w:pPr>
              <w:rPr>
                <w:rFonts w:eastAsia="Calibri"/>
                <w:noProof/>
                <w:sz w:val="12"/>
                <w:szCs w:val="12"/>
                <w:lang w:eastAsia="en-GB"/>
              </w:rPr>
            </w:pPr>
            <w:r>
              <w:rPr>
                <w:rFonts w:eastAsia="Calibri"/>
                <w:noProof/>
                <w:sz w:val="12"/>
                <w:szCs w:val="12"/>
                <w:lang w:eastAsia="en-GB"/>
              </w:rPr>
              <w:t>Source Trade G2 Statistics/ISDB from Eurostat BOP statistics</w:t>
            </w:r>
          </w:p>
        </w:tc>
        <w:tc>
          <w:tcPr>
            <w:tcW w:w="991" w:type="dxa"/>
            <w:shd w:val="clear" w:color="auto" w:fill="FFFFFF"/>
            <w:noWrap/>
            <w:tcMar>
              <w:top w:w="0" w:type="dxa"/>
              <w:left w:w="108" w:type="dxa"/>
              <w:bottom w:w="0" w:type="dxa"/>
              <w:right w:w="108" w:type="dxa"/>
            </w:tcMar>
            <w:hideMark/>
          </w:tcPr>
          <w:p>
            <w:pPr>
              <w:rPr>
                <w:rFonts w:eastAsia="Calibri"/>
                <w:noProof/>
                <w:sz w:val="12"/>
                <w:szCs w:val="12"/>
                <w:lang w:eastAsia="en-GB"/>
              </w:rPr>
            </w:pPr>
            <w:r>
              <w:rPr>
                <w:rFonts w:eastAsia="Calibri"/>
                <w:noProof/>
                <w:sz w:val="12"/>
                <w:szCs w:val="12"/>
                <w:lang w:eastAsia="en-GB"/>
              </w:rPr>
              <w:t> </w:t>
            </w:r>
          </w:p>
        </w:tc>
        <w:tc>
          <w:tcPr>
            <w:tcW w:w="989" w:type="dxa"/>
            <w:shd w:val="clear" w:color="auto" w:fill="FFFFFF"/>
            <w:noWrap/>
            <w:tcMar>
              <w:top w:w="0" w:type="dxa"/>
              <w:left w:w="108" w:type="dxa"/>
              <w:bottom w:w="0" w:type="dxa"/>
              <w:right w:w="108" w:type="dxa"/>
            </w:tcMar>
            <w:vAlign w:val="bottom"/>
            <w:hideMark/>
          </w:tcPr>
          <w:p>
            <w:pPr>
              <w:rPr>
                <w:rFonts w:eastAsia="Calibri"/>
                <w:noProof/>
                <w:sz w:val="16"/>
                <w:szCs w:val="16"/>
                <w:lang w:eastAsia="en-GB"/>
              </w:rPr>
            </w:pPr>
            <w:r>
              <w:rPr>
                <w:rFonts w:eastAsia="Calibri"/>
                <w:noProof/>
                <w:sz w:val="16"/>
                <w:szCs w:val="16"/>
                <w:lang w:eastAsia="en-GB"/>
              </w:rPr>
              <w:t> </w:t>
            </w:r>
          </w:p>
        </w:tc>
        <w:tc>
          <w:tcPr>
            <w:tcW w:w="989" w:type="dxa"/>
            <w:shd w:val="clear" w:color="auto" w:fill="FFFFFF"/>
            <w:noWrap/>
            <w:tcMar>
              <w:top w:w="0" w:type="dxa"/>
              <w:left w:w="108" w:type="dxa"/>
              <w:bottom w:w="0" w:type="dxa"/>
              <w:right w:w="108" w:type="dxa"/>
            </w:tcMar>
            <w:vAlign w:val="bottom"/>
            <w:hideMark/>
          </w:tcPr>
          <w:p>
            <w:pPr>
              <w:rPr>
                <w:rFonts w:eastAsia="Calibri"/>
                <w:noProof/>
                <w:sz w:val="16"/>
                <w:szCs w:val="16"/>
                <w:lang w:eastAsia="en-GB"/>
              </w:rPr>
            </w:pPr>
            <w:r>
              <w:rPr>
                <w:rFonts w:eastAsia="Calibri"/>
                <w:noProof/>
                <w:sz w:val="16"/>
                <w:szCs w:val="16"/>
                <w:lang w:eastAsia="en-GB"/>
              </w:rPr>
              <w:t> </w:t>
            </w:r>
          </w:p>
        </w:tc>
        <w:tc>
          <w:tcPr>
            <w:tcW w:w="1199" w:type="dxa"/>
            <w:shd w:val="clear" w:color="auto" w:fill="FFFFFF"/>
            <w:noWrap/>
            <w:tcMar>
              <w:top w:w="0" w:type="dxa"/>
              <w:left w:w="108" w:type="dxa"/>
              <w:bottom w:w="0" w:type="dxa"/>
              <w:right w:w="108" w:type="dxa"/>
            </w:tcMar>
            <w:vAlign w:val="bottom"/>
            <w:hideMark/>
          </w:tcPr>
          <w:p>
            <w:pPr>
              <w:rPr>
                <w:rFonts w:eastAsia="Calibri"/>
                <w:noProof/>
                <w:sz w:val="16"/>
                <w:szCs w:val="16"/>
                <w:lang w:eastAsia="en-GB"/>
              </w:rPr>
            </w:pPr>
            <w:r>
              <w:rPr>
                <w:rFonts w:eastAsia="Calibri"/>
                <w:noProof/>
                <w:sz w:val="16"/>
                <w:szCs w:val="16"/>
                <w:lang w:eastAsia="en-GB"/>
              </w:rPr>
              <w:t> </w:t>
            </w:r>
          </w:p>
        </w:tc>
        <w:tc>
          <w:tcPr>
            <w:tcW w:w="1201" w:type="dxa"/>
            <w:shd w:val="clear" w:color="auto" w:fill="FFFFFF"/>
            <w:noWrap/>
            <w:tcMar>
              <w:top w:w="0" w:type="dxa"/>
              <w:left w:w="108" w:type="dxa"/>
              <w:bottom w:w="0" w:type="dxa"/>
              <w:right w:w="108" w:type="dxa"/>
            </w:tcMar>
            <w:vAlign w:val="bottom"/>
            <w:hideMark/>
          </w:tcPr>
          <w:p>
            <w:pPr>
              <w:rPr>
                <w:rFonts w:eastAsia="Calibri"/>
                <w:noProof/>
                <w:sz w:val="16"/>
                <w:szCs w:val="16"/>
                <w:lang w:eastAsia="en-GB"/>
              </w:rPr>
            </w:pPr>
            <w:r>
              <w:rPr>
                <w:rFonts w:eastAsia="Calibri"/>
                <w:noProof/>
                <w:sz w:val="16"/>
                <w:szCs w:val="16"/>
                <w:lang w:eastAsia="en-GB"/>
              </w:rPr>
              <w:t> </w:t>
            </w:r>
          </w:p>
        </w:tc>
      </w:tr>
    </w:tbl>
    <w:p>
      <w:pPr>
        <w:pStyle w:val="ChapterHead"/>
        <w:jc w:val="both"/>
        <w:rPr>
          <w:b/>
          <w:noProof/>
        </w:rPr>
      </w:pPr>
      <w:r>
        <w:rPr>
          <w:b/>
          <w:noProof/>
        </w:rPr>
        <w:t xml:space="preserve"> </w:t>
      </w:r>
    </w:p>
    <w:p>
      <w:pPr>
        <w:pStyle w:val="ChapterHead"/>
        <w:jc w:val="both"/>
        <w:rPr>
          <w:b/>
          <w:noProof/>
        </w:rPr>
      </w:pPr>
      <w:bookmarkStart w:id="4314" w:name="_Toc16000878"/>
      <w:r>
        <w:rPr>
          <w:b/>
          <w:noProof/>
        </w:rPr>
        <w:t>Madagascar</w:t>
      </w:r>
      <w:bookmarkEnd w:id="4314"/>
    </w:p>
    <w:tbl>
      <w:tblPr>
        <w:tblW w:w="7520" w:type="dxa"/>
        <w:tblInd w:w="108" w:type="dxa"/>
        <w:tblLook w:val="04A0" w:firstRow="1" w:lastRow="0" w:firstColumn="1" w:lastColumn="0" w:noHBand="0" w:noVBand="1"/>
      </w:tblPr>
      <w:tblGrid>
        <w:gridCol w:w="5120"/>
        <w:gridCol w:w="683"/>
        <w:gridCol w:w="683"/>
        <w:gridCol w:w="683"/>
        <w:gridCol w:w="683"/>
        <w:gridCol w:w="732"/>
      </w:tblGrid>
      <w:tr>
        <w:trPr>
          <w:trHeight w:val="210"/>
        </w:trPr>
        <w:tc>
          <w:tcPr>
            <w:tcW w:w="7520" w:type="dxa"/>
            <w:gridSpan w:val="6"/>
            <w:tcBorders>
              <w:top w:val="nil"/>
              <w:left w:val="nil"/>
              <w:bottom w:val="nil"/>
              <w:right w:val="nil"/>
            </w:tcBorders>
            <w:shd w:val="clear" w:color="000000" w:fill="FFFFFF"/>
            <w:noWrap/>
            <w:vAlign w:val="center"/>
            <w:hideMark/>
          </w:tcPr>
          <w:p>
            <w:pPr>
              <w:jc w:val="center"/>
              <w:rPr>
                <w:rFonts w:ascii="Tahoma" w:eastAsia="Times New Roman" w:hAnsi="Tahoma" w:cs="Tahoma"/>
                <w:b/>
                <w:bCs/>
                <w:noProof/>
                <w:sz w:val="16"/>
                <w:szCs w:val="16"/>
                <w:lang w:val="en-IE" w:eastAsia="en-IE"/>
              </w:rPr>
            </w:pPr>
            <w:r>
              <w:rPr>
                <w:rFonts w:ascii="Tahoma" w:eastAsia="Times New Roman" w:hAnsi="Tahoma" w:cs="Tahoma"/>
                <w:b/>
                <w:bCs/>
                <w:noProof/>
                <w:sz w:val="16"/>
                <w:szCs w:val="16"/>
                <w:lang w:val="en-IE" w:eastAsia="en-IE"/>
              </w:rPr>
              <w:t>Merchandise trade EU28 2014-2018</w:t>
            </w:r>
          </w:p>
        </w:tc>
      </w:tr>
      <w:tr>
        <w:trPr>
          <w:trHeight w:val="210"/>
        </w:trPr>
        <w:tc>
          <w:tcPr>
            <w:tcW w:w="5120" w:type="dxa"/>
            <w:tcBorders>
              <w:top w:val="single" w:sz="4" w:space="0" w:color="auto"/>
              <w:left w:val="nil"/>
              <w:bottom w:val="single" w:sz="4" w:space="0" w:color="auto"/>
              <w:right w:val="nil"/>
            </w:tcBorders>
            <w:shd w:val="clear" w:color="000000" w:fill="FFFFFF"/>
            <w:noWrap/>
            <w:vAlign w:val="bottom"/>
            <w:hideMark/>
          </w:tcPr>
          <w:p>
            <w:pPr>
              <w:rPr>
                <w:rFonts w:ascii="Tahoma" w:eastAsia="Times New Roman" w:hAnsi="Tahoma" w:cs="Tahoma"/>
                <w:b/>
                <w:bCs/>
                <w:noProof/>
                <w:sz w:val="16"/>
                <w:szCs w:val="16"/>
                <w:lang w:val="en-IE" w:eastAsia="en-IE"/>
              </w:rPr>
            </w:pPr>
            <w:r>
              <w:rPr>
                <w:rFonts w:ascii="Tahoma" w:eastAsia="Times New Roman" w:hAnsi="Tahoma" w:cs="Tahoma"/>
                <w:b/>
                <w:bCs/>
                <w:noProof/>
                <w:sz w:val="16"/>
                <w:szCs w:val="16"/>
                <w:lang w:val="en-IE" w:eastAsia="en-IE"/>
              </w:rPr>
              <w:t> </w:t>
            </w:r>
          </w:p>
        </w:tc>
        <w:tc>
          <w:tcPr>
            <w:tcW w:w="480" w:type="dxa"/>
            <w:tcBorders>
              <w:top w:val="single" w:sz="4" w:space="0" w:color="auto"/>
              <w:left w:val="nil"/>
              <w:bottom w:val="single" w:sz="4" w:space="0" w:color="auto"/>
              <w:right w:val="nil"/>
            </w:tcBorders>
            <w:shd w:val="clear" w:color="000000" w:fill="FFFFFF"/>
            <w:noWrap/>
            <w:vAlign w:val="bottom"/>
            <w:hideMark/>
          </w:tcPr>
          <w:p>
            <w:pPr>
              <w:jc w:val="center"/>
              <w:rPr>
                <w:rFonts w:ascii="Tahoma" w:eastAsia="Times New Roman" w:hAnsi="Tahoma" w:cs="Tahoma"/>
                <w:b/>
                <w:bCs/>
                <w:noProof/>
                <w:sz w:val="16"/>
                <w:szCs w:val="16"/>
                <w:lang w:val="en-IE" w:eastAsia="en-IE"/>
              </w:rPr>
            </w:pPr>
            <w:r>
              <w:rPr>
                <w:rFonts w:ascii="Tahoma" w:eastAsia="Times New Roman" w:hAnsi="Tahoma" w:cs="Tahoma"/>
                <w:b/>
                <w:bCs/>
                <w:noProof/>
                <w:sz w:val="16"/>
                <w:szCs w:val="16"/>
                <w:lang w:val="en-IE" w:eastAsia="en-IE"/>
              </w:rPr>
              <w:t>2014</w:t>
            </w:r>
          </w:p>
        </w:tc>
        <w:tc>
          <w:tcPr>
            <w:tcW w:w="480" w:type="dxa"/>
            <w:tcBorders>
              <w:top w:val="single" w:sz="4" w:space="0" w:color="auto"/>
              <w:left w:val="nil"/>
              <w:bottom w:val="single" w:sz="4" w:space="0" w:color="auto"/>
              <w:right w:val="nil"/>
            </w:tcBorders>
            <w:shd w:val="clear" w:color="000000" w:fill="FFFFFF"/>
            <w:noWrap/>
            <w:vAlign w:val="bottom"/>
            <w:hideMark/>
          </w:tcPr>
          <w:p>
            <w:pPr>
              <w:jc w:val="center"/>
              <w:rPr>
                <w:rFonts w:ascii="Tahoma" w:eastAsia="Times New Roman" w:hAnsi="Tahoma" w:cs="Tahoma"/>
                <w:b/>
                <w:bCs/>
                <w:noProof/>
                <w:sz w:val="16"/>
                <w:szCs w:val="16"/>
                <w:lang w:val="en-IE" w:eastAsia="en-IE"/>
              </w:rPr>
            </w:pPr>
            <w:r>
              <w:rPr>
                <w:rFonts w:ascii="Tahoma" w:eastAsia="Times New Roman" w:hAnsi="Tahoma" w:cs="Tahoma"/>
                <w:b/>
                <w:bCs/>
                <w:noProof/>
                <w:sz w:val="16"/>
                <w:szCs w:val="16"/>
                <w:lang w:val="en-IE" w:eastAsia="en-IE"/>
              </w:rPr>
              <w:t>2015</w:t>
            </w:r>
          </w:p>
        </w:tc>
        <w:tc>
          <w:tcPr>
            <w:tcW w:w="480" w:type="dxa"/>
            <w:tcBorders>
              <w:top w:val="single" w:sz="4" w:space="0" w:color="auto"/>
              <w:left w:val="nil"/>
              <w:bottom w:val="single" w:sz="4" w:space="0" w:color="auto"/>
              <w:right w:val="nil"/>
            </w:tcBorders>
            <w:shd w:val="clear" w:color="000000" w:fill="FFFFFF"/>
            <w:noWrap/>
            <w:vAlign w:val="bottom"/>
            <w:hideMark/>
          </w:tcPr>
          <w:p>
            <w:pPr>
              <w:jc w:val="center"/>
              <w:rPr>
                <w:rFonts w:ascii="Tahoma" w:eastAsia="Times New Roman" w:hAnsi="Tahoma" w:cs="Tahoma"/>
                <w:b/>
                <w:bCs/>
                <w:noProof/>
                <w:sz w:val="16"/>
                <w:szCs w:val="16"/>
                <w:lang w:val="en-IE" w:eastAsia="en-IE"/>
              </w:rPr>
            </w:pPr>
            <w:r>
              <w:rPr>
                <w:rFonts w:ascii="Tahoma" w:eastAsia="Times New Roman" w:hAnsi="Tahoma" w:cs="Tahoma"/>
                <w:b/>
                <w:bCs/>
                <w:noProof/>
                <w:sz w:val="16"/>
                <w:szCs w:val="16"/>
                <w:lang w:val="en-IE" w:eastAsia="en-IE"/>
              </w:rPr>
              <w:t>2016</w:t>
            </w:r>
          </w:p>
        </w:tc>
        <w:tc>
          <w:tcPr>
            <w:tcW w:w="480" w:type="dxa"/>
            <w:tcBorders>
              <w:top w:val="single" w:sz="4" w:space="0" w:color="auto"/>
              <w:left w:val="nil"/>
              <w:bottom w:val="single" w:sz="4" w:space="0" w:color="auto"/>
              <w:right w:val="nil"/>
            </w:tcBorders>
            <w:shd w:val="clear" w:color="000000" w:fill="FFFFFF"/>
            <w:noWrap/>
            <w:vAlign w:val="bottom"/>
            <w:hideMark/>
          </w:tcPr>
          <w:p>
            <w:pPr>
              <w:jc w:val="center"/>
              <w:rPr>
                <w:rFonts w:ascii="Tahoma" w:eastAsia="Times New Roman" w:hAnsi="Tahoma" w:cs="Tahoma"/>
                <w:b/>
                <w:bCs/>
                <w:noProof/>
                <w:sz w:val="16"/>
                <w:szCs w:val="16"/>
                <w:lang w:val="en-IE" w:eastAsia="en-IE"/>
              </w:rPr>
            </w:pPr>
            <w:r>
              <w:rPr>
                <w:rFonts w:ascii="Tahoma" w:eastAsia="Times New Roman" w:hAnsi="Tahoma" w:cs="Tahoma"/>
                <w:b/>
                <w:bCs/>
                <w:noProof/>
                <w:sz w:val="16"/>
                <w:szCs w:val="16"/>
                <w:lang w:val="en-IE" w:eastAsia="en-IE"/>
              </w:rPr>
              <w:t>2017</w:t>
            </w:r>
          </w:p>
        </w:tc>
        <w:tc>
          <w:tcPr>
            <w:tcW w:w="480" w:type="dxa"/>
            <w:tcBorders>
              <w:top w:val="single" w:sz="4" w:space="0" w:color="auto"/>
              <w:left w:val="nil"/>
              <w:bottom w:val="single" w:sz="4" w:space="0" w:color="auto"/>
              <w:right w:val="nil"/>
            </w:tcBorders>
            <w:shd w:val="clear" w:color="000000" w:fill="FFFFFF"/>
            <w:noWrap/>
            <w:vAlign w:val="bottom"/>
            <w:hideMark/>
          </w:tcPr>
          <w:p>
            <w:pPr>
              <w:jc w:val="center"/>
              <w:rPr>
                <w:rFonts w:ascii="Tahoma" w:eastAsia="Times New Roman" w:hAnsi="Tahoma" w:cs="Tahoma"/>
                <w:b/>
                <w:bCs/>
                <w:noProof/>
                <w:sz w:val="16"/>
                <w:szCs w:val="16"/>
                <w:lang w:val="en-IE" w:eastAsia="en-IE"/>
              </w:rPr>
            </w:pPr>
            <w:r>
              <w:rPr>
                <w:rFonts w:ascii="Tahoma" w:eastAsia="Times New Roman" w:hAnsi="Tahoma" w:cs="Tahoma"/>
                <w:b/>
                <w:bCs/>
                <w:noProof/>
                <w:sz w:val="16"/>
                <w:szCs w:val="16"/>
                <w:lang w:val="en-IE" w:eastAsia="en-IE"/>
              </w:rPr>
              <w:t>2018</w:t>
            </w:r>
          </w:p>
        </w:tc>
      </w:tr>
      <w:tr>
        <w:trPr>
          <w:trHeight w:val="210"/>
        </w:trPr>
        <w:tc>
          <w:tcPr>
            <w:tcW w:w="5120" w:type="dxa"/>
            <w:tcBorders>
              <w:top w:val="nil"/>
              <w:left w:val="nil"/>
              <w:bottom w:val="nil"/>
              <w:right w:val="nil"/>
            </w:tcBorders>
            <w:shd w:val="clear" w:color="000000" w:fill="FFFFFF"/>
            <w:noWrap/>
            <w:vAlign w:val="center"/>
            <w:hideMark/>
          </w:tcPr>
          <w:p>
            <w:pPr>
              <w:jc w:val="cente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EU28 trade with Madagascar (mio €)</w:t>
            </w:r>
          </w:p>
        </w:tc>
        <w:tc>
          <w:tcPr>
            <w:tcW w:w="480" w:type="dxa"/>
            <w:tcBorders>
              <w:top w:val="nil"/>
              <w:left w:val="nil"/>
              <w:bottom w:val="nil"/>
              <w:right w:val="nil"/>
            </w:tcBorders>
            <w:shd w:val="clear" w:color="auto" w:fill="auto"/>
            <w:noWrap/>
            <w:vAlign w:val="center"/>
            <w:hideMark/>
          </w:tcPr>
          <w:p>
            <w:pPr>
              <w:jc w:val="center"/>
              <w:rPr>
                <w:rFonts w:ascii="Tahoma" w:eastAsia="Times New Roman" w:hAnsi="Tahoma" w:cs="Tahoma"/>
                <w:b/>
                <w:bCs/>
                <w:i/>
                <w:iCs/>
                <w:noProof/>
                <w:sz w:val="16"/>
                <w:szCs w:val="16"/>
                <w:lang w:val="en-IE" w:eastAsia="en-IE"/>
              </w:rPr>
            </w:pPr>
          </w:p>
        </w:tc>
        <w:tc>
          <w:tcPr>
            <w:tcW w:w="480" w:type="dxa"/>
            <w:tcBorders>
              <w:top w:val="nil"/>
              <w:left w:val="nil"/>
              <w:bottom w:val="nil"/>
              <w:right w:val="nil"/>
            </w:tcBorders>
            <w:shd w:val="clear" w:color="000000" w:fill="FFFFFF"/>
            <w:noWrap/>
            <w:vAlign w:val="center"/>
            <w:hideMark/>
          </w:tcPr>
          <w:p>
            <w:pP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 </w:t>
            </w:r>
          </w:p>
        </w:tc>
        <w:tc>
          <w:tcPr>
            <w:tcW w:w="480" w:type="dxa"/>
            <w:tcBorders>
              <w:top w:val="nil"/>
              <w:left w:val="nil"/>
              <w:bottom w:val="nil"/>
              <w:right w:val="nil"/>
            </w:tcBorders>
            <w:shd w:val="clear" w:color="000000" w:fill="FFFFFF"/>
            <w:noWrap/>
            <w:vAlign w:val="center"/>
            <w:hideMark/>
          </w:tcPr>
          <w:p>
            <w:pP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 </w:t>
            </w:r>
          </w:p>
        </w:tc>
        <w:tc>
          <w:tcPr>
            <w:tcW w:w="480" w:type="dxa"/>
            <w:tcBorders>
              <w:top w:val="nil"/>
              <w:left w:val="nil"/>
              <w:bottom w:val="nil"/>
              <w:right w:val="nil"/>
            </w:tcBorders>
            <w:shd w:val="clear" w:color="000000" w:fill="FFFFFF"/>
            <w:noWrap/>
            <w:vAlign w:val="center"/>
            <w:hideMark/>
          </w:tcPr>
          <w:p>
            <w:pP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 </w:t>
            </w:r>
          </w:p>
        </w:tc>
        <w:tc>
          <w:tcPr>
            <w:tcW w:w="480" w:type="dxa"/>
            <w:tcBorders>
              <w:top w:val="nil"/>
              <w:left w:val="nil"/>
              <w:bottom w:val="nil"/>
              <w:right w:val="nil"/>
            </w:tcBorders>
            <w:shd w:val="clear" w:color="000000" w:fill="FFFFFF"/>
            <w:noWrap/>
            <w:vAlign w:val="center"/>
            <w:hideMark/>
          </w:tcPr>
          <w:p>
            <w:pP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 </w:t>
            </w:r>
          </w:p>
        </w:tc>
      </w:tr>
      <w:tr>
        <w:trPr>
          <w:trHeight w:val="210"/>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Imports</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840</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904</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988</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1.181</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1.243</w:t>
            </w:r>
          </w:p>
        </w:tc>
      </w:tr>
      <w:tr>
        <w:trPr>
          <w:trHeight w:val="210"/>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Exports</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532</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560</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552</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674</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662</w:t>
            </w:r>
          </w:p>
        </w:tc>
      </w:tr>
      <w:tr>
        <w:trPr>
          <w:trHeight w:val="210"/>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Balance</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-309</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-344</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-436</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-507</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-581</w:t>
            </w:r>
          </w:p>
        </w:tc>
      </w:tr>
      <w:tr>
        <w:trPr>
          <w:trHeight w:val="210"/>
        </w:trPr>
        <w:tc>
          <w:tcPr>
            <w:tcW w:w="5120" w:type="dxa"/>
            <w:tcBorders>
              <w:top w:val="nil"/>
              <w:left w:val="nil"/>
              <w:bottom w:val="nil"/>
              <w:right w:val="nil"/>
            </w:tcBorders>
            <w:shd w:val="clear" w:color="000000" w:fill="FFFFFF"/>
            <w:noWrap/>
            <w:vAlign w:val="center"/>
            <w:hideMark/>
          </w:tcPr>
          <w:p>
            <w:pPr>
              <w:jc w:val="cente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Share Madagascar in EU28 trade with Extra-EU28</w:t>
            </w:r>
          </w:p>
        </w:tc>
        <w:tc>
          <w:tcPr>
            <w:tcW w:w="480" w:type="dxa"/>
            <w:tcBorders>
              <w:top w:val="nil"/>
              <w:left w:val="nil"/>
              <w:bottom w:val="nil"/>
              <w:right w:val="nil"/>
            </w:tcBorders>
            <w:shd w:val="clear" w:color="auto" w:fill="auto"/>
            <w:noWrap/>
            <w:vAlign w:val="center"/>
            <w:hideMark/>
          </w:tcPr>
          <w:p>
            <w:pPr>
              <w:jc w:val="center"/>
              <w:rPr>
                <w:rFonts w:ascii="Tahoma" w:eastAsia="Times New Roman" w:hAnsi="Tahoma" w:cs="Tahoma"/>
                <w:b/>
                <w:bCs/>
                <w:i/>
                <w:iCs/>
                <w:noProof/>
                <w:sz w:val="16"/>
                <w:szCs w:val="16"/>
                <w:lang w:val="en-IE" w:eastAsia="en-IE"/>
              </w:rPr>
            </w:pPr>
          </w:p>
        </w:tc>
        <w:tc>
          <w:tcPr>
            <w:tcW w:w="480" w:type="dxa"/>
            <w:tcBorders>
              <w:top w:val="nil"/>
              <w:left w:val="nil"/>
              <w:bottom w:val="nil"/>
              <w:right w:val="nil"/>
            </w:tcBorders>
            <w:shd w:val="clear" w:color="000000" w:fill="FFFFFF"/>
            <w:noWrap/>
            <w:vAlign w:val="center"/>
            <w:hideMark/>
          </w:tcPr>
          <w:p>
            <w:pP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 </w:t>
            </w:r>
          </w:p>
        </w:tc>
        <w:tc>
          <w:tcPr>
            <w:tcW w:w="480" w:type="dxa"/>
            <w:tcBorders>
              <w:top w:val="nil"/>
              <w:left w:val="nil"/>
              <w:bottom w:val="nil"/>
              <w:right w:val="nil"/>
            </w:tcBorders>
            <w:shd w:val="clear" w:color="000000" w:fill="FFFFFF"/>
            <w:noWrap/>
            <w:vAlign w:val="center"/>
            <w:hideMark/>
          </w:tcPr>
          <w:p>
            <w:pP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 </w:t>
            </w:r>
          </w:p>
        </w:tc>
        <w:tc>
          <w:tcPr>
            <w:tcW w:w="480" w:type="dxa"/>
            <w:tcBorders>
              <w:top w:val="nil"/>
              <w:left w:val="nil"/>
              <w:bottom w:val="nil"/>
              <w:right w:val="nil"/>
            </w:tcBorders>
            <w:shd w:val="clear" w:color="000000" w:fill="FFFFFF"/>
            <w:noWrap/>
            <w:vAlign w:val="center"/>
            <w:hideMark/>
          </w:tcPr>
          <w:p>
            <w:pP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 </w:t>
            </w:r>
          </w:p>
        </w:tc>
        <w:tc>
          <w:tcPr>
            <w:tcW w:w="480" w:type="dxa"/>
            <w:tcBorders>
              <w:top w:val="nil"/>
              <w:left w:val="nil"/>
              <w:bottom w:val="nil"/>
              <w:right w:val="nil"/>
            </w:tcBorders>
            <w:shd w:val="clear" w:color="000000" w:fill="FFFFFF"/>
            <w:noWrap/>
            <w:vAlign w:val="center"/>
            <w:hideMark/>
          </w:tcPr>
          <w:p>
            <w:pP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 </w:t>
            </w:r>
          </w:p>
        </w:tc>
      </w:tr>
      <w:tr>
        <w:trPr>
          <w:trHeight w:val="210"/>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Imports</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0,1%</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0,1%</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0,1%</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0,1%</w:t>
            </w:r>
          </w:p>
        </w:tc>
      </w:tr>
      <w:tr>
        <w:trPr>
          <w:trHeight w:val="210"/>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Exports</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r>
      <w:tr>
        <w:trPr>
          <w:trHeight w:val="210"/>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Total (I+E)</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r>
      <w:tr>
        <w:trPr>
          <w:trHeight w:val="210"/>
        </w:trPr>
        <w:tc>
          <w:tcPr>
            <w:tcW w:w="7520" w:type="dxa"/>
            <w:gridSpan w:val="6"/>
            <w:tcBorders>
              <w:top w:val="nil"/>
              <w:left w:val="nil"/>
              <w:bottom w:val="nil"/>
              <w:right w:val="nil"/>
            </w:tcBorders>
            <w:shd w:val="clear" w:color="000000" w:fill="FFFFFF"/>
            <w:noWrap/>
            <w:vAlign w:val="center"/>
            <w:hideMark/>
          </w:tcPr>
          <w:p>
            <w:pPr>
              <w:jc w:val="cente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Share EU28 in trade Madagascar with world</w:t>
            </w:r>
          </w:p>
        </w:tc>
      </w:tr>
      <w:tr>
        <w:trPr>
          <w:trHeight w:val="210"/>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Imports</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15,5%</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16,5%</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16,3%</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17,0%</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16,9%</w:t>
            </w:r>
          </w:p>
        </w:tc>
      </w:tr>
      <w:tr>
        <w:trPr>
          <w:trHeight w:val="210"/>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Exports</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51,9%</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47,2%</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46,9%</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43,2%</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33,5%</w:t>
            </w:r>
          </w:p>
        </w:tc>
      </w:tr>
      <w:tr>
        <w:trPr>
          <w:trHeight w:val="210"/>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Total (I+E)</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29,7%</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29,1%</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29,2%</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28,2%</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24,1%</w:t>
            </w:r>
          </w:p>
        </w:tc>
      </w:tr>
      <w:tr>
        <w:trPr>
          <w:trHeight w:val="225"/>
        </w:trPr>
        <w:tc>
          <w:tcPr>
            <w:tcW w:w="6080" w:type="dxa"/>
            <w:gridSpan w:val="3"/>
            <w:tcBorders>
              <w:top w:val="single" w:sz="4" w:space="0" w:color="auto"/>
              <w:left w:val="nil"/>
              <w:bottom w:val="nil"/>
              <w:right w:val="nil"/>
            </w:tcBorders>
            <w:shd w:val="clear" w:color="000000" w:fill="FFFFFF"/>
            <w:noWrap/>
            <w:vAlign w:val="bottom"/>
            <w:hideMark/>
          </w:tcPr>
          <w:p>
            <w:pPr>
              <w:rPr>
                <w:rFonts w:ascii="Tahoma" w:eastAsia="Times New Roman" w:hAnsi="Tahoma" w:cs="Tahoma"/>
                <w:noProof/>
                <w:sz w:val="12"/>
                <w:szCs w:val="12"/>
                <w:lang w:val="en-IE" w:eastAsia="en-IE"/>
              </w:rPr>
            </w:pPr>
            <w:r>
              <w:rPr>
                <w:rFonts w:ascii="Tahoma" w:eastAsia="Times New Roman" w:hAnsi="Tahoma" w:cs="Tahoma"/>
                <w:noProof/>
                <w:sz w:val="12"/>
                <w:szCs w:val="12"/>
                <w:lang w:val="en-IE" w:eastAsia="en-IE"/>
              </w:rPr>
              <w:t xml:space="preserve">Source Trade G2 Statistics/ISDB </w:t>
            </w:r>
          </w:p>
        </w:tc>
        <w:tc>
          <w:tcPr>
            <w:tcW w:w="480" w:type="dxa"/>
            <w:tcBorders>
              <w:top w:val="single" w:sz="4" w:space="0" w:color="auto"/>
              <w:left w:val="nil"/>
              <w:bottom w:val="nil"/>
              <w:right w:val="nil"/>
            </w:tcBorders>
            <w:shd w:val="clear" w:color="000000" w:fill="FFFFFF"/>
            <w:noWrap/>
            <w:vAlign w:val="bottom"/>
            <w:hideMark/>
          </w:tcPr>
          <w:p>
            <w:pPr>
              <w:jc w:val="center"/>
              <w:rPr>
                <w:rFonts w:ascii="Tahoma" w:eastAsia="Times New Roman" w:hAnsi="Tahoma" w:cs="Tahoma"/>
                <w:noProof/>
                <w:sz w:val="18"/>
                <w:szCs w:val="18"/>
                <w:lang w:val="en-IE" w:eastAsia="en-IE"/>
              </w:rPr>
            </w:pPr>
            <w:r>
              <w:rPr>
                <w:rFonts w:ascii="Tahoma" w:eastAsia="Times New Roman" w:hAnsi="Tahoma" w:cs="Tahoma"/>
                <w:noProof/>
                <w:sz w:val="18"/>
                <w:szCs w:val="18"/>
                <w:lang w:val="en-IE" w:eastAsia="en-IE"/>
              </w:rPr>
              <w:t> </w:t>
            </w:r>
          </w:p>
        </w:tc>
        <w:tc>
          <w:tcPr>
            <w:tcW w:w="480" w:type="dxa"/>
            <w:tcBorders>
              <w:top w:val="single" w:sz="4" w:space="0" w:color="auto"/>
              <w:left w:val="nil"/>
              <w:bottom w:val="nil"/>
              <w:right w:val="nil"/>
            </w:tcBorders>
            <w:shd w:val="clear" w:color="000000" w:fill="FFFFFF"/>
            <w:noWrap/>
            <w:vAlign w:val="bottom"/>
            <w:hideMark/>
          </w:tcPr>
          <w:p>
            <w:pPr>
              <w:jc w:val="center"/>
              <w:rPr>
                <w:rFonts w:ascii="Tahoma" w:eastAsia="Times New Roman" w:hAnsi="Tahoma" w:cs="Tahoma"/>
                <w:noProof/>
                <w:sz w:val="18"/>
                <w:szCs w:val="18"/>
                <w:lang w:val="en-IE" w:eastAsia="en-IE"/>
              </w:rPr>
            </w:pPr>
            <w:r>
              <w:rPr>
                <w:rFonts w:ascii="Tahoma" w:eastAsia="Times New Roman" w:hAnsi="Tahoma" w:cs="Tahoma"/>
                <w:noProof/>
                <w:sz w:val="18"/>
                <w:szCs w:val="18"/>
                <w:lang w:val="en-IE" w:eastAsia="en-IE"/>
              </w:rPr>
              <w:t> </w:t>
            </w:r>
          </w:p>
        </w:tc>
        <w:tc>
          <w:tcPr>
            <w:tcW w:w="480" w:type="dxa"/>
            <w:tcBorders>
              <w:top w:val="single" w:sz="4" w:space="0" w:color="auto"/>
              <w:left w:val="nil"/>
              <w:bottom w:val="nil"/>
              <w:right w:val="nil"/>
            </w:tcBorders>
            <w:shd w:val="clear" w:color="000000" w:fill="FFFFFF"/>
            <w:noWrap/>
            <w:hideMark/>
          </w:tcPr>
          <w:p>
            <w:pPr>
              <w:jc w:val="right"/>
              <w:rPr>
                <w:rFonts w:ascii="Tahoma" w:eastAsia="Times New Roman" w:hAnsi="Tahoma" w:cs="Tahoma"/>
                <w:noProof/>
                <w:sz w:val="12"/>
                <w:szCs w:val="12"/>
                <w:lang w:val="en-IE" w:eastAsia="en-IE"/>
              </w:rPr>
            </w:pPr>
            <w:r>
              <w:rPr>
                <w:rFonts w:ascii="Tahoma" w:eastAsia="Times New Roman" w:hAnsi="Tahoma" w:cs="Tahoma"/>
                <w:noProof/>
                <w:sz w:val="12"/>
                <w:szCs w:val="12"/>
                <w:lang w:val="en-IE" w:eastAsia="en-IE"/>
              </w:rPr>
              <w:t>25-mars-19</w:t>
            </w:r>
          </w:p>
        </w:tc>
      </w:tr>
      <w:tr>
        <w:trPr>
          <w:trHeight w:val="210"/>
        </w:trPr>
        <w:tc>
          <w:tcPr>
            <w:tcW w:w="7040" w:type="dxa"/>
            <w:gridSpan w:val="5"/>
            <w:tcBorders>
              <w:top w:val="nil"/>
              <w:left w:val="nil"/>
              <w:bottom w:val="nil"/>
              <w:right w:val="nil"/>
            </w:tcBorders>
            <w:shd w:val="clear" w:color="000000" w:fill="FFFFFF"/>
            <w:noWrap/>
            <w:hideMark/>
          </w:tcPr>
          <w:p>
            <w:pPr>
              <w:rPr>
                <w:rFonts w:ascii="Tahoma" w:eastAsia="Times New Roman" w:hAnsi="Tahoma" w:cs="Tahoma"/>
                <w:noProof/>
                <w:color w:val="000000"/>
                <w:sz w:val="12"/>
                <w:szCs w:val="12"/>
                <w:lang w:val="en-IE" w:eastAsia="en-IE"/>
              </w:rPr>
            </w:pPr>
            <w:r>
              <w:rPr>
                <w:rFonts w:ascii="Tahoma" w:eastAsia="Times New Roman" w:hAnsi="Tahoma" w:cs="Tahoma"/>
                <w:noProof/>
                <w:color w:val="000000"/>
                <w:sz w:val="12"/>
                <w:szCs w:val="12"/>
                <w:lang w:val="en-IE" w:eastAsia="en-IE"/>
              </w:rPr>
              <w:t>Trade EU28: Eurostat COMEXT;  Trade Madagascar: IMF Dots</w:t>
            </w:r>
          </w:p>
        </w:tc>
        <w:tc>
          <w:tcPr>
            <w:tcW w:w="480" w:type="dxa"/>
            <w:tcBorders>
              <w:top w:val="nil"/>
              <w:left w:val="nil"/>
              <w:bottom w:val="nil"/>
              <w:right w:val="nil"/>
            </w:tcBorders>
            <w:shd w:val="clear" w:color="000000" w:fill="FFFFFF"/>
            <w:noWrap/>
            <w:vAlign w:val="bottom"/>
            <w:hideMark/>
          </w:tcPr>
          <w:p>
            <w:pPr>
              <w:rPr>
                <w:rFonts w:ascii="Tahoma" w:eastAsia="Times New Roman" w:hAnsi="Tahoma" w:cs="Tahoma"/>
                <w:noProof/>
                <w:color w:val="000000"/>
                <w:sz w:val="16"/>
                <w:szCs w:val="16"/>
                <w:lang w:val="en-IE" w:eastAsia="en-IE"/>
              </w:rPr>
            </w:pPr>
            <w:r>
              <w:rPr>
                <w:rFonts w:ascii="Tahoma" w:eastAsia="Times New Roman" w:hAnsi="Tahoma" w:cs="Tahoma"/>
                <w:noProof/>
                <w:color w:val="000000"/>
                <w:sz w:val="16"/>
                <w:szCs w:val="16"/>
                <w:lang w:val="en-IE" w:eastAsia="en-IE"/>
              </w:rPr>
              <w:t> </w:t>
            </w:r>
          </w:p>
        </w:tc>
      </w:tr>
      <w:tr>
        <w:trPr>
          <w:trHeight w:val="210"/>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color w:val="000000"/>
                <w:sz w:val="16"/>
                <w:szCs w:val="16"/>
                <w:lang w:val="en-IE" w:eastAsia="en-IE"/>
              </w:rPr>
            </w:pPr>
            <w:r>
              <w:rPr>
                <w:rFonts w:ascii="Tahoma" w:eastAsia="Times New Roman" w:hAnsi="Tahoma" w:cs="Tahoma"/>
                <w:noProof/>
                <w:color w:val="000000"/>
                <w:sz w:val="16"/>
                <w:szCs w:val="16"/>
                <w:lang w:val="en-IE" w:eastAsia="en-IE"/>
              </w:rPr>
              <w:t> </w:t>
            </w:r>
          </w:p>
        </w:tc>
        <w:tc>
          <w:tcPr>
            <w:tcW w:w="480" w:type="dxa"/>
            <w:tcBorders>
              <w:top w:val="nil"/>
              <w:left w:val="nil"/>
              <w:bottom w:val="nil"/>
              <w:right w:val="nil"/>
            </w:tcBorders>
            <w:shd w:val="clear" w:color="000000" w:fill="FFFFFF"/>
            <w:noWrap/>
            <w:vAlign w:val="bottom"/>
            <w:hideMark/>
          </w:tcPr>
          <w:p>
            <w:pPr>
              <w:rPr>
                <w:rFonts w:ascii="Tahoma" w:eastAsia="Times New Roman" w:hAnsi="Tahoma" w:cs="Tahoma"/>
                <w:noProof/>
                <w:color w:val="000000"/>
                <w:sz w:val="16"/>
                <w:szCs w:val="16"/>
                <w:lang w:val="en-IE" w:eastAsia="en-IE"/>
              </w:rPr>
            </w:pPr>
            <w:r>
              <w:rPr>
                <w:rFonts w:ascii="Tahoma" w:eastAsia="Times New Roman" w:hAnsi="Tahoma" w:cs="Tahoma"/>
                <w:noProof/>
                <w:color w:val="000000"/>
                <w:sz w:val="16"/>
                <w:szCs w:val="16"/>
                <w:lang w:val="en-IE" w:eastAsia="en-IE"/>
              </w:rPr>
              <w:t> </w:t>
            </w:r>
          </w:p>
        </w:tc>
        <w:tc>
          <w:tcPr>
            <w:tcW w:w="480" w:type="dxa"/>
            <w:tcBorders>
              <w:top w:val="nil"/>
              <w:left w:val="nil"/>
              <w:bottom w:val="nil"/>
              <w:right w:val="nil"/>
            </w:tcBorders>
            <w:shd w:val="clear" w:color="000000" w:fill="FFFFFF"/>
            <w:noWrap/>
            <w:vAlign w:val="bottom"/>
            <w:hideMark/>
          </w:tcPr>
          <w:p>
            <w:pPr>
              <w:rPr>
                <w:rFonts w:ascii="Tahoma" w:eastAsia="Times New Roman" w:hAnsi="Tahoma" w:cs="Tahoma"/>
                <w:noProof/>
                <w:color w:val="000000"/>
                <w:sz w:val="16"/>
                <w:szCs w:val="16"/>
                <w:lang w:val="en-IE" w:eastAsia="en-IE"/>
              </w:rPr>
            </w:pPr>
            <w:r>
              <w:rPr>
                <w:rFonts w:ascii="Tahoma" w:eastAsia="Times New Roman" w:hAnsi="Tahoma" w:cs="Tahoma"/>
                <w:noProof/>
                <w:color w:val="000000"/>
                <w:sz w:val="16"/>
                <w:szCs w:val="16"/>
                <w:lang w:val="en-IE" w:eastAsia="en-IE"/>
              </w:rPr>
              <w:t> </w:t>
            </w:r>
          </w:p>
        </w:tc>
        <w:tc>
          <w:tcPr>
            <w:tcW w:w="480" w:type="dxa"/>
            <w:tcBorders>
              <w:top w:val="nil"/>
              <w:left w:val="nil"/>
              <w:bottom w:val="nil"/>
              <w:right w:val="nil"/>
            </w:tcBorders>
            <w:shd w:val="clear" w:color="000000" w:fill="FFFFFF"/>
            <w:noWrap/>
            <w:vAlign w:val="bottom"/>
            <w:hideMark/>
          </w:tcPr>
          <w:p>
            <w:pPr>
              <w:rPr>
                <w:rFonts w:ascii="Tahoma" w:eastAsia="Times New Roman" w:hAnsi="Tahoma" w:cs="Tahoma"/>
                <w:noProof/>
                <w:color w:val="000000"/>
                <w:sz w:val="16"/>
                <w:szCs w:val="16"/>
                <w:lang w:val="en-IE" w:eastAsia="en-IE"/>
              </w:rPr>
            </w:pPr>
            <w:r>
              <w:rPr>
                <w:rFonts w:ascii="Tahoma" w:eastAsia="Times New Roman" w:hAnsi="Tahoma" w:cs="Tahoma"/>
                <w:noProof/>
                <w:color w:val="000000"/>
                <w:sz w:val="16"/>
                <w:szCs w:val="16"/>
                <w:lang w:val="en-IE" w:eastAsia="en-IE"/>
              </w:rPr>
              <w:t> </w:t>
            </w:r>
          </w:p>
        </w:tc>
        <w:tc>
          <w:tcPr>
            <w:tcW w:w="480" w:type="dxa"/>
            <w:tcBorders>
              <w:top w:val="nil"/>
              <w:left w:val="nil"/>
              <w:bottom w:val="nil"/>
              <w:right w:val="nil"/>
            </w:tcBorders>
            <w:shd w:val="clear" w:color="000000" w:fill="FFFFFF"/>
            <w:noWrap/>
            <w:vAlign w:val="bottom"/>
            <w:hideMark/>
          </w:tcPr>
          <w:p>
            <w:pPr>
              <w:rPr>
                <w:rFonts w:ascii="Tahoma" w:eastAsia="Times New Roman" w:hAnsi="Tahoma" w:cs="Tahoma"/>
                <w:noProof/>
                <w:color w:val="000000"/>
                <w:sz w:val="16"/>
                <w:szCs w:val="16"/>
                <w:lang w:val="en-IE" w:eastAsia="en-IE"/>
              </w:rPr>
            </w:pPr>
            <w:r>
              <w:rPr>
                <w:rFonts w:ascii="Tahoma" w:eastAsia="Times New Roman" w:hAnsi="Tahoma" w:cs="Tahoma"/>
                <w:noProof/>
                <w:color w:val="000000"/>
                <w:sz w:val="16"/>
                <w:szCs w:val="16"/>
                <w:lang w:val="en-IE" w:eastAsia="en-IE"/>
              </w:rPr>
              <w:t> </w:t>
            </w:r>
          </w:p>
        </w:tc>
        <w:tc>
          <w:tcPr>
            <w:tcW w:w="480" w:type="dxa"/>
            <w:tcBorders>
              <w:top w:val="nil"/>
              <w:left w:val="nil"/>
              <w:bottom w:val="nil"/>
              <w:right w:val="nil"/>
            </w:tcBorders>
            <w:shd w:val="clear" w:color="000000" w:fill="FFFFFF"/>
            <w:noWrap/>
            <w:vAlign w:val="bottom"/>
            <w:hideMark/>
          </w:tcPr>
          <w:p>
            <w:pPr>
              <w:rPr>
                <w:rFonts w:ascii="Tahoma" w:eastAsia="Times New Roman" w:hAnsi="Tahoma" w:cs="Tahoma"/>
                <w:noProof/>
                <w:color w:val="000000"/>
                <w:sz w:val="16"/>
                <w:szCs w:val="16"/>
                <w:lang w:val="en-IE" w:eastAsia="en-IE"/>
              </w:rPr>
            </w:pPr>
            <w:r>
              <w:rPr>
                <w:rFonts w:ascii="Tahoma" w:eastAsia="Times New Roman" w:hAnsi="Tahoma" w:cs="Tahoma"/>
                <w:noProof/>
                <w:color w:val="000000"/>
                <w:sz w:val="16"/>
                <w:szCs w:val="16"/>
                <w:lang w:val="en-IE" w:eastAsia="en-IE"/>
              </w:rPr>
              <w:t> </w:t>
            </w:r>
          </w:p>
        </w:tc>
      </w:tr>
      <w:tr>
        <w:trPr>
          <w:trHeight w:val="225"/>
        </w:trPr>
        <w:tc>
          <w:tcPr>
            <w:tcW w:w="7520" w:type="dxa"/>
            <w:gridSpan w:val="6"/>
            <w:tcBorders>
              <w:top w:val="nil"/>
              <w:left w:val="nil"/>
              <w:bottom w:val="nil"/>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Total merchandise trade EU28 with Madagascar (mio €)</w:t>
            </w:r>
          </w:p>
        </w:tc>
      </w:tr>
      <w:tr>
        <w:trPr>
          <w:trHeight w:val="225"/>
        </w:trPr>
        <w:tc>
          <w:tcPr>
            <w:tcW w:w="5600"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Madagascar</w:t>
            </w:r>
          </w:p>
        </w:tc>
        <w:tc>
          <w:tcPr>
            <w:tcW w:w="48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2017</w:t>
            </w:r>
          </w:p>
        </w:tc>
        <w:tc>
          <w:tcPr>
            <w:tcW w:w="48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2018</w:t>
            </w:r>
          </w:p>
        </w:tc>
        <w:tc>
          <w:tcPr>
            <w:tcW w:w="960" w:type="dxa"/>
            <w:gridSpan w:val="2"/>
            <w:tcBorders>
              <w:top w:val="single" w:sz="4" w:space="0" w:color="auto"/>
              <w:left w:val="nil"/>
              <w:bottom w:val="nil"/>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Growth</w:t>
            </w:r>
          </w:p>
        </w:tc>
      </w:tr>
      <w:tr>
        <w:trPr>
          <w:trHeight w:val="225"/>
        </w:trPr>
        <w:tc>
          <w:tcPr>
            <w:tcW w:w="5600" w:type="dxa"/>
            <w:gridSpan w:val="2"/>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80" w:type="dxa"/>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80" w:type="dxa"/>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80" w:type="dxa"/>
            <w:tcBorders>
              <w:top w:val="nil"/>
              <w:left w:val="nil"/>
              <w:bottom w:val="single" w:sz="4" w:space="0" w:color="auto"/>
              <w:right w:val="nil"/>
            </w:tcBorders>
            <w:shd w:val="clear" w:color="000000" w:fill="FFFFFF"/>
            <w:noWrap/>
            <w:vAlign w:val="bottom"/>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mio €</w:t>
            </w:r>
          </w:p>
        </w:tc>
        <w:tc>
          <w:tcPr>
            <w:tcW w:w="480" w:type="dxa"/>
            <w:tcBorders>
              <w:top w:val="nil"/>
              <w:left w:val="nil"/>
              <w:bottom w:val="single" w:sz="4" w:space="0" w:color="auto"/>
              <w:right w:val="nil"/>
            </w:tcBorders>
            <w:shd w:val="clear" w:color="000000" w:fill="FFFFFF"/>
            <w:noWrap/>
            <w:vAlign w:val="bottom"/>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annual %</w:t>
            </w:r>
          </w:p>
        </w:tc>
      </w:tr>
      <w:tr>
        <w:trPr>
          <w:trHeight w:val="225"/>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Imports</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1.181</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1.243</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62</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5,3%</w:t>
            </w:r>
          </w:p>
        </w:tc>
      </w:tr>
      <w:tr>
        <w:trPr>
          <w:trHeight w:val="225"/>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Exports</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674</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662</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-12</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-1,8%</w:t>
            </w:r>
          </w:p>
        </w:tc>
      </w:tr>
      <w:tr>
        <w:trPr>
          <w:trHeight w:val="225"/>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Balance</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-507</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-581</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-74</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r>
      <w:tr>
        <w:trPr>
          <w:trHeight w:val="225"/>
        </w:trPr>
        <w:tc>
          <w:tcPr>
            <w:tcW w:w="5120" w:type="dxa"/>
            <w:tcBorders>
              <w:top w:val="nil"/>
              <w:left w:val="nil"/>
              <w:bottom w:val="single" w:sz="4" w:space="0" w:color="auto"/>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Total trade</w:t>
            </w:r>
          </w:p>
        </w:tc>
        <w:tc>
          <w:tcPr>
            <w:tcW w:w="480" w:type="dxa"/>
            <w:tcBorders>
              <w:top w:val="nil"/>
              <w:left w:val="nil"/>
              <w:bottom w:val="single" w:sz="4" w:space="0" w:color="auto"/>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1.855</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1.905</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50</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2,7%</w:t>
            </w:r>
          </w:p>
        </w:tc>
      </w:tr>
      <w:tr>
        <w:trPr>
          <w:trHeight w:val="240"/>
        </w:trPr>
        <w:tc>
          <w:tcPr>
            <w:tcW w:w="6560" w:type="dxa"/>
            <w:gridSpan w:val="4"/>
            <w:tcBorders>
              <w:top w:val="single" w:sz="4" w:space="0" w:color="auto"/>
              <w:left w:val="nil"/>
              <w:bottom w:val="nil"/>
              <w:right w:val="nil"/>
            </w:tcBorders>
            <w:shd w:val="clear" w:color="000000" w:fill="FFFFFF"/>
            <w:noWrap/>
            <w:hideMark/>
          </w:tcPr>
          <w:p>
            <w:pPr>
              <w:rPr>
                <w:rFonts w:ascii="Arial" w:eastAsia="Times New Roman" w:hAnsi="Arial" w:cs="Arial"/>
                <w:noProof/>
                <w:sz w:val="12"/>
                <w:szCs w:val="12"/>
                <w:lang w:val="en-IE" w:eastAsia="en-IE"/>
              </w:rPr>
            </w:pPr>
            <w:r>
              <w:rPr>
                <w:rFonts w:ascii="Arial" w:eastAsia="Times New Roman" w:hAnsi="Arial" w:cs="Arial"/>
                <w:noProof/>
                <w:sz w:val="12"/>
                <w:szCs w:val="12"/>
                <w:lang w:val="en-IE" w:eastAsia="en-IE"/>
              </w:rPr>
              <w:t>Source Trade G2 Statistics/ISDB from Eurostat COMEXT</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8"/>
                <w:szCs w:val="18"/>
                <w:lang w:val="en-IE" w:eastAsia="en-IE"/>
              </w:rPr>
            </w:pPr>
            <w:r>
              <w:rPr>
                <w:rFonts w:ascii="Arial" w:eastAsia="Times New Roman" w:hAnsi="Arial" w:cs="Arial"/>
                <w:noProof/>
                <w:sz w:val="18"/>
                <w:szCs w:val="18"/>
                <w:lang w:val="en-IE" w:eastAsia="en-IE"/>
              </w:rPr>
              <w:t> </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8"/>
                <w:szCs w:val="18"/>
                <w:lang w:val="en-IE" w:eastAsia="en-IE"/>
              </w:rPr>
            </w:pPr>
            <w:r>
              <w:rPr>
                <w:rFonts w:ascii="Arial" w:eastAsia="Times New Roman" w:hAnsi="Arial" w:cs="Arial"/>
                <w:noProof/>
                <w:sz w:val="18"/>
                <w:szCs w:val="18"/>
                <w:lang w:val="en-IE" w:eastAsia="en-IE"/>
              </w:rPr>
              <w:t> </w:t>
            </w:r>
          </w:p>
        </w:tc>
      </w:tr>
      <w:tr>
        <w:trPr>
          <w:trHeight w:val="225"/>
        </w:trPr>
        <w:tc>
          <w:tcPr>
            <w:tcW w:w="7520" w:type="dxa"/>
            <w:gridSpan w:val="6"/>
            <w:tcBorders>
              <w:top w:val="nil"/>
              <w:left w:val="nil"/>
              <w:bottom w:val="nil"/>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Agrifood trade EU28 with Madagascar (mio €)</w:t>
            </w:r>
          </w:p>
        </w:tc>
      </w:tr>
      <w:tr>
        <w:trPr>
          <w:trHeight w:val="255"/>
        </w:trPr>
        <w:tc>
          <w:tcPr>
            <w:tcW w:w="5600"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Madagascar</w:t>
            </w:r>
          </w:p>
        </w:tc>
        <w:tc>
          <w:tcPr>
            <w:tcW w:w="48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2017</w:t>
            </w:r>
          </w:p>
        </w:tc>
        <w:tc>
          <w:tcPr>
            <w:tcW w:w="48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2018</w:t>
            </w:r>
          </w:p>
        </w:tc>
        <w:tc>
          <w:tcPr>
            <w:tcW w:w="960" w:type="dxa"/>
            <w:gridSpan w:val="2"/>
            <w:tcBorders>
              <w:top w:val="single" w:sz="4" w:space="0" w:color="auto"/>
              <w:left w:val="nil"/>
              <w:bottom w:val="nil"/>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Growth</w:t>
            </w:r>
          </w:p>
        </w:tc>
      </w:tr>
      <w:tr>
        <w:trPr>
          <w:trHeight w:val="225"/>
        </w:trPr>
        <w:tc>
          <w:tcPr>
            <w:tcW w:w="5600" w:type="dxa"/>
            <w:gridSpan w:val="2"/>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80" w:type="dxa"/>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80" w:type="dxa"/>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80" w:type="dxa"/>
            <w:tcBorders>
              <w:top w:val="nil"/>
              <w:left w:val="nil"/>
              <w:bottom w:val="single" w:sz="4" w:space="0" w:color="auto"/>
              <w:right w:val="nil"/>
            </w:tcBorders>
            <w:shd w:val="clear" w:color="000000" w:fill="FFFFFF"/>
            <w:noWrap/>
            <w:vAlign w:val="bottom"/>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mio €</w:t>
            </w:r>
          </w:p>
        </w:tc>
        <w:tc>
          <w:tcPr>
            <w:tcW w:w="480" w:type="dxa"/>
            <w:tcBorders>
              <w:top w:val="nil"/>
              <w:left w:val="nil"/>
              <w:bottom w:val="single" w:sz="4" w:space="0" w:color="auto"/>
              <w:right w:val="nil"/>
            </w:tcBorders>
            <w:shd w:val="clear" w:color="000000" w:fill="FFFFFF"/>
            <w:noWrap/>
            <w:vAlign w:val="bottom"/>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annual %</w:t>
            </w:r>
          </w:p>
        </w:tc>
      </w:tr>
      <w:tr>
        <w:trPr>
          <w:trHeight w:val="225"/>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Imports</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477</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533</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56</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11,6%</w:t>
            </w:r>
          </w:p>
        </w:tc>
      </w:tr>
      <w:tr>
        <w:trPr>
          <w:trHeight w:val="225"/>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Exports</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72</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65</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-6</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-9,0%</w:t>
            </w:r>
          </w:p>
        </w:tc>
      </w:tr>
      <w:tr>
        <w:trPr>
          <w:trHeight w:val="225"/>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Balance</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-405</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-468</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-62</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r>
      <w:tr>
        <w:trPr>
          <w:trHeight w:val="225"/>
        </w:trPr>
        <w:tc>
          <w:tcPr>
            <w:tcW w:w="5120" w:type="dxa"/>
            <w:tcBorders>
              <w:top w:val="nil"/>
              <w:left w:val="nil"/>
              <w:bottom w:val="single" w:sz="4" w:space="0" w:color="auto"/>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Total trade</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549</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598</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49</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8,9%</w:t>
            </w:r>
          </w:p>
        </w:tc>
      </w:tr>
      <w:tr>
        <w:trPr>
          <w:trHeight w:val="240"/>
        </w:trPr>
        <w:tc>
          <w:tcPr>
            <w:tcW w:w="6560" w:type="dxa"/>
            <w:gridSpan w:val="4"/>
            <w:tcBorders>
              <w:top w:val="single" w:sz="4" w:space="0" w:color="auto"/>
              <w:left w:val="nil"/>
              <w:bottom w:val="nil"/>
              <w:right w:val="nil"/>
            </w:tcBorders>
            <w:shd w:val="clear" w:color="000000" w:fill="FFFFFF"/>
            <w:noWrap/>
            <w:hideMark/>
          </w:tcPr>
          <w:p>
            <w:pPr>
              <w:rPr>
                <w:rFonts w:ascii="Arial" w:eastAsia="Times New Roman" w:hAnsi="Arial" w:cs="Arial"/>
                <w:noProof/>
                <w:sz w:val="12"/>
                <w:szCs w:val="12"/>
                <w:lang w:val="en-IE" w:eastAsia="en-IE"/>
              </w:rPr>
            </w:pPr>
            <w:r>
              <w:rPr>
                <w:rFonts w:ascii="Arial" w:eastAsia="Times New Roman" w:hAnsi="Arial" w:cs="Arial"/>
                <w:noProof/>
                <w:sz w:val="12"/>
                <w:szCs w:val="12"/>
                <w:lang w:val="en-IE" w:eastAsia="en-IE"/>
              </w:rPr>
              <w:t>Source Trade G2 Statistics/ISDB from Eurostat COMEXT</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8"/>
                <w:szCs w:val="18"/>
                <w:lang w:val="en-IE" w:eastAsia="en-IE"/>
              </w:rPr>
            </w:pPr>
            <w:r>
              <w:rPr>
                <w:rFonts w:ascii="Arial" w:eastAsia="Times New Roman" w:hAnsi="Arial" w:cs="Arial"/>
                <w:noProof/>
                <w:sz w:val="18"/>
                <w:szCs w:val="18"/>
                <w:lang w:val="en-IE" w:eastAsia="en-IE"/>
              </w:rPr>
              <w:t> </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8"/>
                <w:szCs w:val="18"/>
                <w:lang w:val="en-IE" w:eastAsia="en-IE"/>
              </w:rPr>
            </w:pPr>
            <w:r>
              <w:rPr>
                <w:rFonts w:ascii="Arial" w:eastAsia="Times New Roman" w:hAnsi="Arial" w:cs="Arial"/>
                <w:noProof/>
                <w:sz w:val="18"/>
                <w:szCs w:val="18"/>
                <w:lang w:val="en-IE" w:eastAsia="en-IE"/>
              </w:rPr>
              <w:t> </w:t>
            </w:r>
          </w:p>
        </w:tc>
      </w:tr>
      <w:tr>
        <w:trPr>
          <w:trHeight w:val="225"/>
        </w:trPr>
        <w:tc>
          <w:tcPr>
            <w:tcW w:w="7520" w:type="dxa"/>
            <w:gridSpan w:val="6"/>
            <w:tcBorders>
              <w:top w:val="nil"/>
              <w:left w:val="nil"/>
              <w:bottom w:val="nil"/>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NAMA trade EU28 with Madagascar (mio €)</w:t>
            </w:r>
          </w:p>
        </w:tc>
      </w:tr>
      <w:tr>
        <w:trPr>
          <w:trHeight w:val="225"/>
        </w:trPr>
        <w:tc>
          <w:tcPr>
            <w:tcW w:w="5600"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Madagascar</w:t>
            </w:r>
          </w:p>
        </w:tc>
        <w:tc>
          <w:tcPr>
            <w:tcW w:w="48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2017</w:t>
            </w:r>
          </w:p>
        </w:tc>
        <w:tc>
          <w:tcPr>
            <w:tcW w:w="48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2018</w:t>
            </w:r>
          </w:p>
        </w:tc>
        <w:tc>
          <w:tcPr>
            <w:tcW w:w="960" w:type="dxa"/>
            <w:gridSpan w:val="2"/>
            <w:tcBorders>
              <w:top w:val="single" w:sz="4" w:space="0" w:color="auto"/>
              <w:left w:val="nil"/>
              <w:bottom w:val="nil"/>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Growth</w:t>
            </w:r>
          </w:p>
        </w:tc>
      </w:tr>
      <w:tr>
        <w:trPr>
          <w:trHeight w:val="225"/>
        </w:trPr>
        <w:tc>
          <w:tcPr>
            <w:tcW w:w="5600" w:type="dxa"/>
            <w:gridSpan w:val="2"/>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80" w:type="dxa"/>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80" w:type="dxa"/>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80" w:type="dxa"/>
            <w:tcBorders>
              <w:top w:val="nil"/>
              <w:left w:val="nil"/>
              <w:bottom w:val="single" w:sz="4" w:space="0" w:color="auto"/>
              <w:right w:val="nil"/>
            </w:tcBorders>
            <w:shd w:val="clear" w:color="000000" w:fill="FFFFFF"/>
            <w:noWrap/>
            <w:vAlign w:val="bottom"/>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mio €</w:t>
            </w:r>
          </w:p>
        </w:tc>
        <w:tc>
          <w:tcPr>
            <w:tcW w:w="480" w:type="dxa"/>
            <w:tcBorders>
              <w:top w:val="nil"/>
              <w:left w:val="nil"/>
              <w:bottom w:val="single" w:sz="4" w:space="0" w:color="auto"/>
              <w:right w:val="nil"/>
            </w:tcBorders>
            <w:shd w:val="clear" w:color="000000" w:fill="FFFFFF"/>
            <w:noWrap/>
            <w:vAlign w:val="bottom"/>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annual %</w:t>
            </w:r>
          </w:p>
        </w:tc>
      </w:tr>
      <w:tr>
        <w:trPr>
          <w:trHeight w:val="225"/>
        </w:trPr>
        <w:tc>
          <w:tcPr>
            <w:tcW w:w="5600" w:type="dxa"/>
            <w:gridSpan w:val="2"/>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EU28 imports</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704</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710</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6</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0,9%</w:t>
            </w:r>
          </w:p>
        </w:tc>
      </w:tr>
      <w:tr>
        <w:trPr>
          <w:trHeight w:val="225"/>
        </w:trPr>
        <w:tc>
          <w:tcPr>
            <w:tcW w:w="5600" w:type="dxa"/>
            <w:gridSpan w:val="2"/>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EU28 exports</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602</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596</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-6</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-1,0%</w:t>
            </w:r>
          </w:p>
        </w:tc>
      </w:tr>
      <w:tr>
        <w:trPr>
          <w:trHeight w:val="225"/>
        </w:trPr>
        <w:tc>
          <w:tcPr>
            <w:tcW w:w="512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Balance</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-101</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-114</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-12</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r>
      <w:tr>
        <w:trPr>
          <w:trHeight w:val="225"/>
        </w:trPr>
        <w:tc>
          <w:tcPr>
            <w:tcW w:w="512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Total trade</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1.306</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1.307</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0,1%</w:t>
            </w:r>
          </w:p>
        </w:tc>
      </w:tr>
      <w:tr>
        <w:trPr>
          <w:trHeight w:val="240"/>
        </w:trPr>
        <w:tc>
          <w:tcPr>
            <w:tcW w:w="6560" w:type="dxa"/>
            <w:gridSpan w:val="4"/>
            <w:tcBorders>
              <w:top w:val="single" w:sz="4" w:space="0" w:color="auto"/>
              <w:left w:val="nil"/>
              <w:bottom w:val="nil"/>
              <w:right w:val="nil"/>
            </w:tcBorders>
            <w:shd w:val="clear" w:color="000000" w:fill="FFFFFF"/>
            <w:noWrap/>
            <w:hideMark/>
          </w:tcPr>
          <w:p>
            <w:pPr>
              <w:rPr>
                <w:rFonts w:ascii="Arial" w:eastAsia="Times New Roman" w:hAnsi="Arial" w:cs="Arial"/>
                <w:noProof/>
                <w:sz w:val="12"/>
                <w:szCs w:val="12"/>
                <w:lang w:val="en-IE" w:eastAsia="en-IE"/>
              </w:rPr>
            </w:pPr>
            <w:r>
              <w:rPr>
                <w:rFonts w:ascii="Arial" w:eastAsia="Times New Roman" w:hAnsi="Arial" w:cs="Arial"/>
                <w:noProof/>
                <w:sz w:val="12"/>
                <w:szCs w:val="12"/>
                <w:lang w:val="en-IE" w:eastAsia="en-IE"/>
              </w:rPr>
              <w:t>Source Trade G2 Statistics/ISDB from Eurostat COMEXT</w:t>
            </w:r>
          </w:p>
        </w:tc>
        <w:tc>
          <w:tcPr>
            <w:tcW w:w="480" w:type="dxa"/>
            <w:tcBorders>
              <w:top w:val="single" w:sz="4" w:space="0" w:color="auto"/>
              <w:left w:val="nil"/>
              <w:bottom w:val="nil"/>
              <w:right w:val="nil"/>
            </w:tcBorders>
            <w:shd w:val="clear" w:color="000000" w:fill="FFFFFF"/>
            <w:noWrap/>
            <w:vAlign w:val="bottom"/>
            <w:hideMark/>
          </w:tcPr>
          <w:p>
            <w:pPr>
              <w:rPr>
                <w:rFonts w:ascii="Arial" w:eastAsia="Times New Roman" w:hAnsi="Arial" w:cs="Arial"/>
                <w:noProof/>
                <w:sz w:val="18"/>
                <w:szCs w:val="18"/>
                <w:lang w:val="en-IE" w:eastAsia="en-IE"/>
              </w:rPr>
            </w:pPr>
            <w:r>
              <w:rPr>
                <w:rFonts w:ascii="Arial" w:eastAsia="Times New Roman" w:hAnsi="Arial" w:cs="Arial"/>
                <w:noProof/>
                <w:sz w:val="18"/>
                <w:szCs w:val="18"/>
                <w:lang w:val="en-IE" w:eastAsia="en-IE"/>
              </w:rPr>
              <w:t> </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8"/>
                <w:szCs w:val="18"/>
                <w:lang w:val="en-IE" w:eastAsia="en-IE"/>
              </w:rPr>
            </w:pPr>
            <w:r>
              <w:rPr>
                <w:rFonts w:ascii="Arial" w:eastAsia="Times New Roman" w:hAnsi="Arial" w:cs="Arial"/>
                <w:noProof/>
                <w:sz w:val="18"/>
                <w:szCs w:val="18"/>
                <w:lang w:val="en-IE" w:eastAsia="en-IE"/>
              </w:rPr>
              <w:t> </w:t>
            </w:r>
          </w:p>
        </w:tc>
      </w:tr>
      <w:tr>
        <w:trPr>
          <w:trHeight w:val="225"/>
        </w:trPr>
        <w:tc>
          <w:tcPr>
            <w:tcW w:w="6560" w:type="dxa"/>
            <w:gridSpan w:val="4"/>
            <w:tcBorders>
              <w:top w:val="nil"/>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Services trade EU28 with Madagascar (mio €)</w:t>
            </w:r>
          </w:p>
        </w:tc>
        <w:tc>
          <w:tcPr>
            <w:tcW w:w="480" w:type="dxa"/>
            <w:tcBorders>
              <w:top w:val="nil"/>
              <w:left w:val="nil"/>
              <w:bottom w:val="nil"/>
              <w:right w:val="nil"/>
            </w:tcBorders>
            <w:shd w:val="clear" w:color="000000" w:fill="FFFFFF"/>
            <w:noWrap/>
            <w:vAlign w:val="center"/>
            <w:hideMark/>
          </w:tcPr>
          <w:p>
            <w:pP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 </w:t>
            </w:r>
          </w:p>
        </w:tc>
        <w:tc>
          <w:tcPr>
            <w:tcW w:w="480" w:type="dxa"/>
            <w:tcBorders>
              <w:top w:val="nil"/>
              <w:left w:val="nil"/>
              <w:bottom w:val="nil"/>
              <w:right w:val="nil"/>
            </w:tcBorders>
            <w:shd w:val="clear" w:color="000000" w:fill="FFFFFF"/>
            <w:noWrap/>
            <w:vAlign w:val="center"/>
            <w:hideMark/>
          </w:tcPr>
          <w:p>
            <w:pP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 </w:t>
            </w:r>
          </w:p>
        </w:tc>
      </w:tr>
      <w:tr>
        <w:trPr>
          <w:trHeight w:val="225"/>
        </w:trPr>
        <w:tc>
          <w:tcPr>
            <w:tcW w:w="5600"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Madagascar</w:t>
            </w:r>
          </w:p>
        </w:tc>
        <w:tc>
          <w:tcPr>
            <w:tcW w:w="480" w:type="dxa"/>
            <w:vMerge w:val="restart"/>
            <w:tcBorders>
              <w:top w:val="nil"/>
              <w:left w:val="nil"/>
              <w:bottom w:val="single" w:sz="4" w:space="0" w:color="000000"/>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2016</w:t>
            </w:r>
          </w:p>
        </w:tc>
        <w:tc>
          <w:tcPr>
            <w:tcW w:w="480" w:type="dxa"/>
            <w:vMerge w:val="restart"/>
            <w:tcBorders>
              <w:top w:val="nil"/>
              <w:left w:val="nil"/>
              <w:bottom w:val="single" w:sz="4" w:space="0" w:color="000000"/>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2017</w:t>
            </w:r>
          </w:p>
        </w:tc>
        <w:tc>
          <w:tcPr>
            <w:tcW w:w="960" w:type="dxa"/>
            <w:gridSpan w:val="2"/>
            <w:tcBorders>
              <w:top w:val="single" w:sz="4" w:space="0" w:color="auto"/>
              <w:left w:val="nil"/>
              <w:bottom w:val="nil"/>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Growth</w:t>
            </w:r>
          </w:p>
        </w:tc>
      </w:tr>
      <w:tr>
        <w:trPr>
          <w:trHeight w:val="225"/>
        </w:trPr>
        <w:tc>
          <w:tcPr>
            <w:tcW w:w="5600" w:type="dxa"/>
            <w:gridSpan w:val="2"/>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80" w:type="dxa"/>
            <w:vMerge/>
            <w:tcBorders>
              <w:top w:val="nil"/>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80" w:type="dxa"/>
            <w:vMerge/>
            <w:tcBorders>
              <w:top w:val="nil"/>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80" w:type="dxa"/>
            <w:tcBorders>
              <w:top w:val="nil"/>
              <w:left w:val="nil"/>
              <w:bottom w:val="single" w:sz="4" w:space="0" w:color="auto"/>
              <w:right w:val="nil"/>
            </w:tcBorders>
            <w:shd w:val="clear" w:color="000000" w:fill="FFFFFF"/>
            <w:noWrap/>
            <w:vAlign w:val="bottom"/>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mio €</w:t>
            </w:r>
          </w:p>
        </w:tc>
        <w:tc>
          <w:tcPr>
            <w:tcW w:w="480" w:type="dxa"/>
            <w:tcBorders>
              <w:top w:val="nil"/>
              <w:left w:val="nil"/>
              <w:bottom w:val="single" w:sz="4" w:space="0" w:color="auto"/>
              <w:right w:val="nil"/>
            </w:tcBorders>
            <w:shd w:val="clear" w:color="000000" w:fill="FFFFFF"/>
            <w:noWrap/>
            <w:vAlign w:val="bottom"/>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annual %</w:t>
            </w:r>
          </w:p>
        </w:tc>
      </w:tr>
      <w:tr>
        <w:trPr>
          <w:trHeight w:val="225"/>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Imports</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332</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376</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44</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13,2%</w:t>
            </w:r>
          </w:p>
        </w:tc>
      </w:tr>
      <w:tr>
        <w:trPr>
          <w:trHeight w:val="225"/>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Exports</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192</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266</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74</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38,7%</w:t>
            </w:r>
          </w:p>
        </w:tc>
      </w:tr>
      <w:tr>
        <w:trPr>
          <w:trHeight w:val="225"/>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Balance</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-141</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-110</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30</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r>
      <w:tr>
        <w:trPr>
          <w:trHeight w:val="225"/>
        </w:trPr>
        <w:tc>
          <w:tcPr>
            <w:tcW w:w="5120" w:type="dxa"/>
            <w:tcBorders>
              <w:top w:val="nil"/>
              <w:left w:val="nil"/>
              <w:bottom w:val="single" w:sz="4" w:space="0" w:color="auto"/>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Total trade</w:t>
            </w:r>
          </w:p>
        </w:tc>
        <w:tc>
          <w:tcPr>
            <w:tcW w:w="480" w:type="dxa"/>
            <w:tcBorders>
              <w:top w:val="nil"/>
              <w:left w:val="nil"/>
              <w:bottom w:val="single" w:sz="4" w:space="0" w:color="auto"/>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524</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641</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118</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22,5%</w:t>
            </w:r>
          </w:p>
        </w:tc>
      </w:tr>
      <w:tr>
        <w:trPr>
          <w:trHeight w:val="240"/>
        </w:trPr>
        <w:tc>
          <w:tcPr>
            <w:tcW w:w="7040" w:type="dxa"/>
            <w:gridSpan w:val="5"/>
            <w:tcBorders>
              <w:top w:val="nil"/>
              <w:left w:val="nil"/>
              <w:bottom w:val="nil"/>
              <w:right w:val="nil"/>
            </w:tcBorders>
            <w:shd w:val="clear" w:color="000000" w:fill="FFFFFF"/>
            <w:noWrap/>
            <w:hideMark/>
          </w:tcPr>
          <w:p>
            <w:pPr>
              <w:rPr>
                <w:rFonts w:ascii="Arial" w:eastAsia="Times New Roman" w:hAnsi="Arial" w:cs="Arial"/>
                <w:noProof/>
                <w:sz w:val="12"/>
                <w:szCs w:val="12"/>
                <w:lang w:val="en-IE" w:eastAsia="en-IE"/>
              </w:rPr>
            </w:pPr>
            <w:r>
              <w:rPr>
                <w:rFonts w:ascii="Arial" w:eastAsia="Times New Roman" w:hAnsi="Arial" w:cs="Arial"/>
                <w:noProof/>
                <w:sz w:val="12"/>
                <w:szCs w:val="12"/>
                <w:lang w:val="en-IE" w:eastAsia="en-IE"/>
              </w:rPr>
              <w:t>Source Trade G2 Statistics/ISDB from Eurostat BOP statistics</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8"/>
                <w:szCs w:val="18"/>
                <w:lang w:val="en-IE" w:eastAsia="en-IE"/>
              </w:rPr>
            </w:pPr>
            <w:r>
              <w:rPr>
                <w:rFonts w:ascii="Arial" w:eastAsia="Times New Roman" w:hAnsi="Arial" w:cs="Arial"/>
                <w:noProof/>
                <w:sz w:val="18"/>
                <w:szCs w:val="18"/>
                <w:lang w:val="en-IE" w:eastAsia="en-IE"/>
              </w:rPr>
              <w:t> </w:t>
            </w:r>
          </w:p>
        </w:tc>
      </w:tr>
      <w:tr>
        <w:trPr>
          <w:trHeight w:val="240"/>
        </w:trPr>
        <w:tc>
          <w:tcPr>
            <w:tcW w:w="7520" w:type="dxa"/>
            <w:gridSpan w:val="6"/>
            <w:tcBorders>
              <w:top w:val="nil"/>
              <w:left w:val="nil"/>
              <w:bottom w:val="nil"/>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Services trade EU28 with Madagascar (mio €)</w:t>
            </w:r>
          </w:p>
        </w:tc>
      </w:tr>
      <w:tr>
        <w:trPr>
          <w:trHeight w:val="225"/>
        </w:trPr>
        <w:tc>
          <w:tcPr>
            <w:tcW w:w="5120" w:type="dxa"/>
            <w:tcBorders>
              <w:top w:val="single" w:sz="4" w:space="0" w:color="auto"/>
              <w:left w:val="nil"/>
              <w:bottom w:val="single" w:sz="4" w:space="0" w:color="auto"/>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single" w:sz="4" w:space="0" w:color="auto"/>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2013</w:t>
            </w:r>
          </w:p>
        </w:tc>
        <w:tc>
          <w:tcPr>
            <w:tcW w:w="480" w:type="dxa"/>
            <w:tcBorders>
              <w:top w:val="single" w:sz="4" w:space="0" w:color="auto"/>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2014</w:t>
            </w:r>
          </w:p>
        </w:tc>
        <w:tc>
          <w:tcPr>
            <w:tcW w:w="480" w:type="dxa"/>
            <w:tcBorders>
              <w:top w:val="single" w:sz="4" w:space="0" w:color="auto"/>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2015</w:t>
            </w:r>
          </w:p>
        </w:tc>
        <w:tc>
          <w:tcPr>
            <w:tcW w:w="480" w:type="dxa"/>
            <w:tcBorders>
              <w:top w:val="single" w:sz="4" w:space="0" w:color="auto"/>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2016</w:t>
            </w:r>
          </w:p>
        </w:tc>
        <w:tc>
          <w:tcPr>
            <w:tcW w:w="480" w:type="dxa"/>
            <w:tcBorders>
              <w:top w:val="single" w:sz="4" w:space="0" w:color="auto"/>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2017</w:t>
            </w:r>
          </w:p>
        </w:tc>
      </w:tr>
      <w:tr>
        <w:trPr>
          <w:trHeight w:val="225"/>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Imports</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254</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374</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419</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332</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376</w:t>
            </w:r>
          </w:p>
        </w:tc>
      </w:tr>
      <w:tr>
        <w:trPr>
          <w:trHeight w:val="225"/>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Exports</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183</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226</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187</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192</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266</w:t>
            </w:r>
          </w:p>
        </w:tc>
      </w:tr>
      <w:tr>
        <w:trPr>
          <w:trHeight w:val="225"/>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Balance</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-70</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-148</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-232</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-141</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-110</w:t>
            </w:r>
          </w:p>
        </w:tc>
      </w:tr>
      <w:tr>
        <w:trPr>
          <w:trHeight w:val="225"/>
        </w:trPr>
        <w:tc>
          <w:tcPr>
            <w:tcW w:w="5120" w:type="dxa"/>
            <w:tcBorders>
              <w:top w:val="nil"/>
              <w:left w:val="nil"/>
              <w:bottom w:val="single" w:sz="4" w:space="0" w:color="auto"/>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Total trade</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437</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600</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606</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524</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641</w:t>
            </w:r>
          </w:p>
        </w:tc>
      </w:tr>
      <w:tr>
        <w:trPr>
          <w:trHeight w:val="225"/>
        </w:trPr>
        <w:tc>
          <w:tcPr>
            <w:tcW w:w="5120" w:type="dxa"/>
            <w:tcBorders>
              <w:top w:val="nil"/>
              <w:left w:val="nil"/>
              <w:bottom w:val="nil"/>
              <w:right w:val="nil"/>
            </w:tcBorders>
            <w:shd w:val="clear" w:color="000000" w:fill="FFFFFF"/>
            <w:noWrap/>
            <w:hideMark/>
          </w:tcPr>
          <w:p>
            <w:pPr>
              <w:rPr>
                <w:rFonts w:ascii="Arial" w:eastAsia="Times New Roman" w:hAnsi="Arial" w:cs="Arial"/>
                <w:noProof/>
                <w:sz w:val="12"/>
                <w:szCs w:val="12"/>
                <w:lang w:val="en-IE" w:eastAsia="en-IE"/>
              </w:rPr>
            </w:pPr>
            <w:r>
              <w:rPr>
                <w:rFonts w:ascii="Arial" w:eastAsia="Times New Roman" w:hAnsi="Arial" w:cs="Arial"/>
                <w:noProof/>
                <w:sz w:val="12"/>
                <w:szCs w:val="12"/>
                <w:lang w:val="en-IE" w:eastAsia="en-IE"/>
              </w:rPr>
              <w:t>Source Trade G2 Statistics/ISDB from Eurostat BOP statistics</w:t>
            </w:r>
          </w:p>
        </w:tc>
        <w:tc>
          <w:tcPr>
            <w:tcW w:w="480" w:type="dxa"/>
            <w:tcBorders>
              <w:top w:val="nil"/>
              <w:left w:val="nil"/>
              <w:bottom w:val="nil"/>
              <w:right w:val="nil"/>
            </w:tcBorders>
            <w:shd w:val="clear" w:color="000000" w:fill="FFFFFF"/>
            <w:noWrap/>
            <w:hideMark/>
          </w:tcPr>
          <w:p>
            <w:pPr>
              <w:rPr>
                <w:rFonts w:ascii="Arial" w:eastAsia="Times New Roman" w:hAnsi="Arial" w:cs="Arial"/>
                <w:noProof/>
                <w:sz w:val="12"/>
                <w:szCs w:val="12"/>
                <w:lang w:val="en-IE" w:eastAsia="en-IE"/>
              </w:rPr>
            </w:pPr>
            <w:r>
              <w:rPr>
                <w:rFonts w:ascii="Arial" w:eastAsia="Times New Roman" w:hAnsi="Arial" w:cs="Arial"/>
                <w:noProof/>
                <w:sz w:val="12"/>
                <w:szCs w:val="12"/>
                <w:lang w:val="en-IE" w:eastAsia="en-IE"/>
              </w:rPr>
              <w:t> </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r>
      <w:tr>
        <w:trPr>
          <w:trHeight w:val="225"/>
        </w:trPr>
        <w:tc>
          <w:tcPr>
            <w:tcW w:w="7520" w:type="dxa"/>
            <w:gridSpan w:val="6"/>
            <w:tcBorders>
              <w:top w:val="nil"/>
              <w:left w:val="nil"/>
              <w:bottom w:val="nil"/>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FDI EU28 with Madagascar (mio €)</w:t>
            </w:r>
          </w:p>
        </w:tc>
      </w:tr>
      <w:tr>
        <w:trPr>
          <w:trHeight w:val="225"/>
        </w:trPr>
        <w:tc>
          <w:tcPr>
            <w:tcW w:w="5120" w:type="dxa"/>
            <w:tcBorders>
              <w:top w:val="single" w:sz="4" w:space="0" w:color="auto"/>
              <w:left w:val="nil"/>
              <w:bottom w:val="single" w:sz="4" w:space="0" w:color="auto"/>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single" w:sz="4" w:space="0" w:color="auto"/>
              <w:left w:val="nil"/>
              <w:bottom w:val="single" w:sz="4" w:space="0" w:color="auto"/>
              <w:right w:val="nil"/>
            </w:tcBorders>
            <w:shd w:val="clear" w:color="000000" w:fill="FFFFFF"/>
            <w:noWrap/>
            <w:vAlign w:val="bottom"/>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2013</w:t>
            </w:r>
          </w:p>
        </w:tc>
        <w:tc>
          <w:tcPr>
            <w:tcW w:w="480" w:type="dxa"/>
            <w:tcBorders>
              <w:top w:val="single" w:sz="4" w:space="0" w:color="auto"/>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2014</w:t>
            </w:r>
          </w:p>
        </w:tc>
        <w:tc>
          <w:tcPr>
            <w:tcW w:w="480" w:type="dxa"/>
            <w:tcBorders>
              <w:top w:val="single" w:sz="4" w:space="0" w:color="auto"/>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2015</w:t>
            </w:r>
          </w:p>
        </w:tc>
        <w:tc>
          <w:tcPr>
            <w:tcW w:w="480" w:type="dxa"/>
            <w:tcBorders>
              <w:top w:val="single" w:sz="4" w:space="0" w:color="auto"/>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2016</w:t>
            </w:r>
          </w:p>
        </w:tc>
        <w:tc>
          <w:tcPr>
            <w:tcW w:w="480" w:type="dxa"/>
            <w:tcBorders>
              <w:top w:val="single" w:sz="4" w:space="0" w:color="auto"/>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2017</w:t>
            </w:r>
          </w:p>
        </w:tc>
      </w:tr>
      <w:tr>
        <w:trPr>
          <w:trHeight w:val="225"/>
        </w:trPr>
        <w:tc>
          <w:tcPr>
            <w:tcW w:w="7520" w:type="dxa"/>
            <w:gridSpan w:val="6"/>
            <w:tcBorders>
              <w:top w:val="nil"/>
              <w:left w:val="nil"/>
              <w:bottom w:val="nil"/>
              <w:right w:val="nil"/>
            </w:tcBorders>
            <w:shd w:val="clear" w:color="000000" w:fill="FFFFFF"/>
            <w:noWrap/>
            <w:vAlign w:val="center"/>
            <w:hideMark/>
          </w:tcPr>
          <w:p>
            <w:pPr>
              <w:jc w:val="center"/>
              <w:rPr>
                <w:rFonts w:ascii="Arial" w:eastAsia="Times New Roman" w:hAnsi="Arial" w:cs="Arial"/>
                <w:b/>
                <w:bCs/>
                <w:i/>
                <w:iCs/>
                <w:noProof/>
                <w:sz w:val="16"/>
                <w:szCs w:val="16"/>
                <w:lang w:val="en-IE" w:eastAsia="en-IE"/>
              </w:rPr>
            </w:pPr>
            <w:r>
              <w:rPr>
                <w:rFonts w:ascii="Arial" w:eastAsia="Times New Roman" w:hAnsi="Arial" w:cs="Arial"/>
                <w:b/>
                <w:bCs/>
                <w:i/>
                <w:iCs/>
                <w:noProof/>
                <w:sz w:val="16"/>
                <w:szCs w:val="16"/>
                <w:lang w:val="en-IE" w:eastAsia="en-IE"/>
              </w:rPr>
              <w:t>FDI Stocks</w:t>
            </w:r>
          </w:p>
        </w:tc>
      </w:tr>
      <w:tr>
        <w:trPr>
          <w:trHeight w:val="225"/>
        </w:trPr>
        <w:tc>
          <w:tcPr>
            <w:tcW w:w="512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Inward</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5</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4</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10</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-11</w:t>
            </w:r>
          </w:p>
        </w:tc>
      </w:tr>
      <w:tr>
        <w:trPr>
          <w:trHeight w:val="225"/>
        </w:trPr>
        <w:tc>
          <w:tcPr>
            <w:tcW w:w="512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Outward</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206</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460</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469</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145</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55</w:t>
            </w:r>
          </w:p>
        </w:tc>
      </w:tr>
      <w:tr>
        <w:trPr>
          <w:trHeight w:val="225"/>
        </w:trPr>
        <w:tc>
          <w:tcPr>
            <w:tcW w:w="7520" w:type="dxa"/>
            <w:gridSpan w:val="6"/>
            <w:tcBorders>
              <w:top w:val="nil"/>
              <w:left w:val="nil"/>
              <w:bottom w:val="nil"/>
              <w:right w:val="nil"/>
            </w:tcBorders>
            <w:shd w:val="clear" w:color="000000" w:fill="FFFFFF"/>
            <w:noWrap/>
            <w:vAlign w:val="center"/>
            <w:hideMark/>
          </w:tcPr>
          <w:p>
            <w:pPr>
              <w:jc w:val="center"/>
              <w:rPr>
                <w:rFonts w:ascii="Arial" w:eastAsia="Times New Roman" w:hAnsi="Arial" w:cs="Arial"/>
                <w:b/>
                <w:bCs/>
                <w:i/>
                <w:iCs/>
                <w:noProof/>
                <w:sz w:val="16"/>
                <w:szCs w:val="16"/>
                <w:lang w:val="en-IE" w:eastAsia="en-IE"/>
              </w:rPr>
            </w:pPr>
            <w:r>
              <w:rPr>
                <w:rFonts w:ascii="Arial" w:eastAsia="Times New Roman" w:hAnsi="Arial" w:cs="Arial"/>
                <w:b/>
                <w:bCs/>
                <w:i/>
                <w:iCs/>
                <w:noProof/>
                <w:sz w:val="16"/>
                <w:szCs w:val="16"/>
                <w:lang w:val="en-IE" w:eastAsia="en-IE"/>
              </w:rPr>
              <w:t>FDI Flows</w:t>
            </w:r>
          </w:p>
        </w:tc>
      </w:tr>
      <w:tr>
        <w:trPr>
          <w:trHeight w:val="225"/>
        </w:trPr>
        <w:tc>
          <w:tcPr>
            <w:tcW w:w="512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Inward</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-19</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-21</w:t>
            </w:r>
          </w:p>
        </w:tc>
      </w:tr>
      <w:tr>
        <w:trPr>
          <w:trHeight w:val="225"/>
        </w:trPr>
        <w:tc>
          <w:tcPr>
            <w:tcW w:w="512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Outward</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-36</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37</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-116</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-129</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17</w:t>
            </w:r>
          </w:p>
        </w:tc>
      </w:tr>
      <w:tr>
        <w:trPr>
          <w:trHeight w:val="225"/>
        </w:trPr>
        <w:tc>
          <w:tcPr>
            <w:tcW w:w="5120" w:type="dxa"/>
            <w:tcBorders>
              <w:top w:val="single" w:sz="4" w:space="0" w:color="auto"/>
              <w:left w:val="nil"/>
              <w:bottom w:val="nil"/>
              <w:right w:val="nil"/>
            </w:tcBorders>
            <w:shd w:val="clear" w:color="000000" w:fill="FFFFFF"/>
            <w:noWrap/>
            <w:hideMark/>
          </w:tcPr>
          <w:p>
            <w:pPr>
              <w:rPr>
                <w:rFonts w:ascii="Arial" w:eastAsia="Times New Roman" w:hAnsi="Arial" w:cs="Arial"/>
                <w:noProof/>
                <w:sz w:val="12"/>
                <w:szCs w:val="12"/>
                <w:lang w:val="en-IE" w:eastAsia="en-IE"/>
              </w:rPr>
            </w:pPr>
            <w:r>
              <w:rPr>
                <w:rFonts w:ascii="Arial" w:eastAsia="Times New Roman" w:hAnsi="Arial" w:cs="Arial"/>
                <w:noProof/>
                <w:sz w:val="12"/>
                <w:szCs w:val="12"/>
                <w:lang w:val="en-IE" w:eastAsia="en-IE"/>
              </w:rPr>
              <w:t>Source Trade G2 Statistics/ISDB from Eurostat BOP statistics</w:t>
            </w:r>
          </w:p>
        </w:tc>
        <w:tc>
          <w:tcPr>
            <w:tcW w:w="480" w:type="dxa"/>
            <w:tcBorders>
              <w:top w:val="nil"/>
              <w:left w:val="nil"/>
              <w:bottom w:val="nil"/>
              <w:right w:val="nil"/>
            </w:tcBorders>
            <w:shd w:val="clear" w:color="000000" w:fill="FFFFFF"/>
            <w:noWrap/>
            <w:hideMark/>
          </w:tcPr>
          <w:p>
            <w:pPr>
              <w:rPr>
                <w:rFonts w:ascii="Arial" w:eastAsia="Times New Roman" w:hAnsi="Arial" w:cs="Arial"/>
                <w:noProof/>
                <w:sz w:val="12"/>
                <w:szCs w:val="12"/>
                <w:lang w:val="en-IE" w:eastAsia="en-IE"/>
              </w:rPr>
            </w:pPr>
            <w:r>
              <w:rPr>
                <w:rFonts w:ascii="Arial" w:eastAsia="Times New Roman" w:hAnsi="Arial" w:cs="Arial"/>
                <w:noProof/>
                <w:sz w:val="12"/>
                <w:szCs w:val="12"/>
                <w:lang w:val="en-IE" w:eastAsia="en-IE"/>
              </w:rPr>
              <w:t> </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r>
    </w:tbl>
    <w:p>
      <w:pPr>
        <w:pStyle w:val="ChapterHead"/>
        <w:jc w:val="both"/>
        <w:rPr>
          <w:b/>
          <w:noProof/>
          <w:lang w:val="en-IE"/>
        </w:rPr>
      </w:pPr>
    </w:p>
    <w:p>
      <w:pPr>
        <w:pStyle w:val="ChapterHead"/>
        <w:jc w:val="both"/>
        <w:rPr>
          <w:b/>
          <w:noProof/>
        </w:rPr>
      </w:pPr>
      <w:bookmarkStart w:id="4315" w:name="_Toc16000879"/>
      <w:r>
        <w:rPr>
          <w:b/>
          <w:noProof/>
        </w:rPr>
        <w:t>Mauritius</w:t>
      </w:r>
      <w:bookmarkEnd w:id="4315"/>
    </w:p>
    <w:tbl>
      <w:tblPr>
        <w:tblW w:w="7520" w:type="dxa"/>
        <w:tblInd w:w="108" w:type="dxa"/>
        <w:tblLook w:val="04A0" w:firstRow="1" w:lastRow="0" w:firstColumn="1" w:lastColumn="0" w:noHBand="0" w:noVBand="1"/>
      </w:tblPr>
      <w:tblGrid>
        <w:gridCol w:w="5120"/>
        <w:gridCol w:w="706"/>
        <w:gridCol w:w="706"/>
        <w:gridCol w:w="706"/>
        <w:gridCol w:w="706"/>
        <w:gridCol w:w="732"/>
      </w:tblGrid>
      <w:tr>
        <w:trPr>
          <w:trHeight w:val="210"/>
        </w:trPr>
        <w:tc>
          <w:tcPr>
            <w:tcW w:w="7520" w:type="dxa"/>
            <w:gridSpan w:val="6"/>
            <w:tcBorders>
              <w:top w:val="nil"/>
              <w:left w:val="nil"/>
              <w:bottom w:val="nil"/>
              <w:right w:val="nil"/>
            </w:tcBorders>
            <w:shd w:val="clear" w:color="000000" w:fill="FFFFFF"/>
            <w:noWrap/>
            <w:vAlign w:val="center"/>
            <w:hideMark/>
          </w:tcPr>
          <w:p>
            <w:pPr>
              <w:jc w:val="center"/>
              <w:rPr>
                <w:rFonts w:ascii="Tahoma" w:eastAsia="Times New Roman" w:hAnsi="Tahoma" w:cs="Tahoma"/>
                <w:b/>
                <w:bCs/>
                <w:noProof/>
                <w:sz w:val="16"/>
                <w:szCs w:val="16"/>
                <w:lang w:val="en-IE" w:eastAsia="en-IE"/>
              </w:rPr>
            </w:pPr>
            <w:r>
              <w:rPr>
                <w:rFonts w:ascii="Tahoma" w:eastAsia="Times New Roman" w:hAnsi="Tahoma" w:cs="Tahoma"/>
                <w:b/>
                <w:bCs/>
                <w:noProof/>
                <w:sz w:val="16"/>
                <w:szCs w:val="16"/>
                <w:lang w:val="en-IE" w:eastAsia="en-IE"/>
              </w:rPr>
              <w:t>Merchandise trade EU28 2014-2018</w:t>
            </w:r>
          </w:p>
        </w:tc>
      </w:tr>
      <w:tr>
        <w:trPr>
          <w:trHeight w:val="210"/>
        </w:trPr>
        <w:tc>
          <w:tcPr>
            <w:tcW w:w="5120" w:type="dxa"/>
            <w:tcBorders>
              <w:top w:val="single" w:sz="4" w:space="0" w:color="auto"/>
              <w:left w:val="nil"/>
              <w:bottom w:val="single" w:sz="4" w:space="0" w:color="auto"/>
              <w:right w:val="nil"/>
            </w:tcBorders>
            <w:shd w:val="clear" w:color="000000" w:fill="FFFFFF"/>
            <w:noWrap/>
            <w:vAlign w:val="bottom"/>
            <w:hideMark/>
          </w:tcPr>
          <w:p>
            <w:pPr>
              <w:rPr>
                <w:rFonts w:ascii="Tahoma" w:eastAsia="Times New Roman" w:hAnsi="Tahoma" w:cs="Tahoma"/>
                <w:b/>
                <w:bCs/>
                <w:noProof/>
                <w:sz w:val="16"/>
                <w:szCs w:val="16"/>
                <w:lang w:val="en-IE" w:eastAsia="en-IE"/>
              </w:rPr>
            </w:pPr>
            <w:r>
              <w:rPr>
                <w:rFonts w:ascii="Tahoma" w:eastAsia="Times New Roman" w:hAnsi="Tahoma" w:cs="Tahoma"/>
                <w:b/>
                <w:bCs/>
                <w:noProof/>
                <w:sz w:val="16"/>
                <w:szCs w:val="16"/>
                <w:lang w:val="en-IE" w:eastAsia="en-IE"/>
              </w:rPr>
              <w:t> </w:t>
            </w:r>
          </w:p>
        </w:tc>
        <w:tc>
          <w:tcPr>
            <w:tcW w:w="480" w:type="dxa"/>
            <w:tcBorders>
              <w:top w:val="single" w:sz="4" w:space="0" w:color="auto"/>
              <w:left w:val="nil"/>
              <w:bottom w:val="single" w:sz="4" w:space="0" w:color="auto"/>
              <w:right w:val="nil"/>
            </w:tcBorders>
            <w:shd w:val="clear" w:color="000000" w:fill="FFFFFF"/>
            <w:noWrap/>
            <w:vAlign w:val="bottom"/>
            <w:hideMark/>
          </w:tcPr>
          <w:p>
            <w:pPr>
              <w:jc w:val="center"/>
              <w:rPr>
                <w:rFonts w:ascii="Tahoma" w:eastAsia="Times New Roman" w:hAnsi="Tahoma" w:cs="Tahoma"/>
                <w:b/>
                <w:bCs/>
                <w:noProof/>
                <w:sz w:val="16"/>
                <w:szCs w:val="16"/>
                <w:lang w:val="en-IE" w:eastAsia="en-IE"/>
              </w:rPr>
            </w:pPr>
            <w:r>
              <w:rPr>
                <w:rFonts w:ascii="Tahoma" w:eastAsia="Times New Roman" w:hAnsi="Tahoma" w:cs="Tahoma"/>
                <w:b/>
                <w:bCs/>
                <w:noProof/>
                <w:sz w:val="16"/>
                <w:szCs w:val="16"/>
                <w:lang w:val="en-IE" w:eastAsia="en-IE"/>
              </w:rPr>
              <w:t>2014</w:t>
            </w:r>
          </w:p>
        </w:tc>
        <w:tc>
          <w:tcPr>
            <w:tcW w:w="480" w:type="dxa"/>
            <w:tcBorders>
              <w:top w:val="single" w:sz="4" w:space="0" w:color="auto"/>
              <w:left w:val="nil"/>
              <w:bottom w:val="single" w:sz="4" w:space="0" w:color="auto"/>
              <w:right w:val="nil"/>
            </w:tcBorders>
            <w:shd w:val="clear" w:color="000000" w:fill="FFFFFF"/>
            <w:noWrap/>
            <w:vAlign w:val="bottom"/>
            <w:hideMark/>
          </w:tcPr>
          <w:p>
            <w:pPr>
              <w:jc w:val="center"/>
              <w:rPr>
                <w:rFonts w:ascii="Tahoma" w:eastAsia="Times New Roman" w:hAnsi="Tahoma" w:cs="Tahoma"/>
                <w:b/>
                <w:bCs/>
                <w:noProof/>
                <w:sz w:val="16"/>
                <w:szCs w:val="16"/>
                <w:lang w:val="en-IE" w:eastAsia="en-IE"/>
              </w:rPr>
            </w:pPr>
            <w:r>
              <w:rPr>
                <w:rFonts w:ascii="Tahoma" w:eastAsia="Times New Roman" w:hAnsi="Tahoma" w:cs="Tahoma"/>
                <w:b/>
                <w:bCs/>
                <w:noProof/>
                <w:sz w:val="16"/>
                <w:szCs w:val="16"/>
                <w:lang w:val="en-IE" w:eastAsia="en-IE"/>
              </w:rPr>
              <w:t>2015</w:t>
            </w:r>
          </w:p>
        </w:tc>
        <w:tc>
          <w:tcPr>
            <w:tcW w:w="480" w:type="dxa"/>
            <w:tcBorders>
              <w:top w:val="single" w:sz="4" w:space="0" w:color="auto"/>
              <w:left w:val="nil"/>
              <w:bottom w:val="single" w:sz="4" w:space="0" w:color="auto"/>
              <w:right w:val="nil"/>
            </w:tcBorders>
            <w:shd w:val="clear" w:color="000000" w:fill="FFFFFF"/>
            <w:noWrap/>
            <w:vAlign w:val="bottom"/>
            <w:hideMark/>
          </w:tcPr>
          <w:p>
            <w:pPr>
              <w:jc w:val="center"/>
              <w:rPr>
                <w:rFonts w:ascii="Tahoma" w:eastAsia="Times New Roman" w:hAnsi="Tahoma" w:cs="Tahoma"/>
                <w:b/>
                <w:bCs/>
                <w:noProof/>
                <w:sz w:val="16"/>
                <w:szCs w:val="16"/>
                <w:lang w:val="en-IE" w:eastAsia="en-IE"/>
              </w:rPr>
            </w:pPr>
            <w:r>
              <w:rPr>
                <w:rFonts w:ascii="Tahoma" w:eastAsia="Times New Roman" w:hAnsi="Tahoma" w:cs="Tahoma"/>
                <w:b/>
                <w:bCs/>
                <w:noProof/>
                <w:sz w:val="16"/>
                <w:szCs w:val="16"/>
                <w:lang w:val="en-IE" w:eastAsia="en-IE"/>
              </w:rPr>
              <w:t>2016</w:t>
            </w:r>
          </w:p>
        </w:tc>
        <w:tc>
          <w:tcPr>
            <w:tcW w:w="480" w:type="dxa"/>
            <w:tcBorders>
              <w:top w:val="single" w:sz="4" w:space="0" w:color="auto"/>
              <w:left w:val="nil"/>
              <w:bottom w:val="single" w:sz="4" w:space="0" w:color="auto"/>
              <w:right w:val="nil"/>
            </w:tcBorders>
            <w:shd w:val="clear" w:color="000000" w:fill="FFFFFF"/>
            <w:noWrap/>
            <w:vAlign w:val="bottom"/>
            <w:hideMark/>
          </w:tcPr>
          <w:p>
            <w:pPr>
              <w:jc w:val="center"/>
              <w:rPr>
                <w:rFonts w:ascii="Tahoma" w:eastAsia="Times New Roman" w:hAnsi="Tahoma" w:cs="Tahoma"/>
                <w:b/>
                <w:bCs/>
                <w:noProof/>
                <w:sz w:val="16"/>
                <w:szCs w:val="16"/>
                <w:lang w:val="en-IE" w:eastAsia="en-IE"/>
              </w:rPr>
            </w:pPr>
            <w:r>
              <w:rPr>
                <w:rFonts w:ascii="Tahoma" w:eastAsia="Times New Roman" w:hAnsi="Tahoma" w:cs="Tahoma"/>
                <w:b/>
                <w:bCs/>
                <w:noProof/>
                <w:sz w:val="16"/>
                <w:szCs w:val="16"/>
                <w:lang w:val="en-IE" w:eastAsia="en-IE"/>
              </w:rPr>
              <w:t>2017</w:t>
            </w:r>
          </w:p>
        </w:tc>
        <w:tc>
          <w:tcPr>
            <w:tcW w:w="480" w:type="dxa"/>
            <w:tcBorders>
              <w:top w:val="single" w:sz="4" w:space="0" w:color="auto"/>
              <w:left w:val="nil"/>
              <w:bottom w:val="single" w:sz="4" w:space="0" w:color="auto"/>
              <w:right w:val="nil"/>
            </w:tcBorders>
            <w:shd w:val="clear" w:color="000000" w:fill="FFFFFF"/>
            <w:noWrap/>
            <w:vAlign w:val="bottom"/>
            <w:hideMark/>
          </w:tcPr>
          <w:p>
            <w:pPr>
              <w:jc w:val="center"/>
              <w:rPr>
                <w:rFonts w:ascii="Tahoma" w:eastAsia="Times New Roman" w:hAnsi="Tahoma" w:cs="Tahoma"/>
                <w:b/>
                <w:bCs/>
                <w:noProof/>
                <w:sz w:val="16"/>
                <w:szCs w:val="16"/>
                <w:lang w:val="en-IE" w:eastAsia="en-IE"/>
              </w:rPr>
            </w:pPr>
            <w:r>
              <w:rPr>
                <w:rFonts w:ascii="Tahoma" w:eastAsia="Times New Roman" w:hAnsi="Tahoma" w:cs="Tahoma"/>
                <w:b/>
                <w:bCs/>
                <w:noProof/>
                <w:sz w:val="16"/>
                <w:szCs w:val="16"/>
                <w:lang w:val="en-IE" w:eastAsia="en-IE"/>
              </w:rPr>
              <w:t>2018</w:t>
            </w:r>
          </w:p>
        </w:tc>
      </w:tr>
      <w:tr>
        <w:trPr>
          <w:trHeight w:val="210"/>
        </w:trPr>
        <w:tc>
          <w:tcPr>
            <w:tcW w:w="5120" w:type="dxa"/>
            <w:tcBorders>
              <w:top w:val="nil"/>
              <w:left w:val="nil"/>
              <w:bottom w:val="nil"/>
              <w:right w:val="nil"/>
            </w:tcBorders>
            <w:shd w:val="clear" w:color="000000" w:fill="FFFFFF"/>
            <w:noWrap/>
            <w:vAlign w:val="center"/>
            <w:hideMark/>
          </w:tcPr>
          <w:p>
            <w:pPr>
              <w:jc w:val="cente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EU28 trade with Mauritius (mio €)</w:t>
            </w:r>
          </w:p>
        </w:tc>
        <w:tc>
          <w:tcPr>
            <w:tcW w:w="480" w:type="dxa"/>
            <w:tcBorders>
              <w:top w:val="nil"/>
              <w:left w:val="nil"/>
              <w:bottom w:val="nil"/>
              <w:right w:val="nil"/>
            </w:tcBorders>
            <w:shd w:val="clear" w:color="auto" w:fill="auto"/>
            <w:noWrap/>
            <w:vAlign w:val="center"/>
            <w:hideMark/>
          </w:tcPr>
          <w:p>
            <w:pPr>
              <w:jc w:val="center"/>
              <w:rPr>
                <w:rFonts w:ascii="Tahoma" w:eastAsia="Times New Roman" w:hAnsi="Tahoma" w:cs="Tahoma"/>
                <w:b/>
                <w:bCs/>
                <w:i/>
                <w:iCs/>
                <w:noProof/>
                <w:sz w:val="16"/>
                <w:szCs w:val="16"/>
                <w:lang w:val="en-IE" w:eastAsia="en-IE"/>
              </w:rPr>
            </w:pPr>
          </w:p>
        </w:tc>
        <w:tc>
          <w:tcPr>
            <w:tcW w:w="480" w:type="dxa"/>
            <w:tcBorders>
              <w:top w:val="nil"/>
              <w:left w:val="nil"/>
              <w:bottom w:val="nil"/>
              <w:right w:val="nil"/>
            </w:tcBorders>
            <w:shd w:val="clear" w:color="000000" w:fill="FFFFFF"/>
            <w:noWrap/>
            <w:vAlign w:val="center"/>
            <w:hideMark/>
          </w:tcPr>
          <w:p>
            <w:pP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 </w:t>
            </w:r>
          </w:p>
        </w:tc>
        <w:tc>
          <w:tcPr>
            <w:tcW w:w="480" w:type="dxa"/>
            <w:tcBorders>
              <w:top w:val="nil"/>
              <w:left w:val="nil"/>
              <w:bottom w:val="nil"/>
              <w:right w:val="nil"/>
            </w:tcBorders>
            <w:shd w:val="clear" w:color="000000" w:fill="FFFFFF"/>
            <w:noWrap/>
            <w:vAlign w:val="center"/>
            <w:hideMark/>
          </w:tcPr>
          <w:p>
            <w:pP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 </w:t>
            </w:r>
          </w:p>
        </w:tc>
        <w:tc>
          <w:tcPr>
            <w:tcW w:w="480" w:type="dxa"/>
            <w:tcBorders>
              <w:top w:val="nil"/>
              <w:left w:val="nil"/>
              <w:bottom w:val="nil"/>
              <w:right w:val="nil"/>
            </w:tcBorders>
            <w:shd w:val="clear" w:color="000000" w:fill="FFFFFF"/>
            <w:noWrap/>
            <w:vAlign w:val="center"/>
            <w:hideMark/>
          </w:tcPr>
          <w:p>
            <w:pP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 </w:t>
            </w:r>
          </w:p>
        </w:tc>
        <w:tc>
          <w:tcPr>
            <w:tcW w:w="480" w:type="dxa"/>
            <w:tcBorders>
              <w:top w:val="nil"/>
              <w:left w:val="nil"/>
              <w:bottom w:val="nil"/>
              <w:right w:val="nil"/>
            </w:tcBorders>
            <w:shd w:val="clear" w:color="000000" w:fill="FFFFFF"/>
            <w:noWrap/>
            <w:vAlign w:val="center"/>
            <w:hideMark/>
          </w:tcPr>
          <w:p>
            <w:pP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 </w:t>
            </w:r>
          </w:p>
        </w:tc>
      </w:tr>
      <w:tr>
        <w:trPr>
          <w:trHeight w:val="210"/>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Imports</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960</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895</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861</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925</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756</w:t>
            </w:r>
          </w:p>
        </w:tc>
      </w:tr>
      <w:tr>
        <w:trPr>
          <w:trHeight w:val="210"/>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Exports</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875</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899</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950</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1.169</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1.067</w:t>
            </w:r>
          </w:p>
        </w:tc>
      </w:tr>
      <w:tr>
        <w:trPr>
          <w:trHeight w:val="210"/>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Balance</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-85</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4</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89</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244</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310</w:t>
            </w:r>
          </w:p>
        </w:tc>
      </w:tr>
      <w:tr>
        <w:trPr>
          <w:trHeight w:val="210"/>
        </w:trPr>
        <w:tc>
          <w:tcPr>
            <w:tcW w:w="5120" w:type="dxa"/>
            <w:tcBorders>
              <w:top w:val="nil"/>
              <w:left w:val="nil"/>
              <w:bottom w:val="nil"/>
              <w:right w:val="nil"/>
            </w:tcBorders>
            <w:shd w:val="clear" w:color="000000" w:fill="FFFFFF"/>
            <w:noWrap/>
            <w:vAlign w:val="center"/>
            <w:hideMark/>
          </w:tcPr>
          <w:p>
            <w:pPr>
              <w:jc w:val="cente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Share Mauritius in EU28 trade with Extra-EU28</w:t>
            </w:r>
          </w:p>
        </w:tc>
        <w:tc>
          <w:tcPr>
            <w:tcW w:w="480" w:type="dxa"/>
            <w:tcBorders>
              <w:top w:val="nil"/>
              <w:left w:val="nil"/>
              <w:bottom w:val="nil"/>
              <w:right w:val="nil"/>
            </w:tcBorders>
            <w:shd w:val="clear" w:color="auto" w:fill="auto"/>
            <w:noWrap/>
            <w:vAlign w:val="center"/>
            <w:hideMark/>
          </w:tcPr>
          <w:p>
            <w:pPr>
              <w:jc w:val="center"/>
              <w:rPr>
                <w:rFonts w:ascii="Tahoma" w:eastAsia="Times New Roman" w:hAnsi="Tahoma" w:cs="Tahoma"/>
                <w:b/>
                <w:bCs/>
                <w:i/>
                <w:iCs/>
                <w:noProof/>
                <w:sz w:val="16"/>
                <w:szCs w:val="16"/>
                <w:lang w:val="en-IE" w:eastAsia="en-IE"/>
              </w:rPr>
            </w:pPr>
          </w:p>
        </w:tc>
        <w:tc>
          <w:tcPr>
            <w:tcW w:w="480" w:type="dxa"/>
            <w:tcBorders>
              <w:top w:val="nil"/>
              <w:left w:val="nil"/>
              <w:bottom w:val="nil"/>
              <w:right w:val="nil"/>
            </w:tcBorders>
            <w:shd w:val="clear" w:color="000000" w:fill="FFFFFF"/>
            <w:noWrap/>
            <w:vAlign w:val="center"/>
            <w:hideMark/>
          </w:tcPr>
          <w:p>
            <w:pP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 </w:t>
            </w:r>
          </w:p>
        </w:tc>
        <w:tc>
          <w:tcPr>
            <w:tcW w:w="480" w:type="dxa"/>
            <w:tcBorders>
              <w:top w:val="nil"/>
              <w:left w:val="nil"/>
              <w:bottom w:val="nil"/>
              <w:right w:val="nil"/>
            </w:tcBorders>
            <w:shd w:val="clear" w:color="000000" w:fill="FFFFFF"/>
            <w:noWrap/>
            <w:vAlign w:val="center"/>
            <w:hideMark/>
          </w:tcPr>
          <w:p>
            <w:pP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 </w:t>
            </w:r>
          </w:p>
        </w:tc>
        <w:tc>
          <w:tcPr>
            <w:tcW w:w="480" w:type="dxa"/>
            <w:tcBorders>
              <w:top w:val="nil"/>
              <w:left w:val="nil"/>
              <w:bottom w:val="nil"/>
              <w:right w:val="nil"/>
            </w:tcBorders>
            <w:shd w:val="clear" w:color="000000" w:fill="FFFFFF"/>
            <w:noWrap/>
            <w:vAlign w:val="center"/>
            <w:hideMark/>
          </w:tcPr>
          <w:p>
            <w:pP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 </w:t>
            </w:r>
          </w:p>
        </w:tc>
        <w:tc>
          <w:tcPr>
            <w:tcW w:w="480" w:type="dxa"/>
            <w:tcBorders>
              <w:top w:val="nil"/>
              <w:left w:val="nil"/>
              <w:bottom w:val="nil"/>
              <w:right w:val="nil"/>
            </w:tcBorders>
            <w:shd w:val="clear" w:color="000000" w:fill="FFFFFF"/>
            <w:noWrap/>
            <w:vAlign w:val="center"/>
            <w:hideMark/>
          </w:tcPr>
          <w:p>
            <w:pP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 </w:t>
            </w:r>
          </w:p>
        </w:tc>
      </w:tr>
      <w:tr>
        <w:trPr>
          <w:trHeight w:val="210"/>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Imports</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0,1%</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0,1%</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0,1%</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r>
      <w:tr>
        <w:trPr>
          <w:trHeight w:val="210"/>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Exports</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0,1%</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0,1%</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0,1%</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0,1%</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0,1%</w:t>
            </w:r>
          </w:p>
        </w:tc>
      </w:tr>
      <w:tr>
        <w:trPr>
          <w:trHeight w:val="210"/>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Total (I+E)</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0,1%</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0,1%</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0,1%</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0,1%</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r>
      <w:tr>
        <w:trPr>
          <w:trHeight w:val="210"/>
        </w:trPr>
        <w:tc>
          <w:tcPr>
            <w:tcW w:w="7520" w:type="dxa"/>
            <w:gridSpan w:val="6"/>
            <w:tcBorders>
              <w:top w:val="nil"/>
              <w:left w:val="nil"/>
              <w:bottom w:val="nil"/>
              <w:right w:val="nil"/>
            </w:tcBorders>
            <w:shd w:val="clear" w:color="000000" w:fill="FFFFFF"/>
            <w:noWrap/>
            <w:vAlign w:val="center"/>
            <w:hideMark/>
          </w:tcPr>
          <w:p>
            <w:pPr>
              <w:jc w:val="cente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Share EU28 in trade Mauritius with world</w:t>
            </w:r>
          </w:p>
        </w:tc>
      </w:tr>
      <w:tr>
        <w:trPr>
          <w:trHeight w:val="210"/>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Imports</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20,8%</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20,3%</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22,8%</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23,5%</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23,0%</w:t>
            </w:r>
          </w:p>
        </w:tc>
      </w:tr>
      <w:tr>
        <w:trPr>
          <w:trHeight w:val="210"/>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Exports</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49,4%</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43,4%</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48,4%</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51,5%</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47,7%</w:t>
            </w:r>
          </w:p>
        </w:tc>
      </w:tr>
      <w:tr>
        <w:trPr>
          <w:trHeight w:val="210"/>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Total (I+E)</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30,0%</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28,1%</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31,0%</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31,5%</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29,0%</w:t>
            </w:r>
          </w:p>
        </w:tc>
      </w:tr>
      <w:tr>
        <w:trPr>
          <w:trHeight w:val="225"/>
        </w:trPr>
        <w:tc>
          <w:tcPr>
            <w:tcW w:w="6080" w:type="dxa"/>
            <w:gridSpan w:val="3"/>
            <w:tcBorders>
              <w:top w:val="single" w:sz="4" w:space="0" w:color="auto"/>
              <w:left w:val="nil"/>
              <w:bottom w:val="nil"/>
              <w:right w:val="nil"/>
            </w:tcBorders>
            <w:shd w:val="clear" w:color="000000" w:fill="FFFFFF"/>
            <w:noWrap/>
            <w:vAlign w:val="bottom"/>
            <w:hideMark/>
          </w:tcPr>
          <w:p>
            <w:pPr>
              <w:rPr>
                <w:rFonts w:ascii="Tahoma" w:eastAsia="Times New Roman" w:hAnsi="Tahoma" w:cs="Tahoma"/>
                <w:noProof/>
                <w:sz w:val="12"/>
                <w:szCs w:val="12"/>
                <w:lang w:val="en-IE" w:eastAsia="en-IE"/>
              </w:rPr>
            </w:pPr>
            <w:r>
              <w:rPr>
                <w:rFonts w:ascii="Tahoma" w:eastAsia="Times New Roman" w:hAnsi="Tahoma" w:cs="Tahoma"/>
                <w:noProof/>
                <w:sz w:val="12"/>
                <w:szCs w:val="12"/>
                <w:lang w:val="en-IE" w:eastAsia="en-IE"/>
              </w:rPr>
              <w:t xml:space="preserve">Source Trade G2 Statistics/ISDB </w:t>
            </w:r>
          </w:p>
        </w:tc>
        <w:tc>
          <w:tcPr>
            <w:tcW w:w="480" w:type="dxa"/>
            <w:tcBorders>
              <w:top w:val="single" w:sz="4" w:space="0" w:color="auto"/>
              <w:left w:val="nil"/>
              <w:bottom w:val="nil"/>
              <w:right w:val="nil"/>
            </w:tcBorders>
            <w:shd w:val="clear" w:color="000000" w:fill="FFFFFF"/>
            <w:noWrap/>
            <w:vAlign w:val="bottom"/>
            <w:hideMark/>
          </w:tcPr>
          <w:p>
            <w:pPr>
              <w:jc w:val="center"/>
              <w:rPr>
                <w:rFonts w:ascii="Tahoma" w:eastAsia="Times New Roman" w:hAnsi="Tahoma" w:cs="Tahoma"/>
                <w:noProof/>
                <w:sz w:val="18"/>
                <w:szCs w:val="18"/>
                <w:lang w:val="en-IE" w:eastAsia="en-IE"/>
              </w:rPr>
            </w:pPr>
            <w:r>
              <w:rPr>
                <w:rFonts w:ascii="Tahoma" w:eastAsia="Times New Roman" w:hAnsi="Tahoma" w:cs="Tahoma"/>
                <w:noProof/>
                <w:sz w:val="18"/>
                <w:szCs w:val="18"/>
                <w:lang w:val="en-IE" w:eastAsia="en-IE"/>
              </w:rPr>
              <w:t> </w:t>
            </w:r>
          </w:p>
        </w:tc>
        <w:tc>
          <w:tcPr>
            <w:tcW w:w="480" w:type="dxa"/>
            <w:tcBorders>
              <w:top w:val="single" w:sz="4" w:space="0" w:color="auto"/>
              <w:left w:val="nil"/>
              <w:bottom w:val="nil"/>
              <w:right w:val="nil"/>
            </w:tcBorders>
            <w:shd w:val="clear" w:color="000000" w:fill="FFFFFF"/>
            <w:noWrap/>
            <w:vAlign w:val="bottom"/>
            <w:hideMark/>
          </w:tcPr>
          <w:p>
            <w:pPr>
              <w:jc w:val="center"/>
              <w:rPr>
                <w:rFonts w:ascii="Tahoma" w:eastAsia="Times New Roman" w:hAnsi="Tahoma" w:cs="Tahoma"/>
                <w:noProof/>
                <w:sz w:val="18"/>
                <w:szCs w:val="18"/>
                <w:lang w:val="en-IE" w:eastAsia="en-IE"/>
              </w:rPr>
            </w:pPr>
            <w:r>
              <w:rPr>
                <w:rFonts w:ascii="Tahoma" w:eastAsia="Times New Roman" w:hAnsi="Tahoma" w:cs="Tahoma"/>
                <w:noProof/>
                <w:sz w:val="18"/>
                <w:szCs w:val="18"/>
                <w:lang w:val="en-IE" w:eastAsia="en-IE"/>
              </w:rPr>
              <w:t> </w:t>
            </w:r>
          </w:p>
        </w:tc>
        <w:tc>
          <w:tcPr>
            <w:tcW w:w="480" w:type="dxa"/>
            <w:tcBorders>
              <w:top w:val="single" w:sz="4" w:space="0" w:color="auto"/>
              <w:left w:val="nil"/>
              <w:bottom w:val="nil"/>
              <w:right w:val="nil"/>
            </w:tcBorders>
            <w:shd w:val="clear" w:color="000000" w:fill="FFFFFF"/>
            <w:noWrap/>
            <w:hideMark/>
          </w:tcPr>
          <w:p>
            <w:pPr>
              <w:jc w:val="right"/>
              <w:rPr>
                <w:rFonts w:ascii="Tahoma" w:eastAsia="Times New Roman" w:hAnsi="Tahoma" w:cs="Tahoma"/>
                <w:noProof/>
                <w:sz w:val="12"/>
                <w:szCs w:val="12"/>
                <w:lang w:val="en-IE" w:eastAsia="en-IE"/>
              </w:rPr>
            </w:pPr>
            <w:r>
              <w:rPr>
                <w:rFonts w:ascii="Tahoma" w:eastAsia="Times New Roman" w:hAnsi="Tahoma" w:cs="Tahoma"/>
                <w:noProof/>
                <w:sz w:val="12"/>
                <w:szCs w:val="12"/>
                <w:lang w:val="en-IE" w:eastAsia="en-IE"/>
              </w:rPr>
              <w:t>25-mars-19</w:t>
            </w:r>
          </w:p>
        </w:tc>
      </w:tr>
      <w:tr>
        <w:trPr>
          <w:trHeight w:val="210"/>
        </w:trPr>
        <w:tc>
          <w:tcPr>
            <w:tcW w:w="6560" w:type="dxa"/>
            <w:gridSpan w:val="4"/>
            <w:tcBorders>
              <w:top w:val="nil"/>
              <w:left w:val="nil"/>
              <w:bottom w:val="nil"/>
              <w:right w:val="nil"/>
            </w:tcBorders>
            <w:shd w:val="clear" w:color="000000" w:fill="FFFFFF"/>
            <w:noWrap/>
            <w:hideMark/>
          </w:tcPr>
          <w:p>
            <w:pPr>
              <w:rPr>
                <w:rFonts w:ascii="Tahoma" w:eastAsia="Times New Roman" w:hAnsi="Tahoma" w:cs="Tahoma"/>
                <w:noProof/>
                <w:color w:val="000000"/>
                <w:sz w:val="12"/>
                <w:szCs w:val="12"/>
                <w:lang w:val="fr-BE" w:eastAsia="en-IE"/>
              </w:rPr>
            </w:pPr>
            <w:r>
              <w:rPr>
                <w:rFonts w:ascii="Tahoma" w:eastAsia="Times New Roman" w:hAnsi="Tahoma" w:cs="Tahoma"/>
                <w:noProof/>
                <w:color w:val="000000"/>
                <w:sz w:val="12"/>
                <w:szCs w:val="12"/>
                <w:lang w:val="fr-BE" w:eastAsia="en-IE"/>
              </w:rPr>
              <w:t>Trade EU28: Eurostat COMEXT;  Trade Mauritius: IMF Dots</w:t>
            </w:r>
          </w:p>
        </w:tc>
        <w:tc>
          <w:tcPr>
            <w:tcW w:w="480" w:type="dxa"/>
            <w:tcBorders>
              <w:top w:val="nil"/>
              <w:left w:val="nil"/>
              <w:bottom w:val="nil"/>
              <w:right w:val="nil"/>
            </w:tcBorders>
            <w:shd w:val="clear" w:color="000000" w:fill="FFFFFF"/>
            <w:noWrap/>
            <w:vAlign w:val="bottom"/>
            <w:hideMark/>
          </w:tcPr>
          <w:p>
            <w:pPr>
              <w:rPr>
                <w:rFonts w:ascii="Tahoma" w:eastAsia="Times New Roman" w:hAnsi="Tahoma" w:cs="Tahoma"/>
                <w:noProof/>
                <w:color w:val="000000"/>
                <w:sz w:val="16"/>
                <w:szCs w:val="16"/>
                <w:lang w:val="fr-BE" w:eastAsia="en-IE"/>
              </w:rPr>
            </w:pPr>
            <w:r>
              <w:rPr>
                <w:rFonts w:ascii="Tahoma" w:eastAsia="Times New Roman" w:hAnsi="Tahoma" w:cs="Tahoma"/>
                <w:noProof/>
                <w:color w:val="000000"/>
                <w:sz w:val="16"/>
                <w:szCs w:val="16"/>
                <w:lang w:val="fr-BE" w:eastAsia="en-IE"/>
              </w:rPr>
              <w:t> </w:t>
            </w:r>
          </w:p>
        </w:tc>
        <w:tc>
          <w:tcPr>
            <w:tcW w:w="480" w:type="dxa"/>
            <w:tcBorders>
              <w:top w:val="nil"/>
              <w:left w:val="nil"/>
              <w:bottom w:val="nil"/>
              <w:right w:val="nil"/>
            </w:tcBorders>
            <w:shd w:val="clear" w:color="000000" w:fill="FFFFFF"/>
            <w:noWrap/>
            <w:vAlign w:val="bottom"/>
            <w:hideMark/>
          </w:tcPr>
          <w:p>
            <w:pPr>
              <w:rPr>
                <w:rFonts w:ascii="Tahoma" w:eastAsia="Times New Roman" w:hAnsi="Tahoma" w:cs="Tahoma"/>
                <w:noProof/>
                <w:color w:val="000000"/>
                <w:sz w:val="16"/>
                <w:szCs w:val="16"/>
                <w:lang w:val="fr-BE" w:eastAsia="en-IE"/>
              </w:rPr>
            </w:pPr>
            <w:r>
              <w:rPr>
                <w:rFonts w:ascii="Tahoma" w:eastAsia="Times New Roman" w:hAnsi="Tahoma" w:cs="Tahoma"/>
                <w:noProof/>
                <w:color w:val="000000"/>
                <w:sz w:val="16"/>
                <w:szCs w:val="16"/>
                <w:lang w:val="fr-BE" w:eastAsia="en-IE"/>
              </w:rPr>
              <w:t> </w:t>
            </w:r>
          </w:p>
        </w:tc>
      </w:tr>
      <w:tr>
        <w:trPr>
          <w:trHeight w:val="210"/>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color w:val="000000"/>
                <w:sz w:val="16"/>
                <w:szCs w:val="16"/>
                <w:lang w:val="fr-BE" w:eastAsia="en-IE"/>
              </w:rPr>
            </w:pPr>
            <w:r>
              <w:rPr>
                <w:rFonts w:ascii="Tahoma" w:eastAsia="Times New Roman" w:hAnsi="Tahoma" w:cs="Tahoma"/>
                <w:noProof/>
                <w:color w:val="000000"/>
                <w:sz w:val="16"/>
                <w:szCs w:val="16"/>
                <w:lang w:val="fr-BE" w:eastAsia="en-IE"/>
              </w:rPr>
              <w:t> </w:t>
            </w:r>
          </w:p>
        </w:tc>
        <w:tc>
          <w:tcPr>
            <w:tcW w:w="480" w:type="dxa"/>
            <w:tcBorders>
              <w:top w:val="nil"/>
              <w:left w:val="nil"/>
              <w:bottom w:val="nil"/>
              <w:right w:val="nil"/>
            </w:tcBorders>
            <w:shd w:val="clear" w:color="000000" w:fill="FFFFFF"/>
            <w:noWrap/>
            <w:vAlign w:val="bottom"/>
            <w:hideMark/>
          </w:tcPr>
          <w:p>
            <w:pPr>
              <w:rPr>
                <w:rFonts w:ascii="Tahoma" w:eastAsia="Times New Roman" w:hAnsi="Tahoma" w:cs="Tahoma"/>
                <w:noProof/>
                <w:color w:val="000000"/>
                <w:sz w:val="16"/>
                <w:szCs w:val="16"/>
                <w:lang w:val="fr-BE" w:eastAsia="en-IE"/>
              </w:rPr>
            </w:pPr>
            <w:r>
              <w:rPr>
                <w:rFonts w:ascii="Tahoma" w:eastAsia="Times New Roman" w:hAnsi="Tahoma" w:cs="Tahoma"/>
                <w:noProof/>
                <w:color w:val="000000"/>
                <w:sz w:val="16"/>
                <w:szCs w:val="16"/>
                <w:lang w:val="fr-BE" w:eastAsia="en-IE"/>
              </w:rPr>
              <w:t> </w:t>
            </w:r>
          </w:p>
        </w:tc>
        <w:tc>
          <w:tcPr>
            <w:tcW w:w="480" w:type="dxa"/>
            <w:tcBorders>
              <w:top w:val="nil"/>
              <w:left w:val="nil"/>
              <w:bottom w:val="nil"/>
              <w:right w:val="nil"/>
            </w:tcBorders>
            <w:shd w:val="clear" w:color="000000" w:fill="FFFFFF"/>
            <w:noWrap/>
            <w:vAlign w:val="bottom"/>
            <w:hideMark/>
          </w:tcPr>
          <w:p>
            <w:pPr>
              <w:rPr>
                <w:rFonts w:ascii="Tahoma" w:eastAsia="Times New Roman" w:hAnsi="Tahoma" w:cs="Tahoma"/>
                <w:noProof/>
                <w:color w:val="000000"/>
                <w:sz w:val="16"/>
                <w:szCs w:val="16"/>
                <w:lang w:val="fr-BE" w:eastAsia="en-IE"/>
              </w:rPr>
            </w:pPr>
            <w:r>
              <w:rPr>
                <w:rFonts w:ascii="Tahoma" w:eastAsia="Times New Roman" w:hAnsi="Tahoma" w:cs="Tahoma"/>
                <w:noProof/>
                <w:color w:val="000000"/>
                <w:sz w:val="16"/>
                <w:szCs w:val="16"/>
                <w:lang w:val="fr-BE" w:eastAsia="en-IE"/>
              </w:rPr>
              <w:t> </w:t>
            </w:r>
          </w:p>
        </w:tc>
        <w:tc>
          <w:tcPr>
            <w:tcW w:w="480" w:type="dxa"/>
            <w:tcBorders>
              <w:top w:val="nil"/>
              <w:left w:val="nil"/>
              <w:bottom w:val="nil"/>
              <w:right w:val="nil"/>
            </w:tcBorders>
            <w:shd w:val="clear" w:color="000000" w:fill="FFFFFF"/>
            <w:noWrap/>
            <w:vAlign w:val="bottom"/>
            <w:hideMark/>
          </w:tcPr>
          <w:p>
            <w:pPr>
              <w:rPr>
                <w:rFonts w:ascii="Tahoma" w:eastAsia="Times New Roman" w:hAnsi="Tahoma" w:cs="Tahoma"/>
                <w:noProof/>
                <w:color w:val="000000"/>
                <w:sz w:val="16"/>
                <w:szCs w:val="16"/>
                <w:lang w:val="fr-BE" w:eastAsia="en-IE"/>
              </w:rPr>
            </w:pPr>
            <w:r>
              <w:rPr>
                <w:rFonts w:ascii="Tahoma" w:eastAsia="Times New Roman" w:hAnsi="Tahoma" w:cs="Tahoma"/>
                <w:noProof/>
                <w:color w:val="000000"/>
                <w:sz w:val="16"/>
                <w:szCs w:val="16"/>
                <w:lang w:val="fr-BE" w:eastAsia="en-IE"/>
              </w:rPr>
              <w:t> </w:t>
            </w:r>
          </w:p>
        </w:tc>
        <w:tc>
          <w:tcPr>
            <w:tcW w:w="480" w:type="dxa"/>
            <w:tcBorders>
              <w:top w:val="nil"/>
              <w:left w:val="nil"/>
              <w:bottom w:val="nil"/>
              <w:right w:val="nil"/>
            </w:tcBorders>
            <w:shd w:val="clear" w:color="000000" w:fill="FFFFFF"/>
            <w:noWrap/>
            <w:vAlign w:val="bottom"/>
            <w:hideMark/>
          </w:tcPr>
          <w:p>
            <w:pPr>
              <w:rPr>
                <w:rFonts w:ascii="Tahoma" w:eastAsia="Times New Roman" w:hAnsi="Tahoma" w:cs="Tahoma"/>
                <w:noProof/>
                <w:color w:val="000000"/>
                <w:sz w:val="16"/>
                <w:szCs w:val="16"/>
                <w:lang w:val="fr-BE" w:eastAsia="en-IE"/>
              </w:rPr>
            </w:pPr>
            <w:r>
              <w:rPr>
                <w:rFonts w:ascii="Tahoma" w:eastAsia="Times New Roman" w:hAnsi="Tahoma" w:cs="Tahoma"/>
                <w:noProof/>
                <w:color w:val="000000"/>
                <w:sz w:val="16"/>
                <w:szCs w:val="16"/>
                <w:lang w:val="fr-BE" w:eastAsia="en-IE"/>
              </w:rPr>
              <w:t> </w:t>
            </w:r>
          </w:p>
        </w:tc>
        <w:tc>
          <w:tcPr>
            <w:tcW w:w="480" w:type="dxa"/>
            <w:tcBorders>
              <w:top w:val="nil"/>
              <w:left w:val="nil"/>
              <w:bottom w:val="nil"/>
              <w:right w:val="nil"/>
            </w:tcBorders>
            <w:shd w:val="clear" w:color="000000" w:fill="FFFFFF"/>
            <w:noWrap/>
            <w:vAlign w:val="bottom"/>
            <w:hideMark/>
          </w:tcPr>
          <w:p>
            <w:pPr>
              <w:rPr>
                <w:rFonts w:ascii="Tahoma" w:eastAsia="Times New Roman" w:hAnsi="Tahoma" w:cs="Tahoma"/>
                <w:noProof/>
                <w:color w:val="000000"/>
                <w:sz w:val="16"/>
                <w:szCs w:val="16"/>
                <w:lang w:val="fr-BE" w:eastAsia="en-IE"/>
              </w:rPr>
            </w:pPr>
            <w:r>
              <w:rPr>
                <w:rFonts w:ascii="Tahoma" w:eastAsia="Times New Roman" w:hAnsi="Tahoma" w:cs="Tahoma"/>
                <w:noProof/>
                <w:color w:val="000000"/>
                <w:sz w:val="16"/>
                <w:szCs w:val="16"/>
                <w:lang w:val="fr-BE" w:eastAsia="en-IE"/>
              </w:rPr>
              <w:t> </w:t>
            </w:r>
          </w:p>
        </w:tc>
      </w:tr>
      <w:tr>
        <w:trPr>
          <w:trHeight w:val="225"/>
        </w:trPr>
        <w:tc>
          <w:tcPr>
            <w:tcW w:w="7520" w:type="dxa"/>
            <w:gridSpan w:val="6"/>
            <w:tcBorders>
              <w:top w:val="nil"/>
              <w:left w:val="nil"/>
              <w:bottom w:val="nil"/>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Total merchandise trade EU28 with Mauritius (mio €)</w:t>
            </w:r>
          </w:p>
        </w:tc>
      </w:tr>
      <w:tr>
        <w:trPr>
          <w:trHeight w:val="225"/>
        </w:trPr>
        <w:tc>
          <w:tcPr>
            <w:tcW w:w="5600"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Mauritius</w:t>
            </w:r>
          </w:p>
        </w:tc>
        <w:tc>
          <w:tcPr>
            <w:tcW w:w="48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2017</w:t>
            </w:r>
          </w:p>
        </w:tc>
        <w:tc>
          <w:tcPr>
            <w:tcW w:w="48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2018</w:t>
            </w:r>
          </w:p>
        </w:tc>
        <w:tc>
          <w:tcPr>
            <w:tcW w:w="960" w:type="dxa"/>
            <w:gridSpan w:val="2"/>
            <w:tcBorders>
              <w:top w:val="single" w:sz="4" w:space="0" w:color="auto"/>
              <w:left w:val="nil"/>
              <w:bottom w:val="nil"/>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Growth</w:t>
            </w:r>
          </w:p>
        </w:tc>
      </w:tr>
      <w:tr>
        <w:trPr>
          <w:trHeight w:val="225"/>
        </w:trPr>
        <w:tc>
          <w:tcPr>
            <w:tcW w:w="5600" w:type="dxa"/>
            <w:gridSpan w:val="2"/>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80" w:type="dxa"/>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80" w:type="dxa"/>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80" w:type="dxa"/>
            <w:tcBorders>
              <w:top w:val="nil"/>
              <w:left w:val="nil"/>
              <w:bottom w:val="single" w:sz="4" w:space="0" w:color="auto"/>
              <w:right w:val="nil"/>
            </w:tcBorders>
            <w:shd w:val="clear" w:color="000000" w:fill="FFFFFF"/>
            <w:noWrap/>
            <w:vAlign w:val="bottom"/>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mio €</w:t>
            </w:r>
          </w:p>
        </w:tc>
        <w:tc>
          <w:tcPr>
            <w:tcW w:w="480" w:type="dxa"/>
            <w:tcBorders>
              <w:top w:val="nil"/>
              <w:left w:val="nil"/>
              <w:bottom w:val="single" w:sz="4" w:space="0" w:color="auto"/>
              <w:right w:val="nil"/>
            </w:tcBorders>
            <w:shd w:val="clear" w:color="000000" w:fill="FFFFFF"/>
            <w:noWrap/>
            <w:vAlign w:val="bottom"/>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annual %</w:t>
            </w:r>
          </w:p>
        </w:tc>
      </w:tr>
      <w:tr>
        <w:trPr>
          <w:trHeight w:val="225"/>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Imports</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925</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756</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-168</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-18,2%</w:t>
            </w:r>
          </w:p>
        </w:tc>
      </w:tr>
      <w:tr>
        <w:trPr>
          <w:trHeight w:val="225"/>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Exports</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1.169</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1.067</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-102</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-8,7%</w:t>
            </w:r>
          </w:p>
        </w:tc>
      </w:tr>
      <w:tr>
        <w:trPr>
          <w:trHeight w:val="225"/>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Balance</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244</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310</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66</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r>
      <w:tr>
        <w:trPr>
          <w:trHeight w:val="225"/>
        </w:trPr>
        <w:tc>
          <w:tcPr>
            <w:tcW w:w="5120" w:type="dxa"/>
            <w:tcBorders>
              <w:top w:val="nil"/>
              <w:left w:val="nil"/>
              <w:bottom w:val="single" w:sz="4" w:space="0" w:color="auto"/>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Total trade</w:t>
            </w:r>
          </w:p>
        </w:tc>
        <w:tc>
          <w:tcPr>
            <w:tcW w:w="480" w:type="dxa"/>
            <w:tcBorders>
              <w:top w:val="nil"/>
              <w:left w:val="nil"/>
              <w:bottom w:val="single" w:sz="4" w:space="0" w:color="auto"/>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2.093</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1.823</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-270</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-12,9%</w:t>
            </w:r>
          </w:p>
        </w:tc>
      </w:tr>
      <w:tr>
        <w:trPr>
          <w:trHeight w:val="240"/>
        </w:trPr>
        <w:tc>
          <w:tcPr>
            <w:tcW w:w="6560" w:type="dxa"/>
            <w:gridSpan w:val="4"/>
            <w:tcBorders>
              <w:top w:val="single" w:sz="4" w:space="0" w:color="auto"/>
              <w:left w:val="nil"/>
              <w:bottom w:val="nil"/>
              <w:right w:val="nil"/>
            </w:tcBorders>
            <w:shd w:val="clear" w:color="000000" w:fill="FFFFFF"/>
            <w:noWrap/>
            <w:hideMark/>
          </w:tcPr>
          <w:p>
            <w:pPr>
              <w:rPr>
                <w:rFonts w:ascii="Arial" w:eastAsia="Times New Roman" w:hAnsi="Arial" w:cs="Arial"/>
                <w:noProof/>
                <w:sz w:val="12"/>
                <w:szCs w:val="12"/>
                <w:lang w:val="en-IE" w:eastAsia="en-IE"/>
              </w:rPr>
            </w:pPr>
            <w:r>
              <w:rPr>
                <w:rFonts w:ascii="Arial" w:eastAsia="Times New Roman" w:hAnsi="Arial" w:cs="Arial"/>
                <w:noProof/>
                <w:sz w:val="12"/>
                <w:szCs w:val="12"/>
                <w:lang w:val="en-IE" w:eastAsia="en-IE"/>
              </w:rPr>
              <w:t>Source Trade G2 Statistics/ISDB from Eurostat COMEXT</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8"/>
                <w:szCs w:val="18"/>
                <w:lang w:val="en-IE" w:eastAsia="en-IE"/>
              </w:rPr>
            </w:pPr>
            <w:r>
              <w:rPr>
                <w:rFonts w:ascii="Arial" w:eastAsia="Times New Roman" w:hAnsi="Arial" w:cs="Arial"/>
                <w:noProof/>
                <w:sz w:val="18"/>
                <w:szCs w:val="18"/>
                <w:lang w:val="en-IE" w:eastAsia="en-IE"/>
              </w:rPr>
              <w:t> </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8"/>
                <w:szCs w:val="18"/>
                <w:lang w:val="en-IE" w:eastAsia="en-IE"/>
              </w:rPr>
            </w:pPr>
            <w:r>
              <w:rPr>
                <w:rFonts w:ascii="Arial" w:eastAsia="Times New Roman" w:hAnsi="Arial" w:cs="Arial"/>
                <w:noProof/>
                <w:sz w:val="18"/>
                <w:szCs w:val="18"/>
                <w:lang w:val="en-IE" w:eastAsia="en-IE"/>
              </w:rPr>
              <w:t> </w:t>
            </w:r>
          </w:p>
        </w:tc>
      </w:tr>
      <w:tr>
        <w:trPr>
          <w:trHeight w:val="225"/>
        </w:trPr>
        <w:tc>
          <w:tcPr>
            <w:tcW w:w="7520" w:type="dxa"/>
            <w:gridSpan w:val="6"/>
            <w:tcBorders>
              <w:top w:val="nil"/>
              <w:left w:val="nil"/>
              <w:bottom w:val="nil"/>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Agrifood trade EU28 with Mauritius (mio €)</w:t>
            </w:r>
          </w:p>
        </w:tc>
      </w:tr>
      <w:tr>
        <w:trPr>
          <w:trHeight w:val="255"/>
        </w:trPr>
        <w:tc>
          <w:tcPr>
            <w:tcW w:w="5600"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Mauritius</w:t>
            </w:r>
          </w:p>
        </w:tc>
        <w:tc>
          <w:tcPr>
            <w:tcW w:w="48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2017</w:t>
            </w:r>
          </w:p>
        </w:tc>
        <w:tc>
          <w:tcPr>
            <w:tcW w:w="48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2018</w:t>
            </w:r>
          </w:p>
        </w:tc>
        <w:tc>
          <w:tcPr>
            <w:tcW w:w="960" w:type="dxa"/>
            <w:gridSpan w:val="2"/>
            <w:tcBorders>
              <w:top w:val="single" w:sz="4" w:space="0" w:color="auto"/>
              <w:left w:val="nil"/>
              <w:bottom w:val="nil"/>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Growth</w:t>
            </w:r>
          </w:p>
        </w:tc>
      </w:tr>
      <w:tr>
        <w:trPr>
          <w:trHeight w:val="225"/>
        </w:trPr>
        <w:tc>
          <w:tcPr>
            <w:tcW w:w="5600" w:type="dxa"/>
            <w:gridSpan w:val="2"/>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80" w:type="dxa"/>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80" w:type="dxa"/>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80" w:type="dxa"/>
            <w:tcBorders>
              <w:top w:val="nil"/>
              <w:left w:val="nil"/>
              <w:bottom w:val="single" w:sz="4" w:space="0" w:color="auto"/>
              <w:right w:val="nil"/>
            </w:tcBorders>
            <w:shd w:val="clear" w:color="000000" w:fill="FFFFFF"/>
            <w:noWrap/>
            <w:vAlign w:val="bottom"/>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mio €</w:t>
            </w:r>
          </w:p>
        </w:tc>
        <w:tc>
          <w:tcPr>
            <w:tcW w:w="480" w:type="dxa"/>
            <w:tcBorders>
              <w:top w:val="nil"/>
              <w:left w:val="nil"/>
              <w:bottom w:val="single" w:sz="4" w:space="0" w:color="auto"/>
              <w:right w:val="nil"/>
            </w:tcBorders>
            <w:shd w:val="clear" w:color="000000" w:fill="FFFFFF"/>
            <w:noWrap/>
            <w:vAlign w:val="bottom"/>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annual %</w:t>
            </w:r>
          </w:p>
        </w:tc>
      </w:tr>
      <w:tr>
        <w:trPr>
          <w:trHeight w:val="225"/>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Imports</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213</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111</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-102</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-48,0%</w:t>
            </w:r>
          </w:p>
        </w:tc>
      </w:tr>
      <w:tr>
        <w:trPr>
          <w:trHeight w:val="225"/>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Exports</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176</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204</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29</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16,4%</w:t>
            </w:r>
          </w:p>
        </w:tc>
      </w:tr>
      <w:tr>
        <w:trPr>
          <w:trHeight w:val="225"/>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Balance</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-38</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94</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131</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r>
      <w:tr>
        <w:trPr>
          <w:trHeight w:val="225"/>
        </w:trPr>
        <w:tc>
          <w:tcPr>
            <w:tcW w:w="5120" w:type="dxa"/>
            <w:tcBorders>
              <w:top w:val="nil"/>
              <w:left w:val="nil"/>
              <w:bottom w:val="single" w:sz="4" w:space="0" w:color="auto"/>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Total trade</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389</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315</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-74</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-18,9%</w:t>
            </w:r>
          </w:p>
        </w:tc>
      </w:tr>
      <w:tr>
        <w:trPr>
          <w:trHeight w:val="240"/>
        </w:trPr>
        <w:tc>
          <w:tcPr>
            <w:tcW w:w="6560" w:type="dxa"/>
            <w:gridSpan w:val="4"/>
            <w:tcBorders>
              <w:top w:val="single" w:sz="4" w:space="0" w:color="auto"/>
              <w:left w:val="nil"/>
              <w:bottom w:val="nil"/>
              <w:right w:val="nil"/>
            </w:tcBorders>
            <w:shd w:val="clear" w:color="000000" w:fill="FFFFFF"/>
            <w:noWrap/>
            <w:hideMark/>
          </w:tcPr>
          <w:p>
            <w:pPr>
              <w:rPr>
                <w:rFonts w:ascii="Arial" w:eastAsia="Times New Roman" w:hAnsi="Arial" w:cs="Arial"/>
                <w:noProof/>
                <w:sz w:val="12"/>
                <w:szCs w:val="12"/>
                <w:lang w:val="en-IE" w:eastAsia="en-IE"/>
              </w:rPr>
            </w:pPr>
            <w:r>
              <w:rPr>
                <w:rFonts w:ascii="Arial" w:eastAsia="Times New Roman" w:hAnsi="Arial" w:cs="Arial"/>
                <w:noProof/>
                <w:sz w:val="12"/>
                <w:szCs w:val="12"/>
                <w:lang w:val="en-IE" w:eastAsia="en-IE"/>
              </w:rPr>
              <w:t>Source Trade G2 Statistics/ISDB from Eurostat COMEXT</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8"/>
                <w:szCs w:val="18"/>
                <w:lang w:val="en-IE" w:eastAsia="en-IE"/>
              </w:rPr>
            </w:pPr>
            <w:r>
              <w:rPr>
                <w:rFonts w:ascii="Arial" w:eastAsia="Times New Roman" w:hAnsi="Arial" w:cs="Arial"/>
                <w:noProof/>
                <w:sz w:val="18"/>
                <w:szCs w:val="18"/>
                <w:lang w:val="en-IE" w:eastAsia="en-IE"/>
              </w:rPr>
              <w:t> </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8"/>
                <w:szCs w:val="18"/>
                <w:lang w:val="en-IE" w:eastAsia="en-IE"/>
              </w:rPr>
            </w:pPr>
            <w:r>
              <w:rPr>
                <w:rFonts w:ascii="Arial" w:eastAsia="Times New Roman" w:hAnsi="Arial" w:cs="Arial"/>
                <w:noProof/>
                <w:sz w:val="18"/>
                <w:szCs w:val="18"/>
                <w:lang w:val="en-IE" w:eastAsia="en-IE"/>
              </w:rPr>
              <w:t> </w:t>
            </w:r>
          </w:p>
        </w:tc>
      </w:tr>
      <w:tr>
        <w:trPr>
          <w:trHeight w:val="225"/>
        </w:trPr>
        <w:tc>
          <w:tcPr>
            <w:tcW w:w="7520" w:type="dxa"/>
            <w:gridSpan w:val="6"/>
            <w:tcBorders>
              <w:top w:val="nil"/>
              <w:left w:val="nil"/>
              <w:bottom w:val="nil"/>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NAMA trade EU28 with Mauritius (mio €)</w:t>
            </w:r>
          </w:p>
        </w:tc>
      </w:tr>
      <w:tr>
        <w:trPr>
          <w:trHeight w:val="225"/>
        </w:trPr>
        <w:tc>
          <w:tcPr>
            <w:tcW w:w="5600"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Mauritius</w:t>
            </w:r>
          </w:p>
        </w:tc>
        <w:tc>
          <w:tcPr>
            <w:tcW w:w="48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2017</w:t>
            </w:r>
          </w:p>
        </w:tc>
        <w:tc>
          <w:tcPr>
            <w:tcW w:w="48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2018</w:t>
            </w:r>
          </w:p>
        </w:tc>
        <w:tc>
          <w:tcPr>
            <w:tcW w:w="960" w:type="dxa"/>
            <w:gridSpan w:val="2"/>
            <w:tcBorders>
              <w:top w:val="single" w:sz="4" w:space="0" w:color="auto"/>
              <w:left w:val="nil"/>
              <w:bottom w:val="nil"/>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Growth</w:t>
            </w:r>
          </w:p>
        </w:tc>
      </w:tr>
      <w:tr>
        <w:trPr>
          <w:trHeight w:val="225"/>
        </w:trPr>
        <w:tc>
          <w:tcPr>
            <w:tcW w:w="5600" w:type="dxa"/>
            <w:gridSpan w:val="2"/>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80" w:type="dxa"/>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80" w:type="dxa"/>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80" w:type="dxa"/>
            <w:tcBorders>
              <w:top w:val="nil"/>
              <w:left w:val="nil"/>
              <w:bottom w:val="single" w:sz="4" w:space="0" w:color="auto"/>
              <w:right w:val="nil"/>
            </w:tcBorders>
            <w:shd w:val="clear" w:color="000000" w:fill="FFFFFF"/>
            <w:noWrap/>
            <w:vAlign w:val="bottom"/>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mio €</w:t>
            </w:r>
          </w:p>
        </w:tc>
        <w:tc>
          <w:tcPr>
            <w:tcW w:w="480" w:type="dxa"/>
            <w:tcBorders>
              <w:top w:val="nil"/>
              <w:left w:val="nil"/>
              <w:bottom w:val="single" w:sz="4" w:space="0" w:color="auto"/>
              <w:right w:val="nil"/>
            </w:tcBorders>
            <w:shd w:val="clear" w:color="000000" w:fill="FFFFFF"/>
            <w:noWrap/>
            <w:vAlign w:val="bottom"/>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annual %</w:t>
            </w:r>
          </w:p>
        </w:tc>
      </w:tr>
      <w:tr>
        <w:trPr>
          <w:trHeight w:val="225"/>
        </w:trPr>
        <w:tc>
          <w:tcPr>
            <w:tcW w:w="5600" w:type="dxa"/>
            <w:gridSpan w:val="2"/>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EU28 imports</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711</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646</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-66</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-9,3%</w:t>
            </w:r>
          </w:p>
        </w:tc>
      </w:tr>
      <w:tr>
        <w:trPr>
          <w:trHeight w:val="225"/>
        </w:trPr>
        <w:tc>
          <w:tcPr>
            <w:tcW w:w="5600" w:type="dxa"/>
            <w:gridSpan w:val="2"/>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EU28 exports</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993</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862</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-131</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-13,2%</w:t>
            </w:r>
          </w:p>
        </w:tc>
      </w:tr>
      <w:tr>
        <w:trPr>
          <w:trHeight w:val="225"/>
        </w:trPr>
        <w:tc>
          <w:tcPr>
            <w:tcW w:w="512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Balance</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281</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217</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-65</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r>
      <w:tr>
        <w:trPr>
          <w:trHeight w:val="225"/>
        </w:trPr>
        <w:tc>
          <w:tcPr>
            <w:tcW w:w="512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Total trade</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1.704</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1.508</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-197</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-11,5%</w:t>
            </w:r>
          </w:p>
        </w:tc>
      </w:tr>
      <w:tr>
        <w:trPr>
          <w:trHeight w:val="240"/>
        </w:trPr>
        <w:tc>
          <w:tcPr>
            <w:tcW w:w="6560" w:type="dxa"/>
            <w:gridSpan w:val="4"/>
            <w:tcBorders>
              <w:top w:val="single" w:sz="4" w:space="0" w:color="auto"/>
              <w:left w:val="nil"/>
              <w:bottom w:val="nil"/>
              <w:right w:val="nil"/>
            </w:tcBorders>
            <w:shd w:val="clear" w:color="000000" w:fill="FFFFFF"/>
            <w:noWrap/>
            <w:hideMark/>
          </w:tcPr>
          <w:p>
            <w:pPr>
              <w:rPr>
                <w:rFonts w:ascii="Arial" w:eastAsia="Times New Roman" w:hAnsi="Arial" w:cs="Arial"/>
                <w:noProof/>
                <w:sz w:val="12"/>
                <w:szCs w:val="12"/>
                <w:lang w:val="en-IE" w:eastAsia="en-IE"/>
              </w:rPr>
            </w:pPr>
            <w:r>
              <w:rPr>
                <w:rFonts w:ascii="Arial" w:eastAsia="Times New Roman" w:hAnsi="Arial" w:cs="Arial"/>
                <w:noProof/>
                <w:sz w:val="12"/>
                <w:szCs w:val="12"/>
                <w:lang w:val="en-IE" w:eastAsia="en-IE"/>
              </w:rPr>
              <w:t>Source Trade G2 Statistics/ISDB from Eurostat COMEXT</w:t>
            </w:r>
          </w:p>
        </w:tc>
        <w:tc>
          <w:tcPr>
            <w:tcW w:w="480" w:type="dxa"/>
            <w:tcBorders>
              <w:top w:val="single" w:sz="4" w:space="0" w:color="auto"/>
              <w:left w:val="nil"/>
              <w:bottom w:val="nil"/>
              <w:right w:val="nil"/>
            </w:tcBorders>
            <w:shd w:val="clear" w:color="000000" w:fill="FFFFFF"/>
            <w:noWrap/>
            <w:vAlign w:val="bottom"/>
            <w:hideMark/>
          </w:tcPr>
          <w:p>
            <w:pPr>
              <w:rPr>
                <w:rFonts w:ascii="Arial" w:eastAsia="Times New Roman" w:hAnsi="Arial" w:cs="Arial"/>
                <w:noProof/>
                <w:sz w:val="18"/>
                <w:szCs w:val="18"/>
                <w:lang w:val="en-IE" w:eastAsia="en-IE"/>
              </w:rPr>
            </w:pPr>
            <w:r>
              <w:rPr>
                <w:rFonts w:ascii="Arial" w:eastAsia="Times New Roman" w:hAnsi="Arial" w:cs="Arial"/>
                <w:noProof/>
                <w:sz w:val="18"/>
                <w:szCs w:val="18"/>
                <w:lang w:val="en-IE" w:eastAsia="en-IE"/>
              </w:rPr>
              <w:t> </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8"/>
                <w:szCs w:val="18"/>
                <w:lang w:val="en-IE" w:eastAsia="en-IE"/>
              </w:rPr>
            </w:pPr>
            <w:r>
              <w:rPr>
                <w:rFonts w:ascii="Arial" w:eastAsia="Times New Roman" w:hAnsi="Arial" w:cs="Arial"/>
                <w:noProof/>
                <w:sz w:val="18"/>
                <w:szCs w:val="18"/>
                <w:lang w:val="en-IE" w:eastAsia="en-IE"/>
              </w:rPr>
              <w:t> </w:t>
            </w:r>
          </w:p>
        </w:tc>
      </w:tr>
      <w:tr>
        <w:trPr>
          <w:trHeight w:val="225"/>
        </w:trPr>
        <w:tc>
          <w:tcPr>
            <w:tcW w:w="6560" w:type="dxa"/>
            <w:gridSpan w:val="4"/>
            <w:tcBorders>
              <w:top w:val="nil"/>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Services trade EU28 with Mauritius (mio €)</w:t>
            </w:r>
          </w:p>
        </w:tc>
        <w:tc>
          <w:tcPr>
            <w:tcW w:w="480" w:type="dxa"/>
            <w:tcBorders>
              <w:top w:val="nil"/>
              <w:left w:val="nil"/>
              <w:bottom w:val="nil"/>
              <w:right w:val="nil"/>
            </w:tcBorders>
            <w:shd w:val="clear" w:color="000000" w:fill="FFFFFF"/>
            <w:noWrap/>
            <w:vAlign w:val="center"/>
            <w:hideMark/>
          </w:tcPr>
          <w:p>
            <w:pP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 </w:t>
            </w:r>
          </w:p>
        </w:tc>
        <w:tc>
          <w:tcPr>
            <w:tcW w:w="480" w:type="dxa"/>
            <w:tcBorders>
              <w:top w:val="nil"/>
              <w:left w:val="nil"/>
              <w:bottom w:val="nil"/>
              <w:right w:val="nil"/>
            </w:tcBorders>
            <w:shd w:val="clear" w:color="000000" w:fill="FFFFFF"/>
            <w:noWrap/>
            <w:vAlign w:val="center"/>
            <w:hideMark/>
          </w:tcPr>
          <w:p>
            <w:pP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 </w:t>
            </w:r>
          </w:p>
        </w:tc>
      </w:tr>
      <w:tr>
        <w:trPr>
          <w:trHeight w:val="225"/>
        </w:trPr>
        <w:tc>
          <w:tcPr>
            <w:tcW w:w="5600"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Mauritius</w:t>
            </w:r>
          </w:p>
        </w:tc>
        <w:tc>
          <w:tcPr>
            <w:tcW w:w="480" w:type="dxa"/>
            <w:vMerge w:val="restart"/>
            <w:tcBorders>
              <w:top w:val="nil"/>
              <w:left w:val="nil"/>
              <w:bottom w:val="single" w:sz="4" w:space="0" w:color="000000"/>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2016</w:t>
            </w:r>
          </w:p>
        </w:tc>
        <w:tc>
          <w:tcPr>
            <w:tcW w:w="480" w:type="dxa"/>
            <w:vMerge w:val="restart"/>
            <w:tcBorders>
              <w:top w:val="nil"/>
              <w:left w:val="nil"/>
              <w:bottom w:val="single" w:sz="4" w:space="0" w:color="000000"/>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2017</w:t>
            </w:r>
          </w:p>
        </w:tc>
        <w:tc>
          <w:tcPr>
            <w:tcW w:w="960" w:type="dxa"/>
            <w:gridSpan w:val="2"/>
            <w:tcBorders>
              <w:top w:val="single" w:sz="4" w:space="0" w:color="auto"/>
              <w:left w:val="nil"/>
              <w:bottom w:val="nil"/>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Growth</w:t>
            </w:r>
          </w:p>
        </w:tc>
      </w:tr>
      <w:tr>
        <w:trPr>
          <w:trHeight w:val="225"/>
        </w:trPr>
        <w:tc>
          <w:tcPr>
            <w:tcW w:w="5600" w:type="dxa"/>
            <w:gridSpan w:val="2"/>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80" w:type="dxa"/>
            <w:vMerge/>
            <w:tcBorders>
              <w:top w:val="nil"/>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80" w:type="dxa"/>
            <w:vMerge/>
            <w:tcBorders>
              <w:top w:val="nil"/>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80" w:type="dxa"/>
            <w:tcBorders>
              <w:top w:val="nil"/>
              <w:left w:val="nil"/>
              <w:bottom w:val="single" w:sz="4" w:space="0" w:color="auto"/>
              <w:right w:val="nil"/>
            </w:tcBorders>
            <w:shd w:val="clear" w:color="000000" w:fill="FFFFFF"/>
            <w:noWrap/>
            <w:vAlign w:val="bottom"/>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mio €</w:t>
            </w:r>
          </w:p>
        </w:tc>
        <w:tc>
          <w:tcPr>
            <w:tcW w:w="480" w:type="dxa"/>
            <w:tcBorders>
              <w:top w:val="nil"/>
              <w:left w:val="nil"/>
              <w:bottom w:val="single" w:sz="4" w:space="0" w:color="auto"/>
              <w:right w:val="nil"/>
            </w:tcBorders>
            <w:shd w:val="clear" w:color="000000" w:fill="FFFFFF"/>
            <w:noWrap/>
            <w:vAlign w:val="bottom"/>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annual %</w:t>
            </w:r>
          </w:p>
        </w:tc>
      </w:tr>
      <w:tr>
        <w:trPr>
          <w:trHeight w:val="225"/>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Imports</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1.512</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1.369</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-143</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-9,5%</w:t>
            </w:r>
          </w:p>
        </w:tc>
      </w:tr>
      <w:tr>
        <w:trPr>
          <w:trHeight w:val="225"/>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Exports</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1.356</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1.688</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332</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24,5%</w:t>
            </w:r>
          </w:p>
        </w:tc>
      </w:tr>
      <w:tr>
        <w:trPr>
          <w:trHeight w:val="225"/>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Balance</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-156</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320</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476</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r>
      <w:tr>
        <w:trPr>
          <w:trHeight w:val="225"/>
        </w:trPr>
        <w:tc>
          <w:tcPr>
            <w:tcW w:w="5120" w:type="dxa"/>
            <w:tcBorders>
              <w:top w:val="nil"/>
              <w:left w:val="nil"/>
              <w:bottom w:val="single" w:sz="4" w:space="0" w:color="auto"/>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Total trade</w:t>
            </w:r>
          </w:p>
        </w:tc>
        <w:tc>
          <w:tcPr>
            <w:tcW w:w="480" w:type="dxa"/>
            <w:tcBorders>
              <w:top w:val="nil"/>
              <w:left w:val="nil"/>
              <w:bottom w:val="single" w:sz="4" w:space="0" w:color="auto"/>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2.868</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3.057</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189</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6,6%</w:t>
            </w:r>
          </w:p>
        </w:tc>
      </w:tr>
      <w:tr>
        <w:trPr>
          <w:trHeight w:val="240"/>
        </w:trPr>
        <w:tc>
          <w:tcPr>
            <w:tcW w:w="7040" w:type="dxa"/>
            <w:gridSpan w:val="5"/>
            <w:tcBorders>
              <w:top w:val="nil"/>
              <w:left w:val="nil"/>
              <w:bottom w:val="nil"/>
              <w:right w:val="nil"/>
            </w:tcBorders>
            <w:shd w:val="clear" w:color="000000" w:fill="FFFFFF"/>
            <w:noWrap/>
            <w:hideMark/>
          </w:tcPr>
          <w:p>
            <w:pPr>
              <w:rPr>
                <w:rFonts w:ascii="Arial" w:eastAsia="Times New Roman" w:hAnsi="Arial" w:cs="Arial"/>
                <w:noProof/>
                <w:sz w:val="12"/>
                <w:szCs w:val="12"/>
                <w:lang w:val="en-IE" w:eastAsia="en-IE"/>
              </w:rPr>
            </w:pPr>
            <w:r>
              <w:rPr>
                <w:rFonts w:ascii="Arial" w:eastAsia="Times New Roman" w:hAnsi="Arial" w:cs="Arial"/>
                <w:noProof/>
                <w:sz w:val="12"/>
                <w:szCs w:val="12"/>
                <w:lang w:val="en-IE" w:eastAsia="en-IE"/>
              </w:rPr>
              <w:t>Source Trade G2 Statistics/ISDB from Eurostat BOP statistics</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8"/>
                <w:szCs w:val="18"/>
                <w:lang w:val="en-IE" w:eastAsia="en-IE"/>
              </w:rPr>
            </w:pPr>
            <w:r>
              <w:rPr>
                <w:rFonts w:ascii="Arial" w:eastAsia="Times New Roman" w:hAnsi="Arial" w:cs="Arial"/>
                <w:noProof/>
                <w:sz w:val="18"/>
                <w:szCs w:val="18"/>
                <w:lang w:val="en-IE" w:eastAsia="en-IE"/>
              </w:rPr>
              <w:t> </w:t>
            </w:r>
          </w:p>
        </w:tc>
      </w:tr>
      <w:tr>
        <w:trPr>
          <w:trHeight w:val="240"/>
        </w:trPr>
        <w:tc>
          <w:tcPr>
            <w:tcW w:w="7520" w:type="dxa"/>
            <w:gridSpan w:val="6"/>
            <w:tcBorders>
              <w:top w:val="nil"/>
              <w:left w:val="nil"/>
              <w:bottom w:val="nil"/>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Services trade EU28 with Mauritius (mio €)</w:t>
            </w:r>
          </w:p>
        </w:tc>
      </w:tr>
      <w:tr>
        <w:trPr>
          <w:trHeight w:val="225"/>
        </w:trPr>
        <w:tc>
          <w:tcPr>
            <w:tcW w:w="5120" w:type="dxa"/>
            <w:tcBorders>
              <w:top w:val="single" w:sz="4" w:space="0" w:color="auto"/>
              <w:left w:val="nil"/>
              <w:bottom w:val="single" w:sz="4" w:space="0" w:color="auto"/>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single" w:sz="4" w:space="0" w:color="auto"/>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2013</w:t>
            </w:r>
          </w:p>
        </w:tc>
        <w:tc>
          <w:tcPr>
            <w:tcW w:w="480" w:type="dxa"/>
            <w:tcBorders>
              <w:top w:val="single" w:sz="4" w:space="0" w:color="auto"/>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2014</w:t>
            </w:r>
          </w:p>
        </w:tc>
        <w:tc>
          <w:tcPr>
            <w:tcW w:w="480" w:type="dxa"/>
            <w:tcBorders>
              <w:top w:val="single" w:sz="4" w:space="0" w:color="auto"/>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2015</w:t>
            </w:r>
          </w:p>
        </w:tc>
        <w:tc>
          <w:tcPr>
            <w:tcW w:w="480" w:type="dxa"/>
            <w:tcBorders>
              <w:top w:val="single" w:sz="4" w:space="0" w:color="auto"/>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2016</w:t>
            </w:r>
          </w:p>
        </w:tc>
        <w:tc>
          <w:tcPr>
            <w:tcW w:w="480" w:type="dxa"/>
            <w:tcBorders>
              <w:top w:val="single" w:sz="4" w:space="0" w:color="auto"/>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2017</w:t>
            </w:r>
          </w:p>
        </w:tc>
      </w:tr>
      <w:tr>
        <w:trPr>
          <w:trHeight w:val="225"/>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Imports</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1.403</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1.522</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1.563</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1.512</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1.369</w:t>
            </w:r>
          </w:p>
        </w:tc>
      </w:tr>
      <w:tr>
        <w:trPr>
          <w:trHeight w:val="225"/>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Exports</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901</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1.161</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1.010</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1.356</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1.688</w:t>
            </w:r>
          </w:p>
        </w:tc>
      </w:tr>
      <w:tr>
        <w:trPr>
          <w:trHeight w:val="225"/>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Balance</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-502</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-361</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-553</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-156</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320</w:t>
            </w:r>
          </w:p>
        </w:tc>
      </w:tr>
      <w:tr>
        <w:trPr>
          <w:trHeight w:val="225"/>
        </w:trPr>
        <w:tc>
          <w:tcPr>
            <w:tcW w:w="5120" w:type="dxa"/>
            <w:tcBorders>
              <w:top w:val="nil"/>
              <w:left w:val="nil"/>
              <w:bottom w:val="single" w:sz="4" w:space="0" w:color="auto"/>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Total trade</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2.305</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2.683</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2.572</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2.868</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3.057</w:t>
            </w:r>
          </w:p>
        </w:tc>
      </w:tr>
      <w:tr>
        <w:trPr>
          <w:trHeight w:val="225"/>
        </w:trPr>
        <w:tc>
          <w:tcPr>
            <w:tcW w:w="5120" w:type="dxa"/>
            <w:tcBorders>
              <w:top w:val="nil"/>
              <w:left w:val="nil"/>
              <w:bottom w:val="nil"/>
              <w:right w:val="nil"/>
            </w:tcBorders>
            <w:shd w:val="clear" w:color="000000" w:fill="FFFFFF"/>
            <w:noWrap/>
            <w:hideMark/>
          </w:tcPr>
          <w:p>
            <w:pPr>
              <w:rPr>
                <w:rFonts w:ascii="Arial" w:eastAsia="Times New Roman" w:hAnsi="Arial" w:cs="Arial"/>
                <w:noProof/>
                <w:sz w:val="12"/>
                <w:szCs w:val="12"/>
                <w:lang w:val="en-IE" w:eastAsia="en-IE"/>
              </w:rPr>
            </w:pPr>
            <w:r>
              <w:rPr>
                <w:rFonts w:ascii="Arial" w:eastAsia="Times New Roman" w:hAnsi="Arial" w:cs="Arial"/>
                <w:noProof/>
                <w:sz w:val="12"/>
                <w:szCs w:val="12"/>
                <w:lang w:val="en-IE" w:eastAsia="en-IE"/>
              </w:rPr>
              <w:t>Source Trade G2 Statistics/ISDB from Eurostat BOP statistics</w:t>
            </w:r>
          </w:p>
        </w:tc>
        <w:tc>
          <w:tcPr>
            <w:tcW w:w="480" w:type="dxa"/>
            <w:tcBorders>
              <w:top w:val="nil"/>
              <w:left w:val="nil"/>
              <w:bottom w:val="nil"/>
              <w:right w:val="nil"/>
            </w:tcBorders>
            <w:shd w:val="clear" w:color="000000" w:fill="FFFFFF"/>
            <w:noWrap/>
            <w:hideMark/>
          </w:tcPr>
          <w:p>
            <w:pPr>
              <w:rPr>
                <w:rFonts w:ascii="Arial" w:eastAsia="Times New Roman" w:hAnsi="Arial" w:cs="Arial"/>
                <w:noProof/>
                <w:sz w:val="12"/>
                <w:szCs w:val="12"/>
                <w:lang w:val="en-IE" w:eastAsia="en-IE"/>
              </w:rPr>
            </w:pPr>
            <w:r>
              <w:rPr>
                <w:rFonts w:ascii="Arial" w:eastAsia="Times New Roman" w:hAnsi="Arial" w:cs="Arial"/>
                <w:noProof/>
                <w:sz w:val="12"/>
                <w:szCs w:val="12"/>
                <w:lang w:val="en-IE" w:eastAsia="en-IE"/>
              </w:rPr>
              <w:t> </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r>
      <w:tr>
        <w:trPr>
          <w:trHeight w:val="225"/>
        </w:trPr>
        <w:tc>
          <w:tcPr>
            <w:tcW w:w="7520" w:type="dxa"/>
            <w:gridSpan w:val="6"/>
            <w:tcBorders>
              <w:top w:val="nil"/>
              <w:left w:val="nil"/>
              <w:bottom w:val="nil"/>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FDI EU28 with Mauritius (mio €)</w:t>
            </w:r>
          </w:p>
        </w:tc>
      </w:tr>
      <w:tr>
        <w:trPr>
          <w:trHeight w:val="225"/>
        </w:trPr>
        <w:tc>
          <w:tcPr>
            <w:tcW w:w="5120" w:type="dxa"/>
            <w:tcBorders>
              <w:top w:val="single" w:sz="4" w:space="0" w:color="auto"/>
              <w:left w:val="nil"/>
              <w:bottom w:val="single" w:sz="4" w:space="0" w:color="auto"/>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single" w:sz="4" w:space="0" w:color="auto"/>
              <w:left w:val="nil"/>
              <w:bottom w:val="single" w:sz="4" w:space="0" w:color="auto"/>
              <w:right w:val="nil"/>
            </w:tcBorders>
            <w:shd w:val="clear" w:color="000000" w:fill="FFFFFF"/>
            <w:noWrap/>
            <w:vAlign w:val="bottom"/>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2013</w:t>
            </w:r>
          </w:p>
        </w:tc>
        <w:tc>
          <w:tcPr>
            <w:tcW w:w="480" w:type="dxa"/>
            <w:tcBorders>
              <w:top w:val="single" w:sz="4" w:space="0" w:color="auto"/>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2014</w:t>
            </w:r>
          </w:p>
        </w:tc>
        <w:tc>
          <w:tcPr>
            <w:tcW w:w="480" w:type="dxa"/>
            <w:tcBorders>
              <w:top w:val="single" w:sz="4" w:space="0" w:color="auto"/>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2015</w:t>
            </w:r>
          </w:p>
        </w:tc>
        <w:tc>
          <w:tcPr>
            <w:tcW w:w="480" w:type="dxa"/>
            <w:tcBorders>
              <w:top w:val="single" w:sz="4" w:space="0" w:color="auto"/>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2016</w:t>
            </w:r>
          </w:p>
        </w:tc>
        <w:tc>
          <w:tcPr>
            <w:tcW w:w="480" w:type="dxa"/>
            <w:tcBorders>
              <w:top w:val="single" w:sz="4" w:space="0" w:color="auto"/>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2017</w:t>
            </w:r>
          </w:p>
        </w:tc>
      </w:tr>
      <w:tr>
        <w:trPr>
          <w:trHeight w:val="225"/>
        </w:trPr>
        <w:tc>
          <w:tcPr>
            <w:tcW w:w="7520" w:type="dxa"/>
            <w:gridSpan w:val="6"/>
            <w:tcBorders>
              <w:top w:val="nil"/>
              <w:left w:val="nil"/>
              <w:bottom w:val="nil"/>
              <w:right w:val="nil"/>
            </w:tcBorders>
            <w:shd w:val="clear" w:color="000000" w:fill="FFFFFF"/>
            <w:noWrap/>
            <w:vAlign w:val="center"/>
            <w:hideMark/>
          </w:tcPr>
          <w:p>
            <w:pPr>
              <w:jc w:val="center"/>
              <w:rPr>
                <w:rFonts w:ascii="Arial" w:eastAsia="Times New Roman" w:hAnsi="Arial" w:cs="Arial"/>
                <w:b/>
                <w:bCs/>
                <w:i/>
                <w:iCs/>
                <w:noProof/>
                <w:sz w:val="16"/>
                <w:szCs w:val="16"/>
                <w:lang w:val="en-IE" w:eastAsia="en-IE"/>
              </w:rPr>
            </w:pPr>
            <w:r>
              <w:rPr>
                <w:rFonts w:ascii="Arial" w:eastAsia="Times New Roman" w:hAnsi="Arial" w:cs="Arial"/>
                <w:b/>
                <w:bCs/>
                <w:i/>
                <w:iCs/>
                <w:noProof/>
                <w:sz w:val="16"/>
                <w:szCs w:val="16"/>
                <w:lang w:val="en-IE" w:eastAsia="en-IE"/>
              </w:rPr>
              <w:t>FDI Stocks</w:t>
            </w:r>
          </w:p>
        </w:tc>
      </w:tr>
      <w:tr>
        <w:trPr>
          <w:trHeight w:val="225"/>
        </w:trPr>
        <w:tc>
          <w:tcPr>
            <w:tcW w:w="512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Inward</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1.843</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5.039</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3.643</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6.706</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4.494</w:t>
            </w:r>
          </w:p>
        </w:tc>
      </w:tr>
      <w:tr>
        <w:trPr>
          <w:trHeight w:val="225"/>
        </w:trPr>
        <w:tc>
          <w:tcPr>
            <w:tcW w:w="512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Outward</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14.507</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20.475</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20.109</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19.541</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23.177</w:t>
            </w:r>
          </w:p>
        </w:tc>
      </w:tr>
      <w:tr>
        <w:trPr>
          <w:trHeight w:val="225"/>
        </w:trPr>
        <w:tc>
          <w:tcPr>
            <w:tcW w:w="7520" w:type="dxa"/>
            <w:gridSpan w:val="6"/>
            <w:tcBorders>
              <w:top w:val="nil"/>
              <w:left w:val="nil"/>
              <w:bottom w:val="nil"/>
              <w:right w:val="nil"/>
            </w:tcBorders>
            <w:shd w:val="clear" w:color="000000" w:fill="FFFFFF"/>
            <w:noWrap/>
            <w:vAlign w:val="center"/>
            <w:hideMark/>
          </w:tcPr>
          <w:p>
            <w:pPr>
              <w:jc w:val="center"/>
              <w:rPr>
                <w:rFonts w:ascii="Arial" w:eastAsia="Times New Roman" w:hAnsi="Arial" w:cs="Arial"/>
                <w:b/>
                <w:bCs/>
                <w:i/>
                <w:iCs/>
                <w:noProof/>
                <w:sz w:val="16"/>
                <w:szCs w:val="16"/>
                <w:lang w:val="en-IE" w:eastAsia="en-IE"/>
              </w:rPr>
            </w:pPr>
            <w:r>
              <w:rPr>
                <w:rFonts w:ascii="Arial" w:eastAsia="Times New Roman" w:hAnsi="Arial" w:cs="Arial"/>
                <w:b/>
                <w:bCs/>
                <w:i/>
                <w:iCs/>
                <w:noProof/>
                <w:sz w:val="16"/>
                <w:szCs w:val="16"/>
                <w:lang w:val="en-IE" w:eastAsia="en-IE"/>
              </w:rPr>
              <w:t>FDI Flows</w:t>
            </w:r>
          </w:p>
        </w:tc>
      </w:tr>
      <w:tr>
        <w:trPr>
          <w:trHeight w:val="225"/>
        </w:trPr>
        <w:tc>
          <w:tcPr>
            <w:tcW w:w="512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Inward</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2.004</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1.356</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-1.824</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613</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-1.265</w:t>
            </w:r>
          </w:p>
        </w:tc>
      </w:tr>
      <w:tr>
        <w:trPr>
          <w:trHeight w:val="225"/>
        </w:trPr>
        <w:tc>
          <w:tcPr>
            <w:tcW w:w="512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Outward</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1.795</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166</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1.322</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-5.391</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1.280</w:t>
            </w:r>
          </w:p>
        </w:tc>
      </w:tr>
      <w:tr>
        <w:trPr>
          <w:trHeight w:val="225"/>
        </w:trPr>
        <w:tc>
          <w:tcPr>
            <w:tcW w:w="5120" w:type="dxa"/>
            <w:tcBorders>
              <w:top w:val="single" w:sz="4" w:space="0" w:color="auto"/>
              <w:left w:val="nil"/>
              <w:bottom w:val="nil"/>
              <w:right w:val="nil"/>
            </w:tcBorders>
            <w:shd w:val="clear" w:color="000000" w:fill="FFFFFF"/>
            <w:noWrap/>
            <w:hideMark/>
          </w:tcPr>
          <w:p>
            <w:pPr>
              <w:rPr>
                <w:rFonts w:ascii="Arial" w:eastAsia="Times New Roman" w:hAnsi="Arial" w:cs="Arial"/>
                <w:noProof/>
                <w:sz w:val="12"/>
                <w:szCs w:val="12"/>
                <w:lang w:val="en-IE" w:eastAsia="en-IE"/>
              </w:rPr>
            </w:pPr>
            <w:r>
              <w:rPr>
                <w:rFonts w:ascii="Arial" w:eastAsia="Times New Roman" w:hAnsi="Arial" w:cs="Arial"/>
                <w:noProof/>
                <w:sz w:val="12"/>
                <w:szCs w:val="12"/>
                <w:lang w:val="en-IE" w:eastAsia="en-IE"/>
              </w:rPr>
              <w:t>Source Trade G2 Statistics/ISDB from Eurostat BOP statistics</w:t>
            </w:r>
          </w:p>
        </w:tc>
        <w:tc>
          <w:tcPr>
            <w:tcW w:w="480" w:type="dxa"/>
            <w:tcBorders>
              <w:top w:val="nil"/>
              <w:left w:val="nil"/>
              <w:bottom w:val="nil"/>
              <w:right w:val="nil"/>
            </w:tcBorders>
            <w:shd w:val="clear" w:color="000000" w:fill="FFFFFF"/>
            <w:noWrap/>
            <w:hideMark/>
          </w:tcPr>
          <w:p>
            <w:pPr>
              <w:rPr>
                <w:rFonts w:ascii="Arial" w:eastAsia="Times New Roman" w:hAnsi="Arial" w:cs="Arial"/>
                <w:noProof/>
                <w:sz w:val="12"/>
                <w:szCs w:val="12"/>
                <w:lang w:val="en-IE" w:eastAsia="en-IE"/>
              </w:rPr>
            </w:pPr>
            <w:r>
              <w:rPr>
                <w:rFonts w:ascii="Arial" w:eastAsia="Times New Roman" w:hAnsi="Arial" w:cs="Arial"/>
                <w:noProof/>
                <w:sz w:val="12"/>
                <w:szCs w:val="12"/>
                <w:lang w:val="en-IE" w:eastAsia="en-IE"/>
              </w:rPr>
              <w:t> </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r>
    </w:tbl>
    <w:p>
      <w:pPr>
        <w:pStyle w:val="ChapterHead"/>
        <w:jc w:val="both"/>
        <w:rPr>
          <w:b/>
          <w:noProof/>
          <w:lang w:val="en-IE"/>
        </w:rPr>
      </w:pPr>
    </w:p>
    <w:p>
      <w:pPr>
        <w:pStyle w:val="ChapterHead"/>
        <w:jc w:val="both"/>
        <w:rPr>
          <w:b/>
          <w:noProof/>
        </w:rPr>
      </w:pPr>
      <w:bookmarkStart w:id="4316" w:name="_Toc16000880"/>
      <w:r>
        <w:rPr>
          <w:b/>
          <w:noProof/>
        </w:rPr>
        <w:t>Seychelles</w:t>
      </w:r>
      <w:bookmarkEnd w:id="4316"/>
    </w:p>
    <w:tbl>
      <w:tblPr>
        <w:tblW w:w="7520" w:type="dxa"/>
        <w:tblInd w:w="108" w:type="dxa"/>
        <w:tblLook w:val="04A0" w:firstRow="1" w:lastRow="0" w:firstColumn="1" w:lastColumn="0" w:noHBand="0" w:noVBand="1"/>
      </w:tblPr>
      <w:tblGrid>
        <w:gridCol w:w="5120"/>
        <w:gridCol w:w="683"/>
        <w:gridCol w:w="683"/>
        <w:gridCol w:w="683"/>
        <w:gridCol w:w="683"/>
        <w:gridCol w:w="732"/>
      </w:tblGrid>
      <w:tr>
        <w:trPr>
          <w:trHeight w:val="210"/>
        </w:trPr>
        <w:tc>
          <w:tcPr>
            <w:tcW w:w="7520" w:type="dxa"/>
            <w:gridSpan w:val="6"/>
            <w:tcBorders>
              <w:top w:val="nil"/>
              <w:left w:val="nil"/>
              <w:bottom w:val="nil"/>
              <w:right w:val="nil"/>
            </w:tcBorders>
            <w:shd w:val="clear" w:color="000000" w:fill="FFFFFF"/>
            <w:noWrap/>
            <w:vAlign w:val="center"/>
            <w:hideMark/>
          </w:tcPr>
          <w:p>
            <w:pPr>
              <w:jc w:val="center"/>
              <w:rPr>
                <w:rFonts w:ascii="Tahoma" w:eastAsia="Times New Roman" w:hAnsi="Tahoma" w:cs="Tahoma"/>
                <w:b/>
                <w:bCs/>
                <w:noProof/>
                <w:sz w:val="16"/>
                <w:szCs w:val="16"/>
                <w:lang w:val="en-IE" w:eastAsia="en-IE"/>
              </w:rPr>
            </w:pPr>
            <w:r>
              <w:rPr>
                <w:rFonts w:ascii="Tahoma" w:eastAsia="Times New Roman" w:hAnsi="Tahoma" w:cs="Tahoma"/>
                <w:b/>
                <w:bCs/>
                <w:noProof/>
                <w:sz w:val="16"/>
                <w:szCs w:val="16"/>
                <w:lang w:val="en-IE" w:eastAsia="en-IE"/>
              </w:rPr>
              <w:t>Merchandise trade EU28 2014-2018</w:t>
            </w:r>
          </w:p>
        </w:tc>
      </w:tr>
      <w:tr>
        <w:trPr>
          <w:trHeight w:val="210"/>
        </w:trPr>
        <w:tc>
          <w:tcPr>
            <w:tcW w:w="5120" w:type="dxa"/>
            <w:tcBorders>
              <w:top w:val="single" w:sz="4" w:space="0" w:color="auto"/>
              <w:left w:val="nil"/>
              <w:bottom w:val="single" w:sz="4" w:space="0" w:color="auto"/>
              <w:right w:val="nil"/>
            </w:tcBorders>
            <w:shd w:val="clear" w:color="000000" w:fill="FFFFFF"/>
            <w:noWrap/>
            <w:vAlign w:val="bottom"/>
            <w:hideMark/>
          </w:tcPr>
          <w:p>
            <w:pPr>
              <w:rPr>
                <w:rFonts w:ascii="Tahoma" w:eastAsia="Times New Roman" w:hAnsi="Tahoma" w:cs="Tahoma"/>
                <w:b/>
                <w:bCs/>
                <w:noProof/>
                <w:sz w:val="16"/>
                <w:szCs w:val="16"/>
                <w:lang w:val="en-IE" w:eastAsia="en-IE"/>
              </w:rPr>
            </w:pPr>
            <w:r>
              <w:rPr>
                <w:rFonts w:ascii="Tahoma" w:eastAsia="Times New Roman" w:hAnsi="Tahoma" w:cs="Tahoma"/>
                <w:b/>
                <w:bCs/>
                <w:noProof/>
                <w:sz w:val="16"/>
                <w:szCs w:val="16"/>
                <w:lang w:val="en-IE" w:eastAsia="en-IE"/>
              </w:rPr>
              <w:t> </w:t>
            </w:r>
          </w:p>
        </w:tc>
        <w:tc>
          <w:tcPr>
            <w:tcW w:w="480" w:type="dxa"/>
            <w:tcBorders>
              <w:top w:val="single" w:sz="4" w:space="0" w:color="auto"/>
              <w:left w:val="nil"/>
              <w:bottom w:val="single" w:sz="4" w:space="0" w:color="auto"/>
              <w:right w:val="nil"/>
            </w:tcBorders>
            <w:shd w:val="clear" w:color="000000" w:fill="FFFFFF"/>
            <w:noWrap/>
            <w:vAlign w:val="bottom"/>
            <w:hideMark/>
          </w:tcPr>
          <w:p>
            <w:pPr>
              <w:jc w:val="center"/>
              <w:rPr>
                <w:rFonts w:ascii="Tahoma" w:eastAsia="Times New Roman" w:hAnsi="Tahoma" w:cs="Tahoma"/>
                <w:b/>
                <w:bCs/>
                <w:noProof/>
                <w:sz w:val="16"/>
                <w:szCs w:val="16"/>
                <w:lang w:val="en-IE" w:eastAsia="en-IE"/>
              </w:rPr>
            </w:pPr>
            <w:r>
              <w:rPr>
                <w:rFonts w:ascii="Tahoma" w:eastAsia="Times New Roman" w:hAnsi="Tahoma" w:cs="Tahoma"/>
                <w:b/>
                <w:bCs/>
                <w:noProof/>
                <w:sz w:val="16"/>
                <w:szCs w:val="16"/>
                <w:lang w:val="en-IE" w:eastAsia="en-IE"/>
              </w:rPr>
              <w:t>2014</w:t>
            </w:r>
          </w:p>
        </w:tc>
        <w:tc>
          <w:tcPr>
            <w:tcW w:w="480" w:type="dxa"/>
            <w:tcBorders>
              <w:top w:val="single" w:sz="4" w:space="0" w:color="auto"/>
              <w:left w:val="nil"/>
              <w:bottom w:val="single" w:sz="4" w:space="0" w:color="auto"/>
              <w:right w:val="nil"/>
            </w:tcBorders>
            <w:shd w:val="clear" w:color="000000" w:fill="FFFFFF"/>
            <w:noWrap/>
            <w:vAlign w:val="bottom"/>
            <w:hideMark/>
          </w:tcPr>
          <w:p>
            <w:pPr>
              <w:jc w:val="center"/>
              <w:rPr>
                <w:rFonts w:ascii="Tahoma" w:eastAsia="Times New Roman" w:hAnsi="Tahoma" w:cs="Tahoma"/>
                <w:b/>
                <w:bCs/>
                <w:noProof/>
                <w:sz w:val="16"/>
                <w:szCs w:val="16"/>
                <w:lang w:val="en-IE" w:eastAsia="en-IE"/>
              </w:rPr>
            </w:pPr>
            <w:r>
              <w:rPr>
                <w:rFonts w:ascii="Tahoma" w:eastAsia="Times New Roman" w:hAnsi="Tahoma" w:cs="Tahoma"/>
                <w:b/>
                <w:bCs/>
                <w:noProof/>
                <w:sz w:val="16"/>
                <w:szCs w:val="16"/>
                <w:lang w:val="en-IE" w:eastAsia="en-IE"/>
              </w:rPr>
              <w:t>2015</w:t>
            </w:r>
          </w:p>
        </w:tc>
        <w:tc>
          <w:tcPr>
            <w:tcW w:w="480" w:type="dxa"/>
            <w:tcBorders>
              <w:top w:val="single" w:sz="4" w:space="0" w:color="auto"/>
              <w:left w:val="nil"/>
              <w:bottom w:val="single" w:sz="4" w:space="0" w:color="auto"/>
              <w:right w:val="nil"/>
            </w:tcBorders>
            <w:shd w:val="clear" w:color="000000" w:fill="FFFFFF"/>
            <w:noWrap/>
            <w:vAlign w:val="bottom"/>
            <w:hideMark/>
          </w:tcPr>
          <w:p>
            <w:pPr>
              <w:jc w:val="center"/>
              <w:rPr>
                <w:rFonts w:ascii="Tahoma" w:eastAsia="Times New Roman" w:hAnsi="Tahoma" w:cs="Tahoma"/>
                <w:b/>
                <w:bCs/>
                <w:noProof/>
                <w:sz w:val="16"/>
                <w:szCs w:val="16"/>
                <w:lang w:val="en-IE" w:eastAsia="en-IE"/>
              </w:rPr>
            </w:pPr>
            <w:r>
              <w:rPr>
                <w:rFonts w:ascii="Tahoma" w:eastAsia="Times New Roman" w:hAnsi="Tahoma" w:cs="Tahoma"/>
                <w:b/>
                <w:bCs/>
                <w:noProof/>
                <w:sz w:val="16"/>
                <w:szCs w:val="16"/>
                <w:lang w:val="en-IE" w:eastAsia="en-IE"/>
              </w:rPr>
              <w:t>2016</w:t>
            </w:r>
          </w:p>
        </w:tc>
        <w:tc>
          <w:tcPr>
            <w:tcW w:w="480" w:type="dxa"/>
            <w:tcBorders>
              <w:top w:val="single" w:sz="4" w:space="0" w:color="auto"/>
              <w:left w:val="nil"/>
              <w:bottom w:val="single" w:sz="4" w:space="0" w:color="auto"/>
              <w:right w:val="nil"/>
            </w:tcBorders>
            <w:shd w:val="clear" w:color="000000" w:fill="FFFFFF"/>
            <w:noWrap/>
            <w:vAlign w:val="bottom"/>
            <w:hideMark/>
          </w:tcPr>
          <w:p>
            <w:pPr>
              <w:jc w:val="center"/>
              <w:rPr>
                <w:rFonts w:ascii="Tahoma" w:eastAsia="Times New Roman" w:hAnsi="Tahoma" w:cs="Tahoma"/>
                <w:b/>
                <w:bCs/>
                <w:noProof/>
                <w:sz w:val="16"/>
                <w:szCs w:val="16"/>
                <w:lang w:val="en-IE" w:eastAsia="en-IE"/>
              </w:rPr>
            </w:pPr>
            <w:r>
              <w:rPr>
                <w:rFonts w:ascii="Tahoma" w:eastAsia="Times New Roman" w:hAnsi="Tahoma" w:cs="Tahoma"/>
                <w:b/>
                <w:bCs/>
                <w:noProof/>
                <w:sz w:val="16"/>
                <w:szCs w:val="16"/>
                <w:lang w:val="en-IE" w:eastAsia="en-IE"/>
              </w:rPr>
              <w:t>2017</w:t>
            </w:r>
          </w:p>
        </w:tc>
        <w:tc>
          <w:tcPr>
            <w:tcW w:w="480" w:type="dxa"/>
            <w:tcBorders>
              <w:top w:val="single" w:sz="4" w:space="0" w:color="auto"/>
              <w:left w:val="nil"/>
              <w:bottom w:val="single" w:sz="4" w:space="0" w:color="auto"/>
              <w:right w:val="nil"/>
            </w:tcBorders>
            <w:shd w:val="clear" w:color="000000" w:fill="FFFFFF"/>
            <w:noWrap/>
            <w:vAlign w:val="bottom"/>
            <w:hideMark/>
          </w:tcPr>
          <w:p>
            <w:pPr>
              <w:jc w:val="center"/>
              <w:rPr>
                <w:rFonts w:ascii="Tahoma" w:eastAsia="Times New Roman" w:hAnsi="Tahoma" w:cs="Tahoma"/>
                <w:b/>
                <w:bCs/>
                <w:noProof/>
                <w:sz w:val="16"/>
                <w:szCs w:val="16"/>
                <w:lang w:val="en-IE" w:eastAsia="en-IE"/>
              </w:rPr>
            </w:pPr>
            <w:r>
              <w:rPr>
                <w:rFonts w:ascii="Tahoma" w:eastAsia="Times New Roman" w:hAnsi="Tahoma" w:cs="Tahoma"/>
                <w:b/>
                <w:bCs/>
                <w:noProof/>
                <w:sz w:val="16"/>
                <w:szCs w:val="16"/>
                <w:lang w:val="en-IE" w:eastAsia="en-IE"/>
              </w:rPr>
              <w:t>2018</w:t>
            </w:r>
          </w:p>
        </w:tc>
      </w:tr>
      <w:tr>
        <w:trPr>
          <w:trHeight w:val="210"/>
        </w:trPr>
        <w:tc>
          <w:tcPr>
            <w:tcW w:w="5120" w:type="dxa"/>
            <w:tcBorders>
              <w:top w:val="nil"/>
              <w:left w:val="nil"/>
              <w:bottom w:val="nil"/>
              <w:right w:val="nil"/>
            </w:tcBorders>
            <w:shd w:val="clear" w:color="000000" w:fill="FFFFFF"/>
            <w:noWrap/>
            <w:vAlign w:val="center"/>
            <w:hideMark/>
          </w:tcPr>
          <w:p>
            <w:pPr>
              <w:jc w:val="cente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EU28 trade with Seychelles (mio €)</w:t>
            </w:r>
          </w:p>
        </w:tc>
        <w:tc>
          <w:tcPr>
            <w:tcW w:w="480" w:type="dxa"/>
            <w:tcBorders>
              <w:top w:val="nil"/>
              <w:left w:val="nil"/>
              <w:bottom w:val="nil"/>
              <w:right w:val="nil"/>
            </w:tcBorders>
            <w:shd w:val="clear" w:color="auto" w:fill="auto"/>
            <w:noWrap/>
            <w:vAlign w:val="center"/>
            <w:hideMark/>
          </w:tcPr>
          <w:p>
            <w:pPr>
              <w:jc w:val="center"/>
              <w:rPr>
                <w:rFonts w:ascii="Tahoma" w:eastAsia="Times New Roman" w:hAnsi="Tahoma" w:cs="Tahoma"/>
                <w:b/>
                <w:bCs/>
                <w:i/>
                <w:iCs/>
                <w:noProof/>
                <w:sz w:val="16"/>
                <w:szCs w:val="16"/>
                <w:lang w:val="en-IE" w:eastAsia="en-IE"/>
              </w:rPr>
            </w:pPr>
          </w:p>
        </w:tc>
        <w:tc>
          <w:tcPr>
            <w:tcW w:w="480" w:type="dxa"/>
            <w:tcBorders>
              <w:top w:val="nil"/>
              <w:left w:val="nil"/>
              <w:bottom w:val="nil"/>
              <w:right w:val="nil"/>
            </w:tcBorders>
            <w:shd w:val="clear" w:color="000000" w:fill="FFFFFF"/>
            <w:noWrap/>
            <w:vAlign w:val="center"/>
            <w:hideMark/>
          </w:tcPr>
          <w:p>
            <w:pP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 </w:t>
            </w:r>
          </w:p>
        </w:tc>
        <w:tc>
          <w:tcPr>
            <w:tcW w:w="480" w:type="dxa"/>
            <w:tcBorders>
              <w:top w:val="nil"/>
              <w:left w:val="nil"/>
              <w:bottom w:val="nil"/>
              <w:right w:val="nil"/>
            </w:tcBorders>
            <w:shd w:val="clear" w:color="000000" w:fill="FFFFFF"/>
            <w:noWrap/>
            <w:vAlign w:val="center"/>
            <w:hideMark/>
          </w:tcPr>
          <w:p>
            <w:pP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 </w:t>
            </w:r>
          </w:p>
        </w:tc>
        <w:tc>
          <w:tcPr>
            <w:tcW w:w="480" w:type="dxa"/>
            <w:tcBorders>
              <w:top w:val="nil"/>
              <w:left w:val="nil"/>
              <w:bottom w:val="nil"/>
              <w:right w:val="nil"/>
            </w:tcBorders>
            <w:shd w:val="clear" w:color="000000" w:fill="FFFFFF"/>
            <w:noWrap/>
            <w:vAlign w:val="center"/>
            <w:hideMark/>
          </w:tcPr>
          <w:p>
            <w:pP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 </w:t>
            </w:r>
          </w:p>
        </w:tc>
        <w:tc>
          <w:tcPr>
            <w:tcW w:w="480" w:type="dxa"/>
            <w:tcBorders>
              <w:top w:val="nil"/>
              <w:left w:val="nil"/>
              <w:bottom w:val="nil"/>
              <w:right w:val="nil"/>
            </w:tcBorders>
            <w:shd w:val="clear" w:color="000000" w:fill="FFFFFF"/>
            <w:noWrap/>
            <w:vAlign w:val="center"/>
            <w:hideMark/>
          </w:tcPr>
          <w:p>
            <w:pP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 </w:t>
            </w:r>
          </w:p>
        </w:tc>
      </w:tr>
      <w:tr>
        <w:trPr>
          <w:trHeight w:val="210"/>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Imports</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270</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249</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282</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291</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299</w:t>
            </w:r>
          </w:p>
        </w:tc>
      </w:tr>
      <w:tr>
        <w:trPr>
          <w:trHeight w:val="210"/>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Exports</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238</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302</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279</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298</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297</w:t>
            </w:r>
          </w:p>
        </w:tc>
      </w:tr>
      <w:tr>
        <w:trPr>
          <w:trHeight w:val="210"/>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Balance</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-32</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53</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-2</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7</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-2</w:t>
            </w:r>
          </w:p>
        </w:tc>
      </w:tr>
      <w:tr>
        <w:trPr>
          <w:trHeight w:val="210"/>
        </w:trPr>
        <w:tc>
          <w:tcPr>
            <w:tcW w:w="5120" w:type="dxa"/>
            <w:tcBorders>
              <w:top w:val="nil"/>
              <w:left w:val="nil"/>
              <w:bottom w:val="nil"/>
              <w:right w:val="nil"/>
            </w:tcBorders>
            <w:shd w:val="clear" w:color="000000" w:fill="FFFFFF"/>
            <w:noWrap/>
            <w:vAlign w:val="center"/>
            <w:hideMark/>
          </w:tcPr>
          <w:p>
            <w:pPr>
              <w:jc w:val="cente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Share Seychelles in EU28 trade with Extra-EU28</w:t>
            </w:r>
          </w:p>
        </w:tc>
        <w:tc>
          <w:tcPr>
            <w:tcW w:w="480" w:type="dxa"/>
            <w:tcBorders>
              <w:top w:val="nil"/>
              <w:left w:val="nil"/>
              <w:bottom w:val="nil"/>
              <w:right w:val="nil"/>
            </w:tcBorders>
            <w:shd w:val="clear" w:color="auto" w:fill="auto"/>
            <w:noWrap/>
            <w:vAlign w:val="center"/>
            <w:hideMark/>
          </w:tcPr>
          <w:p>
            <w:pPr>
              <w:jc w:val="center"/>
              <w:rPr>
                <w:rFonts w:ascii="Tahoma" w:eastAsia="Times New Roman" w:hAnsi="Tahoma" w:cs="Tahoma"/>
                <w:b/>
                <w:bCs/>
                <w:i/>
                <w:iCs/>
                <w:noProof/>
                <w:sz w:val="16"/>
                <w:szCs w:val="16"/>
                <w:lang w:val="en-IE" w:eastAsia="en-IE"/>
              </w:rPr>
            </w:pPr>
          </w:p>
        </w:tc>
        <w:tc>
          <w:tcPr>
            <w:tcW w:w="480" w:type="dxa"/>
            <w:tcBorders>
              <w:top w:val="nil"/>
              <w:left w:val="nil"/>
              <w:bottom w:val="nil"/>
              <w:right w:val="nil"/>
            </w:tcBorders>
            <w:shd w:val="clear" w:color="000000" w:fill="FFFFFF"/>
            <w:noWrap/>
            <w:vAlign w:val="center"/>
            <w:hideMark/>
          </w:tcPr>
          <w:p>
            <w:pP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 </w:t>
            </w:r>
          </w:p>
        </w:tc>
        <w:tc>
          <w:tcPr>
            <w:tcW w:w="480" w:type="dxa"/>
            <w:tcBorders>
              <w:top w:val="nil"/>
              <w:left w:val="nil"/>
              <w:bottom w:val="nil"/>
              <w:right w:val="nil"/>
            </w:tcBorders>
            <w:shd w:val="clear" w:color="000000" w:fill="FFFFFF"/>
            <w:noWrap/>
            <w:vAlign w:val="center"/>
            <w:hideMark/>
          </w:tcPr>
          <w:p>
            <w:pP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 </w:t>
            </w:r>
          </w:p>
        </w:tc>
        <w:tc>
          <w:tcPr>
            <w:tcW w:w="480" w:type="dxa"/>
            <w:tcBorders>
              <w:top w:val="nil"/>
              <w:left w:val="nil"/>
              <w:bottom w:val="nil"/>
              <w:right w:val="nil"/>
            </w:tcBorders>
            <w:shd w:val="clear" w:color="000000" w:fill="FFFFFF"/>
            <w:noWrap/>
            <w:vAlign w:val="center"/>
            <w:hideMark/>
          </w:tcPr>
          <w:p>
            <w:pP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 </w:t>
            </w:r>
          </w:p>
        </w:tc>
        <w:tc>
          <w:tcPr>
            <w:tcW w:w="480" w:type="dxa"/>
            <w:tcBorders>
              <w:top w:val="nil"/>
              <w:left w:val="nil"/>
              <w:bottom w:val="nil"/>
              <w:right w:val="nil"/>
            </w:tcBorders>
            <w:shd w:val="clear" w:color="000000" w:fill="FFFFFF"/>
            <w:noWrap/>
            <w:vAlign w:val="center"/>
            <w:hideMark/>
          </w:tcPr>
          <w:p>
            <w:pP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 </w:t>
            </w:r>
          </w:p>
        </w:tc>
      </w:tr>
      <w:tr>
        <w:trPr>
          <w:trHeight w:val="210"/>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Imports</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r>
      <w:tr>
        <w:trPr>
          <w:trHeight w:val="210"/>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Exports</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r>
      <w:tr>
        <w:trPr>
          <w:trHeight w:val="210"/>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Total (I+E)</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r>
      <w:tr>
        <w:trPr>
          <w:trHeight w:val="210"/>
        </w:trPr>
        <w:tc>
          <w:tcPr>
            <w:tcW w:w="7520" w:type="dxa"/>
            <w:gridSpan w:val="6"/>
            <w:tcBorders>
              <w:top w:val="nil"/>
              <w:left w:val="nil"/>
              <w:bottom w:val="nil"/>
              <w:right w:val="nil"/>
            </w:tcBorders>
            <w:shd w:val="clear" w:color="000000" w:fill="FFFFFF"/>
            <w:noWrap/>
            <w:vAlign w:val="center"/>
            <w:hideMark/>
          </w:tcPr>
          <w:p>
            <w:pPr>
              <w:jc w:val="cente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Share EU28 in trade Seychelles with world</w:t>
            </w:r>
          </w:p>
        </w:tc>
      </w:tr>
      <w:tr>
        <w:trPr>
          <w:trHeight w:val="210"/>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Imports</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33,7%</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30,5%</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24,6%</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34,4%</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27,3%</w:t>
            </w:r>
          </w:p>
        </w:tc>
      </w:tr>
      <w:tr>
        <w:trPr>
          <w:trHeight w:val="210"/>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Exports</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58,9%</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57,1%</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58,1%</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50,3%</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54,5%</w:t>
            </w:r>
          </w:p>
        </w:tc>
      </w:tr>
      <w:tr>
        <w:trPr>
          <w:trHeight w:val="210"/>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Total (I+E)</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42,3%</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39,2%</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32,2%</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39,3%</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34,6%</w:t>
            </w:r>
          </w:p>
        </w:tc>
      </w:tr>
      <w:tr>
        <w:trPr>
          <w:trHeight w:val="225"/>
        </w:trPr>
        <w:tc>
          <w:tcPr>
            <w:tcW w:w="6080" w:type="dxa"/>
            <w:gridSpan w:val="3"/>
            <w:tcBorders>
              <w:top w:val="single" w:sz="4" w:space="0" w:color="auto"/>
              <w:left w:val="nil"/>
              <w:bottom w:val="nil"/>
              <w:right w:val="nil"/>
            </w:tcBorders>
            <w:shd w:val="clear" w:color="000000" w:fill="FFFFFF"/>
            <w:noWrap/>
            <w:vAlign w:val="bottom"/>
            <w:hideMark/>
          </w:tcPr>
          <w:p>
            <w:pPr>
              <w:rPr>
                <w:rFonts w:ascii="Tahoma" w:eastAsia="Times New Roman" w:hAnsi="Tahoma" w:cs="Tahoma"/>
                <w:noProof/>
                <w:sz w:val="12"/>
                <w:szCs w:val="12"/>
                <w:lang w:val="en-IE" w:eastAsia="en-IE"/>
              </w:rPr>
            </w:pPr>
            <w:r>
              <w:rPr>
                <w:rFonts w:ascii="Tahoma" w:eastAsia="Times New Roman" w:hAnsi="Tahoma" w:cs="Tahoma"/>
                <w:noProof/>
                <w:sz w:val="12"/>
                <w:szCs w:val="12"/>
                <w:lang w:val="en-IE" w:eastAsia="en-IE"/>
              </w:rPr>
              <w:t xml:space="preserve">Source Trade G2 Statistics/ISDB </w:t>
            </w:r>
          </w:p>
        </w:tc>
        <w:tc>
          <w:tcPr>
            <w:tcW w:w="480" w:type="dxa"/>
            <w:tcBorders>
              <w:top w:val="single" w:sz="4" w:space="0" w:color="auto"/>
              <w:left w:val="nil"/>
              <w:bottom w:val="nil"/>
              <w:right w:val="nil"/>
            </w:tcBorders>
            <w:shd w:val="clear" w:color="000000" w:fill="FFFFFF"/>
            <w:noWrap/>
            <w:vAlign w:val="bottom"/>
            <w:hideMark/>
          </w:tcPr>
          <w:p>
            <w:pPr>
              <w:jc w:val="center"/>
              <w:rPr>
                <w:rFonts w:ascii="Tahoma" w:eastAsia="Times New Roman" w:hAnsi="Tahoma" w:cs="Tahoma"/>
                <w:noProof/>
                <w:sz w:val="18"/>
                <w:szCs w:val="18"/>
                <w:lang w:val="en-IE" w:eastAsia="en-IE"/>
              </w:rPr>
            </w:pPr>
            <w:r>
              <w:rPr>
                <w:rFonts w:ascii="Tahoma" w:eastAsia="Times New Roman" w:hAnsi="Tahoma" w:cs="Tahoma"/>
                <w:noProof/>
                <w:sz w:val="18"/>
                <w:szCs w:val="18"/>
                <w:lang w:val="en-IE" w:eastAsia="en-IE"/>
              </w:rPr>
              <w:t> </w:t>
            </w:r>
          </w:p>
        </w:tc>
        <w:tc>
          <w:tcPr>
            <w:tcW w:w="480" w:type="dxa"/>
            <w:tcBorders>
              <w:top w:val="single" w:sz="4" w:space="0" w:color="auto"/>
              <w:left w:val="nil"/>
              <w:bottom w:val="nil"/>
              <w:right w:val="nil"/>
            </w:tcBorders>
            <w:shd w:val="clear" w:color="000000" w:fill="FFFFFF"/>
            <w:noWrap/>
            <w:vAlign w:val="bottom"/>
            <w:hideMark/>
          </w:tcPr>
          <w:p>
            <w:pPr>
              <w:jc w:val="center"/>
              <w:rPr>
                <w:rFonts w:ascii="Tahoma" w:eastAsia="Times New Roman" w:hAnsi="Tahoma" w:cs="Tahoma"/>
                <w:noProof/>
                <w:sz w:val="18"/>
                <w:szCs w:val="18"/>
                <w:lang w:val="en-IE" w:eastAsia="en-IE"/>
              </w:rPr>
            </w:pPr>
            <w:r>
              <w:rPr>
                <w:rFonts w:ascii="Tahoma" w:eastAsia="Times New Roman" w:hAnsi="Tahoma" w:cs="Tahoma"/>
                <w:noProof/>
                <w:sz w:val="18"/>
                <w:szCs w:val="18"/>
                <w:lang w:val="en-IE" w:eastAsia="en-IE"/>
              </w:rPr>
              <w:t> </w:t>
            </w:r>
          </w:p>
        </w:tc>
        <w:tc>
          <w:tcPr>
            <w:tcW w:w="480" w:type="dxa"/>
            <w:tcBorders>
              <w:top w:val="single" w:sz="4" w:space="0" w:color="auto"/>
              <w:left w:val="nil"/>
              <w:bottom w:val="nil"/>
              <w:right w:val="nil"/>
            </w:tcBorders>
            <w:shd w:val="clear" w:color="000000" w:fill="FFFFFF"/>
            <w:noWrap/>
            <w:hideMark/>
          </w:tcPr>
          <w:p>
            <w:pPr>
              <w:jc w:val="right"/>
              <w:rPr>
                <w:rFonts w:ascii="Tahoma" w:eastAsia="Times New Roman" w:hAnsi="Tahoma" w:cs="Tahoma"/>
                <w:noProof/>
                <w:sz w:val="12"/>
                <w:szCs w:val="12"/>
                <w:lang w:val="en-IE" w:eastAsia="en-IE"/>
              </w:rPr>
            </w:pPr>
            <w:r>
              <w:rPr>
                <w:rFonts w:ascii="Tahoma" w:eastAsia="Times New Roman" w:hAnsi="Tahoma" w:cs="Tahoma"/>
                <w:noProof/>
                <w:sz w:val="12"/>
                <w:szCs w:val="12"/>
                <w:lang w:val="en-IE" w:eastAsia="en-IE"/>
              </w:rPr>
              <w:t>25-mars-19</w:t>
            </w:r>
          </w:p>
        </w:tc>
      </w:tr>
      <w:tr>
        <w:trPr>
          <w:trHeight w:val="210"/>
        </w:trPr>
        <w:tc>
          <w:tcPr>
            <w:tcW w:w="6560" w:type="dxa"/>
            <w:gridSpan w:val="4"/>
            <w:tcBorders>
              <w:top w:val="nil"/>
              <w:left w:val="nil"/>
              <w:bottom w:val="nil"/>
              <w:right w:val="nil"/>
            </w:tcBorders>
            <w:shd w:val="clear" w:color="000000" w:fill="FFFFFF"/>
            <w:noWrap/>
            <w:hideMark/>
          </w:tcPr>
          <w:p>
            <w:pPr>
              <w:rPr>
                <w:rFonts w:ascii="Tahoma" w:eastAsia="Times New Roman" w:hAnsi="Tahoma" w:cs="Tahoma"/>
                <w:noProof/>
                <w:color w:val="000000"/>
                <w:sz w:val="12"/>
                <w:szCs w:val="12"/>
                <w:lang w:val="fr-BE" w:eastAsia="en-IE"/>
              </w:rPr>
            </w:pPr>
            <w:r>
              <w:rPr>
                <w:rFonts w:ascii="Tahoma" w:eastAsia="Times New Roman" w:hAnsi="Tahoma" w:cs="Tahoma"/>
                <w:noProof/>
                <w:color w:val="000000"/>
                <w:sz w:val="12"/>
                <w:szCs w:val="12"/>
                <w:lang w:val="fr-BE" w:eastAsia="en-IE"/>
              </w:rPr>
              <w:t>Trade EU28: Eurostat COMEXT;  Trade Seychelles: IMF Dots</w:t>
            </w:r>
          </w:p>
        </w:tc>
        <w:tc>
          <w:tcPr>
            <w:tcW w:w="480" w:type="dxa"/>
            <w:tcBorders>
              <w:top w:val="nil"/>
              <w:left w:val="nil"/>
              <w:bottom w:val="nil"/>
              <w:right w:val="nil"/>
            </w:tcBorders>
            <w:shd w:val="clear" w:color="000000" w:fill="FFFFFF"/>
            <w:noWrap/>
            <w:vAlign w:val="bottom"/>
            <w:hideMark/>
          </w:tcPr>
          <w:p>
            <w:pPr>
              <w:rPr>
                <w:rFonts w:ascii="Tahoma" w:eastAsia="Times New Roman" w:hAnsi="Tahoma" w:cs="Tahoma"/>
                <w:noProof/>
                <w:color w:val="000000"/>
                <w:sz w:val="16"/>
                <w:szCs w:val="16"/>
                <w:lang w:val="fr-BE" w:eastAsia="en-IE"/>
              </w:rPr>
            </w:pPr>
            <w:r>
              <w:rPr>
                <w:rFonts w:ascii="Tahoma" w:eastAsia="Times New Roman" w:hAnsi="Tahoma" w:cs="Tahoma"/>
                <w:noProof/>
                <w:color w:val="000000"/>
                <w:sz w:val="16"/>
                <w:szCs w:val="16"/>
                <w:lang w:val="fr-BE" w:eastAsia="en-IE"/>
              </w:rPr>
              <w:t> </w:t>
            </w:r>
          </w:p>
        </w:tc>
        <w:tc>
          <w:tcPr>
            <w:tcW w:w="480" w:type="dxa"/>
            <w:tcBorders>
              <w:top w:val="nil"/>
              <w:left w:val="nil"/>
              <w:bottom w:val="nil"/>
              <w:right w:val="nil"/>
            </w:tcBorders>
            <w:shd w:val="clear" w:color="000000" w:fill="FFFFFF"/>
            <w:noWrap/>
            <w:vAlign w:val="bottom"/>
            <w:hideMark/>
          </w:tcPr>
          <w:p>
            <w:pPr>
              <w:rPr>
                <w:rFonts w:ascii="Tahoma" w:eastAsia="Times New Roman" w:hAnsi="Tahoma" w:cs="Tahoma"/>
                <w:noProof/>
                <w:color w:val="000000"/>
                <w:sz w:val="16"/>
                <w:szCs w:val="16"/>
                <w:lang w:val="fr-BE" w:eastAsia="en-IE"/>
              </w:rPr>
            </w:pPr>
            <w:r>
              <w:rPr>
                <w:rFonts w:ascii="Tahoma" w:eastAsia="Times New Roman" w:hAnsi="Tahoma" w:cs="Tahoma"/>
                <w:noProof/>
                <w:color w:val="000000"/>
                <w:sz w:val="16"/>
                <w:szCs w:val="16"/>
                <w:lang w:val="fr-BE" w:eastAsia="en-IE"/>
              </w:rPr>
              <w:t> </w:t>
            </w:r>
          </w:p>
        </w:tc>
      </w:tr>
      <w:tr>
        <w:trPr>
          <w:trHeight w:val="210"/>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color w:val="000000"/>
                <w:sz w:val="16"/>
                <w:szCs w:val="16"/>
                <w:lang w:val="fr-BE" w:eastAsia="en-IE"/>
              </w:rPr>
            </w:pPr>
            <w:r>
              <w:rPr>
                <w:rFonts w:ascii="Tahoma" w:eastAsia="Times New Roman" w:hAnsi="Tahoma" w:cs="Tahoma"/>
                <w:noProof/>
                <w:color w:val="000000"/>
                <w:sz w:val="16"/>
                <w:szCs w:val="16"/>
                <w:lang w:val="fr-BE" w:eastAsia="en-IE"/>
              </w:rPr>
              <w:t> </w:t>
            </w:r>
          </w:p>
        </w:tc>
        <w:tc>
          <w:tcPr>
            <w:tcW w:w="480" w:type="dxa"/>
            <w:tcBorders>
              <w:top w:val="nil"/>
              <w:left w:val="nil"/>
              <w:bottom w:val="nil"/>
              <w:right w:val="nil"/>
            </w:tcBorders>
            <w:shd w:val="clear" w:color="000000" w:fill="FFFFFF"/>
            <w:noWrap/>
            <w:vAlign w:val="bottom"/>
            <w:hideMark/>
          </w:tcPr>
          <w:p>
            <w:pPr>
              <w:rPr>
                <w:rFonts w:ascii="Tahoma" w:eastAsia="Times New Roman" w:hAnsi="Tahoma" w:cs="Tahoma"/>
                <w:noProof/>
                <w:color w:val="000000"/>
                <w:sz w:val="16"/>
                <w:szCs w:val="16"/>
                <w:lang w:val="fr-BE" w:eastAsia="en-IE"/>
              </w:rPr>
            </w:pPr>
            <w:r>
              <w:rPr>
                <w:rFonts w:ascii="Tahoma" w:eastAsia="Times New Roman" w:hAnsi="Tahoma" w:cs="Tahoma"/>
                <w:noProof/>
                <w:color w:val="000000"/>
                <w:sz w:val="16"/>
                <w:szCs w:val="16"/>
                <w:lang w:val="fr-BE" w:eastAsia="en-IE"/>
              </w:rPr>
              <w:t> </w:t>
            </w:r>
          </w:p>
        </w:tc>
        <w:tc>
          <w:tcPr>
            <w:tcW w:w="480" w:type="dxa"/>
            <w:tcBorders>
              <w:top w:val="nil"/>
              <w:left w:val="nil"/>
              <w:bottom w:val="nil"/>
              <w:right w:val="nil"/>
            </w:tcBorders>
            <w:shd w:val="clear" w:color="000000" w:fill="FFFFFF"/>
            <w:noWrap/>
            <w:vAlign w:val="bottom"/>
            <w:hideMark/>
          </w:tcPr>
          <w:p>
            <w:pPr>
              <w:rPr>
                <w:rFonts w:ascii="Tahoma" w:eastAsia="Times New Roman" w:hAnsi="Tahoma" w:cs="Tahoma"/>
                <w:noProof/>
                <w:color w:val="000000"/>
                <w:sz w:val="16"/>
                <w:szCs w:val="16"/>
                <w:lang w:val="fr-BE" w:eastAsia="en-IE"/>
              </w:rPr>
            </w:pPr>
            <w:r>
              <w:rPr>
                <w:rFonts w:ascii="Tahoma" w:eastAsia="Times New Roman" w:hAnsi="Tahoma" w:cs="Tahoma"/>
                <w:noProof/>
                <w:color w:val="000000"/>
                <w:sz w:val="16"/>
                <w:szCs w:val="16"/>
                <w:lang w:val="fr-BE" w:eastAsia="en-IE"/>
              </w:rPr>
              <w:t> </w:t>
            </w:r>
          </w:p>
        </w:tc>
        <w:tc>
          <w:tcPr>
            <w:tcW w:w="480" w:type="dxa"/>
            <w:tcBorders>
              <w:top w:val="nil"/>
              <w:left w:val="nil"/>
              <w:bottom w:val="nil"/>
              <w:right w:val="nil"/>
            </w:tcBorders>
            <w:shd w:val="clear" w:color="000000" w:fill="FFFFFF"/>
            <w:noWrap/>
            <w:vAlign w:val="bottom"/>
            <w:hideMark/>
          </w:tcPr>
          <w:p>
            <w:pPr>
              <w:rPr>
                <w:rFonts w:ascii="Tahoma" w:eastAsia="Times New Roman" w:hAnsi="Tahoma" w:cs="Tahoma"/>
                <w:noProof/>
                <w:color w:val="000000"/>
                <w:sz w:val="16"/>
                <w:szCs w:val="16"/>
                <w:lang w:val="fr-BE" w:eastAsia="en-IE"/>
              </w:rPr>
            </w:pPr>
            <w:r>
              <w:rPr>
                <w:rFonts w:ascii="Tahoma" w:eastAsia="Times New Roman" w:hAnsi="Tahoma" w:cs="Tahoma"/>
                <w:noProof/>
                <w:color w:val="000000"/>
                <w:sz w:val="16"/>
                <w:szCs w:val="16"/>
                <w:lang w:val="fr-BE" w:eastAsia="en-IE"/>
              </w:rPr>
              <w:t> </w:t>
            </w:r>
          </w:p>
        </w:tc>
        <w:tc>
          <w:tcPr>
            <w:tcW w:w="480" w:type="dxa"/>
            <w:tcBorders>
              <w:top w:val="nil"/>
              <w:left w:val="nil"/>
              <w:bottom w:val="nil"/>
              <w:right w:val="nil"/>
            </w:tcBorders>
            <w:shd w:val="clear" w:color="000000" w:fill="FFFFFF"/>
            <w:noWrap/>
            <w:vAlign w:val="bottom"/>
            <w:hideMark/>
          </w:tcPr>
          <w:p>
            <w:pPr>
              <w:rPr>
                <w:rFonts w:ascii="Tahoma" w:eastAsia="Times New Roman" w:hAnsi="Tahoma" w:cs="Tahoma"/>
                <w:noProof/>
                <w:color w:val="000000"/>
                <w:sz w:val="16"/>
                <w:szCs w:val="16"/>
                <w:lang w:val="fr-BE" w:eastAsia="en-IE"/>
              </w:rPr>
            </w:pPr>
            <w:r>
              <w:rPr>
                <w:rFonts w:ascii="Tahoma" w:eastAsia="Times New Roman" w:hAnsi="Tahoma" w:cs="Tahoma"/>
                <w:noProof/>
                <w:color w:val="000000"/>
                <w:sz w:val="16"/>
                <w:szCs w:val="16"/>
                <w:lang w:val="fr-BE" w:eastAsia="en-IE"/>
              </w:rPr>
              <w:t> </w:t>
            </w:r>
          </w:p>
        </w:tc>
        <w:tc>
          <w:tcPr>
            <w:tcW w:w="480" w:type="dxa"/>
            <w:tcBorders>
              <w:top w:val="nil"/>
              <w:left w:val="nil"/>
              <w:bottom w:val="nil"/>
              <w:right w:val="nil"/>
            </w:tcBorders>
            <w:shd w:val="clear" w:color="000000" w:fill="FFFFFF"/>
            <w:noWrap/>
            <w:vAlign w:val="bottom"/>
            <w:hideMark/>
          </w:tcPr>
          <w:p>
            <w:pPr>
              <w:rPr>
                <w:rFonts w:ascii="Tahoma" w:eastAsia="Times New Roman" w:hAnsi="Tahoma" w:cs="Tahoma"/>
                <w:noProof/>
                <w:color w:val="000000"/>
                <w:sz w:val="16"/>
                <w:szCs w:val="16"/>
                <w:lang w:val="fr-BE" w:eastAsia="en-IE"/>
              </w:rPr>
            </w:pPr>
            <w:r>
              <w:rPr>
                <w:rFonts w:ascii="Tahoma" w:eastAsia="Times New Roman" w:hAnsi="Tahoma" w:cs="Tahoma"/>
                <w:noProof/>
                <w:color w:val="000000"/>
                <w:sz w:val="16"/>
                <w:szCs w:val="16"/>
                <w:lang w:val="fr-BE" w:eastAsia="en-IE"/>
              </w:rPr>
              <w:t> </w:t>
            </w:r>
          </w:p>
        </w:tc>
      </w:tr>
      <w:tr>
        <w:trPr>
          <w:trHeight w:val="225"/>
        </w:trPr>
        <w:tc>
          <w:tcPr>
            <w:tcW w:w="7520" w:type="dxa"/>
            <w:gridSpan w:val="6"/>
            <w:tcBorders>
              <w:top w:val="nil"/>
              <w:left w:val="nil"/>
              <w:bottom w:val="nil"/>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Total merchandise trade EU28 with Seychelles (mio €)</w:t>
            </w:r>
          </w:p>
        </w:tc>
      </w:tr>
      <w:tr>
        <w:trPr>
          <w:trHeight w:val="225"/>
        </w:trPr>
        <w:tc>
          <w:tcPr>
            <w:tcW w:w="5600"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Seychelles</w:t>
            </w:r>
          </w:p>
        </w:tc>
        <w:tc>
          <w:tcPr>
            <w:tcW w:w="48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2017</w:t>
            </w:r>
          </w:p>
        </w:tc>
        <w:tc>
          <w:tcPr>
            <w:tcW w:w="48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2018</w:t>
            </w:r>
          </w:p>
        </w:tc>
        <w:tc>
          <w:tcPr>
            <w:tcW w:w="960" w:type="dxa"/>
            <w:gridSpan w:val="2"/>
            <w:tcBorders>
              <w:top w:val="single" w:sz="4" w:space="0" w:color="auto"/>
              <w:left w:val="nil"/>
              <w:bottom w:val="nil"/>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Growth</w:t>
            </w:r>
          </w:p>
        </w:tc>
      </w:tr>
      <w:tr>
        <w:trPr>
          <w:trHeight w:val="225"/>
        </w:trPr>
        <w:tc>
          <w:tcPr>
            <w:tcW w:w="5600" w:type="dxa"/>
            <w:gridSpan w:val="2"/>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80" w:type="dxa"/>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80" w:type="dxa"/>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80" w:type="dxa"/>
            <w:tcBorders>
              <w:top w:val="nil"/>
              <w:left w:val="nil"/>
              <w:bottom w:val="single" w:sz="4" w:space="0" w:color="auto"/>
              <w:right w:val="nil"/>
            </w:tcBorders>
            <w:shd w:val="clear" w:color="000000" w:fill="FFFFFF"/>
            <w:noWrap/>
            <w:vAlign w:val="bottom"/>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mio €</w:t>
            </w:r>
          </w:p>
        </w:tc>
        <w:tc>
          <w:tcPr>
            <w:tcW w:w="480" w:type="dxa"/>
            <w:tcBorders>
              <w:top w:val="nil"/>
              <w:left w:val="nil"/>
              <w:bottom w:val="single" w:sz="4" w:space="0" w:color="auto"/>
              <w:right w:val="nil"/>
            </w:tcBorders>
            <w:shd w:val="clear" w:color="000000" w:fill="FFFFFF"/>
            <w:noWrap/>
            <w:vAlign w:val="bottom"/>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annual %</w:t>
            </w:r>
          </w:p>
        </w:tc>
      </w:tr>
      <w:tr>
        <w:trPr>
          <w:trHeight w:val="225"/>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Imports</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291</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299</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8</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2,8%</w:t>
            </w:r>
          </w:p>
        </w:tc>
      </w:tr>
      <w:tr>
        <w:trPr>
          <w:trHeight w:val="225"/>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Exports</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298</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297</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-0,4%</w:t>
            </w:r>
          </w:p>
        </w:tc>
      </w:tr>
      <w:tr>
        <w:trPr>
          <w:trHeight w:val="225"/>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Balance</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7</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-9</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r>
      <w:tr>
        <w:trPr>
          <w:trHeight w:val="225"/>
        </w:trPr>
        <w:tc>
          <w:tcPr>
            <w:tcW w:w="5120" w:type="dxa"/>
            <w:tcBorders>
              <w:top w:val="nil"/>
              <w:left w:val="nil"/>
              <w:bottom w:val="single" w:sz="4" w:space="0" w:color="auto"/>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Total trade</w:t>
            </w:r>
          </w:p>
        </w:tc>
        <w:tc>
          <w:tcPr>
            <w:tcW w:w="480" w:type="dxa"/>
            <w:tcBorders>
              <w:top w:val="nil"/>
              <w:left w:val="nil"/>
              <w:bottom w:val="single" w:sz="4" w:space="0" w:color="auto"/>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589</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596</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7</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1,2%</w:t>
            </w:r>
          </w:p>
        </w:tc>
      </w:tr>
      <w:tr>
        <w:trPr>
          <w:trHeight w:val="240"/>
        </w:trPr>
        <w:tc>
          <w:tcPr>
            <w:tcW w:w="6560" w:type="dxa"/>
            <w:gridSpan w:val="4"/>
            <w:tcBorders>
              <w:top w:val="single" w:sz="4" w:space="0" w:color="auto"/>
              <w:left w:val="nil"/>
              <w:bottom w:val="nil"/>
              <w:right w:val="nil"/>
            </w:tcBorders>
            <w:shd w:val="clear" w:color="000000" w:fill="FFFFFF"/>
            <w:noWrap/>
            <w:hideMark/>
          </w:tcPr>
          <w:p>
            <w:pPr>
              <w:rPr>
                <w:rFonts w:ascii="Arial" w:eastAsia="Times New Roman" w:hAnsi="Arial" w:cs="Arial"/>
                <w:noProof/>
                <w:sz w:val="12"/>
                <w:szCs w:val="12"/>
                <w:lang w:val="en-IE" w:eastAsia="en-IE"/>
              </w:rPr>
            </w:pPr>
            <w:r>
              <w:rPr>
                <w:rFonts w:ascii="Arial" w:eastAsia="Times New Roman" w:hAnsi="Arial" w:cs="Arial"/>
                <w:noProof/>
                <w:sz w:val="12"/>
                <w:szCs w:val="12"/>
                <w:lang w:val="en-IE" w:eastAsia="en-IE"/>
              </w:rPr>
              <w:t>Source Trade G2 Statistics/ISDB from Eurostat COMEXT</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8"/>
                <w:szCs w:val="18"/>
                <w:lang w:val="en-IE" w:eastAsia="en-IE"/>
              </w:rPr>
            </w:pPr>
            <w:r>
              <w:rPr>
                <w:rFonts w:ascii="Arial" w:eastAsia="Times New Roman" w:hAnsi="Arial" w:cs="Arial"/>
                <w:noProof/>
                <w:sz w:val="18"/>
                <w:szCs w:val="18"/>
                <w:lang w:val="en-IE" w:eastAsia="en-IE"/>
              </w:rPr>
              <w:t> </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8"/>
                <w:szCs w:val="18"/>
                <w:lang w:val="en-IE" w:eastAsia="en-IE"/>
              </w:rPr>
            </w:pPr>
            <w:r>
              <w:rPr>
                <w:rFonts w:ascii="Arial" w:eastAsia="Times New Roman" w:hAnsi="Arial" w:cs="Arial"/>
                <w:noProof/>
                <w:sz w:val="18"/>
                <w:szCs w:val="18"/>
                <w:lang w:val="en-IE" w:eastAsia="en-IE"/>
              </w:rPr>
              <w:t> </w:t>
            </w:r>
          </w:p>
        </w:tc>
      </w:tr>
      <w:tr>
        <w:trPr>
          <w:trHeight w:val="225"/>
        </w:trPr>
        <w:tc>
          <w:tcPr>
            <w:tcW w:w="7520" w:type="dxa"/>
            <w:gridSpan w:val="6"/>
            <w:tcBorders>
              <w:top w:val="nil"/>
              <w:left w:val="nil"/>
              <w:bottom w:val="nil"/>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Agrifood trade EU28 with Seychelles (mio €)</w:t>
            </w:r>
          </w:p>
        </w:tc>
      </w:tr>
      <w:tr>
        <w:trPr>
          <w:trHeight w:val="255"/>
        </w:trPr>
        <w:tc>
          <w:tcPr>
            <w:tcW w:w="5600"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Seychelles</w:t>
            </w:r>
          </w:p>
        </w:tc>
        <w:tc>
          <w:tcPr>
            <w:tcW w:w="48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2017</w:t>
            </w:r>
          </w:p>
        </w:tc>
        <w:tc>
          <w:tcPr>
            <w:tcW w:w="48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2018</w:t>
            </w:r>
          </w:p>
        </w:tc>
        <w:tc>
          <w:tcPr>
            <w:tcW w:w="960" w:type="dxa"/>
            <w:gridSpan w:val="2"/>
            <w:tcBorders>
              <w:top w:val="single" w:sz="4" w:space="0" w:color="auto"/>
              <w:left w:val="nil"/>
              <w:bottom w:val="nil"/>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Growth</w:t>
            </w:r>
          </w:p>
        </w:tc>
      </w:tr>
      <w:tr>
        <w:trPr>
          <w:trHeight w:val="225"/>
        </w:trPr>
        <w:tc>
          <w:tcPr>
            <w:tcW w:w="5600" w:type="dxa"/>
            <w:gridSpan w:val="2"/>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80" w:type="dxa"/>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80" w:type="dxa"/>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80" w:type="dxa"/>
            <w:tcBorders>
              <w:top w:val="nil"/>
              <w:left w:val="nil"/>
              <w:bottom w:val="single" w:sz="4" w:space="0" w:color="auto"/>
              <w:right w:val="nil"/>
            </w:tcBorders>
            <w:shd w:val="clear" w:color="000000" w:fill="FFFFFF"/>
            <w:noWrap/>
            <w:vAlign w:val="bottom"/>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mio €</w:t>
            </w:r>
          </w:p>
        </w:tc>
        <w:tc>
          <w:tcPr>
            <w:tcW w:w="480" w:type="dxa"/>
            <w:tcBorders>
              <w:top w:val="nil"/>
              <w:left w:val="nil"/>
              <w:bottom w:val="single" w:sz="4" w:space="0" w:color="auto"/>
              <w:right w:val="nil"/>
            </w:tcBorders>
            <w:shd w:val="clear" w:color="000000" w:fill="FFFFFF"/>
            <w:noWrap/>
            <w:vAlign w:val="bottom"/>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annual %</w:t>
            </w:r>
          </w:p>
        </w:tc>
      </w:tr>
      <w:tr>
        <w:trPr>
          <w:trHeight w:val="225"/>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Imports</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0</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0</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0</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-14,6%</w:t>
            </w:r>
          </w:p>
        </w:tc>
      </w:tr>
      <w:tr>
        <w:trPr>
          <w:trHeight w:val="225"/>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Exports</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45</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36</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-9</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-19,7%</w:t>
            </w:r>
          </w:p>
        </w:tc>
      </w:tr>
      <w:tr>
        <w:trPr>
          <w:trHeight w:val="225"/>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Balance</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45</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36</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-9</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r>
      <w:tr>
        <w:trPr>
          <w:trHeight w:val="225"/>
        </w:trPr>
        <w:tc>
          <w:tcPr>
            <w:tcW w:w="5120" w:type="dxa"/>
            <w:tcBorders>
              <w:top w:val="nil"/>
              <w:left w:val="nil"/>
              <w:bottom w:val="single" w:sz="4" w:space="0" w:color="auto"/>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Total trade</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46</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37</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-9</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-19,7%</w:t>
            </w:r>
          </w:p>
        </w:tc>
      </w:tr>
      <w:tr>
        <w:trPr>
          <w:trHeight w:val="240"/>
        </w:trPr>
        <w:tc>
          <w:tcPr>
            <w:tcW w:w="6560" w:type="dxa"/>
            <w:gridSpan w:val="4"/>
            <w:tcBorders>
              <w:top w:val="single" w:sz="4" w:space="0" w:color="auto"/>
              <w:left w:val="nil"/>
              <w:bottom w:val="nil"/>
              <w:right w:val="nil"/>
            </w:tcBorders>
            <w:shd w:val="clear" w:color="000000" w:fill="FFFFFF"/>
            <w:noWrap/>
            <w:hideMark/>
          </w:tcPr>
          <w:p>
            <w:pPr>
              <w:rPr>
                <w:rFonts w:ascii="Arial" w:eastAsia="Times New Roman" w:hAnsi="Arial" w:cs="Arial"/>
                <w:noProof/>
                <w:sz w:val="12"/>
                <w:szCs w:val="12"/>
                <w:lang w:val="en-IE" w:eastAsia="en-IE"/>
              </w:rPr>
            </w:pPr>
            <w:r>
              <w:rPr>
                <w:rFonts w:ascii="Arial" w:eastAsia="Times New Roman" w:hAnsi="Arial" w:cs="Arial"/>
                <w:noProof/>
                <w:sz w:val="12"/>
                <w:szCs w:val="12"/>
                <w:lang w:val="en-IE" w:eastAsia="en-IE"/>
              </w:rPr>
              <w:t>Source Trade G2 Statistics/ISDB from Eurostat COMEXT</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8"/>
                <w:szCs w:val="18"/>
                <w:lang w:val="en-IE" w:eastAsia="en-IE"/>
              </w:rPr>
            </w:pPr>
            <w:r>
              <w:rPr>
                <w:rFonts w:ascii="Arial" w:eastAsia="Times New Roman" w:hAnsi="Arial" w:cs="Arial"/>
                <w:noProof/>
                <w:sz w:val="18"/>
                <w:szCs w:val="18"/>
                <w:lang w:val="en-IE" w:eastAsia="en-IE"/>
              </w:rPr>
              <w:t> </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8"/>
                <w:szCs w:val="18"/>
                <w:lang w:val="en-IE" w:eastAsia="en-IE"/>
              </w:rPr>
            </w:pPr>
            <w:r>
              <w:rPr>
                <w:rFonts w:ascii="Arial" w:eastAsia="Times New Roman" w:hAnsi="Arial" w:cs="Arial"/>
                <w:noProof/>
                <w:sz w:val="18"/>
                <w:szCs w:val="18"/>
                <w:lang w:val="en-IE" w:eastAsia="en-IE"/>
              </w:rPr>
              <w:t> </w:t>
            </w:r>
          </w:p>
        </w:tc>
      </w:tr>
      <w:tr>
        <w:trPr>
          <w:trHeight w:val="225"/>
        </w:trPr>
        <w:tc>
          <w:tcPr>
            <w:tcW w:w="7520" w:type="dxa"/>
            <w:gridSpan w:val="6"/>
            <w:tcBorders>
              <w:top w:val="nil"/>
              <w:left w:val="nil"/>
              <w:bottom w:val="nil"/>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NAMA trade EU28 with Seychelles (mio €)</w:t>
            </w:r>
          </w:p>
        </w:tc>
      </w:tr>
      <w:tr>
        <w:trPr>
          <w:trHeight w:val="225"/>
        </w:trPr>
        <w:tc>
          <w:tcPr>
            <w:tcW w:w="5600"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Seychelles</w:t>
            </w:r>
          </w:p>
        </w:tc>
        <w:tc>
          <w:tcPr>
            <w:tcW w:w="48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2017</w:t>
            </w:r>
          </w:p>
        </w:tc>
        <w:tc>
          <w:tcPr>
            <w:tcW w:w="48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2018</w:t>
            </w:r>
          </w:p>
        </w:tc>
        <w:tc>
          <w:tcPr>
            <w:tcW w:w="960" w:type="dxa"/>
            <w:gridSpan w:val="2"/>
            <w:tcBorders>
              <w:top w:val="single" w:sz="4" w:space="0" w:color="auto"/>
              <w:left w:val="nil"/>
              <w:bottom w:val="nil"/>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Growth</w:t>
            </w:r>
          </w:p>
        </w:tc>
      </w:tr>
      <w:tr>
        <w:trPr>
          <w:trHeight w:val="225"/>
        </w:trPr>
        <w:tc>
          <w:tcPr>
            <w:tcW w:w="5600" w:type="dxa"/>
            <w:gridSpan w:val="2"/>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80" w:type="dxa"/>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80" w:type="dxa"/>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80" w:type="dxa"/>
            <w:tcBorders>
              <w:top w:val="nil"/>
              <w:left w:val="nil"/>
              <w:bottom w:val="single" w:sz="4" w:space="0" w:color="auto"/>
              <w:right w:val="nil"/>
            </w:tcBorders>
            <w:shd w:val="clear" w:color="000000" w:fill="FFFFFF"/>
            <w:noWrap/>
            <w:vAlign w:val="bottom"/>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mio €</w:t>
            </w:r>
          </w:p>
        </w:tc>
        <w:tc>
          <w:tcPr>
            <w:tcW w:w="480" w:type="dxa"/>
            <w:tcBorders>
              <w:top w:val="nil"/>
              <w:left w:val="nil"/>
              <w:bottom w:val="single" w:sz="4" w:space="0" w:color="auto"/>
              <w:right w:val="nil"/>
            </w:tcBorders>
            <w:shd w:val="clear" w:color="000000" w:fill="FFFFFF"/>
            <w:noWrap/>
            <w:vAlign w:val="bottom"/>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annual %</w:t>
            </w:r>
          </w:p>
        </w:tc>
      </w:tr>
      <w:tr>
        <w:trPr>
          <w:trHeight w:val="225"/>
        </w:trPr>
        <w:tc>
          <w:tcPr>
            <w:tcW w:w="5600" w:type="dxa"/>
            <w:gridSpan w:val="2"/>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EU28 imports</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291</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299</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8</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2,8%</w:t>
            </w:r>
          </w:p>
        </w:tc>
      </w:tr>
      <w:tr>
        <w:trPr>
          <w:trHeight w:val="225"/>
        </w:trPr>
        <w:tc>
          <w:tcPr>
            <w:tcW w:w="5600" w:type="dxa"/>
            <w:gridSpan w:val="2"/>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EU28 exports</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253</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261</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8</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3,0%</w:t>
            </w:r>
          </w:p>
        </w:tc>
      </w:tr>
      <w:tr>
        <w:trPr>
          <w:trHeight w:val="225"/>
        </w:trPr>
        <w:tc>
          <w:tcPr>
            <w:tcW w:w="512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Balance</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-38</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-38</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r>
      <w:tr>
        <w:trPr>
          <w:trHeight w:val="225"/>
        </w:trPr>
        <w:tc>
          <w:tcPr>
            <w:tcW w:w="512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Total trade</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544</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560</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16</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2,9%</w:t>
            </w:r>
          </w:p>
        </w:tc>
      </w:tr>
      <w:tr>
        <w:trPr>
          <w:trHeight w:val="240"/>
        </w:trPr>
        <w:tc>
          <w:tcPr>
            <w:tcW w:w="6560" w:type="dxa"/>
            <w:gridSpan w:val="4"/>
            <w:tcBorders>
              <w:top w:val="single" w:sz="4" w:space="0" w:color="auto"/>
              <w:left w:val="nil"/>
              <w:bottom w:val="nil"/>
              <w:right w:val="nil"/>
            </w:tcBorders>
            <w:shd w:val="clear" w:color="000000" w:fill="FFFFFF"/>
            <w:noWrap/>
            <w:hideMark/>
          </w:tcPr>
          <w:p>
            <w:pPr>
              <w:rPr>
                <w:rFonts w:ascii="Arial" w:eastAsia="Times New Roman" w:hAnsi="Arial" w:cs="Arial"/>
                <w:noProof/>
                <w:sz w:val="12"/>
                <w:szCs w:val="12"/>
                <w:lang w:val="en-IE" w:eastAsia="en-IE"/>
              </w:rPr>
            </w:pPr>
            <w:r>
              <w:rPr>
                <w:rFonts w:ascii="Arial" w:eastAsia="Times New Roman" w:hAnsi="Arial" w:cs="Arial"/>
                <w:noProof/>
                <w:sz w:val="12"/>
                <w:szCs w:val="12"/>
                <w:lang w:val="en-IE" w:eastAsia="en-IE"/>
              </w:rPr>
              <w:t>Source Trade G2 Statistics/ISDB from Eurostat COMEXT</w:t>
            </w:r>
          </w:p>
        </w:tc>
        <w:tc>
          <w:tcPr>
            <w:tcW w:w="480" w:type="dxa"/>
            <w:tcBorders>
              <w:top w:val="single" w:sz="4" w:space="0" w:color="auto"/>
              <w:left w:val="nil"/>
              <w:bottom w:val="nil"/>
              <w:right w:val="nil"/>
            </w:tcBorders>
            <w:shd w:val="clear" w:color="000000" w:fill="FFFFFF"/>
            <w:noWrap/>
            <w:vAlign w:val="bottom"/>
            <w:hideMark/>
          </w:tcPr>
          <w:p>
            <w:pPr>
              <w:rPr>
                <w:rFonts w:ascii="Arial" w:eastAsia="Times New Roman" w:hAnsi="Arial" w:cs="Arial"/>
                <w:noProof/>
                <w:sz w:val="18"/>
                <w:szCs w:val="18"/>
                <w:lang w:val="en-IE" w:eastAsia="en-IE"/>
              </w:rPr>
            </w:pPr>
            <w:r>
              <w:rPr>
                <w:rFonts w:ascii="Arial" w:eastAsia="Times New Roman" w:hAnsi="Arial" w:cs="Arial"/>
                <w:noProof/>
                <w:sz w:val="18"/>
                <w:szCs w:val="18"/>
                <w:lang w:val="en-IE" w:eastAsia="en-IE"/>
              </w:rPr>
              <w:t> </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8"/>
                <w:szCs w:val="18"/>
                <w:lang w:val="en-IE" w:eastAsia="en-IE"/>
              </w:rPr>
            </w:pPr>
            <w:r>
              <w:rPr>
                <w:rFonts w:ascii="Arial" w:eastAsia="Times New Roman" w:hAnsi="Arial" w:cs="Arial"/>
                <w:noProof/>
                <w:sz w:val="18"/>
                <w:szCs w:val="18"/>
                <w:lang w:val="en-IE" w:eastAsia="en-IE"/>
              </w:rPr>
              <w:t> </w:t>
            </w:r>
          </w:p>
        </w:tc>
      </w:tr>
      <w:tr>
        <w:trPr>
          <w:trHeight w:val="225"/>
        </w:trPr>
        <w:tc>
          <w:tcPr>
            <w:tcW w:w="6560" w:type="dxa"/>
            <w:gridSpan w:val="4"/>
            <w:tcBorders>
              <w:top w:val="nil"/>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Services trade EU28 with Seychelles (mio €)</w:t>
            </w:r>
          </w:p>
        </w:tc>
        <w:tc>
          <w:tcPr>
            <w:tcW w:w="480" w:type="dxa"/>
            <w:tcBorders>
              <w:top w:val="nil"/>
              <w:left w:val="nil"/>
              <w:bottom w:val="nil"/>
              <w:right w:val="nil"/>
            </w:tcBorders>
            <w:shd w:val="clear" w:color="000000" w:fill="FFFFFF"/>
            <w:noWrap/>
            <w:vAlign w:val="center"/>
            <w:hideMark/>
          </w:tcPr>
          <w:p>
            <w:pP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 </w:t>
            </w:r>
          </w:p>
        </w:tc>
        <w:tc>
          <w:tcPr>
            <w:tcW w:w="480" w:type="dxa"/>
            <w:tcBorders>
              <w:top w:val="nil"/>
              <w:left w:val="nil"/>
              <w:bottom w:val="nil"/>
              <w:right w:val="nil"/>
            </w:tcBorders>
            <w:shd w:val="clear" w:color="000000" w:fill="FFFFFF"/>
            <w:noWrap/>
            <w:vAlign w:val="center"/>
            <w:hideMark/>
          </w:tcPr>
          <w:p>
            <w:pP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 </w:t>
            </w:r>
          </w:p>
        </w:tc>
      </w:tr>
      <w:tr>
        <w:trPr>
          <w:trHeight w:val="225"/>
        </w:trPr>
        <w:tc>
          <w:tcPr>
            <w:tcW w:w="5600"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Seychelles</w:t>
            </w:r>
          </w:p>
        </w:tc>
        <w:tc>
          <w:tcPr>
            <w:tcW w:w="480" w:type="dxa"/>
            <w:vMerge w:val="restart"/>
            <w:tcBorders>
              <w:top w:val="nil"/>
              <w:left w:val="nil"/>
              <w:bottom w:val="single" w:sz="4" w:space="0" w:color="000000"/>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2016</w:t>
            </w:r>
          </w:p>
        </w:tc>
        <w:tc>
          <w:tcPr>
            <w:tcW w:w="480" w:type="dxa"/>
            <w:vMerge w:val="restart"/>
            <w:tcBorders>
              <w:top w:val="nil"/>
              <w:left w:val="nil"/>
              <w:bottom w:val="single" w:sz="4" w:space="0" w:color="000000"/>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2017</w:t>
            </w:r>
          </w:p>
        </w:tc>
        <w:tc>
          <w:tcPr>
            <w:tcW w:w="960" w:type="dxa"/>
            <w:gridSpan w:val="2"/>
            <w:tcBorders>
              <w:top w:val="single" w:sz="4" w:space="0" w:color="auto"/>
              <w:left w:val="nil"/>
              <w:bottom w:val="nil"/>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Growth</w:t>
            </w:r>
          </w:p>
        </w:tc>
      </w:tr>
      <w:tr>
        <w:trPr>
          <w:trHeight w:val="225"/>
        </w:trPr>
        <w:tc>
          <w:tcPr>
            <w:tcW w:w="5600" w:type="dxa"/>
            <w:gridSpan w:val="2"/>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80" w:type="dxa"/>
            <w:vMerge/>
            <w:tcBorders>
              <w:top w:val="nil"/>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80" w:type="dxa"/>
            <w:vMerge/>
            <w:tcBorders>
              <w:top w:val="nil"/>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80" w:type="dxa"/>
            <w:tcBorders>
              <w:top w:val="nil"/>
              <w:left w:val="nil"/>
              <w:bottom w:val="single" w:sz="4" w:space="0" w:color="auto"/>
              <w:right w:val="nil"/>
            </w:tcBorders>
            <w:shd w:val="clear" w:color="000000" w:fill="FFFFFF"/>
            <w:noWrap/>
            <w:vAlign w:val="bottom"/>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mio €</w:t>
            </w:r>
          </w:p>
        </w:tc>
        <w:tc>
          <w:tcPr>
            <w:tcW w:w="480" w:type="dxa"/>
            <w:tcBorders>
              <w:top w:val="nil"/>
              <w:left w:val="nil"/>
              <w:bottom w:val="single" w:sz="4" w:space="0" w:color="auto"/>
              <w:right w:val="nil"/>
            </w:tcBorders>
            <w:shd w:val="clear" w:color="000000" w:fill="FFFFFF"/>
            <w:noWrap/>
            <w:vAlign w:val="bottom"/>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annual %</w:t>
            </w:r>
          </w:p>
        </w:tc>
      </w:tr>
      <w:tr>
        <w:trPr>
          <w:trHeight w:val="225"/>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Imports</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447</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376</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-71</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-15,9%</w:t>
            </w:r>
          </w:p>
        </w:tc>
      </w:tr>
      <w:tr>
        <w:trPr>
          <w:trHeight w:val="225"/>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Exports</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236</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235</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-0,2%</w:t>
            </w:r>
          </w:p>
        </w:tc>
      </w:tr>
      <w:tr>
        <w:trPr>
          <w:trHeight w:val="225"/>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Balance</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-212</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-141</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70</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r>
      <w:tr>
        <w:trPr>
          <w:trHeight w:val="225"/>
        </w:trPr>
        <w:tc>
          <w:tcPr>
            <w:tcW w:w="5120" w:type="dxa"/>
            <w:tcBorders>
              <w:top w:val="nil"/>
              <w:left w:val="nil"/>
              <w:bottom w:val="single" w:sz="4" w:space="0" w:color="auto"/>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Total trade</w:t>
            </w:r>
          </w:p>
        </w:tc>
        <w:tc>
          <w:tcPr>
            <w:tcW w:w="480" w:type="dxa"/>
            <w:tcBorders>
              <w:top w:val="nil"/>
              <w:left w:val="nil"/>
              <w:bottom w:val="single" w:sz="4" w:space="0" w:color="auto"/>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683</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611</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-71</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-10,5%</w:t>
            </w:r>
          </w:p>
        </w:tc>
      </w:tr>
      <w:tr>
        <w:trPr>
          <w:trHeight w:val="240"/>
        </w:trPr>
        <w:tc>
          <w:tcPr>
            <w:tcW w:w="7040" w:type="dxa"/>
            <w:gridSpan w:val="5"/>
            <w:tcBorders>
              <w:top w:val="nil"/>
              <w:left w:val="nil"/>
              <w:bottom w:val="nil"/>
              <w:right w:val="nil"/>
            </w:tcBorders>
            <w:shd w:val="clear" w:color="000000" w:fill="FFFFFF"/>
            <w:noWrap/>
            <w:hideMark/>
          </w:tcPr>
          <w:p>
            <w:pPr>
              <w:rPr>
                <w:rFonts w:ascii="Arial" w:eastAsia="Times New Roman" w:hAnsi="Arial" w:cs="Arial"/>
                <w:noProof/>
                <w:sz w:val="12"/>
                <w:szCs w:val="12"/>
                <w:lang w:val="en-IE" w:eastAsia="en-IE"/>
              </w:rPr>
            </w:pPr>
            <w:r>
              <w:rPr>
                <w:rFonts w:ascii="Arial" w:eastAsia="Times New Roman" w:hAnsi="Arial" w:cs="Arial"/>
                <w:noProof/>
                <w:sz w:val="12"/>
                <w:szCs w:val="12"/>
                <w:lang w:val="en-IE" w:eastAsia="en-IE"/>
              </w:rPr>
              <w:t>Source Trade G2 Statistics/ISDB from Eurostat BOP statistics</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8"/>
                <w:szCs w:val="18"/>
                <w:lang w:val="en-IE" w:eastAsia="en-IE"/>
              </w:rPr>
            </w:pPr>
            <w:r>
              <w:rPr>
                <w:rFonts w:ascii="Arial" w:eastAsia="Times New Roman" w:hAnsi="Arial" w:cs="Arial"/>
                <w:noProof/>
                <w:sz w:val="18"/>
                <w:szCs w:val="18"/>
                <w:lang w:val="en-IE" w:eastAsia="en-IE"/>
              </w:rPr>
              <w:t> </w:t>
            </w:r>
          </w:p>
        </w:tc>
      </w:tr>
      <w:tr>
        <w:trPr>
          <w:trHeight w:val="240"/>
        </w:trPr>
        <w:tc>
          <w:tcPr>
            <w:tcW w:w="7520" w:type="dxa"/>
            <w:gridSpan w:val="6"/>
            <w:tcBorders>
              <w:top w:val="nil"/>
              <w:left w:val="nil"/>
              <w:bottom w:val="nil"/>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Services trade EU28 with Seychelles (mio €)</w:t>
            </w:r>
          </w:p>
        </w:tc>
      </w:tr>
      <w:tr>
        <w:trPr>
          <w:trHeight w:val="225"/>
        </w:trPr>
        <w:tc>
          <w:tcPr>
            <w:tcW w:w="5120" w:type="dxa"/>
            <w:tcBorders>
              <w:top w:val="single" w:sz="4" w:space="0" w:color="auto"/>
              <w:left w:val="nil"/>
              <w:bottom w:val="single" w:sz="4" w:space="0" w:color="auto"/>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single" w:sz="4" w:space="0" w:color="auto"/>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2013</w:t>
            </w:r>
          </w:p>
        </w:tc>
        <w:tc>
          <w:tcPr>
            <w:tcW w:w="480" w:type="dxa"/>
            <w:tcBorders>
              <w:top w:val="single" w:sz="4" w:space="0" w:color="auto"/>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2014</w:t>
            </w:r>
          </w:p>
        </w:tc>
        <w:tc>
          <w:tcPr>
            <w:tcW w:w="480" w:type="dxa"/>
            <w:tcBorders>
              <w:top w:val="single" w:sz="4" w:space="0" w:color="auto"/>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2015</w:t>
            </w:r>
          </w:p>
        </w:tc>
        <w:tc>
          <w:tcPr>
            <w:tcW w:w="480" w:type="dxa"/>
            <w:tcBorders>
              <w:top w:val="single" w:sz="4" w:space="0" w:color="auto"/>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2016</w:t>
            </w:r>
          </w:p>
        </w:tc>
        <w:tc>
          <w:tcPr>
            <w:tcW w:w="480" w:type="dxa"/>
            <w:tcBorders>
              <w:top w:val="single" w:sz="4" w:space="0" w:color="auto"/>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2017</w:t>
            </w:r>
          </w:p>
        </w:tc>
      </w:tr>
      <w:tr>
        <w:trPr>
          <w:trHeight w:val="225"/>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Imports</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255</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305</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426</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447</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376</w:t>
            </w:r>
          </w:p>
        </w:tc>
      </w:tr>
      <w:tr>
        <w:trPr>
          <w:trHeight w:val="225"/>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Exports</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140</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206</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301</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236</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235</w:t>
            </w:r>
          </w:p>
        </w:tc>
      </w:tr>
      <w:tr>
        <w:trPr>
          <w:trHeight w:val="225"/>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Balance</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-115</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-99</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-126</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-212</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-141</w:t>
            </w:r>
          </w:p>
        </w:tc>
      </w:tr>
      <w:tr>
        <w:trPr>
          <w:trHeight w:val="225"/>
        </w:trPr>
        <w:tc>
          <w:tcPr>
            <w:tcW w:w="5120" w:type="dxa"/>
            <w:tcBorders>
              <w:top w:val="nil"/>
              <w:left w:val="nil"/>
              <w:bottom w:val="single" w:sz="4" w:space="0" w:color="auto"/>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Total trade</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394</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512</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727</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683</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611</w:t>
            </w:r>
          </w:p>
        </w:tc>
      </w:tr>
      <w:tr>
        <w:trPr>
          <w:trHeight w:val="225"/>
        </w:trPr>
        <w:tc>
          <w:tcPr>
            <w:tcW w:w="5120" w:type="dxa"/>
            <w:tcBorders>
              <w:top w:val="nil"/>
              <w:left w:val="nil"/>
              <w:bottom w:val="nil"/>
              <w:right w:val="nil"/>
            </w:tcBorders>
            <w:shd w:val="clear" w:color="000000" w:fill="FFFFFF"/>
            <w:noWrap/>
            <w:hideMark/>
          </w:tcPr>
          <w:p>
            <w:pPr>
              <w:rPr>
                <w:rFonts w:ascii="Arial" w:eastAsia="Times New Roman" w:hAnsi="Arial" w:cs="Arial"/>
                <w:noProof/>
                <w:sz w:val="12"/>
                <w:szCs w:val="12"/>
                <w:lang w:val="en-IE" w:eastAsia="en-IE"/>
              </w:rPr>
            </w:pPr>
            <w:r>
              <w:rPr>
                <w:rFonts w:ascii="Arial" w:eastAsia="Times New Roman" w:hAnsi="Arial" w:cs="Arial"/>
                <w:noProof/>
                <w:sz w:val="12"/>
                <w:szCs w:val="12"/>
                <w:lang w:val="en-IE" w:eastAsia="en-IE"/>
              </w:rPr>
              <w:t>Source Trade G2 Statistics/ISDB from Eurostat BOP statistics</w:t>
            </w:r>
          </w:p>
        </w:tc>
        <w:tc>
          <w:tcPr>
            <w:tcW w:w="480" w:type="dxa"/>
            <w:tcBorders>
              <w:top w:val="nil"/>
              <w:left w:val="nil"/>
              <w:bottom w:val="nil"/>
              <w:right w:val="nil"/>
            </w:tcBorders>
            <w:shd w:val="clear" w:color="000000" w:fill="FFFFFF"/>
            <w:noWrap/>
            <w:hideMark/>
          </w:tcPr>
          <w:p>
            <w:pPr>
              <w:rPr>
                <w:rFonts w:ascii="Arial" w:eastAsia="Times New Roman" w:hAnsi="Arial" w:cs="Arial"/>
                <w:noProof/>
                <w:sz w:val="12"/>
                <w:szCs w:val="12"/>
                <w:lang w:val="en-IE" w:eastAsia="en-IE"/>
              </w:rPr>
            </w:pPr>
            <w:r>
              <w:rPr>
                <w:rFonts w:ascii="Arial" w:eastAsia="Times New Roman" w:hAnsi="Arial" w:cs="Arial"/>
                <w:noProof/>
                <w:sz w:val="12"/>
                <w:szCs w:val="12"/>
                <w:lang w:val="en-IE" w:eastAsia="en-IE"/>
              </w:rPr>
              <w:t> </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r>
      <w:tr>
        <w:trPr>
          <w:trHeight w:val="225"/>
        </w:trPr>
        <w:tc>
          <w:tcPr>
            <w:tcW w:w="7520" w:type="dxa"/>
            <w:gridSpan w:val="6"/>
            <w:tcBorders>
              <w:top w:val="nil"/>
              <w:left w:val="nil"/>
              <w:bottom w:val="nil"/>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FDI EU28 with Seychelles (mio €)</w:t>
            </w:r>
          </w:p>
        </w:tc>
      </w:tr>
      <w:tr>
        <w:trPr>
          <w:trHeight w:val="225"/>
        </w:trPr>
        <w:tc>
          <w:tcPr>
            <w:tcW w:w="5120" w:type="dxa"/>
            <w:tcBorders>
              <w:top w:val="single" w:sz="4" w:space="0" w:color="auto"/>
              <w:left w:val="nil"/>
              <w:bottom w:val="single" w:sz="4" w:space="0" w:color="auto"/>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single" w:sz="4" w:space="0" w:color="auto"/>
              <w:left w:val="nil"/>
              <w:bottom w:val="single" w:sz="4" w:space="0" w:color="auto"/>
              <w:right w:val="nil"/>
            </w:tcBorders>
            <w:shd w:val="clear" w:color="000000" w:fill="FFFFFF"/>
            <w:noWrap/>
            <w:vAlign w:val="bottom"/>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2013</w:t>
            </w:r>
          </w:p>
        </w:tc>
        <w:tc>
          <w:tcPr>
            <w:tcW w:w="480" w:type="dxa"/>
            <w:tcBorders>
              <w:top w:val="single" w:sz="4" w:space="0" w:color="auto"/>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2014</w:t>
            </w:r>
          </w:p>
        </w:tc>
        <w:tc>
          <w:tcPr>
            <w:tcW w:w="480" w:type="dxa"/>
            <w:tcBorders>
              <w:top w:val="single" w:sz="4" w:space="0" w:color="auto"/>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2015</w:t>
            </w:r>
          </w:p>
        </w:tc>
        <w:tc>
          <w:tcPr>
            <w:tcW w:w="480" w:type="dxa"/>
            <w:tcBorders>
              <w:top w:val="single" w:sz="4" w:space="0" w:color="auto"/>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2016</w:t>
            </w:r>
          </w:p>
        </w:tc>
        <w:tc>
          <w:tcPr>
            <w:tcW w:w="480" w:type="dxa"/>
            <w:tcBorders>
              <w:top w:val="single" w:sz="4" w:space="0" w:color="auto"/>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2017</w:t>
            </w:r>
          </w:p>
        </w:tc>
      </w:tr>
      <w:tr>
        <w:trPr>
          <w:trHeight w:val="225"/>
        </w:trPr>
        <w:tc>
          <w:tcPr>
            <w:tcW w:w="7520" w:type="dxa"/>
            <w:gridSpan w:val="6"/>
            <w:tcBorders>
              <w:top w:val="nil"/>
              <w:left w:val="nil"/>
              <w:bottom w:val="nil"/>
              <w:right w:val="nil"/>
            </w:tcBorders>
            <w:shd w:val="clear" w:color="000000" w:fill="FFFFFF"/>
            <w:noWrap/>
            <w:vAlign w:val="center"/>
            <w:hideMark/>
          </w:tcPr>
          <w:p>
            <w:pPr>
              <w:jc w:val="center"/>
              <w:rPr>
                <w:rFonts w:ascii="Arial" w:eastAsia="Times New Roman" w:hAnsi="Arial" w:cs="Arial"/>
                <w:b/>
                <w:bCs/>
                <w:i/>
                <w:iCs/>
                <w:noProof/>
                <w:sz w:val="16"/>
                <w:szCs w:val="16"/>
                <w:lang w:val="en-IE" w:eastAsia="en-IE"/>
              </w:rPr>
            </w:pPr>
            <w:r>
              <w:rPr>
                <w:rFonts w:ascii="Arial" w:eastAsia="Times New Roman" w:hAnsi="Arial" w:cs="Arial"/>
                <w:b/>
                <w:bCs/>
                <w:i/>
                <w:iCs/>
                <w:noProof/>
                <w:sz w:val="16"/>
                <w:szCs w:val="16"/>
                <w:lang w:val="en-IE" w:eastAsia="en-IE"/>
              </w:rPr>
              <w:t>FDI Stocks</w:t>
            </w:r>
          </w:p>
        </w:tc>
      </w:tr>
      <w:tr>
        <w:trPr>
          <w:trHeight w:val="225"/>
        </w:trPr>
        <w:tc>
          <w:tcPr>
            <w:tcW w:w="512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Inward</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712</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759</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730</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2.124</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2.218</w:t>
            </w:r>
          </w:p>
        </w:tc>
      </w:tr>
      <w:tr>
        <w:trPr>
          <w:trHeight w:val="225"/>
        </w:trPr>
        <w:tc>
          <w:tcPr>
            <w:tcW w:w="512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Outward</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313</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304</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321</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1.060</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982</w:t>
            </w:r>
          </w:p>
        </w:tc>
      </w:tr>
      <w:tr>
        <w:trPr>
          <w:trHeight w:val="225"/>
        </w:trPr>
        <w:tc>
          <w:tcPr>
            <w:tcW w:w="7520" w:type="dxa"/>
            <w:gridSpan w:val="6"/>
            <w:tcBorders>
              <w:top w:val="nil"/>
              <w:left w:val="nil"/>
              <w:bottom w:val="nil"/>
              <w:right w:val="nil"/>
            </w:tcBorders>
            <w:shd w:val="clear" w:color="000000" w:fill="FFFFFF"/>
            <w:noWrap/>
            <w:vAlign w:val="center"/>
            <w:hideMark/>
          </w:tcPr>
          <w:p>
            <w:pPr>
              <w:jc w:val="center"/>
              <w:rPr>
                <w:rFonts w:ascii="Arial" w:eastAsia="Times New Roman" w:hAnsi="Arial" w:cs="Arial"/>
                <w:b/>
                <w:bCs/>
                <w:i/>
                <w:iCs/>
                <w:noProof/>
                <w:sz w:val="16"/>
                <w:szCs w:val="16"/>
                <w:lang w:val="en-IE" w:eastAsia="en-IE"/>
              </w:rPr>
            </w:pPr>
            <w:r>
              <w:rPr>
                <w:rFonts w:ascii="Arial" w:eastAsia="Times New Roman" w:hAnsi="Arial" w:cs="Arial"/>
                <w:b/>
                <w:bCs/>
                <w:i/>
                <w:iCs/>
                <w:noProof/>
                <w:sz w:val="16"/>
                <w:szCs w:val="16"/>
                <w:lang w:val="en-IE" w:eastAsia="en-IE"/>
              </w:rPr>
              <w:t>FDI Flows</w:t>
            </w:r>
          </w:p>
        </w:tc>
      </w:tr>
      <w:tr>
        <w:trPr>
          <w:trHeight w:val="225"/>
        </w:trPr>
        <w:tc>
          <w:tcPr>
            <w:tcW w:w="512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Inward</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-104</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-23</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-11</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107</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32</w:t>
            </w:r>
          </w:p>
        </w:tc>
      </w:tr>
      <w:tr>
        <w:trPr>
          <w:trHeight w:val="225"/>
        </w:trPr>
        <w:tc>
          <w:tcPr>
            <w:tcW w:w="512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Outward</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-73</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-29</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30</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6</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9</w:t>
            </w:r>
          </w:p>
        </w:tc>
      </w:tr>
      <w:tr>
        <w:trPr>
          <w:trHeight w:val="225"/>
        </w:trPr>
        <w:tc>
          <w:tcPr>
            <w:tcW w:w="5120" w:type="dxa"/>
            <w:tcBorders>
              <w:top w:val="single" w:sz="4" w:space="0" w:color="auto"/>
              <w:left w:val="nil"/>
              <w:bottom w:val="nil"/>
              <w:right w:val="nil"/>
            </w:tcBorders>
            <w:shd w:val="clear" w:color="000000" w:fill="FFFFFF"/>
            <w:noWrap/>
            <w:hideMark/>
          </w:tcPr>
          <w:p>
            <w:pPr>
              <w:rPr>
                <w:rFonts w:ascii="Arial" w:eastAsia="Times New Roman" w:hAnsi="Arial" w:cs="Arial"/>
                <w:noProof/>
                <w:sz w:val="12"/>
                <w:szCs w:val="12"/>
                <w:lang w:val="en-IE" w:eastAsia="en-IE"/>
              </w:rPr>
            </w:pPr>
            <w:r>
              <w:rPr>
                <w:rFonts w:ascii="Arial" w:eastAsia="Times New Roman" w:hAnsi="Arial" w:cs="Arial"/>
                <w:noProof/>
                <w:sz w:val="12"/>
                <w:szCs w:val="12"/>
                <w:lang w:val="en-IE" w:eastAsia="en-IE"/>
              </w:rPr>
              <w:t>Source Trade G2 Statistics/ISDB from Eurostat BOP statistics</w:t>
            </w:r>
          </w:p>
        </w:tc>
        <w:tc>
          <w:tcPr>
            <w:tcW w:w="480" w:type="dxa"/>
            <w:tcBorders>
              <w:top w:val="nil"/>
              <w:left w:val="nil"/>
              <w:bottom w:val="nil"/>
              <w:right w:val="nil"/>
            </w:tcBorders>
            <w:shd w:val="clear" w:color="000000" w:fill="FFFFFF"/>
            <w:noWrap/>
            <w:hideMark/>
          </w:tcPr>
          <w:p>
            <w:pPr>
              <w:rPr>
                <w:rFonts w:ascii="Arial" w:eastAsia="Times New Roman" w:hAnsi="Arial" w:cs="Arial"/>
                <w:noProof/>
                <w:sz w:val="12"/>
                <w:szCs w:val="12"/>
                <w:lang w:val="en-IE" w:eastAsia="en-IE"/>
              </w:rPr>
            </w:pPr>
            <w:r>
              <w:rPr>
                <w:rFonts w:ascii="Arial" w:eastAsia="Times New Roman" w:hAnsi="Arial" w:cs="Arial"/>
                <w:noProof/>
                <w:sz w:val="12"/>
                <w:szCs w:val="12"/>
                <w:lang w:val="en-IE" w:eastAsia="en-IE"/>
              </w:rPr>
              <w:t> </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r>
    </w:tbl>
    <w:p>
      <w:pPr>
        <w:pStyle w:val="ChapterHead"/>
        <w:jc w:val="both"/>
        <w:rPr>
          <w:b/>
          <w:noProof/>
          <w:lang w:val="en-IE"/>
        </w:rPr>
      </w:pPr>
    </w:p>
    <w:p>
      <w:pPr>
        <w:pStyle w:val="ChapterHead"/>
        <w:jc w:val="both"/>
        <w:rPr>
          <w:b/>
          <w:noProof/>
        </w:rPr>
      </w:pPr>
      <w:bookmarkStart w:id="4317" w:name="_Toc16000881"/>
      <w:r>
        <w:rPr>
          <w:b/>
          <w:noProof/>
        </w:rPr>
        <w:t>Zimbabwe</w:t>
      </w:r>
      <w:bookmarkEnd w:id="4317"/>
    </w:p>
    <w:tbl>
      <w:tblPr>
        <w:tblW w:w="7520" w:type="dxa"/>
        <w:tblInd w:w="108" w:type="dxa"/>
        <w:tblLook w:val="04A0" w:firstRow="1" w:lastRow="0" w:firstColumn="1" w:lastColumn="0" w:noHBand="0" w:noVBand="1"/>
      </w:tblPr>
      <w:tblGrid>
        <w:gridCol w:w="5120"/>
        <w:gridCol w:w="624"/>
        <w:gridCol w:w="624"/>
        <w:gridCol w:w="624"/>
        <w:gridCol w:w="624"/>
        <w:gridCol w:w="759"/>
      </w:tblGrid>
      <w:tr>
        <w:trPr>
          <w:trHeight w:val="210"/>
        </w:trPr>
        <w:tc>
          <w:tcPr>
            <w:tcW w:w="7520" w:type="dxa"/>
            <w:gridSpan w:val="6"/>
            <w:tcBorders>
              <w:top w:val="nil"/>
              <w:left w:val="nil"/>
              <w:bottom w:val="nil"/>
              <w:right w:val="nil"/>
            </w:tcBorders>
            <w:shd w:val="clear" w:color="000000" w:fill="FFFFFF"/>
            <w:noWrap/>
            <w:vAlign w:val="center"/>
            <w:hideMark/>
          </w:tcPr>
          <w:p>
            <w:pPr>
              <w:jc w:val="center"/>
              <w:rPr>
                <w:rFonts w:ascii="Tahoma" w:eastAsia="Times New Roman" w:hAnsi="Tahoma" w:cs="Tahoma"/>
                <w:b/>
                <w:bCs/>
                <w:noProof/>
                <w:sz w:val="16"/>
                <w:szCs w:val="16"/>
                <w:lang w:val="en-IE" w:eastAsia="en-IE"/>
              </w:rPr>
            </w:pPr>
            <w:r>
              <w:rPr>
                <w:rFonts w:ascii="Tahoma" w:eastAsia="Times New Roman" w:hAnsi="Tahoma" w:cs="Tahoma"/>
                <w:b/>
                <w:bCs/>
                <w:noProof/>
                <w:sz w:val="16"/>
                <w:szCs w:val="16"/>
                <w:lang w:val="en-IE" w:eastAsia="en-IE"/>
              </w:rPr>
              <w:t>Merchandise trade EU28 2014-2018</w:t>
            </w:r>
          </w:p>
        </w:tc>
      </w:tr>
      <w:tr>
        <w:trPr>
          <w:trHeight w:val="210"/>
        </w:trPr>
        <w:tc>
          <w:tcPr>
            <w:tcW w:w="5120" w:type="dxa"/>
            <w:tcBorders>
              <w:top w:val="single" w:sz="4" w:space="0" w:color="auto"/>
              <w:left w:val="nil"/>
              <w:bottom w:val="single" w:sz="4" w:space="0" w:color="auto"/>
              <w:right w:val="nil"/>
            </w:tcBorders>
            <w:shd w:val="clear" w:color="000000" w:fill="FFFFFF"/>
            <w:noWrap/>
            <w:vAlign w:val="bottom"/>
            <w:hideMark/>
          </w:tcPr>
          <w:p>
            <w:pPr>
              <w:rPr>
                <w:rFonts w:ascii="Tahoma" w:eastAsia="Times New Roman" w:hAnsi="Tahoma" w:cs="Tahoma"/>
                <w:b/>
                <w:bCs/>
                <w:noProof/>
                <w:sz w:val="16"/>
                <w:szCs w:val="16"/>
                <w:lang w:val="en-IE" w:eastAsia="en-IE"/>
              </w:rPr>
            </w:pPr>
            <w:r>
              <w:rPr>
                <w:rFonts w:ascii="Tahoma" w:eastAsia="Times New Roman" w:hAnsi="Tahoma" w:cs="Tahoma"/>
                <w:b/>
                <w:bCs/>
                <w:noProof/>
                <w:sz w:val="16"/>
                <w:szCs w:val="16"/>
                <w:lang w:val="en-IE" w:eastAsia="en-IE"/>
              </w:rPr>
              <w:t> </w:t>
            </w:r>
          </w:p>
        </w:tc>
        <w:tc>
          <w:tcPr>
            <w:tcW w:w="480" w:type="dxa"/>
            <w:tcBorders>
              <w:top w:val="single" w:sz="4" w:space="0" w:color="auto"/>
              <w:left w:val="nil"/>
              <w:bottom w:val="single" w:sz="4" w:space="0" w:color="auto"/>
              <w:right w:val="nil"/>
            </w:tcBorders>
            <w:shd w:val="clear" w:color="000000" w:fill="FFFFFF"/>
            <w:noWrap/>
            <w:vAlign w:val="bottom"/>
            <w:hideMark/>
          </w:tcPr>
          <w:p>
            <w:pPr>
              <w:jc w:val="center"/>
              <w:rPr>
                <w:rFonts w:ascii="Tahoma" w:eastAsia="Times New Roman" w:hAnsi="Tahoma" w:cs="Tahoma"/>
                <w:b/>
                <w:bCs/>
                <w:noProof/>
                <w:sz w:val="16"/>
                <w:szCs w:val="16"/>
                <w:lang w:val="en-IE" w:eastAsia="en-IE"/>
              </w:rPr>
            </w:pPr>
            <w:r>
              <w:rPr>
                <w:rFonts w:ascii="Tahoma" w:eastAsia="Times New Roman" w:hAnsi="Tahoma" w:cs="Tahoma"/>
                <w:b/>
                <w:bCs/>
                <w:noProof/>
                <w:sz w:val="16"/>
                <w:szCs w:val="16"/>
                <w:lang w:val="en-IE" w:eastAsia="en-IE"/>
              </w:rPr>
              <w:t>2014</w:t>
            </w:r>
          </w:p>
        </w:tc>
        <w:tc>
          <w:tcPr>
            <w:tcW w:w="480" w:type="dxa"/>
            <w:tcBorders>
              <w:top w:val="single" w:sz="4" w:space="0" w:color="auto"/>
              <w:left w:val="nil"/>
              <w:bottom w:val="single" w:sz="4" w:space="0" w:color="auto"/>
              <w:right w:val="nil"/>
            </w:tcBorders>
            <w:shd w:val="clear" w:color="000000" w:fill="FFFFFF"/>
            <w:noWrap/>
            <w:vAlign w:val="bottom"/>
            <w:hideMark/>
          </w:tcPr>
          <w:p>
            <w:pPr>
              <w:jc w:val="center"/>
              <w:rPr>
                <w:rFonts w:ascii="Tahoma" w:eastAsia="Times New Roman" w:hAnsi="Tahoma" w:cs="Tahoma"/>
                <w:b/>
                <w:bCs/>
                <w:noProof/>
                <w:sz w:val="16"/>
                <w:szCs w:val="16"/>
                <w:lang w:val="en-IE" w:eastAsia="en-IE"/>
              </w:rPr>
            </w:pPr>
            <w:r>
              <w:rPr>
                <w:rFonts w:ascii="Tahoma" w:eastAsia="Times New Roman" w:hAnsi="Tahoma" w:cs="Tahoma"/>
                <w:b/>
                <w:bCs/>
                <w:noProof/>
                <w:sz w:val="16"/>
                <w:szCs w:val="16"/>
                <w:lang w:val="en-IE" w:eastAsia="en-IE"/>
              </w:rPr>
              <w:t>2015</w:t>
            </w:r>
          </w:p>
        </w:tc>
        <w:tc>
          <w:tcPr>
            <w:tcW w:w="480" w:type="dxa"/>
            <w:tcBorders>
              <w:top w:val="single" w:sz="4" w:space="0" w:color="auto"/>
              <w:left w:val="nil"/>
              <w:bottom w:val="single" w:sz="4" w:space="0" w:color="auto"/>
              <w:right w:val="nil"/>
            </w:tcBorders>
            <w:shd w:val="clear" w:color="000000" w:fill="FFFFFF"/>
            <w:noWrap/>
            <w:vAlign w:val="bottom"/>
            <w:hideMark/>
          </w:tcPr>
          <w:p>
            <w:pPr>
              <w:jc w:val="center"/>
              <w:rPr>
                <w:rFonts w:ascii="Tahoma" w:eastAsia="Times New Roman" w:hAnsi="Tahoma" w:cs="Tahoma"/>
                <w:b/>
                <w:bCs/>
                <w:noProof/>
                <w:sz w:val="16"/>
                <w:szCs w:val="16"/>
                <w:lang w:val="en-IE" w:eastAsia="en-IE"/>
              </w:rPr>
            </w:pPr>
            <w:r>
              <w:rPr>
                <w:rFonts w:ascii="Tahoma" w:eastAsia="Times New Roman" w:hAnsi="Tahoma" w:cs="Tahoma"/>
                <w:b/>
                <w:bCs/>
                <w:noProof/>
                <w:sz w:val="16"/>
                <w:szCs w:val="16"/>
                <w:lang w:val="en-IE" w:eastAsia="en-IE"/>
              </w:rPr>
              <w:t>2016</w:t>
            </w:r>
          </w:p>
        </w:tc>
        <w:tc>
          <w:tcPr>
            <w:tcW w:w="480" w:type="dxa"/>
            <w:tcBorders>
              <w:top w:val="single" w:sz="4" w:space="0" w:color="auto"/>
              <w:left w:val="nil"/>
              <w:bottom w:val="single" w:sz="4" w:space="0" w:color="auto"/>
              <w:right w:val="nil"/>
            </w:tcBorders>
            <w:shd w:val="clear" w:color="000000" w:fill="FFFFFF"/>
            <w:noWrap/>
            <w:vAlign w:val="bottom"/>
            <w:hideMark/>
          </w:tcPr>
          <w:p>
            <w:pPr>
              <w:jc w:val="center"/>
              <w:rPr>
                <w:rFonts w:ascii="Tahoma" w:eastAsia="Times New Roman" w:hAnsi="Tahoma" w:cs="Tahoma"/>
                <w:b/>
                <w:bCs/>
                <w:noProof/>
                <w:sz w:val="16"/>
                <w:szCs w:val="16"/>
                <w:lang w:val="en-IE" w:eastAsia="en-IE"/>
              </w:rPr>
            </w:pPr>
            <w:r>
              <w:rPr>
                <w:rFonts w:ascii="Tahoma" w:eastAsia="Times New Roman" w:hAnsi="Tahoma" w:cs="Tahoma"/>
                <w:b/>
                <w:bCs/>
                <w:noProof/>
                <w:sz w:val="16"/>
                <w:szCs w:val="16"/>
                <w:lang w:val="en-IE" w:eastAsia="en-IE"/>
              </w:rPr>
              <w:t>2017</w:t>
            </w:r>
          </w:p>
        </w:tc>
        <w:tc>
          <w:tcPr>
            <w:tcW w:w="480" w:type="dxa"/>
            <w:tcBorders>
              <w:top w:val="single" w:sz="4" w:space="0" w:color="auto"/>
              <w:left w:val="nil"/>
              <w:bottom w:val="single" w:sz="4" w:space="0" w:color="auto"/>
              <w:right w:val="nil"/>
            </w:tcBorders>
            <w:shd w:val="clear" w:color="000000" w:fill="FFFFFF"/>
            <w:noWrap/>
            <w:vAlign w:val="bottom"/>
            <w:hideMark/>
          </w:tcPr>
          <w:p>
            <w:pPr>
              <w:jc w:val="center"/>
              <w:rPr>
                <w:rFonts w:ascii="Tahoma" w:eastAsia="Times New Roman" w:hAnsi="Tahoma" w:cs="Tahoma"/>
                <w:b/>
                <w:bCs/>
                <w:noProof/>
                <w:sz w:val="16"/>
                <w:szCs w:val="16"/>
                <w:lang w:val="en-IE" w:eastAsia="en-IE"/>
              </w:rPr>
            </w:pPr>
            <w:r>
              <w:rPr>
                <w:rFonts w:ascii="Tahoma" w:eastAsia="Times New Roman" w:hAnsi="Tahoma" w:cs="Tahoma"/>
                <w:b/>
                <w:bCs/>
                <w:noProof/>
                <w:sz w:val="16"/>
                <w:szCs w:val="16"/>
                <w:lang w:val="en-IE" w:eastAsia="en-IE"/>
              </w:rPr>
              <w:t>2018</w:t>
            </w:r>
          </w:p>
        </w:tc>
      </w:tr>
      <w:tr>
        <w:trPr>
          <w:trHeight w:val="210"/>
        </w:trPr>
        <w:tc>
          <w:tcPr>
            <w:tcW w:w="5120" w:type="dxa"/>
            <w:tcBorders>
              <w:top w:val="nil"/>
              <w:left w:val="nil"/>
              <w:bottom w:val="nil"/>
              <w:right w:val="nil"/>
            </w:tcBorders>
            <w:shd w:val="clear" w:color="000000" w:fill="FFFFFF"/>
            <w:noWrap/>
            <w:vAlign w:val="center"/>
            <w:hideMark/>
          </w:tcPr>
          <w:p>
            <w:pPr>
              <w:jc w:val="cente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EU28 trade with Zimbabwe (mio €)</w:t>
            </w:r>
          </w:p>
        </w:tc>
        <w:tc>
          <w:tcPr>
            <w:tcW w:w="480" w:type="dxa"/>
            <w:tcBorders>
              <w:top w:val="nil"/>
              <w:left w:val="nil"/>
              <w:bottom w:val="nil"/>
              <w:right w:val="nil"/>
            </w:tcBorders>
            <w:shd w:val="clear" w:color="auto" w:fill="auto"/>
            <w:noWrap/>
            <w:vAlign w:val="center"/>
            <w:hideMark/>
          </w:tcPr>
          <w:p>
            <w:pPr>
              <w:jc w:val="center"/>
              <w:rPr>
                <w:rFonts w:ascii="Tahoma" w:eastAsia="Times New Roman" w:hAnsi="Tahoma" w:cs="Tahoma"/>
                <w:b/>
                <w:bCs/>
                <w:i/>
                <w:iCs/>
                <w:noProof/>
                <w:sz w:val="16"/>
                <w:szCs w:val="16"/>
                <w:lang w:val="en-IE" w:eastAsia="en-IE"/>
              </w:rPr>
            </w:pPr>
          </w:p>
        </w:tc>
        <w:tc>
          <w:tcPr>
            <w:tcW w:w="480" w:type="dxa"/>
            <w:tcBorders>
              <w:top w:val="nil"/>
              <w:left w:val="nil"/>
              <w:bottom w:val="nil"/>
              <w:right w:val="nil"/>
            </w:tcBorders>
            <w:shd w:val="clear" w:color="000000" w:fill="FFFFFF"/>
            <w:noWrap/>
            <w:vAlign w:val="center"/>
            <w:hideMark/>
          </w:tcPr>
          <w:p>
            <w:pP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 </w:t>
            </w:r>
          </w:p>
        </w:tc>
        <w:tc>
          <w:tcPr>
            <w:tcW w:w="480" w:type="dxa"/>
            <w:tcBorders>
              <w:top w:val="nil"/>
              <w:left w:val="nil"/>
              <w:bottom w:val="nil"/>
              <w:right w:val="nil"/>
            </w:tcBorders>
            <w:shd w:val="clear" w:color="000000" w:fill="FFFFFF"/>
            <w:noWrap/>
            <w:vAlign w:val="center"/>
            <w:hideMark/>
          </w:tcPr>
          <w:p>
            <w:pP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 </w:t>
            </w:r>
          </w:p>
        </w:tc>
        <w:tc>
          <w:tcPr>
            <w:tcW w:w="480" w:type="dxa"/>
            <w:tcBorders>
              <w:top w:val="nil"/>
              <w:left w:val="nil"/>
              <w:bottom w:val="nil"/>
              <w:right w:val="nil"/>
            </w:tcBorders>
            <w:shd w:val="clear" w:color="000000" w:fill="FFFFFF"/>
            <w:noWrap/>
            <w:vAlign w:val="center"/>
            <w:hideMark/>
          </w:tcPr>
          <w:p>
            <w:pP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 </w:t>
            </w:r>
          </w:p>
        </w:tc>
        <w:tc>
          <w:tcPr>
            <w:tcW w:w="480" w:type="dxa"/>
            <w:tcBorders>
              <w:top w:val="nil"/>
              <w:left w:val="nil"/>
              <w:bottom w:val="nil"/>
              <w:right w:val="nil"/>
            </w:tcBorders>
            <w:shd w:val="clear" w:color="000000" w:fill="FFFFFF"/>
            <w:noWrap/>
            <w:vAlign w:val="center"/>
            <w:hideMark/>
          </w:tcPr>
          <w:p>
            <w:pP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 </w:t>
            </w:r>
          </w:p>
        </w:tc>
      </w:tr>
      <w:tr>
        <w:trPr>
          <w:trHeight w:val="210"/>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Imports</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510</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402</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339</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456</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455</w:t>
            </w:r>
          </w:p>
        </w:tc>
      </w:tr>
      <w:tr>
        <w:trPr>
          <w:trHeight w:val="210"/>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Exports</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221</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220</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174</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192</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234</w:t>
            </w:r>
          </w:p>
        </w:tc>
      </w:tr>
      <w:tr>
        <w:trPr>
          <w:trHeight w:val="210"/>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Balance</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-290</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-182</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-165</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-265</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-221</w:t>
            </w:r>
          </w:p>
        </w:tc>
      </w:tr>
      <w:tr>
        <w:trPr>
          <w:trHeight w:val="210"/>
        </w:trPr>
        <w:tc>
          <w:tcPr>
            <w:tcW w:w="5120" w:type="dxa"/>
            <w:tcBorders>
              <w:top w:val="nil"/>
              <w:left w:val="nil"/>
              <w:bottom w:val="nil"/>
              <w:right w:val="nil"/>
            </w:tcBorders>
            <w:shd w:val="clear" w:color="000000" w:fill="FFFFFF"/>
            <w:noWrap/>
            <w:vAlign w:val="center"/>
            <w:hideMark/>
          </w:tcPr>
          <w:p>
            <w:pPr>
              <w:jc w:val="cente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Share Zimbabwe in EU28 trade with Extra-EU28</w:t>
            </w:r>
          </w:p>
        </w:tc>
        <w:tc>
          <w:tcPr>
            <w:tcW w:w="480" w:type="dxa"/>
            <w:tcBorders>
              <w:top w:val="nil"/>
              <w:left w:val="nil"/>
              <w:bottom w:val="nil"/>
              <w:right w:val="nil"/>
            </w:tcBorders>
            <w:shd w:val="clear" w:color="auto" w:fill="auto"/>
            <w:noWrap/>
            <w:vAlign w:val="center"/>
            <w:hideMark/>
          </w:tcPr>
          <w:p>
            <w:pPr>
              <w:jc w:val="center"/>
              <w:rPr>
                <w:rFonts w:ascii="Tahoma" w:eastAsia="Times New Roman" w:hAnsi="Tahoma" w:cs="Tahoma"/>
                <w:b/>
                <w:bCs/>
                <w:i/>
                <w:iCs/>
                <w:noProof/>
                <w:sz w:val="16"/>
                <w:szCs w:val="16"/>
                <w:lang w:val="en-IE" w:eastAsia="en-IE"/>
              </w:rPr>
            </w:pPr>
          </w:p>
        </w:tc>
        <w:tc>
          <w:tcPr>
            <w:tcW w:w="480" w:type="dxa"/>
            <w:tcBorders>
              <w:top w:val="nil"/>
              <w:left w:val="nil"/>
              <w:bottom w:val="nil"/>
              <w:right w:val="nil"/>
            </w:tcBorders>
            <w:shd w:val="clear" w:color="000000" w:fill="FFFFFF"/>
            <w:noWrap/>
            <w:vAlign w:val="center"/>
            <w:hideMark/>
          </w:tcPr>
          <w:p>
            <w:pP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 </w:t>
            </w:r>
          </w:p>
        </w:tc>
        <w:tc>
          <w:tcPr>
            <w:tcW w:w="480" w:type="dxa"/>
            <w:tcBorders>
              <w:top w:val="nil"/>
              <w:left w:val="nil"/>
              <w:bottom w:val="nil"/>
              <w:right w:val="nil"/>
            </w:tcBorders>
            <w:shd w:val="clear" w:color="000000" w:fill="FFFFFF"/>
            <w:noWrap/>
            <w:vAlign w:val="center"/>
            <w:hideMark/>
          </w:tcPr>
          <w:p>
            <w:pP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 </w:t>
            </w:r>
          </w:p>
        </w:tc>
        <w:tc>
          <w:tcPr>
            <w:tcW w:w="480" w:type="dxa"/>
            <w:tcBorders>
              <w:top w:val="nil"/>
              <w:left w:val="nil"/>
              <w:bottom w:val="nil"/>
              <w:right w:val="nil"/>
            </w:tcBorders>
            <w:shd w:val="clear" w:color="000000" w:fill="FFFFFF"/>
            <w:noWrap/>
            <w:vAlign w:val="center"/>
            <w:hideMark/>
          </w:tcPr>
          <w:p>
            <w:pP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 </w:t>
            </w:r>
          </w:p>
        </w:tc>
        <w:tc>
          <w:tcPr>
            <w:tcW w:w="480" w:type="dxa"/>
            <w:tcBorders>
              <w:top w:val="nil"/>
              <w:left w:val="nil"/>
              <w:bottom w:val="nil"/>
              <w:right w:val="nil"/>
            </w:tcBorders>
            <w:shd w:val="clear" w:color="000000" w:fill="FFFFFF"/>
            <w:noWrap/>
            <w:vAlign w:val="center"/>
            <w:hideMark/>
          </w:tcPr>
          <w:p>
            <w:pP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 </w:t>
            </w:r>
          </w:p>
        </w:tc>
      </w:tr>
      <w:tr>
        <w:trPr>
          <w:trHeight w:val="210"/>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Imports</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r>
      <w:tr>
        <w:trPr>
          <w:trHeight w:val="210"/>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Exports</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r>
      <w:tr>
        <w:trPr>
          <w:trHeight w:val="210"/>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Total (I+E)</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r>
      <w:tr>
        <w:trPr>
          <w:trHeight w:val="210"/>
        </w:trPr>
        <w:tc>
          <w:tcPr>
            <w:tcW w:w="7520" w:type="dxa"/>
            <w:gridSpan w:val="6"/>
            <w:tcBorders>
              <w:top w:val="nil"/>
              <w:left w:val="nil"/>
              <w:bottom w:val="nil"/>
              <w:right w:val="nil"/>
            </w:tcBorders>
            <w:shd w:val="clear" w:color="000000" w:fill="FFFFFF"/>
            <w:noWrap/>
            <w:vAlign w:val="center"/>
            <w:hideMark/>
          </w:tcPr>
          <w:p>
            <w:pPr>
              <w:jc w:val="cente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Share EU28 in trade Zimbabwe with world</w:t>
            </w:r>
          </w:p>
        </w:tc>
      </w:tr>
      <w:tr>
        <w:trPr>
          <w:trHeight w:val="210"/>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Imports</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4,8%</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4,3%</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3,5%</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3,7%</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4,6%</w:t>
            </w:r>
          </w:p>
        </w:tc>
      </w:tr>
      <w:tr>
        <w:trPr>
          <w:trHeight w:val="210"/>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Exports</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5,0%</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1,0%</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2,2%</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2,1%</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1,7%</w:t>
            </w:r>
          </w:p>
        </w:tc>
      </w:tr>
      <w:tr>
        <w:trPr>
          <w:trHeight w:val="210"/>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Total (I+E)</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4,9%</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3,1%</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3,0%</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3,1%</w:t>
            </w:r>
          </w:p>
        </w:tc>
        <w:tc>
          <w:tcPr>
            <w:tcW w:w="480"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3,4%</w:t>
            </w:r>
          </w:p>
        </w:tc>
      </w:tr>
      <w:tr>
        <w:trPr>
          <w:trHeight w:val="225"/>
        </w:trPr>
        <w:tc>
          <w:tcPr>
            <w:tcW w:w="6080" w:type="dxa"/>
            <w:gridSpan w:val="3"/>
            <w:tcBorders>
              <w:top w:val="single" w:sz="4" w:space="0" w:color="auto"/>
              <w:left w:val="nil"/>
              <w:bottom w:val="nil"/>
              <w:right w:val="nil"/>
            </w:tcBorders>
            <w:shd w:val="clear" w:color="000000" w:fill="FFFFFF"/>
            <w:noWrap/>
            <w:vAlign w:val="bottom"/>
            <w:hideMark/>
          </w:tcPr>
          <w:p>
            <w:pPr>
              <w:rPr>
                <w:rFonts w:ascii="Tahoma" w:eastAsia="Times New Roman" w:hAnsi="Tahoma" w:cs="Tahoma"/>
                <w:noProof/>
                <w:sz w:val="12"/>
                <w:szCs w:val="12"/>
                <w:lang w:val="en-IE" w:eastAsia="en-IE"/>
              </w:rPr>
            </w:pPr>
            <w:r>
              <w:rPr>
                <w:rFonts w:ascii="Tahoma" w:eastAsia="Times New Roman" w:hAnsi="Tahoma" w:cs="Tahoma"/>
                <w:noProof/>
                <w:sz w:val="12"/>
                <w:szCs w:val="12"/>
                <w:lang w:val="en-IE" w:eastAsia="en-IE"/>
              </w:rPr>
              <w:t xml:space="preserve">Source Trade G2 Statistics/ISDB </w:t>
            </w:r>
          </w:p>
        </w:tc>
        <w:tc>
          <w:tcPr>
            <w:tcW w:w="480" w:type="dxa"/>
            <w:tcBorders>
              <w:top w:val="single" w:sz="4" w:space="0" w:color="auto"/>
              <w:left w:val="nil"/>
              <w:bottom w:val="nil"/>
              <w:right w:val="nil"/>
            </w:tcBorders>
            <w:shd w:val="clear" w:color="000000" w:fill="FFFFFF"/>
            <w:noWrap/>
            <w:vAlign w:val="bottom"/>
            <w:hideMark/>
          </w:tcPr>
          <w:p>
            <w:pPr>
              <w:jc w:val="center"/>
              <w:rPr>
                <w:rFonts w:ascii="Tahoma" w:eastAsia="Times New Roman" w:hAnsi="Tahoma" w:cs="Tahoma"/>
                <w:noProof/>
                <w:sz w:val="18"/>
                <w:szCs w:val="18"/>
                <w:lang w:val="en-IE" w:eastAsia="en-IE"/>
              </w:rPr>
            </w:pPr>
            <w:r>
              <w:rPr>
                <w:rFonts w:ascii="Tahoma" w:eastAsia="Times New Roman" w:hAnsi="Tahoma" w:cs="Tahoma"/>
                <w:noProof/>
                <w:sz w:val="18"/>
                <w:szCs w:val="18"/>
                <w:lang w:val="en-IE" w:eastAsia="en-IE"/>
              </w:rPr>
              <w:t> </w:t>
            </w:r>
          </w:p>
        </w:tc>
        <w:tc>
          <w:tcPr>
            <w:tcW w:w="480" w:type="dxa"/>
            <w:tcBorders>
              <w:top w:val="single" w:sz="4" w:space="0" w:color="auto"/>
              <w:left w:val="nil"/>
              <w:bottom w:val="nil"/>
              <w:right w:val="nil"/>
            </w:tcBorders>
            <w:shd w:val="clear" w:color="000000" w:fill="FFFFFF"/>
            <w:noWrap/>
            <w:vAlign w:val="bottom"/>
            <w:hideMark/>
          </w:tcPr>
          <w:p>
            <w:pPr>
              <w:jc w:val="center"/>
              <w:rPr>
                <w:rFonts w:ascii="Tahoma" w:eastAsia="Times New Roman" w:hAnsi="Tahoma" w:cs="Tahoma"/>
                <w:noProof/>
                <w:sz w:val="18"/>
                <w:szCs w:val="18"/>
                <w:lang w:val="en-IE" w:eastAsia="en-IE"/>
              </w:rPr>
            </w:pPr>
            <w:r>
              <w:rPr>
                <w:rFonts w:ascii="Tahoma" w:eastAsia="Times New Roman" w:hAnsi="Tahoma" w:cs="Tahoma"/>
                <w:noProof/>
                <w:sz w:val="18"/>
                <w:szCs w:val="18"/>
                <w:lang w:val="en-IE" w:eastAsia="en-IE"/>
              </w:rPr>
              <w:t> </w:t>
            </w:r>
          </w:p>
        </w:tc>
        <w:tc>
          <w:tcPr>
            <w:tcW w:w="480" w:type="dxa"/>
            <w:tcBorders>
              <w:top w:val="single" w:sz="4" w:space="0" w:color="auto"/>
              <w:left w:val="nil"/>
              <w:bottom w:val="nil"/>
              <w:right w:val="nil"/>
            </w:tcBorders>
            <w:shd w:val="clear" w:color="000000" w:fill="FFFFFF"/>
            <w:noWrap/>
            <w:hideMark/>
          </w:tcPr>
          <w:p>
            <w:pPr>
              <w:jc w:val="right"/>
              <w:rPr>
                <w:rFonts w:ascii="Tahoma" w:eastAsia="Times New Roman" w:hAnsi="Tahoma" w:cs="Tahoma"/>
                <w:noProof/>
                <w:sz w:val="12"/>
                <w:szCs w:val="12"/>
                <w:lang w:val="en-IE" w:eastAsia="en-IE"/>
              </w:rPr>
            </w:pPr>
            <w:r>
              <w:rPr>
                <w:rFonts w:ascii="Tahoma" w:eastAsia="Times New Roman" w:hAnsi="Tahoma" w:cs="Tahoma"/>
                <w:noProof/>
                <w:sz w:val="12"/>
                <w:szCs w:val="12"/>
                <w:lang w:val="en-IE" w:eastAsia="en-IE"/>
              </w:rPr>
              <w:t>25-mars-19</w:t>
            </w:r>
          </w:p>
        </w:tc>
      </w:tr>
      <w:tr>
        <w:trPr>
          <w:trHeight w:val="210"/>
        </w:trPr>
        <w:tc>
          <w:tcPr>
            <w:tcW w:w="6560" w:type="dxa"/>
            <w:gridSpan w:val="4"/>
            <w:tcBorders>
              <w:top w:val="nil"/>
              <w:left w:val="nil"/>
              <w:bottom w:val="nil"/>
              <w:right w:val="nil"/>
            </w:tcBorders>
            <w:shd w:val="clear" w:color="000000" w:fill="FFFFFF"/>
            <w:noWrap/>
            <w:hideMark/>
          </w:tcPr>
          <w:p>
            <w:pPr>
              <w:rPr>
                <w:rFonts w:ascii="Tahoma" w:eastAsia="Times New Roman" w:hAnsi="Tahoma" w:cs="Tahoma"/>
                <w:noProof/>
                <w:color w:val="000000"/>
                <w:sz w:val="12"/>
                <w:szCs w:val="12"/>
                <w:lang w:val="en-IE" w:eastAsia="en-IE"/>
              </w:rPr>
            </w:pPr>
            <w:r>
              <w:rPr>
                <w:rFonts w:ascii="Tahoma" w:eastAsia="Times New Roman" w:hAnsi="Tahoma" w:cs="Tahoma"/>
                <w:noProof/>
                <w:color w:val="000000"/>
                <w:sz w:val="12"/>
                <w:szCs w:val="12"/>
                <w:lang w:val="en-IE" w:eastAsia="en-IE"/>
              </w:rPr>
              <w:t>Trade EU28: Eurostat COMEXT;  Trade Zimbabwe: IMF Dots</w:t>
            </w:r>
          </w:p>
        </w:tc>
        <w:tc>
          <w:tcPr>
            <w:tcW w:w="480" w:type="dxa"/>
            <w:tcBorders>
              <w:top w:val="nil"/>
              <w:left w:val="nil"/>
              <w:bottom w:val="nil"/>
              <w:right w:val="nil"/>
            </w:tcBorders>
            <w:shd w:val="clear" w:color="000000" w:fill="FFFFFF"/>
            <w:noWrap/>
            <w:vAlign w:val="bottom"/>
            <w:hideMark/>
          </w:tcPr>
          <w:p>
            <w:pPr>
              <w:rPr>
                <w:rFonts w:ascii="Tahoma" w:eastAsia="Times New Roman" w:hAnsi="Tahoma" w:cs="Tahoma"/>
                <w:noProof/>
                <w:color w:val="000000"/>
                <w:sz w:val="16"/>
                <w:szCs w:val="16"/>
                <w:lang w:val="en-IE" w:eastAsia="en-IE"/>
              </w:rPr>
            </w:pPr>
            <w:r>
              <w:rPr>
                <w:rFonts w:ascii="Tahoma" w:eastAsia="Times New Roman" w:hAnsi="Tahoma" w:cs="Tahoma"/>
                <w:noProof/>
                <w:color w:val="000000"/>
                <w:sz w:val="16"/>
                <w:szCs w:val="16"/>
                <w:lang w:val="en-IE" w:eastAsia="en-IE"/>
              </w:rPr>
              <w:t> </w:t>
            </w:r>
          </w:p>
        </w:tc>
        <w:tc>
          <w:tcPr>
            <w:tcW w:w="480" w:type="dxa"/>
            <w:tcBorders>
              <w:top w:val="nil"/>
              <w:left w:val="nil"/>
              <w:bottom w:val="nil"/>
              <w:right w:val="nil"/>
            </w:tcBorders>
            <w:shd w:val="clear" w:color="000000" w:fill="FFFFFF"/>
            <w:noWrap/>
            <w:vAlign w:val="bottom"/>
            <w:hideMark/>
          </w:tcPr>
          <w:p>
            <w:pPr>
              <w:rPr>
                <w:rFonts w:ascii="Tahoma" w:eastAsia="Times New Roman" w:hAnsi="Tahoma" w:cs="Tahoma"/>
                <w:noProof/>
                <w:color w:val="000000"/>
                <w:sz w:val="16"/>
                <w:szCs w:val="16"/>
                <w:lang w:val="en-IE" w:eastAsia="en-IE"/>
              </w:rPr>
            </w:pPr>
            <w:r>
              <w:rPr>
                <w:rFonts w:ascii="Tahoma" w:eastAsia="Times New Roman" w:hAnsi="Tahoma" w:cs="Tahoma"/>
                <w:noProof/>
                <w:color w:val="000000"/>
                <w:sz w:val="16"/>
                <w:szCs w:val="16"/>
                <w:lang w:val="en-IE" w:eastAsia="en-IE"/>
              </w:rPr>
              <w:t> </w:t>
            </w:r>
          </w:p>
        </w:tc>
      </w:tr>
      <w:tr>
        <w:trPr>
          <w:trHeight w:val="210"/>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color w:val="000000"/>
                <w:sz w:val="16"/>
                <w:szCs w:val="16"/>
                <w:lang w:val="en-IE" w:eastAsia="en-IE"/>
              </w:rPr>
            </w:pPr>
            <w:r>
              <w:rPr>
                <w:rFonts w:ascii="Tahoma" w:eastAsia="Times New Roman" w:hAnsi="Tahoma" w:cs="Tahoma"/>
                <w:noProof/>
                <w:color w:val="000000"/>
                <w:sz w:val="16"/>
                <w:szCs w:val="16"/>
                <w:lang w:val="en-IE" w:eastAsia="en-IE"/>
              </w:rPr>
              <w:t> </w:t>
            </w:r>
          </w:p>
        </w:tc>
        <w:tc>
          <w:tcPr>
            <w:tcW w:w="480" w:type="dxa"/>
            <w:tcBorders>
              <w:top w:val="nil"/>
              <w:left w:val="nil"/>
              <w:bottom w:val="nil"/>
              <w:right w:val="nil"/>
            </w:tcBorders>
            <w:shd w:val="clear" w:color="000000" w:fill="FFFFFF"/>
            <w:noWrap/>
            <w:vAlign w:val="bottom"/>
            <w:hideMark/>
          </w:tcPr>
          <w:p>
            <w:pPr>
              <w:rPr>
                <w:rFonts w:ascii="Tahoma" w:eastAsia="Times New Roman" w:hAnsi="Tahoma" w:cs="Tahoma"/>
                <w:noProof/>
                <w:color w:val="000000"/>
                <w:sz w:val="16"/>
                <w:szCs w:val="16"/>
                <w:lang w:val="en-IE" w:eastAsia="en-IE"/>
              </w:rPr>
            </w:pPr>
            <w:r>
              <w:rPr>
                <w:rFonts w:ascii="Tahoma" w:eastAsia="Times New Roman" w:hAnsi="Tahoma" w:cs="Tahoma"/>
                <w:noProof/>
                <w:color w:val="000000"/>
                <w:sz w:val="16"/>
                <w:szCs w:val="16"/>
                <w:lang w:val="en-IE" w:eastAsia="en-IE"/>
              </w:rPr>
              <w:t> </w:t>
            </w:r>
          </w:p>
        </w:tc>
        <w:tc>
          <w:tcPr>
            <w:tcW w:w="480" w:type="dxa"/>
            <w:tcBorders>
              <w:top w:val="nil"/>
              <w:left w:val="nil"/>
              <w:bottom w:val="nil"/>
              <w:right w:val="nil"/>
            </w:tcBorders>
            <w:shd w:val="clear" w:color="000000" w:fill="FFFFFF"/>
            <w:noWrap/>
            <w:vAlign w:val="bottom"/>
            <w:hideMark/>
          </w:tcPr>
          <w:p>
            <w:pPr>
              <w:rPr>
                <w:rFonts w:ascii="Tahoma" w:eastAsia="Times New Roman" w:hAnsi="Tahoma" w:cs="Tahoma"/>
                <w:noProof/>
                <w:color w:val="000000"/>
                <w:sz w:val="16"/>
                <w:szCs w:val="16"/>
                <w:lang w:val="en-IE" w:eastAsia="en-IE"/>
              </w:rPr>
            </w:pPr>
            <w:r>
              <w:rPr>
                <w:rFonts w:ascii="Tahoma" w:eastAsia="Times New Roman" w:hAnsi="Tahoma" w:cs="Tahoma"/>
                <w:noProof/>
                <w:color w:val="000000"/>
                <w:sz w:val="16"/>
                <w:szCs w:val="16"/>
                <w:lang w:val="en-IE" w:eastAsia="en-IE"/>
              </w:rPr>
              <w:t> </w:t>
            </w:r>
          </w:p>
        </w:tc>
        <w:tc>
          <w:tcPr>
            <w:tcW w:w="480" w:type="dxa"/>
            <w:tcBorders>
              <w:top w:val="nil"/>
              <w:left w:val="nil"/>
              <w:bottom w:val="nil"/>
              <w:right w:val="nil"/>
            </w:tcBorders>
            <w:shd w:val="clear" w:color="000000" w:fill="FFFFFF"/>
            <w:noWrap/>
            <w:vAlign w:val="bottom"/>
            <w:hideMark/>
          </w:tcPr>
          <w:p>
            <w:pPr>
              <w:rPr>
                <w:rFonts w:ascii="Tahoma" w:eastAsia="Times New Roman" w:hAnsi="Tahoma" w:cs="Tahoma"/>
                <w:noProof/>
                <w:color w:val="000000"/>
                <w:sz w:val="16"/>
                <w:szCs w:val="16"/>
                <w:lang w:val="en-IE" w:eastAsia="en-IE"/>
              </w:rPr>
            </w:pPr>
            <w:r>
              <w:rPr>
                <w:rFonts w:ascii="Tahoma" w:eastAsia="Times New Roman" w:hAnsi="Tahoma" w:cs="Tahoma"/>
                <w:noProof/>
                <w:color w:val="000000"/>
                <w:sz w:val="16"/>
                <w:szCs w:val="16"/>
                <w:lang w:val="en-IE" w:eastAsia="en-IE"/>
              </w:rPr>
              <w:t> </w:t>
            </w:r>
          </w:p>
        </w:tc>
        <w:tc>
          <w:tcPr>
            <w:tcW w:w="480" w:type="dxa"/>
            <w:tcBorders>
              <w:top w:val="nil"/>
              <w:left w:val="nil"/>
              <w:bottom w:val="nil"/>
              <w:right w:val="nil"/>
            </w:tcBorders>
            <w:shd w:val="clear" w:color="000000" w:fill="FFFFFF"/>
            <w:noWrap/>
            <w:vAlign w:val="bottom"/>
            <w:hideMark/>
          </w:tcPr>
          <w:p>
            <w:pPr>
              <w:rPr>
                <w:rFonts w:ascii="Tahoma" w:eastAsia="Times New Roman" w:hAnsi="Tahoma" w:cs="Tahoma"/>
                <w:noProof/>
                <w:color w:val="000000"/>
                <w:sz w:val="16"/>
                <w:szCs w:val="16"/>
                <w:lang w:val="en-IE" w:eastAsia="en-IE"/>
              </w:rPr>
            </w:pPr>
            <w:r>
              <w:rPr>
                <w:rFonts w:ascii="Tahoma" w:eastAsia="Times New Roman" w:hAnsi="Tahoma" w:cs="Tahoma"/>
                <w:noProof/>
                <w:color w:val="000000"/>
                <w:sz w:val="16"/>
                <w:szCs w:val="16"/>
                <w:lang w:val="en-IE" w:eastAsia="en-IE"/>
              </w:rPr>
              <w:t> </w:t>
            </w:r>
          </w:p>
        </w:tc>
        <w:tc>
          <w:tcPr>
            <w:tcW w:w="480" w:type="dxa"/>
            <w:tcBorders>
              <w:top w:val="nil"/>
              <w:left w:val="nil"/>
              <w:bottom w:val="nil"/>
              <w:right w:val="nil"/>
            </w:tcBorders>
            <w:shd w:val="clear" w:color="000000" w:fill="FFFFFF"/>
            <w:noWrap/>
            <w:vAlign w:val="bottom"/>
            <w:hideMark/>
          </w:tcPr>
          <w:p>
            <w:pPr>
              <w:rPr>
                <w:rFonts w:ascii="Tahoma" w:eastAsia="Times New Roman" w:hAnsi="Tahoma" w:cs="Tahoma"/>
                <w:noProof/>
                <w:color w:val="000000"/>
                <w:sz w:val="16"/>
                <w:szCs w:val="16"/>
                <w:lang w:val="en-IE" w:eastAsia="en-IE"/>
              </w:rPr>
            </w:pPr>
            <w:r>
              <w:rPr>
                <w:rFonts w:ascii="Tahoma" w:eastAsia="Times New Roman" w:hAnsi="Tahoma" w:cs="Tahoma"/>
                <w:noProof/>
                <w:color w:val="000000"/>
                <w:sz w:val="16"/>
                <w:szCs w:val="16"/>
                <w:lang w:val="en-IE" w:eastAsia="en-IE"/>
              </w:rPr>
              <w:t> </w:t>
            </w:r>
          </w:p>
        </w:tc>
      </w:tr>
      <w:tr>
        <w:trPr>
          <w:trHeight w:val="225"/>
        </w:trPr>
        <w:tc>
          <w:tcPr>
            <w:tcW w:w="7520" w:type="dxa"/>
            <w:gridSpan w:val="6"/>
            <w:tcBorders>
              <w:top w:val="nil"/>
              <w:left w:val="nil"/>
              <w:bottom w:val="nil"/>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Total merchandise trade EU28 with Zimbabwe (mio €)</w:t>
            </w:r>
          </w:p>
        </w:tc>
      </w:tr>
      <w:tr>
        <w:trPr>
          <w:trHeight w:val="225"/>
        </w:trPr>
        <w:tc>
          <w:tcPr>
            <w:tcW w:w="5600"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Zimbabwe</w:t>
            </w:r>
          </w:p>
        </w:tc>
        <w:tc>
          <w:tcPr>
            <w:tcW w:w="48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2017</w:t>
            </w:r>
          </w:p>
        </w:tc>
        <w:tc>
          <w:tcPr>
            <w:tcW w:w="48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2018</w:t>
            </w:r>
          </w:p>
        </w:tc>
        <w:tc>
          <w:tcPr>
            <w:tcW w:w="960" w:type="dxa"/>
            <w:gridSpan w:val="2"/>
            <w:tcBorders>
              <w:top w:val="single" w:sz="4" w:space="0" w:color="auto"/>
              <w:left w:val="nil"/>
              <w:bottom w:val="nil"/>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Growth</w:t>
            </w:r>
          </w:p>
        </w:tc>
      </w:tr>
      <w:tr>
        <w:trPr>
          <w:trHeight w:val="225"/>
        </w:trPr>
        <w:tc>
          <w:tcPr>
            <w:tcW w:w="5600" w:type="dxa"/>
            <w:gridSpan w:val="2"/>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80" w:type="dxa"/>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80" w:type="dxa"/>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80" w:type="dxa"/>
            <w:tcBorders>
              <w:top w:val="nil"/>
              <w:left w:val="nil"/>
              <w:bottom w:val="single" w:sz="4" w:space="0" w:color="auto"/>
              <w:right w:val="nil"/>
            </w:tcBorders>
            <w:shd w:val="clear" w:color="000000" w:fill="FFFFFF"/>
            <w:noWrap/>
            <w:vAlign w:val="bottom"/>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mio €</w:t>
            </w:r>
          </w:p>
        </w:tc>
        <w:tc>
          <w:tcPr>
            <w:tcW w:w="480" w:type="dxa"/>
            <w:tcBorders>
              <w:top w:val="nil"/>
              <w:left w:val="nil"/>
              <w:bottom w:val="single" w:sz="4" w:space="0" w:color="auto"/>
              <w:right w:val="nil"/>
            </w:tcBorders>
            <w:shd w:val="clear" w:color="000000" w:fill="FFFFFF"/>
            <w:noWrap/>
            <w:vAlign w:val="bottom"/>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annual %</w:t>
            </w:r>
          </w:p>
        </w:tc>
      </w:tr>
      <w:tr>
        <w:trPr>
          <w:trHeight w:val="225"/>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Imports</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456</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455</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-0,3%</w:t>
            </w:r>
          </w:p>
        </w:tc>
      </w:tr>
      <w:tr>
        <w:trPr>
          <w:trHeight w:val="225"/>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Exports</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192</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234</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42</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22,1%</w:t>
            </w:r>
          </w:p>
        </w:tc>
      </w:tr>
      <w:tr>
        <w:trPr>
          <w:trHeight w:val="225"/>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Balance</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-265</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-221</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44</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r>
      <w:tr>
        <w:trPr>
          <w:trHeight w:val="225"/>
        </w:trPr>
        <w:tc>
          <w:tcPr>
            <w:tcW w:w="5120" w:type="dxa"/>
            <w:tcBorders>
              <w:top w:val="nil"/>
              <w:left w:val="nil"/>
              <w:bottom w:val="single" w:sz="4" w:space="0" w:color="auto"/>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Total trade</w:t>
            </w:r>
          </w:p>
        </w:tc>
        <w:tc>
          <w:tcPr>
            <w:tcW w:w="480" w:type="dxa"/>
            <w:tcBorders>
              <w:top w:val="nil"/>
              <w:left w:val="nil"/>
              <w:bottom w:val="single" w:sz="4" w:space="0" w:color="auto"/>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648</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689</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41</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6,3%</w:t>
            </w:r>
          </w:p>
        </w:tc>
      </w:tr>
      <w:tr>
        <w:trPr>
          <w:trHeight w:val="240"/>
        </w:trPr>
        <w:tc>
          <w:tcPr>
            <w:tcW w:w="6560" w:type="dxa"/>
            <w:gridSpan w:val="4"/>
            <w:tcBorders>
              <w:top w:val="single" w:sz="4" w:space="0" w:color="auto"/>
              <w:left w:val="nil"/>
              <w:bottom w:val="nil"/>
              <w:right w:val="nil"/>
            </w:tcBorders>
            <w:shd w:val="clear" w:color="000000" w:fill="FFFFFF"/>
            <w:noWrap/>
            <w:hideMark/>
          </w:tcPr>
          <w:p>
            <w:pPr>
              <w:rPr>
                <w:rFonts w:ascii="Arial" w:eastAsia="Times New Roman" w:hAnsi="Arial" w:cs="Arial"/>
                <w:noProof/>
                <w:sz w:val="12"/>
                <w:szCs w:val="12"/>
                <w:lang w:val="en-IE" w:eastAsia="en-IE"/>
              </w:rPr>
            </w:pPr>
            <w:r>
              <w:rPr>
                <w:rFonts w:ascii="Arial" w:eastAsia="Times New Roman" w:hAnsi="Arial" w:cs="Arial"/>
                <w:noProof/>
                <w:sz w:val="12"/>
                <w:szCs w:val="12"/>
                <w:lang w:val="en-IE" w:eastAsia="en-IE"/>
              </w:rPr>
              <w:t>Source Trade G2 Statistics/ISDB from Eurostat COMEXT</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8"/>
                <w:szCs w:val="18"/>
                <w:lang w:val="en-IE" w:eastAsia="en-IE"/>
              </w:rPr>
            </w:pPr>
            <w:r>
              <w:rPr>
                <w:rFonts w:ascii="Arial" w:eastAsia="Times New Roman" w:hAnsi="Arial" w:cs="Arial"/>
                <w:noProof/>
                <w:sz w:val="18"/>
                <w:szCs w:val="18"/>
                <w:lang w:val="en-IE" w:eastAsia="en-IE"/>
              </w:rPr>
              <w:t> </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8"/>
                <w:szCs w:val="18"/>
                <w:lang w:val="en-IE" w:eastAsia="en-IE"/>
              </w:rPr>
            </w:pPr>
            <w:r>
              <w:rPr>
                <w:rFonts w:ascii="Arial" w:eastAsia="Times New Roman" w:hAnsi="Arial" w:cs="Arial"/>
                <w:noProof/>
                <w:sz w:val="18"/>
                <w:szCs w:val="18"/>
                <w:lang w:val="en-IE" w:eastAsia="en-IE"/>
              </w:rPr>
              <w:t> </w:t>
            </w:r>
          </w:p>
        </w:tc>
      </w:tr>
      <w:tr>
        <w:trPr>
          <w:trHeight w:val="225"/>
        </w:trPr>
        <w:tc>
          <w:tcPr>
            <w:tcW w:w="7520" w:type="dxa"/>
            <w:gridSpan w:val="6"/>
            <w:tcBorders>
              <w:top w:val="nil"/>
              <w:left w:val="nil"/>
              <w:bottom w:val="nil"/>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Agrifood trade EU28 with Zimbabwe (mio €)</w:t>
            </w:r>
          </w:p>
        </w:tc>
      </w:tr>
      <w:tr>
        <w:trPr>
          <w:trHeight w:val="255"/>
        </w:trPr>
        <w:tc>
          <w:tcPr>
            <w:tcW w:w="5600"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Zimbabwe</w:t>
            </w:r>
          </w:p>
        </w:tc>
        <w:tc>
          <w:tcPr>
            <w:tcW w:w="48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2017</w:t>
            </w:r>
          </w:p>
        </w:tc>
        <w:tc>
          <w:tcPr>
            <w:tcW w:w="48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2018</w:t>
            </w:r>
          </w:p>
        </w:tc>
        <w:tc>
          <w:tcPr>
            <w:tcW w:w="960" w:type="dxa"/>
            <w:gridSpan w:val="2"/>
            <w:tcBorders>
              <w:top w:val="single" w:sz="4" w:space="0" w:color="auto"/>
              <w:left w:val="nil"/>
              <w:bottom w:val="nil"/>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Growth</w:t>
            </w:r>
          </w:p>
        </w:tc>
      </w:tr>
      <w:tr>
        <w:trPr>
          <w:trHeight w:val="225"/>
        </w:trPr>
        <w:tc>
          <w:tcPr>
            <w:tcW w:w="5600" w:type="dxa"/>
            <w:gridSpan w:val="2"/>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80" w:type="dxa"/>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80" w:type="dxa"/>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80" w:type="dxa"/>
            <w:tcBorders>
              <w:top w:val="nil"/>
              <w:left w:val="nil"/>
              <w:bottom w:val="single" w:sz="4" w:space="0" w:color="auto"/>
              <w:right w:val="nil"/>
            </w:tcBorders>
            <w:shd w:val="clear" w:color="000000" w:fill="FFFFFF"/>
            <w:noWrap/>
            <w:vAlign w:val="bottom"/>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mio €</w:t>
            </w:r>
          </w:p>
        </w:tc>
        <w:tc>
          <w:tcPr>
            <w:tcW w:w="480" w:type="dxa"/>
            <w:tcBorders>
              <w:top w:val="nil"/>
              <w:left w:val="nil"/>
              <w:bottom w:val="single" w:sz="4" w:space="0" w:color="auto"/>
              <w:right w:val="nil"/>
            </w:tcBorders>
            <w:shd w:val="clear" w:color="000000" w:fill="FFFFFF"/>
            <w:noWrap/>
            <w:vAlign w:val="bottom"/>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annual %</w:t>
            </w:r>
          </w:p>
        </w:tc>
      </w:tr>
      <w:tr>
        <w:trPr>
          <w:trHeight w:val="225"/>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Imports</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234</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195</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-39</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-16,7%</w:t>
            </w:r>
          </w:p>
        </w:tc>
      </w:tr>
      <w:tr>
        <w:trPr>
          <w:trHeight w:val="225"/>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Exports</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15</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29</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14</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88,8%</w:t>
            </w:r>
          </w:p>
        </w:tc>
      </w:tr>
      <w:tr>
        <w:trPr>
          <w:trHeight w:val="225"/>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Balance</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-218</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-166</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53</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r>
      <w:tr>
        <w:trPr>
          <w:trHeight w:val="225"/>
        </w:trPr>
        <w:tc>
          <w:tcPr>
            <w:tcW w:w="5120" w:type="dxa"/>
            <w:tcBorders>
              <w:top w:val="nil"/>
              <w:left w:val="nil"/>
              <w:bottom w:val="single" w:sz="4" w:space="0" w:color="auto"/>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Total trade</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249</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223</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-25</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-10,2%</w:t>
            </w:r>
          </w:p>
        </w:tc>
      </w:tr>
      <w:tr>
        <w:trPr>
          <w:trHeight w:val="240"/>
        </w:trPr>
        <w:tc>
          <w:tcPr>
            <w:tcW w:w="6560" w:type="dxa"/>
            <w:gridSpan w:val="4"/>
            <w:tcBorders>
              <w:top w:val="single" w:sz="4" w:space="0" w:color="auto"/>
              <w:left w:val="nil"/>
              <w:bottom w:val="nil"/>
              <w:right w:val="nil"/>
            </w:tcBorders>
            <w:shd w:val="clear" w:color="000000" w:fill="FFFFFF"/>
            <w:noWrap/>
            <w:hideMark/>
          </w:tcPr>
          <w:p>
            <w:pPr>
              <w:rPr>
                <w:rFonts w:ascii="Arial" w:eastAsia="Times New Roman" w:hAnsi="Arial" w:cs="Arial"/>
                <w:noProof/>
                <w:sz w:val="12"/>
                <w:szCs w:val="12"/>
                <w:lang w:val="en-IE" w:eastAsia="en-IE"/>
              </w:rPr>
            </w:pPr>
            <w:r>
              <w:rPr>
                <w:rFonts w:ascii="Arial" w:eastAsia="Times New Roman" w:hAnsi="Arial" w:cs="Arial"/>
                <w:noProof/>
                <w:sz w:val="12"/>
                <w:szCs w:val="12"/>
                <w:lang w:val="en-IE" w:eastAsia="en-IE"/>
              </w:rPr>
              <w:t>Source Trade G2 Statistics/ISDB from Eurostat COMEXT</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8"/>
                <w:szCs w:val="18"/>
                <w:lang w:val="en-IE" w:eastAsia="en-IE"/>
              </w:rPr>
            </w:pPr>
            <w:r>
              <w:rPr>
                <w:rFonts w:ascii="Arial" w:eastAsia="Times New Roman" w:hAnsi="Arial" w:cs="Arial"/>
                <w:noProof/>
                <w:sz w:val="18"/>
                <w:szCs w:val="18"/>
                <w:lang w:val="en-IE" w:eastAsia="en-IE"/>
              </w:rPr>
              <w:t> </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8"/>
                <w:szCs w:val="18"/>
                <w:lang w:val="en-IE" w:eastAsia="en-IE"/>
              </w:rPr>
            </w:pPr>
            <w:r>
              <w:rPr>
                <w:rFonts w:ascii="Arial" w:eastAsia="Times New Roman" w:hAnsi="Arial" w:cs="Arial"/>
                <w:noProof/>
                <w:sz w:val="18"/>
                <w:szCs w:val="18"/>
                <w:lang w:val="en-IE" w:eastAsia="en-IE"/>
              </w:rPr>
              <w:t> </w:t>
            </w:r>
          </w:p>
        </w:tc>
      </w:tr>
      <w:tr>
        <w:trPr>
          <w:trHeight w:val="225"/>
        </w:trPr>
        <w:tc>
          <w:tcPr>
            <w:tcW w:w="7520" w:type="dxa"/>
            <w:gridSpan w:val="6"/>
            <w:tcBorders>
              <w:top w:val="nil"/>
              <w:left w:val="nil"/>
              <w:bottom w:val="nil"/>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NAMA trade EU28 with Zimbabwe (mio €)</w:t>
            </w:r>
          </w:p>
        </w:tc>
      </w:tr>
      <w:tr>
        <w:trPr>
          <w:trHeight w:val="225"/>
        </w:trPr>
        <w:tc>
          <w:tcPr>
            <w:tcW w:w="5600"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Zimbabwe</w:t>
            </w:r>
          </w:p>
        </w:tc>
        <w:tc>
          <w:tcPr>
            <w:tcW w:w="48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2017</w:t>
            </w:r>
          </w:p>
        </w:tc>
        <w:tc>
          <w:tcPr>
            <w:tcW w:w="48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2018</w:t>
            </w:r>
          </w:p>
        </w:tc>
        <w:tc>
          <w:tcPr>
            <w:tcW w:w="960" w:type="dxa"/>
            <w:gridSpan w:val="2"/>
            <w:tcBorders>
              <w:top w:val="single" w:sz="4" w:space="0" w:color="auto"/>
              <w:left w:val="nil"/>
              <w:bottom w:val="nil"/>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Growth</w:t>
            </w:r>
          </w:p>
        </w:tc>
      </w:tr>
      <w:tr>
        <w:trPr>
          <w:trHeight w:val="225"/>
        </w:trPr>
        <w:tc>
          <w:tcPr>
            <w:tcW w:w="5600" w:type="dxa"/>
            <w:gridSpan w:val="2"/>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80" w:type="dxa"/>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80" w:type="dxa"/>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80" w:type="dxa"/>
            <w:tcBorders>
              <w:top w:val="nil"/>
              <w:left w:val="nil"/>
              <w:bottom w:val="single" w:sz="4" w:space="0" w:color="auto"/>
              <w:right w:val="nil"/>
            </w:tcBorders>
            <w:shd w:val="clear" w:color="000000" w:fill="FFFFFF"/>
            <w:noWrap/>
            <w:vAlign w:val="bottom"/>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mio €</w:t>
            </w:r>
          </w:p>
        </w:tc>
        <w:tc>
          <w:tcPr>
            <w:tcW w:w="480" w:type="dxa"/>
            <w:tcBorders>
              <w:top w:val="nil"/>
              <w:left w:val="nil"/>
              <w:bottom w:val="single" w:sz="4" w:space="0" w:color="auto"/>
              <w:right w:val="nil"/>
            </w:tcBorders>
            <w:shd w:val="clear" w:color="000000" w:fill="FFFFFF"/>
            <w:noWrap/>
            <w:vAlign w:val="bottom"/>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annual %</w:t>
            </w:r>
          </w:p>
        </w:tc>
      </w:tr>
      <w:tr>
        <w:trPr>
          <w:trHeight w:val="225"/>
        </w:trPr>
        <w:tc>
          <w:tcPr>
            <w:tcW w:w="5600" w:type="dxa"/>
            <w:gridSpan w:val="2"/>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EU28 imports</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223</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260</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38</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16,8%</w:t>
            </w:r>
          </w:p>
        </w:tc>
      </w:tr>
      <w:tr>
        <w:trPr>
          <w:trHeight w:val="225"/>
        </w:trPr>
        <w:tc>
          <w:tcPr>
            <w:tcW w:w="5600" w:type="dxa"/>
            <w:gridSpan w:val="2"/>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EU28 exports</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176</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205</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29</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16,3%</w:t>
            </w:r>
          </w:p>
        </w:tc>
      </w:tr>
      <w:tr>
        <w:trPr>
          <w:trHeight w:val="225"/>
        </w:trPr>
        <w:tc>
          <w:tcPr>
            <w:tcW w:w="512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Balance</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-47</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-55</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-9</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r>
      <w:tr>
        <w:trPr>
          <w:trHeight w:val="225"/>
        </w:trPr>
        <w:tc>
          <w:tcPr>
            <w:tcW w:w="512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Total trade</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399</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465</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66</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16,6%</w:t>
            </w:r>
          </w:p>
        </w:tc>
      </w:tr>
      <w:tr>
        <w:trPr>
          <w:trHeight w:val="240"/>
        </w:trPr>
        <w:tc>
          <w:tcPr>
            <w:tcW w:w="6560" w:type="dxa"/>
            <w:gridSpan w:val="4"/>
            <w:tcBorders>
              <w:top w:val="single" w:sz="4" w:space="0" w:color="auto"/>
              <w:left w:val="nil"/>
              <w:bottom w:val="nil"/>
              <w:right w:val="nil"/>
            </w:tcBorders>
            <w:shd w:val="clear" w:color="000000" w:fill="FFFFFF"/>
            <w:noWrap/>
            <w:hideMark/>
          </w:tcPr>
          <w:p>
            <w:pPr>
              <w:rPr>
                <w:rFonts w:ascii="Arial" w:eastAsia="Times New Roman" w:hAnsi="Arial" w:cs="Arial"/>
                <w:noProof/>
                <w:sz w:val="12"/>
                <w:szCs w:val="12"/>
                <w:lang w:val="en-IE" w:eastAsia="en-IE"/>
              </w:rPr>
            </w:pPr>
            <w:r>
              <w:rPr>
                <w:rFonts w:ascii="Arial" w:eastAsia="Times New Roman" w:hAnsi="Arial" w:cs="Arial"/>
                <w:noProof/>
                <w:sz w:val="12"/>
                <w:szCs w:val="12"/>
                <w:lang w:val="en-IE" w:eastAsia="en-IE"/>
              </w:rPr>
              <w:t>Source Trade G2 Statistics/ISDB from Eurostat COMEXT</w:t>
            </w:r>
          </w:p>
        </w:tc>
        <w:tc>
          <w:tcPr>
            <w:tcW w:w="480" w:type="dxa"/>
            <w:tcBorders>
              <w:top w:val="single" w:sz="4" w:space="0" w:color="auto"/>
              <w:left w:val="nil"/>
              <w:bottom w:val="nil"/>
              <w:right w:val="nil"/>
            </w:tcBorders>
            <w:shd w:val="clear" w:color="000000" w:fill="FFFFFF"/>
            <w:noWrap/>
            <w:vAlign w:val="bottom"/>
            <w:hideMark/>
          </w:tcPr>
          <w:p>
            <w:pPr>
              <w:rPr>
                <w:rFonts w:ascii="Arial" w:eastAsia="Times New Roman" w:hAnsi="Arial" w:cs="Arial"/>
                <w:noProof/>
                <w:sz w:val="18"/>
                <w:szCs w:val="18"/>
                <w:lang w:val="en-IE" w:eastAsia="en-IE"/>
              </w:rPr>
            </w:pPr>
            <w:r>
              <w:rPr>
                <w:rFonts w:ascii="Arial" w:eastAsia="Times New Roman" w:hAnsi="Arial" w:cs="Arial"/>
                <w:noProof/>
                <w:sz w:val="18"/>
                <w:szCs w:val="18"/>
                <w:lang w:val="en-IE" w:eastAsia="en-IE"/>
              </w:rPr>
              <w:t> </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8"/>
                <w:szCs w:val="18"/>
                <w:lang w:val="en-IE" w:eastAsia="en-IE"/>
              </w:rPr>
            </w:pPr>
            <w:r>
              <w:rPr>
                <w:rFonts w:ascii="Arial" w:eastAsia="Times New Roman" w:hAnsi="Arial" w:cs="Arial"/>
                <w:noProof/>
                <w:sz w:val="18"/>
                <w:szCs w:val="18"/>
                <w:lang w:val="en-IE" w:eastAsia="en-IE"/>
              </w:rPr>
              <w:t> </w:t>
            </w:r>
          </w:p>
        </w:tc>
      </w:tr>
      <w:tr>
        <w:trPr>
          <w:trHeight w:val="225"/>
        </w:trPr>
        <w:tc>
          <w:tcPr>
            <w:tcW w:w="6560" w:type="dxa"/>
            <w:gridSpan w:val="4"/>
            <w:tcBorders>
              <w:top w:val="nil"/>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Services trade EU28 with Zimbabwe (mio €)</w:t>
            </w:r>
          </w:p>
        </w:tc>
        <w:tc>
          <w:tcPr>
            <w:tcW w:w="480" w:type="dxa"/>
            <w:tcBorders>
              <w:top w:val="nil"/>
              <w:left w:val="nil"/>
              <w:bottom w:val="nil"/>
              <w:right w:val="nil"/>
            </w:tcBorders>
            <w:shd w:val="clear" w:color="000000" w:fill="FFFFFF"/>
            <w:noWrap/>
            <w:vAlign w:val="center"/>
            <w:hideMark/>
          </w:tcPr>
          <w:p>
            <w:pP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 </w:t>
            </w:r>
          </w:p>
        </w:tc>
        <w:tc>
          <w:tcPr>
            <w:tcW w:w="480" w:type="dxa"/>
            <w:tcBorders>
              <w:top w:val="nil"/>
              <w:left w:val="nil"/>
              <w:bottom w:val="nil"/>
              <w:right w:val="nil"/>
            </w:tcBorders>
            <w:shd w:val="clear" w:color="000000" w:fill="FFFFFF"/>
            <w:noWrap/>
            <w:vAlign w:val="center"/>
            <w:hideMark/>
          </w:tcPr>
          <w:p>
            <w:pP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 </w:t>
            </w:r>
          </w:p>
        </w:tc>
      </w:tr>
      <w:tr>
        <w:trPr>
          <w:trHeight w:val="225"/>
        </w:trPr>
        <w:tc>
          <w:tcPr>
            <w:tcW w:w="5600"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Zimbabwe</w:t>
            </w:r>
          </w:p>
        </w:tc>
        <w:tc>
          <w:tcPr>
            <w:tcW w:w="480" w:type="dxa"/>
            <w:vMerge w:val="restart"/>
            <w:tcBorders>
              <w:top w:val="nil"/>
              <w:left w:val="nil"/>
              <w:bottom w:val="single" w:sz="4" w:space="0" w:color="000000"/>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2016</w:t>
            </w:r>
          </w:p>
        </w:tc>
        <w:tc>
          <w:tcPr>
            <w:tcW w:w="480" w:type="dxa"/>
            <w:vMerge w:val="restart"/>
            <w:tcBorders>
              <w:top w:val="nil"/>
              <w:left w:val="nil"/>
              <w:bottom w:val="single" w:sz="4" w:space="0" w:color="000000"/>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2017</w:t>
            </w:r>
          </w:p>
        </w:tc>
        <w:tc>
          <w:tcPr>
            <w:tcW w:w="960" w:type="dxa"/>
            <w:gridSpan w:val="2"/>
            <w:tcBorders>
              <w:top w:val="single" w:sz="4" w:space="0" w:color="auto"/>
              <w:left w:val="nil"/>
              <w:bottom w:val="nil"/>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Growth</w:t>
            </w:r>
          </w:p>
        </w:tc>
      </w:tr>
      <w:tr>
        <w:trPr>
          <w:trHeight w:val="225"/>
        </w:trPr>
        <w:tc>
          <w:tcPr>
            <w:tcW w:w="5600" w:type="dxa"/>
            <w:gridSpan w:val="2"/>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80" w:type="dxa"/>
            <w:vMerge/>
            <w:tcBorders>
              <w:top w:val="nil"/>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80" w:type="dxa"/>
            <w:vMerge/>
            <w:tcBorders>
              <w:top w:val="nil"/>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80" w:type="dxa"/>
            <w:tcBorders>
              <w:top w:val="nil"/>
              <w:left w:val="nil"/>
              <w:bottom w:val="single" w:sz="4" w:space="0" w:color="auto"/>
              <w:right w:val="nil"/>
            </w:tcBorders>
            <w:shd w:val="clear" w:color="000000" w:fill="FFFFFF"/>
            <w:noWrap/>
            <w:vAlign w:val="bottom"/>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mio €</w:t>
            </w:r>
          </w:p>
        </w:tc>
        <w:tc>
          <w:tcPr>
            <w:tcW w:w="480" w:type="dxa"/>
            <w:tcBorders>
              <w:top w:val="nil"/>
              <w:left w:val="nil"/>
              <w:bottom w:val="single" w:sz="4" w:space="0" w:color="auto"/>
              <w:right w:val="nil"/>
            </w:tcBorders>
            <w:shd w:val="clear" w:color="000000" w:fill="FFFFFF"/>
            <w:noWrap/>
            <w:vAlign w:val="bottom"/>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annual %</w:t>
            </w:r>
          </w:p>
        </w:tc>
      </w:tr>
      <w:tr>
        <w:trPr>
          <w:trHeight w:val="225"/>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Imports</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90</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84</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-6</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-6,6%</w:t>
            </w:r>
          </w:p>
        </w:tc>
      </w:tr>
      <w:tr>
        <w:trPr>
          <w:trHeight w:val="225"/>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Exports</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179</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381</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201</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112,2%</w:t>
            </w:r>
          </w:p>
        </w:tc>
      </w:tr>
      <w:tr>
        <w:trPr>
          <w:trHeight w:val="225"/>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Balance</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89</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297</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207</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r>
      <w:tr>
        <w:trPr>
          <w:trHeight w:val="225"/>
        </w:trPr>
        <w:tc>
          <w:tcPr>
            <w:tcW w:w="5120" w:type="dxa"/>
            <w:tcBorders>
              <w:top w:val="nil"/>
              <w:left w:val="nil"/>
              <w:bottom w:val="single" w:sz="4" w:space="0" w:color="auto"/>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Total trade</w:t>
            </w:r>
          </w:p>
        </w:tc>
        <w:tc>
          <w:tcPr>
            <w:tcW w:w="480" w:type="dxa"/>
            <w:tcBorders>
              <w:top w:val="nil"/>
              <w:left w:val="nil"/>
              <w:bottom w:val="single" w:sz="4" w:space="0" w:color="auto"/>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269</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465</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195</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72,5%</w:t>
            </w:r>
          </w:p>
        </w:tc>
      </w:tr>
      <w:tr>
        <w:trPr>
          <w:trHeight w:val="240"/>
        </w:trPr>
        <w:tc>
          <w:tcPr>
            <w:tcW w:w="7040" w:type="dxa"/>
            <w:gridSpan w:val="5"/>
            <w:tcBorders>
              <w:top w:val="nil"/>
              <w:left w:val="nil"/>
              <w:bottom w:val="nil"/>
              <w:right w:val="nil"/>
            </w:tcBorders>
            <w:shd w:val="clear" w:color="000000" w:fill="FFFFFF"/>
            <w:noWrap/>
            <w:hideMark/>
          </w:tcPr>
          <w:p>
            <w:pPr>
              <w:rPr>
                <w:rFonts w:ascii="Arial" w:eastAsia="Times New Roman" w:hAnsi="Arial" w:cs="Arial"/>
                <w:noProof/>
                <w:sz w:val="12"/>
                <w:szCs w:val="12"/>
                <w:lang w:val="en-IE" w:eastAsia="en-IE"/>
              </w:rPr>
            </w:pPr>
            <w:r>
              <w:rPr>
                <w:rFonts w:ascii="Arial" w:eastAsia="Times New Roman" w:hAnsi="Arial" w:cs="Arial"/>
                <w:noProof/>
                <w:sz w:val="12"/>
                <w:szCs w:val="12"/>
                <w:lang w:val="en-IE" w:eastAsia="en-IE"/>
              </w:rPr>
              <w:t>Source Trade G2 Statistics/ISDB from Eurostat BOP statistics</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8"/>
                <w:szCs w:val="18"/>
                <w:lang w:val="en-IE" w:eastAsia="en-IE"/>
              </w:rPr>
            </w:pPr>
            <w:r>
              <w:rPr>
                <w:rFonts w:ascii="Arial" w:eastAsia="Times New Roman" w:hAnsi="Arial" w:cs="Arial"/>
                <w:noProof/>
                <w:sz w:val="18"/>
                <w:szCs w:val="18"/>
                <w:lang w:val="en-IE" w:eastAsia="en-IE"/>
              </w:rPr>
              <w:t> </w:t>
            </w:r>
          </w:p>
        </w:tc>
      </w:tr>
      <w:tr>
        <w:trPr>
          <w:trHeight w:val="240"/>
        </w:trPr>
        <w:tc>
          <w:tcPr>
            <w:tcW w:w="7520" w:type="dxa"/>
            <w:gridSpan w:val="6"/>
            <w:tcBorders>
              <w:top w:val="nil"/>
              <w:left w:val="nil"/>
              <w:bottom w:val="nil"/>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Services trade EU28 with Zimbabwe (mio €)</w:t>
            </w:r>
          </w:p>
        </w:tc>
      </w:tr>
      <w:tr>
        <w:trPr>
          <w:trHeight w:val="225"/>
        </w:trPr>
        <w:tc>
          <w:tcPr>
            <w:tcW w:w="5120" w:type="dxa"/>
            <w:tcBorders>
              <w:top w:val="single" w:sz="4" w:space="0" w:color="auto"/>
              <w:left w:val="nil"/>
              <w:bottom w:val="single" w:sz="4" w:space="0" w:color="auto"/>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single" w:sz="4" w:space="0" w:color="auto"/>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2013</w:t>
            </w:r>
          </w:p>
        </w:tc>
        <w:tc>
          <w:tcPr>
            <w:tcW w:w="480" w:type="dxa"/>
            <w:tcBorders>
              <w:top w:val="single" w:sz="4" w:space="0" w:color="auto"/>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2014</w:t>
            </w:r>
          </w:p>
        </w:tc>
        <w:tc>
          <w:tcPr>
            <w:tcW w:w="480" w:type="dxa"/>
            <w:tcBorders>
              <w:top w:val="single" w:sz="4" w:space="0" w:color="auto"/>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2015</w:t>
            </w:r>
          </w:p>
        </w:tc>
        <w:tc>
          <w:tcPr>
            <w:tcW w:w="480" w:type="dxa"/>
            <w:tcBorders>
              <w:top w:val="single" w:sz="4" w:space="0" w:color="auto"/>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2016</w:t>
            </w:r>
          </w:p>
        </w:tc>
        <w:tc>
          <w:tcPr>
            <w:tcW w:w="480" w:type="dxa"/>
            <w:tcBorders>
              <w:top w:val="single" w:sz="4" w:space="0" w:color="auto"/>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2017</w:t>
            </w:r>
          </w:p>
        </w:tc>
      </w:tr>
      <w:tr>
        <w:trPr>
          <w:trHeight w:val="225"/>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Imports</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140</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147</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195</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90</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84</w:t>
            </w:r>
          </w:p>
        </w:tc>
      </w:tr>
      <w:tr>
        <w:trPr>
          <w:trHeight w:val="225"/>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Exports</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200</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211</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233</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179</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381</w:t>
            </w:r>
          </w:p>
        </w:tc>
      </w:tr>
      <w:tr>
        <w:trPr>
          <w:trHeight w:val="225"/>
        </w:trPr>
        <w:tc>
          <w:tcPr>
            <w:tcW w:w="5120"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Balance</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61</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64</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38</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89</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297</w:t>
            </w:r>
          </w:p>
        </w:tc>
      </w:tr>
      <w:tr>
        <w:trPr>
          <w:trHeight w:val="225"/>
        </w:trPr>
        <w:tc>
          <w:tcPr>
            <w:tcW w:w="5120" w:type="dxa"/>
            <w:tcBorders>
              <w:top w:val="nil"/>
              <w:left w:val="nil"/>
              <w:bottom w:val="single" w:sz="4" w:space="0" w:color="auto"/>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Total trade</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340</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358</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427</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269</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465</w:t>
            </w:r>
          </w:p>
        </w:tc>
      </w:tr>
      <w:tr>
        <w:trPr>
          <w:trHeight w:val="225"/>
        </w:trPr>
        <w:tc>
          <w:tcPr>
            <w:tcW w:w="5120" w:type="dxa"/>
            <w:tcBorders>
              <w:top w:val="nil"/>
              <w:left w:val="nil"/>
              <w:bottom w:val="nil"/>
              <w:right w:val="nil"/>
            </w:tcBorders>
            <w:shd w:val="clear" w:color="000000" w:fill="FFFFFF"/>
            <w:noWrap/>
            <w:hideMark/>
          </w:tcPr>
          <w:p>
            <w:pPr>
              <w:rPr>
                <w:rFonts w:ascii="Arial" w:eastAsia="Times New Roman" w:hAnsi="Arial" w:cs="Arial"/>
                <w:noProof/>
                <w:sz w:val="12"/>
                <w:szCs w:val="12"/>
                <w:lang w:val="en-IE" w:eastAsia="en-IE"/>
              </w:rPr>
            </w:pPr>
            <w:r>
              <w:rPr>
                <w:rFonts w:ascii="Arial" w:eastAsia="Times New Roman" w:hAnsi="Arial" w:cs="Arial"/>
                <w:noProof/>
                <w:sz w:val="12"/>
                <w:szCs w:val="12"/>
                <w:lang w:val="en-IE" w:eastAsia="en-IE"/>
              </w:rPr>
              <w:t>Source Trade G2 Statistics/ISDB from Eurostat BOP statistics</w:t>
            </w:r>
          </w:p>
        </w:tc>
        <w:tc>
          <w:tcPr>
            <w:tcW w:w="480" w:type="dxa"/>
            <w:tcBorders>
              <w:top w:val="nil"/>
              <w:left w:val="nil"/>
              <w:bottom w:val="nil"/>
              <w:right w:val="nil"/>
            </w:tcBorders>
            <w:shd w:val="clear" w:color="000000" w:fill="FFFFFF"/>
            <w:noWrap/>
            <w:hideMark/>
          </w:tcPr>
          <w:p>
            <w:pPr>
              <w:rPr>
                <w:rFonts w:ascii="Arial" w:eastAsia="Times New Roman" w:hAnsi="Arial" w:cs="Arial"/>
                <w:noProof/>
                <w:sz w:val="12"/>
                <w:szCs w:val="12"/>
                <w:lang w:val="en-IE" w:eastAsia="en-IE"/>
              </w:rPr>
            </w:pPr>
            <w:r>
              <w:rPr>
                <w:rFonts w:ascii="Arial" w:eastAsia="Times New Roman" w:hAnsi="Arial" w:cs="Arial"/>
                <w:noProof/>
                <w:sz w:val="12"/>
                <w:szCs w:val="12"/>
                <w:lang w:val="en-IE" w:eastAsia="en-IE"/>
              </w:rPr>
              <w:t> </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r>
      <w:tr>
        <w:trPr>
          <w:trHeight w:val="225"/>
        </w:trPr>
        <w:tc>
          <w:tcPr>
            <w:tcW w:w="7520" w:type="dxa"/>
            <w:gridSpan w:val="6"/>
            <w:tcBorders>
              <w:top w:val="nil"/>
              <w:left w:val="nil"/>
              <w:bottom w:val="nil"/>
              <w:right w:val="nil"/>
            </w:tcBorders>
            <w:shd w:val="clear" w:color="000000" w:fill="FFFFFF"/>
            <w:noWrap/>
            <w:vAlign w:val="center"/>
            <w:hideMark/>
          </w:tcPr>
          <w:p>
            <w:pPr>
              <w:jc w:val="center"/>
              <w:rPr>
                <w:rFonts w:ascii="Arial" w:eastAsia="Times New Roman" w:hAnsi="Arial" w:cs="Arial"/>
                <w:b/>
                <w:bCs/>
                <w:noProof/>
                <w:sz w:val="16"/>
                <w:szCs w:val="16"/>
                <w:lang w:val="de-DE" w:eastAsia="en-IE"/>
              </w:rPr>
            </w:pPr>
            <w:r>
              <w:rPr>
                <w:rFonts w:ascii="Arial" w:eastAsia="Times New Roman" w:hAnsi="Arial" w:cs="Arial"/>
                <w:b/>
                <w:bCs/>
                <w:noProof/>
                <w:sz w:val="16"/>
                <w:szCs w:val="16"/>
                <w:lang w:val="de-DE" w:eastAsia="en-IE"/>
              </w:rPr>
              <w:t>FDI EU28 with Zimbabwe (mio €)</w:t>
            </w:r>
          </w:p>
        </w:tc>
      </w:tr>
      <w:tr>
        <w:trPr>
          <w:trHeight w:val="225"/>
        </w:trPr>
        <w:tc>
          <w:tcPr>
            <w:tcW w:w="5120" w:type="dxa"/>
            <w:tcBorders>
              <w:top w:val="single" w:sz="4" w:space="0" w:color="auto"/>
              <w:left w:val="nil"/>
              <w:bottom w:val="single" w:sz="4" w:space="0" w:color="auto"/>
              <w:right w:val="nil"/>
            </w:tcBorders>
            <w:shd w:val="clear" w:color="000000" w:fill="FFFFFF"/>
            <w:noWrap/>
            <w:vAlign w:val="bottom"/>
            <w:hideMark/>
          </w:tcPr>
          <w:p>
            <w:pPr>
              <w:rPr>
                <w:rFonts w:ascii="Arial" w:eastAsia="Times New Roman" w:hAnsi="Arial" w:cs="Arial"/>
                <w:noProof/>
                <w:sz w:val="16"/>
                <w:szCs w:val="16"/>
                <w:lang w:val="de-DE" w:eastAsia="en-IE"/>
              </w:rPr>
            </w:pPr>
            <w:r>
              <w:rPr>
                <w:rFonts w:ascii="Arial" w:eastAsia="Times New Roman" w:hAnsi="Arial" w:cs="Arial"/>
                <w:noProof/>
                <w:sz w:val="16"/>
                <w:szCs w:val="16"/>
                <w:lang w:val="de-DE" w:eastAsia="en-IE"/>
              </w:rPr>
              <w:t> </w:t>
            </w:r>
          </w:p>
        </w:tc>
        <w:tc>
          <w:tcPr>
            <w:tcW w:w="480" w:type="dxa"/>
            <w:tcBorders>
              <w:top w:val="single" w:sz="4" w:space="0" w:color="auto"/>
              <w:left w:val="nil"/>
              <w:bottom w:val="single" w:sz="4" w:space="0" w:color="auto"/>
              <w:right w:val="nil"/>
            </w:tcBorders>
            <w:shd w:val="clear" w:color="000000" w:fill="FFFFFF"/>
            <w:noWrap/>
            <w:vAlign w:val="bottom"/>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2013</w:t>
            </w:r>
          </w:p>
        </w:tc>
        <w:tc>
          <w:tcPr>
            <w:tcW w:w="480" w:type="dxa"/>
            <w:tcBorders>
              <w:top w:val="single" w:sz="4" w:space="0" w:color="auto"/>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2014</w:t>
            </w:r>
          </w:p>
        </w:tc>
        <w:tc>
          <w:tcPr>
            <w:tcW w:w="480" w:type="dxa"/>
            <w:tcBorders>
              <w:top w:val="single" w:sz="4" w:space="0" w:color="auto"/>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2015</w:t>
            </w:r>
          </w:p>
        </w:tc>
        <w:tc>
          <w:tcPr>
            <w:tcW w:w="480" w:type="dxa"/>
            <w:tcBorders>
              <w:top w:val="single" w:sz="4" w:space="0" w:color="auto"/>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2016</w:t>
            </w:r>
          </w:p>
        </w:tc>
        <w:tc>
          <w:tcPr>
            <w:tcW w:w="480" w:type="dxa"/>
            <w:tcBorders>
              <w:top w:val="single" w:sz="4" w:space="0" w:color="auto"/>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2017</w:t>
            </w:r>
          </w:p>
        </w:tc>
      </w:tr>
      <w:tr>
        <w:trPr>
          <w:trHeight w:val="225"/>
        </w:trPr>
        <w:tc>
          <w:tcPr>
            <w:tcW w:w="7520" w:type="dxa"/>
            <w:gridSpan w:val="6"/>
            <w:tcBorders>
              <w:top w:val="nil"/>
              <w:left w:val="nil"/>
              <w:bottom w:val="nil"/>
              <w:right w:val="nil"/>
            </w:tcBorders>
            <w:shd w:val="clear" w:color="000000" w:fill="FFFFFF"/>
            <w:noWrap/>
            <w:vAlign w:val="center"/>
            <w:hideMark/>
          </w:tcPr>
          <w:p>
            <w:pPr>
              <w:jc w:val="center"/>
              <w:rPr>
                <w:rFonts w:ascii="Arial" w:eastAsia="Times New Roman" w:hAnsi="Arial" w:cs="Arial"/>
                <w:b/>
                <w:bCs/>
                <w:i/>
                <w:iCs/>
                <w:noProof/>
                <w:sz w:val="16"/>
                <w:szCs w:val="16"/>
                <w:lang w:val="en-IE" w:eastAsia="en-IE"/>
              </w:rPr>
            </w:pPr>
            <w:r>
              <w:rPr>
                <w:rFonts w:ascii="Arial" w:eastAsia="Times New Roman" w:hAnsi="Arial" w:cs="Arial"/>
                <w:b/>
                <w:bCs/>
                <w:i/>
                <w:iCs/>
                <w:noProof/>
                <w:sz w:val="16"/>
                <w:szCs w:val="16"/>
                <w:lang w:val="en-IE" w:eastAsia="en-IE"/>
              </w:rPr>
              <w:t>FDI Stocks</w:t>
            </w:r>
          </w:p>
        </w:tc>
      </w:tr>
      <w:tr>
        <w:trPr>
          <w:trHeight w:val="225"/>
        </w:trPr>
        <w:tc>
          <w:tcPr>
            <w:tcW w:w="512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Inward</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9</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10</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46</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9</w:t>
            </w:r>
          </w:p>
        </w:tc>
      </w:tr>
      <w:tr>
        <w:trPr>
          <w:trHeight w:val="225"/>
        </w:trPr>
        <w:tc>
          <w:tcPr>
            <w:tcW w:w="512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Outward</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199</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279</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916</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353</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457</w:t>
            </w:r>
          </w:p>
        </w:tc>
      </w:tr>
      <w:tr>
        <w:trPr>
          <w:trHeight w:val="225"/>
        </w:trPr>
        <w:tc>
          <w:tcPr>
            <w:tcW w:w="7520" w:type="dxa"/>
            <w:gridSpan w:val="6"/>
            <w:tcBorders>
              <w:top w:val="nil"/>
              <w:left w:val="nil"/>
              <w:bottom w:val="nil"/>
              <w:right w:val="nil"/>
            </w:tcBorders>
            <w:shd w:val="clear" w:color="000000" w:fill="FFFFFF"/>
            <w:noWrap/>
            <w:vAlign w:val="center"/>
            <w:hideMark/>
          </w:tcPr>
          <w:p>
            <w:pPr>
              <w:jc w:val="center"/>
              <w:rPr>
                <w:rFonts w:ascii="Arial" w:eastAsia="Times New Roman" w:hAnsi="Arial" w:cs="Arial"/>
                <w:b/>
                <w:bCs/>
                <w:i/>
                <w:iCs/>
                <w:noProof/>
                <w:sz w:val="16"/>
                <w:szCs w:val="16"/>
                <w:lang w:val="en-IE" w:eastAsia="en-IE"/>
              </w:rPr>
            </w:pPr>
            <w:r>
              <w:rPr>
                <w:rFonts w:ascii="Arial" w:eastAsia="Times New Roman" w:hAnsi="Arial" w:cs="Arial"/>
                <w:b/>
                <w:bCs/>
                <w:i/>
                <w:iCs/>
                <w:noProof/>
                <w:sz w:val="16"/>
                <w:szCs w:val="16"/>
                <w:lang w:val="en-IE" w:eastAsia="en-IE"/>
              </w:rPr>
              <w:t>FDI Flows</w:t>
            </w:r>
          </w:p>
        </w:tc>
      </w:tr>
      <w:tr>
        <w:trPr>
          <w:trHeight w:val="225"/>
        </w:trPr>
        <w:tc>
          <w:tcPr>
            <w:tcW w:w="512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Inward</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-4</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-44</w:t>
            </w:r>
          </w:p>
        </w:tc>
        <w:tc>
          <w:tcPr>
            <w:tcW w:w="480"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14</w:t>
            </w:r>
          </w:p>
        </w:tc>
      </w:tr>
      <w:tr>
        <w:trPr>
          <w:trHeight w:val="225"/>
        </w:trPr>
        <w:tc>
          <w:tcPr>
            <w:tcW w:w="512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Outward</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19</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37</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175</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18</w:t>
            </w:r>
          </w:p>
        </w:tc>
        <w:tc>
          <w:tcPr>
            <w:tcW w:w="480"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26</w:t>
            </w:r>
          </w:p>
        </w:tc>
      </w:tr>
      <w:tr>
        <w:trPr>
          <w:trHeight w:val="225"/>
        </w:trPr>
        <w:tc>
          <w:tcPr>
            <w:tcW w:w="5120" w:type="dxa"/>
            <w:tcBorders>
              <w:top w:val="single" w:sz="4" w:space="0" w:color="auto"/>
              <w:left w:val="nil"/>
              <w:bottom w:val="nil"/>
              <w:right w:val="nil"/>
            </w:tcBorders>
            <w:shd w:val="clear" w:color="000000" w:fill="FFFFFF"/>
            <w:noWrap/>
            <w:hideMark/>
          </w:tcPr>
          <w:p>
            <w:pPr>
              <w:rPr>
                <w:rFonts w:ascii="Arial" w:eastAsia="Times New Roman" w:hAnsi="Arial" w:cs="Arial"/>
                <w:noProof/>
                <w:sz w:val="12"/>
                <w:szCs w:val="12"/>
                <w:lang w:val="en-IE" w:eastAsia="en-IE"/>
              </w:rPr>
            </w:pPr>
            <w:r>
              <w:rPr>
                <w:rFonts w:ascii="Arial" w:eastAsia="Times New Roman" w:hAnsi="Arial" w:cs="Arial"/>
                <w:noProof/>
                <w:sz w:val="12"/>
                <w:szCs w:val="12"/>
                <w:lang w:val="en-IE" w:eastAsia="en-IE"/>
              </w:rPr>
              <w:t>Source Trade G2 Statistics/ISDB from Eurostat BOP statistics</w:t>
            </w:r>
          </w:p>
        </w:tc>
        <w:tc>
          <w:tcPr>
            <w:tcW w:w="480" w:type="dxa"/>
            <w:tcBorders>
              <w:top w:val="nil"/>
              <w:left w:val="nil"/>
              <w:bottom w:val="nil"/>
              <w:right w:val="nil"/>
            </w:tcBorders>
            <w:shd w:val="clear" w:color="000000" w:fill="FFFFFF"/>
            <w:noWrap/>
            <w:hideMark/>
          </w:tcPr>
          <w:p>
            <w:pPr>
              <w:rPr>
                <w:rFonts w:ascii="Arial" w:eastAsia="Times New Roman" w:hAnsi="Arial" w:cs="Arial"/>
                <w:noProof/>
                <w:sz w:val="12"/>
                <w:szCs w:val="12"/>
                <w:lang w:val="en-IE" w:eastAsia="en-IE"/>
              </w:rPr>
            </w:pPr>
            <w:r>
              <w:rPr>
                <w:rFonts w:ascii="Arial" w:eastAsia="Times New Roman" w:hAnsi="Arial" w:cs="Arial"/>
                <w:noProof/>
                <w:sz w:val="12"/>
                <w:szCs w:val="12"/>
                <w:lang w:val="en-IE" w:eastAsia="en-IE"/>
              </w:rPr>
              <w:t> </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80"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r>
    </w:tbl>
    <w:p>
      <w:pPr>
        <w:pStyle w:val="ChapterHead"/>
        <w:jc w:val="both"/>
        <w:rPr>
          <w:b/>
          <w:noProof/>
          <w:lang w:val="en-IE"/>
        </w:rPr>
      </w:pPr>
    </w:p>
    <w:p>
      <w:pPr>
        <w:pStyle w:val="ChapterHead"/>
        <w:jc w:val="both"/>
        <w:rPr>
          <w:b/>
          <w:noProof/>
        </w:rPr>
      </w:pPr>
      <w:r>
        <w:rPr>
          <w:b/>
          <w:noProof/>
        </w:rPr>
        <w:br w:type="page"/>
      </w:r>
    </w:p>
    <w:p>
      <w:pPr>
        <w:pStyle w:val="ChapterHead"/>
        <w:jc w:val="both"/>
        <w:rPr>
          <w:b/>
          <w:noProof/>
        </w:rPr>
      </w:pPr>
      <w:bookmarkStart w:id="4318" w:name="_Toc9608327"/>
      <w:bookmarkStart w:id="4319" w:name="_Toc16000882"/>
      <w:r>
        <w:rPr>
          <w:b/>
          <w:noProof/>
        </w:rPr>
        <w:t>ANNUAL INFO SHEET ON THE IMPLEMENTATION OF THE ECONOMIC PARTNERSHIP AGREEMENT (EPA) BETWEEN THE EU AND COTE D’IVOIRE</w:t>
      </w:r>
      <w:bookmarkEnd w:id="4254"/>
      <w:bookmarkEnd w:id="4255"/>
      <w:bookmarkEnd w:id="4256"/>
      <w:bookmarkEnd w:id="4257"/>
      <w:bookmarkEnd w:id="4258"/>
      <w:bookmarkEnd w:id="4259"/>
      <w:bookmarkEnd w:id="4260"/>
      <w:bookmarkEnd w:id="4261"/>
      <w:bookmarkEnd w:id="4262"/>
      <w:bookmarkEnd w:id="4263"/>
      <w:bookmarkEnd w:id="4318"/>
      <w:bookmarkEnd w:id="4319"/>
    </w:p>
    <w:p>
      <w:pPr>
        <w:pStyle w:val="ManualHeading1"/>
      </w:pPr>
      <w:bookmarkStart w:id="4320" w:name="_Toc8833819"/>
      <w:bookmarkStart w:id="4321" w:name="_Toc8835646"/>
      <w:bookmarkStart w:id="4322" w:name="_Toc8834277"/>
      <w:bookmarkStart w:id="4323" w:name="_Toc8909738"/>
      <w:bookmarkStart w:id="4324" w:name="_Toc8910950"/>
      <w:bookmarkStart w:id="4325" w:name="_Toc8911987"/>
      <w:bookmarkStart w:id="4326" w:name="_Toc8974808"/>
      <w:bookmarkStart w:id="4327" w:name="_Toc9008461"/>
      <w:bookmarkStart w:id="4328" w:name="_Toc9008864"/>
      <w:bookmarkStart w:id="4329" w:name="_Toc9348860"/>
      <w:bookmarkStart w:id="4330" w:name="_Toc9608328"/>
      <w:bookmarkStart w:id="4331" w:name="_Toc16000883"/>
      <w:r>
        <w:t>1.</w:t>
      </w:r>
      <w:r>
        <w:tab/>
        <w:t>Introduction</w:t>
      </w:r>
      <w:bookmarkEnd w:id="4320"/>
      <w:bookmarkEnd w:id="4321"/>
      <w:bookmarkEnd w:id="4322"/>
      <w:bookmarkEnd w:id="4323"/>
      <w:bookmarkEnd w:id="4324"/>
      <w:bookmarkEnd w:id="4325"/>
      <w:bookmarkEnd w:id="4326"/>
      <w:bookmarkEnd w:id="4327"/>
      <w:bookmarkEnd w:id="4328"/>
      <w:bookmarkEnd w:id="4329"/>
      <w:bookmarkEnd w:id="4330"/>
      <w:bookmarkEnd w:id="4331"/>
    </w:p>
    <w:p>
      <w:pPr>
        <w:jc w:val="both"/>
        <w:rPr>
          <w:noProof/>
        </w:rPr>
      </w:pPr>
      <w:r>
        <w:rPr>
          <w:noProof/>
        </w:rPr>
        <w:t>Pending an Economic Partnership Agreement (EPA) with the West African region, Côte d’Ivoire concluded a stepping stone or interim Economic Partnership Agreement with the EU in November 2008.</w:t>
      </w:r>
      <w:r>
        <w:rPr>
          <w:rStyle w:val="FootnoteReference"/>
          <w:noProof/>
        </w:rPr>
        <w:footnoteReference w:id="118"/>
      </w:r>
      <w:r>
        <w:rPr>
          <w:noProof/>
        </w:rPr>
        <w:t xml:space="preserve"> The stepping stone EPA with Côte d’Ivoire was signed on 26 November 2008, approved by the European Parliament on 25 March 2009 and ratified by the Ivorian Parliament on 12 August 2016. It entered into provisional application on 3 September 2016. The stepping stone or interim EPA (iEPA) will be substituted by the regional EU-West Africa EPA once the latter enters into force.</w:t>
      </w:r>
      <w:r>
        <w:rPr>
          <w:rStyle w:val="FootnoteReference"/>
          <w:noProof/>
        </w:rPr>
        <w:footnoteReference w:id="119"/>
      </w:r>
      <w:r>
        <w:rPr>
          <w:noProof/>
        </w:rPr>
        <w:t xml:space="preserve"> By the end of 2018, 14 out of 15 members of the Economic Community of Western African States (ECOWAS), as well as Mauritania, had signed the regional EPA which now misses only Nigeria’s signature.  </w:t>
      </w:r>
    </w:p>
    <w:p>
      <w:pPr>
        <w:jc w:val="both"/>
        <w:rPr>
          <w:noProof/>
        </w:rPr>
      </w:pPr>
    </w:p>
    <w:p>
      <w:pPr>
        <w:jc w:val="both"/>
        <w:rPr>
          <w:noProof/>
        </w:rPr>
      </w:pPr>
      <w:r>
        <w:rPr>
          <w:noProof/>
        </w:rPr>
        <w:t xml:space="preserve">Côte d'Ivoire has announced it will start to liberalize its market for a range of EU products. Agricultural products, including fruit and vegetables, are mostly excluded for liberalisation. </w:t>
      </w:r>
    </w:p>
    <w:p>
      <w:pPr>
        <w:pStyle w:val="ManualHeading1"/>
      </w:pPr>
      <w:bookmarkStart w:id="4332" w:name="_Toc8833820"/>
      <w:bookmarkStart w:id="4333" w:name="_Toc8835647"/>
      <w:bookmarkStart w:id="4334" w:name="_Toc8834278"/>
      <w:bookmarkStart w:id="4335" w:name="_Toc8909739"/>
      <w:bookmarkStart w:id="4336" w:name="_Toc8910951"/>
      <w:bookmarkStart w:id="4337" w:name="_Toc8911988"/>
      <w:bookmarkStart w:id="4338" w:name="_Toc8974809"/>
      <w:bookmarkStart w:id="4339" w:name="_Toc9008462"/>
      <w:bookmarkStart w:id="4340" w:name="_Toc9008865"/>
      <w:bookmarkStart w:id="4341" w:name="_Toc9348861"/>
      <w:bookmarkStart w:id="4342" w:name="_Toc9608329"/>
      <w:bookmarkStart w:id="4343" w:name="_Toc16000884"/>
      <w:r>
        <w:t>2.</w:t>
      </w:r>
      <w:r>
        <w:tab/>
        <w:t>Evolution of trade</w:t>
      </w:r>
      <w:bookmarkEnd w:id="4332"/>
      <w:bookmarkEnd w:id="4333"/>
      <w:bookmarkEnd w:id="4334"/>
      <w:bookmarkEnd w:id="4335"/>
      <w:bookmarkEnd w:id="4336"/>
      <w:bookmarkEnd w:id="4337"/>
      <w:bookmarkEnd w:id="4338"/>
      <w:bookmarkEnd w:id="4339"/>
      <w:bookmarkEnd w:id="4340"/>
      <w:bookmarkEnd w:id="4341"/>
      <w:bookmarkEnd w:id="4342"/>
      <w:bookmarkEnd w:id="4343"/>
    </w:p>
    <w:p>
      <w:pPr>
        <w:pStyle w:val="Heading2"/>
        <w:ind w:left="0" w:firstLine="0"/>
      </w:pPr>
      <w:bookmarkStart w:id="4344" w:name="_Toc8833821"/>
      <w:bookmarkStart w:id="4345" w:name="_Toc8835648"/>
      <w:bookmarkStart w:id="4346" w:name="_Toc8834279"/>
      <w:bookmarkStart w:id="4347" w:name="_Toc8909740"/>
      <w:bookmarkStart w:id="4348" w:name="_Toc8910952"/>
      <w:bookmarkStart w:id="4349" w:name="_Toc8911989"/>
      <w:bookmarkStart w:id="4350" w:name="_Toc8974810"/>
      <w:bookmarkStart w:id="4351" w:name="_Toc9008463"/>
      <w:bookmarkStart w:id="4352" w:name="_Toc9008866"/>
      <w:bookmarkStart w:id="4353" w:name="_Toc9348862"/>
      <w:bookmarkStart w:id="4354" w:name="_Toc9608330"/>
      <w:bookmarkStart w:id="4355" w:name="_Toc16000885"/>
      <w:r>
        <w:t>2.1 Trade in goods</w:t>
      </w:r>
      <w:bookmarkEnd w:id="4344"/>
      <w:bookmarkEnd w:id="4345"/>
      <w:bookmarkEnd w:id="4346"/>
      <w:bookmarkEnd w:id="4347"/>
      <w:bookmarkEnd w:id="4348"/>
      <w:bookmarkEnd w:id="4349"/>
      <w:bookmarkEnd w:id="4350"/>
      <w:bookmarkEnd w:id="4351"/>
      <w:bookmarkEnd w:id="4352"/>
      <w:bookmarkEnd w:id="4353"/>
      <w:bookmarkEnd w:id="4354"/>
      <w:bookmarkEnd w:id="4355"/>
    </w:p>
    <w:p>
      <w:pPr>
        <w:jc w:val="both"/>
        <w:rPr>
          <w:noProof/>
        </w:rPr>
      </w:pPr>
      <w:r>
        <w:rPr>
          <w:noProof/>
        </w:rPr>
        <w:t xml:space="preserve">The EU continues to be the most important trade partner for Côte d’Ivoire: in 2018, 37% of Ivorian exports went to the EU, 18% to the West African region, 9% to the US and 6% to Vietnam. While 18% regional exports is still a low amount, it is above the average of 10% in the ECOWAS region. Two thirds of these regional exports go Burkina Faso, Mali and Ghana. Regarding imports, the EU accounted for 41% of Ivorian imports from the world, followed by China (13%) and Nigeria (10%). Around 15% of Ivoirian imports come from the West African region, two thirds of it from Nigeria (mostly mineral fuels and other petrol-based products). </w:t>
      </w:r>
      <w:r>
        <w:rPr>
          <w:noProof/>
          <w:lang w:eastAsia="en-GB"/>
        </w:rPr>
        <w:t xml:space="preserve">Within the EU, the Netherlands, France and Germany are the main trading partners of </w:t>
      </w:r>
      <w:r>
        <w:rPr>
          <w:noProof/>
        </w:rPr>
        <w:t xml:space="preserve">Côte d’Ivoire. </w:t>
      </w:r>
    </w:p>
    <w:p>
      <w:pPr>
        <w:jc w:val="both"/>
        <w:rPr>
          <w:noProof/>
          <w:lang w:eastAsia="en-GB"/>
        </w:rPr>
      </w:pPr>
    </w:p>
    <w:p>
      <w:pPr>
        <w:jc w:val="both"/>
        <w:rPr>
          <w:noProof/>
        </w:rPr>
      </w:pPr>
      <w:r>
        <w:rPr>
          <w:b/>
          <w:noProof/>
          <w:lang w:eastAsia="en-GB"/>
        </w:rPr>
        <w:t xml:space="preserve">Total trade with </w:t>
      </w:r>
      <w:r>
        <w:rPr>
          <w:b/>
          <w:noProof/>
        </w:rPr>
        <w:t>Côte d’Ivoire</w:t>
      </w:r>
      <w:r>
        <w:rPr>
          <w:noProof/>
        </w:rPr>
        <w:t xml:space="preserve"> </w:t>
      </w:r>
      <w:r>
        <w:rPr>
          <w:noProof/>
          <w:lang w:eastAsia="en-GB"/>
        </w:rPr>
        <w:t xml:space="preserve">has decreased by </w:t>
      </w:r>
      <w:r>
        <w:rPr>
          <w:noProof/>
          <w:lang w:val="en-IE"/>
        </w:rPr>
        <w:t>€</w:t>
      </w:r>
      <w:r>
        <w:rPr>
          <w:noProof/>
          <w:lang w:eastAsia="en-GB"/>
        </w:rPr>
        <w:t xml:space="preserve">342 million or 4.6% in 2018. EU imports from </w:t>
      </w:r>
      <w:r>
        <w:rPr>
          <w:noProof/>
        </w:rPr>
        <w:t xml:space="preserve">Côte d’Ivoire decreased by </w:t>
      </w:r>
      <w:r>
        <w:rPr>
          <w:noProof/>
          <w:lang w:val="en-IE"/>
        </w:rPr>
        <w:t xml:space="preserve">€238 million (-5%) and EU exports to </w:t>
      </w:r>
      <w:r>
        <w:rPr>
          <w:noProof/>
        </w:rPr>
        <w:t xml:space="preserve">Côte d’Ivoire decreased by </w:t>
      </w:r>
      <w:r>
        <w:rPr>
          <w:noProof/>
          <w:lang w:val="en-IE"/>
        </w:rPr>
        <w:t>€</w:t>
      </w:r>
      <w:r>
        <w:rPr>
          <w:noProof/>
        </w:rPr>
        <w:t xml:space="preserve">105 million (-3.7%). The trade balance remains strongly in favour of Côte d’Ivoire (€1.7 billion), due to a large surplus in agrifood trade (€2.8 billion); however, Côte d’Ivoire runs a deficit for non-agricultural trade (-€1.1 billion). </w:t>
      </w:r>
    </w:p>
    <w:p>
      <w:pPr>
        <w:jc w:val="both"/>
        <w:rPr>
          <w:noProof/>
          <w:lang w:eastAsia="en-GB"/>
        </w:rPr>
      </w:pPr>
    </w:p>
    <w:p>
      <w:pPr>
        <w:jc w:val="both"/>
        <w:rPr>
          <w:noProof/>
          <w:lang w:eastAsia="en-GB"/>
        </w:rPr>
      </w:pPr>
      <w:r>
        <w:rPr>
          <w:noProof/>
          <w:lang w:eastAsia="en-GB"/>
        </w:rPr>
        <w:t>The decrease in</w:t>
      </w:r>
      <w:r>
        <w:rPr>
          <w:b/>
          <w:noProof/>
          <w:lang w:eastAsia="en-GB"/>
        </w:rPr>
        <w:t xml:space="preserve"> EU imports from </w:t>
      </w:r>
      <w:r>
        <w:rPr>
          <w:b/>
          <w:noProof/>
        </w:rPr>
        <w:t>Côte d’Ivoire</w:t>
      </w:r>
      <w:r>
        <w:rPr>
          <w:noProof/>
        </w:rPr>
        <w:t xml:space="preserve"> in 2018 can be attributed to a decrease in value of imports of raw and processed cocoa products by </w:t>
      </w:r>
      <w:r>
        <w:rPr>
          <w:noProof/>
          <w:lang w:val="en-IE"/>
        </w:rPr>
        <w:t xml:space="preserve">€175 million or 5.6%, as well as a decrease in imports of rubber products by €79 million or 20%. </w:t>
      </w:r>
      <w:r>
        <w:rPr>
          <w:noProof/>
          <w:lang w:eastAsia="en-GB"/>
        </w:rPr>
        <w:t xml:space="preserve">EU imports of all main Ivorian export products have decreased in 2018, except for imports of mineral fuels (+ 7%) and coffee (+ 0.7%) which have slightly increased. The decrease in cocoa and rubber exports was caused by a drop in global market prices. The transmission of these external shocks to domestic prices has been significant due to inadequate institutional mechanisms to deal with such price fluctuations for its major commodities (e.g. in comparison to Ghana, where the value of both raw and processed cocoa exports increased in 2018). </w:t>
      </w:r>
    </w:p>
    <w:p>
      <w:pPr>
        <w:jc w:val="both"/>
        <w:rPr>
          <w:noProof/>
          <w:lang w:val="en-IE"/>
        </w:rPr>
      </w:pPr>
    </w:p>
    <w:p>
      <w:pPr>
        <w:jc w:val="both"/>
        <w:rPr>
          <w:noProof/>
        </w:rPr>
      </w:pPr>
      <w:r>
        <w:rPr>
          <w:noProof/>
          <w:lang w:val="en-IE"/>
        </w:rPr>
        <w:t xml:space="preserve">Nevertheless, cocoa and transformed cocoa products remain </w:t>
      </w:r>
      <w:r>
        <w:rPr>
          <w:noProof/>
        </w:rPr>
        <w:t xml:space="preserve">Côte d’Ivoire’s main export products, accounting for 64% of total EU imports from Côte d’Ivoire in 2018. Ivorian exports of cocoa paste, butter and powder, as well as chocolate, have continuously increased in recent years and, being less sensitive to price fluctuations, are supporting the creation of a local agro-industry. Other imports from Côte d’Ivoire are mineral fuels, rubber and articles thereof, edible fruits and nuts (primarily bananas) and prepared fish products (mainly canned tuna). </w:t>
      </w:r>
    </w:p>
    <w:p>
      <w:pPr>
        <w:jc w:val="both"/>
        <w:rPr>
          <w:noProof/>
          <w:lang w:eastAsia="en-GB"/>
        </w:rPr>
      </w:pPr>
    </w:p>
    <w:p>
      <w:pPr>
        <w:jc w:val="both"/>
        <w:rPr>
          <w:noProof/>
        </w:rPr>
      </w:pPr>
      <w:r>
        <w:rPr>
          <w:b/>
          <w:noProof/>
        </w:rPr>
        <w:t>Preference utilisation rates</w:t>
      </w:r>
      <w:r>
        <w:rPr>
          <w:noProof/>
        </w:rPr>
        <w:t xml:space="preserve"> for Côte d’Ivoire are continuously in the 98-99% range. Preferences are used in particular for cocoa and cocoa products, vegetables, prepared foodstuffs and wood products. </w:t>
      </w:r>
    </w:p>
    <w:p>
      <w:pPr>
        <w:jc w:val="both"/>
        <w:rPr>
          <w:noProof/>
        </w:rPr>
      </w:pPr>
    </w:p>
    <w:p>
      <w:pPr>
        <w:jc w:val="both"/>
        <w:rPr>
          <w:noProof/>
          <w:lang w:eastAsia="en-GB"/>
        </w:rPr>
      </w:pPr>
      <w:r>
        <w:rPr>
          <w:noProof/>
        </w:rPr>
        <w:t xml:space="preserve">EU imports from Côte d’Ivoire are still </w:t>
      </w:r>
      <w:r>
        <w:rPr>
          <w:b/>
          <w:noProof/>
        </w:rPr>
        <w:t>little diversified</w:t>
      </w:r>
      <w:r>
        <w:rPr>
          <w:noProof/>
        </w:rPr>
        <w:t xml:space="preserve">. The total number of product lines a value of imports of at least </w:t>
      </w:r>
      <w:r>
        <w:rPr>
          <w:noProof/>
          <w:lang w:val="en-IE"/>
        </w:rPr>
        <w:t xml:space="preserve">€1 million was 46 in 2018, basically the same as in 2014 (49 product lines). The share of the top 10 products in total EU imports from </w:t>
      </w:r>
      <w:r>
        <w:rPr>
          <w:noProof/>
        </w:rPr>
        <w:t xml:space="preserve">Côte d’Ivoire is 91% in 2018. </w:t>
      </w:r>
    </w:p>
    <w:p>
      <w:pPr>
        <w:jc w:val="both"/>
        <w:rPr>
          <w:noProof/>
        </w:rPr>
      </w:pPr>
    </w:p>
    <w:tbl>
      <w:tblPr>
        <w:tblStyle w:val="TableGrid"/>
        <w:tblW w:w="9735" w:type="dxa"/>
        <w:tblLook w:val="04A0" w:firstRow="1" w:lastRow="0" w:firstColumn="1" w:lastColumn="0" w:noHBand="0" w:noVBand="1"/>
      </w:tblPr>
      <w:tblGrid>
        <w:gridCol w:w="860"/>
        <w:gridCol w:w="1913"/>
        <w:gridCol w:w="1277"/>
        <w:gridCol w:w="842"/>
        <w:gridCol w:w="784"/>
        <w:gridCol w:w="2232"/>
        <w:gridCol w:w="1133"/>
        <w:gridCol w:w="694"/>
      </w:tblGrid>
      <w:tr>
        <w:trPr>
          <w:trHeight w:val="206"/>
        </w:trPr>
        <w:tc>
          <w:tcPr>
            <w:tcW w:w="4928" w:type="dxa"/>
            <w:gridSpan w:val="4"/>
            <w:tcBorders>
              <w:top w:val="nil"/>
              <w:left w:val="nil"/>
              <w:bottom w:val="double" w:sz="4" w:space="0" w:color="auto"/>
              <w:right w:val="nil"/>
            </w:tcBorders>
          </w:tcPr>
          <w:p>
            <w:pPr>
              <w:rPr>
                <w:b/>
                <w:noProof/>
                <w:sz w:val="18"/>
                <w:szCs w:val="18"/>
              </w:rPr>
            </w:pPr>
            <w:r>
              <w:rPr>
                <w:b/>
                <w:noProof/>
                <w:sz w:val="18"/>
                <w:szCs w:val="18"/>
              </w:rPr>
              <w:t>2018 top 10 EU imports from Côte d’Ivoire</w:t>
            </w:r>
          </w:p>
        </w:tc>
        <w:tc>
          <w:tcPr>
            <w:tcW w:w="4807" w:type="dxa"/>
            <w:gridSpan w:val="4"/>
            <w:tcBorders>
              <w:top w:val="nil"/>
              <w:left w:val="nil"/>
              <w:bottom w:val="double" w:sz="4" w:space="0" w:color="auto"/>
              <w:right w:val="nil"/>
            </w:tcBorders>
          </w:tcPr>
          <w:p>
            <w:pPr>
              <w:rPr>
                <w:b/>
                <w:noProof/>
                <w:sz w:val="18"/>
                <w:szCs w:val="18"/>
              </w:rPr>
            </w:pPr>
            <w:r>
              <w:rPr>
                <w:b/>
                <w:noProof/>
                <w:sz w:val="18"/>
                <w:szCs w:val="18"/>
              </w:rPr>
              <w:t>2018 top 10 EU exports to Côte d’Ivoire</w:t>
            </w:r>
          </w:p>
        </w:tc>
      </w:tr>
      <w:tr>
        <w:trPr>
          <w:trHeight w:val="182"/>
        </w:trPr>
        <w:tc>
          <w:tcPr>
            <w:tcW w:w="863" w:type="dxa"/>
            <w:tcBorders>
              <w:top w:val="double" w:sz="4" w:space="0" w:color="auto"/>
            </w:tcBorders>
          </w:tcPr>
          <w:p>
            <w:pPr>
              <w:rPr>
                <w:i/>
                <w:noProof/>
                <w:sz w:val="18"/>
                <w:szCs w:val="18"/>
              </w:rPr>
            </w:pPr>
            <w:r>
              <w:rPr>
                <w:i/>
                <w:noProof/>
                <w:sz w:val="18"/>
                <w:szCs w:val="18"/>
              </w:rPr>
              <w:t>Product</w:t>
            </w:r>
          </w:p>
        </w:tc>
        <w:tc>
          <w:tcPr>
            <w:tcW w:w="1939" w:type="dxa"/>
            <w:tcBorders>
              <w:top w:val="double" w:sz="4" w:space="0" w:color="auto"/>
            </w:tcBorders>
          </w:tcPr>
          <w:p>
            <w:pPr>
              <w:rPr>
                <w:i/>
                <w:noProof/>
                <w:sz w:val="18"/>
                <w:szCs w:val="18"/>
              </w:rPr>
            </w:pPr>
            <w:r>
              <w:rPr>
                <w:i/>
                <w:noProof/>
                <w:sz w:val="18"/>
                <w:szCs w:val="18"/>
              </w:rPr>
              <w:t>Description</w:t>
            </w:r>
          </w:p>
        </w:tc>
        <w:tc>
          <w:tcPr>
            <w:tcW w:w="1277" w:type="dxa"/>
            <w:tcBorders>
              <w:top w:val="double" w:sz="4" w:space="0" w:color="auto"/>
            </w:tcBorders>
          </w:tcPr>
          <w:p>
            <w:pPr>
              <w:rPr>
                <w:i/>
                <w:noProof/>
                <w:sz w:val="18"/>
                <w:szCs w:val="18"/>
              </w:rPr>
            </w:pPr>
            <w:r>
              <w:rPr>
                <w:i/>
                <w:noProof/>
                <w:sz w:val="18"/>
                <w:szCs w:val="18"/>
              </w:rPr>
              <w:t>Volume</w:t>
            </w:r>
          </w:p>
        </w:tc>
        <w:tc>
          <w:tcPr>
            <w:tcW w:w="849" w:type="dxa"/>
            <w:tcBorders>
              <w:top w:val="double" w:sz="4" w:space="0" w:color="auto"/>
              <w:right w:val="double" w:sz="4" w:space="0" w:color="auto"/>
            </w:tcBorders>
          </w:tcPr>
          <w:p>
            <w:pPr>
              <w:rPr>
                <w:i/>
                <w:noProof/>
                <w:sz w:val="18"/>
                <w:szCs w:val="18"/>
              </w:rPr>
            </w:pPr>
            <w:r>
              <w:rPr>
                <w:i/>
                <w:noProof/>
                <w:sz w:val="18"/>
                <w:szCs w:val="18"/>
              </w:rPr>
              <w:t>Share</w:t>
            </w:r>
          </w:p>
        </w:tc>
        <w:tc>
          <w:tcPr>
            <w:tcW w:w="709" w:type="dxa"/>
            <w:tcBorders>
              <w:top w:val="double" w:sz="4" w:space="0" w:color="auto"/>
              <w:left w:val="double" w:sz="4" w:space="0" w:color="auto"/>
            </w:tcBorders>
          </w:tcPr>
          <w:p>
            <w:pPr>
              <w:rPr>
                <w:i/>
                <w:noProof/>
                <w:sz w:val="18"/>
                <w:szCs w:val="18"/>
              </w:rPr>
            </w:pPr>
            <w:r>
              <w:rPr>
                <w:i/>
                <w:noProof/>
                <w:sz w:val="18"/>
                <w:szCs w:val="18"/>
              </w:rPr>
              <w:t>Product</w:t>
            </w:r>
          </w:p>
        </w:tc>
        <w:tc>
          <w:tcPr>
            <w:tcW w:w="2268" w:type="dxa"/>
            <w:tcBorders>
              <w:top w:val="double" w:sz="4" w:space="0" w:color="auto"/>
            </w:tcBorders>
          </w:tcPr>
          <w:p>
            <w:pPr>
              <w:rPr>
                <w:i/>
                <w:noProof/>
                <w:sz w:val="18"/>
                <w:szCs w:val="18"/>
              </w:rPr>
            </w:pPr>
            <w:r>
              <w:rPr>
                <w:i/>
                <w:noProof/>
                <w:sz w:val="18"/>
                <w:szCs w:val="18"/>
              </w:rPr>
              <w:t>Description</w:t>
            </w:r>
          </w:p>
        </w:tc>
        <w:tc>
          <w:tcPr>
            <w:tcW w:w="1134" w:type="dxa"/>
            <w:tcBorders>
              <w:top w:val="double" w:sz="4" w:space="0" w:color="auto"/>
            </w:tcBorders>
          </w:tcPr>
          <w:p>
            <w:pPr>
              <w:rPr>
                <w:i/>
                <w:noProof/>
                <w:sz w:val="18"/>
                <w:szCs w:val="18"/>
              </w:rPr>
            </w:pPr>
            <w:r>
              <w:rPr>
                <w:i/>
                <w:noProof/>
                <w:sz w:val="18"/>
                <w:szCs w:val="18"/>
              </w:rPr>
              <w:t>Volume</w:t>
            </w:r>
          </w:p>
        </w:tc>
        <w:tc>
          <w:tcPr>
            <w:tcW w:w="696" w:type="dxa"/>
            <w:tcBorders>
              <w:top w:val="double" w:sz="4" w:space="0" w:color="auto"/>
            </w:tcBorders>
          </w:tcPr>
          <w:p>
            <w:pPr>
              <w:rPr>
                <w:i/>
                <w:noProof/>
                <w:sz w:val="18"/>
                <w:szCs w:val="18"/>
              </w:rPr>
            </w:pPr>
            <w:r>
              <w:rPr>
                <w:i/>
                <w:noProof/>
                <w:sz w:val="18"/>
                <w:szCs w:val="18"/>
              </w:rPr>
              <w:t>Share</w:t>
            </w:r>
          </w:p>
        </w:tc>
      </w:tr>
      <w:tr>
        <w:trPr>
          <w:trHeight w:val="182"/>
        </w:trPr>
        <w:tc>
          <w:tcPr>
            <w:tcW w:w="863" w:type="dxa"/>
          </w:tcPr>
          <w:p>
            <w:pPr>
              <w:rPr>
                <w:noProof/>
                <w:sz w:val="18"/>
                <w:szCs w:val="18"/>
              </w:rPr>
            </w:pPr>
            <w:r>
              <w:rPr>
                <w:noProof/>
                <w:sz w:val="18"/>
                <w:szCs w:val="18"/>
              </w:rPr>
              <w:t>180100</w:t>
            </w:r>
          </w:p>
        </w:tc>
        <w:tc>
          <w:tcPr>
            <w:tcW w:w="1939" w:type="dxa"/>
          </w:tcPr>
          <w:p>
            <w:pPr>
              <w:rPr>
                <w:noProof/>
                <w:sz w:val="18"/>
                <w:szCs w:val="18"/>
              </w:rPr>
            </w:pPr>
            <w:r>
              <w:rPr>
                <w:noProof/>
                <w:sz w:val="18"/>
                <w:szCs w:val="18"/>
              </w:rPr>
              <w:t>Cocoa beans, whole or broken, raw or roasted</w:t>
            </w:r>
          </w:p>
        </w:tc>
        <w:tc>
          <w:tcPr>
            <w:tcW w:w="1277" w:type="dxa"/>
          </w:tcPr>
          <w:p>
            <w:pPr>
              <w:rPr>
                <w:noProof/>
                <w:sz w:val="18"/>
                <w:szCs w:val="18"/>
              </w:rPr>
            </w:pPr>
            <w:r>
              <w:rPr>
                <w:noProof/>
                <w:sz w:val="18"/>
                <w:szCs w:val="18"/>
              </w:rPr>
              <w:t>2,031,132,131</w:t>
            </w:r>
          </w:p>
        </w:tc>
        <w:tc>
          <w:tcPr>
            <w:tcW w:w="849" w:type="dxa"/>
            <w:tcBorders>
              <w:right w:val="double" w:sz="4" w:space="0" w:color="auto"/>
            </w:tcBorders>
          </w:tcPr>
          <w:p>
            <w:pPr>
              <w:rPr>
                <w:noProof/>
                <w:sz w:val="18"/>
                <w:szCs w:val="18"/>
              </w:rPr>
            </w:pPr>
            <w:r>
              <w:rPr>
                <w:noProof/>
                <w:sz w:val="18"/>
                <w:szCs w:val="18"/>
              </w:rPr>
              <w:t>46.1 %</w:t>
            </w:r>
          </w:p>
        </w:tc>
        <w:tc>
          <w:tcPr>
            <w:tcW w:w="709" w:type="dxa"/>
            <w:tcBorders>
              <w:left w:val="double" w:sz="4" w:space="0" w:color="auto"/>
            </w:tcBorders>
          </w:tcPr>
          <w:p>
            <w:pPr>
              <w:rPr>
                <w:noProof/>
                <w:sz w:val="18"/>
                <w:szCs w:val="18"/>
              </w:rPr>
            </w:pPr>
            <w:r>
              <w:rPr>
                <w:rStyle w:val="Bodytext29pt"/>
                <w:rFonts w:ascii="Times New Roman" w:hAnsi="Times New Roman" w:cs="Times New Roman"/>
                <w:noProof/>
              </w:rPr>
              <w:t>300490</w:t>
            </w:r>
          </w:p>
        </w:tc>
        <w:tc>
          <w:tcPr>
            <w:tcW w:w="2268" w:type="dxa"/>
          </w:tcPr>
          <w:p>
            <w:pPr>
              <w:rPr>
                <w:noProof/>
                <w:sz w:val="18"/>
                <w:szCs w:val="18"/>
              </w:rPr>
            </w:pPr>
            <w:r>
              <w:rPr>
                <w:rStyle w:val="Bodytext29pt"/>
                <w:rFonts w:ascii="Times New Roman" w:hAnsi="Times New Roman" w:cs="Times New Roman"/>
                <w:noProof/>
              </w:rPr>
              <w:t>Medicaments for therapeutic or prophylactic purposes (…)</w:t>
            </w:r>
          </w:p>
        </w:tc>
        <w:tc>
          <w:tcPr>
            <w:tcW w:w="1134" w:type="dxa"/>
          </w:tcPr>
          <w:p>
            <w:pPr>
              <w:rPr>
                <w:noProof/>
                <w:sz w:val="18"/>
                <w:szCs w:val="18"/>
              </w:rPr>
            </w:pPr>
            <w:r>
              <w:rPr>
                <w:rStyle w:val="Bodytext29pt"/>
                <w:rFonts w:ascii="Times New Roman" w:hAnsi="Times New Roman" w:cs="Times New Roman"/>
                <w:noProof/>
              </w:rPr>
              <w:t>115,742,480</w:t>
            </w:r>
          </w:p>
        </w:tc>
        <w:tc>
          <w:tcPr>
            <w:tcW w:w="696" w:type="dxa"/>
          </w:tcPr>
          <w:p>
            <w:pPr>
              <w:rPr>
                <w:noProof/>
                <w:sz w:val="18"/>
                <w:szCs w:val="18"/>
              </w:rPr>
            </w:pPr>
            <w:r>
              <w:rPr>
                <w:rStyle w:val="Bodytext29pt"/>
                <w:rFonts w:ascii="Times New Roman" w:hAnsi="Times New Roman" w:cs="Times New Roman"/>
                <w:noProof/>
              </w:rPr>
              <w:t>4.2 %</w:t>
            </w:r>
          </w:p>
        </w:tc>
      </w:tr>
      <w:tr>
        <w:trPr>
          <w:trHeight w:val="376"/>
        </w:trPr>
        <w:tc>
          <w:tcPr>
            <w:tcW w:w="863" w:type="dxa"/>
          </w:tcPr>
          <w:p>
            <w:pPr>
              <w:rPr>
                <w:noProof/>
                <w:sz w:val="18"/>
                <w:szCs w:val="18"/>
              </w:rPr>
            </w:pPr>
            <w:r>
              <w:rPr>
                <w:noProof/>
                <w:sz w:val="18"/>
                <w:szCs w:val="18"/>
              </w:rPr>
              <w:t>270900</w:t>
            </w:r>
          </w:p>
        </w:tc>
        <w:tc>
          <w:tcPr>
            <w:tcW w:w="1939" w:type="dxa"/>
          </w:tcPr>
          <w:p>
            <w:pPr>
              <w:rPr>
                <w:noProof/>
                <w:sz w:val="18"/>
                <w:szCs w:val="18"/>
              </w:rPr>
            </w:pPr>
            <w:r>
              <w:rPr>
                <w:noProof/>
                <w:sz w:val="18"/>
                <w:szCs w:val="18"/>
              </w:rPr>
              <w:t xml:space="preserve">Petroleum oils </w:t>
            </w:r>
          </w:p>
        </w:tc>
        <w:tc>
          <w:tcPr>
            <w:tcW w:w="1277" w:type="dxa"/>
          </w:tcPr>
          <w:p>
            <w:pPr>
              <w:rPr>
                <w:noProof/>
                <w:sz w:val="18"/>
                <w:szCs w:val="18"/>
              </w:rPr>
            </w:pPr>
            <w:r>
              <w:rPr>
                <w:noProof/>
                <w:sz w:val="18"/>
                <w:szCs w:val="18"/>
              </w:rPr>
              <w:t>439,047,913</w:t>
            </w:r>
          </w:p>
        </w:tc>
        <w:tc>
          <w:tcPr>
            <w:tcW w:w="849" w:type="dxa"/>
            <w:tcBorders>
              <w:right w:val="double" w:sz="4" w:space="0" w:color="auto"/>
            </w:tcBorders>
          </w:tcPr>
          <w:p>
            <w:pPr>
              <w:rPr>
                <w:noProof/>
                <w:sz w:val="18"/>
                <w:szCs w:val="18"/>
              </w:rPr>
            </w:pPr>
            <w:r>
              <w:rPr>
                <w:noProof/>
                <w:sz w:val="18"/>
                <w:szCs w:val="18"/>
              </w:rPr>
              <w:t>10 %</w:t>
            </w:r>
          </w:p>
        </w:tc>
        <w:tc>
          <w:tcPr>
            <w:tcW w:w="709" w:type="dxa"/>
            <w:tcBorders>
              <w:left w:val="double" w:sz="4" w:space="0" w:color="auto"/>
            </w:tcBorders>
          </w:tcPr>
          <w:p>
            <w:pPr>
              <w:rPr>
                <w:noProof/>
                <w:sz w:val="18"/>
                <w:szCs w:val="18"/>
              </w:rPr>
            </w:pPr>
            <w:r>
              <w:rPr>
                <w:rStyle w:val="Bodytext29pt"/>
                <w:rFonts w:ascii="Times New Roman" w:hAnsi="Times New Roman" w:cs="Times New Roman"/>
                <w:noProof/>
              </w:rPr>
              <w:t>271019</w:t>
            </w:r>
          </w:p>
        </w:tc>
        <w:tc>
          <w:tcPr>
            <w:tcW w:w="2268" w:type="dxa"/>
          </w:tcPr>
          <w:p>
            <w:pPr>
              <w:rPr>
                <w:noProof/>
                <w:sz w:val="18"/>
                <w:szCs w:val="18"/>
              </w:rPr>
            </w:pPr>
            <w:r>
              <w:rPr>
                <w:rStyle w:val="Bodytext29pt"/>
                <w:rFonts w:ascii="Times New Roman" w:hAnsi="Times New Roman" w:cs="Times New Roman"/>
                <w:noProof/>
              </w:rPr>
              <w:t>Medium oils, of petroleum (…)</w:t>
            </w:r>
          </w:p>
        </w:tc>
        <w:tc>
          <w:tcPr>
            <w:tcW w:w="1134" w:type="dxa"/>
          </w:tcPr>
          <w:p>
            <w:pPr>
              <w:rPr>
                <w:noProof/>
                <w:sz w:val="18"/>
                <w:szCs w:val="18"/>
              </w:rPr>
            </w:pPr>
            <w:r>
              <w:rPr>
                <w:rStyle w:val="Bodytext29pt"/>
                <w:rFonts w:ascii="Times New Roman" w:hAnsi="Times New Roman" w:cs="Times New Roman"/>
                <w:noProof/>
              </w:rPr>
              <w:t>81,087,801</w:t>
            </w:r>
          </w:p>
        </w:tc>
        <w:tc>
          <w:tcPr>
            <w:tcW w:w="696" w:type="dxa"/>
          </w:tcPr>
          <w:p>
            <w:pPr>
              <w:rPr>
                <w:noProof/>
                <w:sz w:val="18"/>
                <w:szCs w:val="18"/>
              </w:rPr>
            </w:pPr>
            <w:r>
              <w:rPr>
                <w:rStyle w:val="Bodytext29pt"/>
                <w:rFonts w:ascii="Times New Roman" w:hAnsi="Times New Roman" w:cs="Times New Roman"/>
                <w:noProof/>
              </w:rPr>
              <w:t>3 %</w:t>
            </w:r>
          </w:p>
        </w:tc>
      </w:tr>
      <w:tr>
        <w:trPr>
          <w:trHeight w:val="365"/>
        </w:trPr>
        <w:tc>
          <w:tcPr>
            <w:tcW w:w="863" w:type="dxa"/>
          </w:tcPr>
          <w:p>
            <w:pPr>
              <w:rPr>
                <w:noProof/>
                <w:sz w:val="18"/>
                <w:szCs w:val="18"/>
              </w:rPr>
            </w:pPr>
            <w:r>
              <w:rPr>
                <w:noProof/>
                <w:sz w:val="18"/>
                <w:szCs w:val="18"/>
              </w:rPr>
              <w:t>180400</w:t>
            </w:r>
          </w:p>
        </w:tc>
        <w:tc>
          <w:tcPr>
            <w:tcW w:w="1939" w:type="dxa"/>
          </w:tcPr>
          <w:p>
            <w:pPr>
              <w:rPr>
                <w:noProof/>
                <w:sz w:val="18"/>
                <w:szCs w:val="18"/>
              </w:rPr>
            </w:pPr>
            <w:r>
              <w:rPr>
                <w:noProof/>
                <w:sz w:val="18"/>
                <w:szCs w:val="18"/>
              </w:rPr>
              <w:t>Cocoa butter, fat and oil</w:t>
            </w:r>
          </w:p>
        </w:tc>
        <w:tc>
          <w:tcPr>
            <w:tcW w:w="1277" w:type="dxa"/>
          </w:tcPr>
          <w:p>
            <w:pPr>
              <w:rPr>
                <w:noProof/>
                <w:sz w:val="18"/>
                <w:szCs w:val="18"/>
              </w:rPr>
            </w:pPr>
            <w:r>
              <w:rPr>
                <w:noProof/>
                <w:sz w:val="18"/>
                <w:szCs w:val="18"/>
              </w:rPr>
              <w:t>359,104,444</w:t>
            </w:r>
          </w:p>
        </w:tc>
        <w:tc>
          <w:tcPr>
            <w:tcW w:w="849" w:type="dxa"/>
            <w:tcBorders>
              <w:right w:val="double" w:sz="4" w:space="0" w:color="auto"/>
            </w:tcBorders>
          </w:tcPr>
          <w:p>
            <w:pPr>
              <w:rPr>
                <w:noProof/>
                <w:sz w:val="18"/>
                <w:szCs w:val="18"/>
              </w:rPr>
            </w:pPr>
            <w:r>
              <w:rPr>
                <w:noProof/>
                <w:sz w:val="18"/>
                <w:szCs w:val="18"/>
              </w:rPr>
              <w:t>8.2 %</w:t>
            </w:r>
          </w:p>
        </w:tc>
        <w:tc>
          <w:tcPr>
            <w:tcW w:w="709" w:type="dxa"/>
            <w:tcBorders>
              <w:left w:val="double" w:sz="4" w:space="0" w:color="auto"/>
            </w:tcBorders>
          </w:tcPr>
          <w:p>
            <w:pPr>
              <w:rPr>
                <w:noProof/>
                <w:sz w:val="18"/>
                <w:szCs w:val="18"/>
              </w:rPr>
            </w:pPr>
            <w:r>
              <w:rPr>
                <w:rStyle w:val="Bodytext29pt"/>
                <w:rFonts w:ascii="Times New Roman" w:hAnsi="Times New Roman" w:cs="Times New Roman"/>
                <w:noProof/>
              </w:rPr>
              <w:t>240120</w:t>
            </w:r>
          </w:p>
        </w:tc>
        <w:tc>
          <w:tcPr>
            <w:tcW w:w="2268" w:type="dxa"/>
          </w:tcPr>
          <w:p>
            <w:pPr>
              <w:rPr>
                <w:noProof/>
                <w:sz w:val="18"/>
                <w:szCs w:val="18"/>
              </w:rPr>
            </w:pPr>
            <w:r>
              <w:rPr>
                <w:rStyle w:val="Bodytext29pt"/>
                <w:rFonts w:ascii="Times New Roman" w:hAnsi="Times New Roman" w:cs="Times New Roman"/>
                <w:noProof/>
              </w:rPr>
              <w:t>Tobacco</w:t>
            </w:r>
          </w:p>
        </w:tc>
        <w:tc>
          <w:tcPr>
            <w:tcW w:w="1134" w:type="dxa"/>
          </w:tcPr>
          <w:p>
            <w:pPr>
              <w:rPr>
                <w:noProof/>
                <w:sz w:val="18"/>
                <w:szCs w:val="18"/>
              </w:rPr>
            </w:pPr>
            <w:r>
              <w:rPr>
                <w:rStyle w:val="Bodytext29pt"/>
                <w:rFonts w:ascii="Times New Roman" w:hAnsi="Times New Roman" w:cs="Times New Roman"/>
                <w:noProof/>
              </w:rPr>
              <w:t>79,088,806</w:t>
            </w:r>
          </w:p>
        </w:tc>
        <w:tc>
          <w:tcPr>
            <w:tcW w:w="696" w:type="dxa"/>
          </w:tcPr>
          <w:p>
            <w:pPr>
              <w:rPr>
                <w:noProof/>
                <w:sz w:val="18"/>
                <w:szCs w:val="18"/>
              </w:rPr>
            </w:pPr>
            <w:r>
              <w:rPr>
                <w:rStyle w:val="Bodytext29pt"/>
                <w:rFonts w:ascii="Times New Roman" w:hAnsi="Times New Roman" w:cs="Times New Roman"/>
                <w:noProof/>
              </w:rPr>
              <w:t>2.9 %</w:t>
            </w:r>
          </w:p>
        </w:tc>
      </w:tr>
      <w:tr>
        <w:trPr>
          <w:trHeight w:val="365"/>
        </w:trPr>
        <w:tc>
          <w:tcPr>
            <w:tcW w:w="863" w:type="dxa"/>
          </w:tcPr>
          <w:p>
            <w:pPr>
              <w:rPr>
                <w:noProof/>
                <w:sz w:val="18"/>
                <w:szCs w:val="18"/>
              </w:rPr>
            </w:pPr>
            <w:r>
              <w:rPr>
                <w:noProof/>
                <w:sz w:val="18"/>
                <w:szCs w:val="18"/>
              </w:rPr>
              <w:t>180310</w:t>
            </w:r>
          </w:p>
        </w:tc>
        <w:tc>
          <w:tcPr>
            <w:tcW w:w="1939" w:type="dxa"/>
          </w:tcPr>
          <w:p>
            <w:pPr>
              <w:rPr>
                <w:noProof/>
                <w:sz w:val="18"/>
                <w:szCs w:val="18"/>
              </w:rPr>
            </w:pPr>
            <w:r>
              <w:rPr>
                <w:noProof/>
                <w:sz w:val="18"/>
                <w:szCs w:val="18"/>
              </w:rPr>
              <w:t>Cocoa paste (excl. defatted)</w:t>
            </w:r>
          </w:p>
        </w:tc>
        <w:tc>
          <w:tcPr>
            <w:tcW w:w="1277" w:type="dxa"/>
          </w:tcPr>
          <w:p>
            <w:pPr>
              <w:rPr>
                <w:noProof/>
                <w:sz w:val="18"/>
                <w:szCs w:val="18"/>
              </w:rPr>
            </w:pPr>
            <w:r>
              <w:rPr>
                <w:noProof/>
                <w:sz w:val="18"/>
                <w:szCs w:val="18"/>
              </w:rPr>
              <w:t>342,331,572</w:t>
            </w:r>
          </w:p>
        </w:tc>
        <w:tc>
          <w:tcPr>
            <w:tcW w:w="849" w:type="dxa"/>
            <w:tcBorders>
              <w:right w:val="double" w:sz="4" w:space="0" w:color="auto"/>
            </w:tcBorders>
          </w:tcPr>
          <w:p>
            <w:pPr>
              <w:rPr>
                <w:noProof/>
                <w:sz w:val="18"/>
                <w:szCs w:val="18"/>
              </w:rPr>
            </w:pPr>
            <w:r>
              <w:rPr>
                <w:noProof/>
                <w:sz w:val="18"/>
                <w:szCs w:val="18"/>
              </w:rPr>
              <w:t>7.8 %</w:t>
            </w:r>
          </w:p>
        </w:tc>
        <w:tc>
          <w:tcPr>
            <w:tcW w:w="709" w:type="dxa"/>
            <w:tcBorders>
              <w:left w:val="double" w:sz="4" w:space="0" w:color="auto"/>
            </w:tcBorders>
          </w:tcPr>
          <w:p>
            <w:pPr>
              <w:rPr>
                <w:noProof/>
                <w:sz w:val="18"/>
                <w:szCs w:val="18"/>
              </w:rPr>
            </w:pPr>
            <w:r>
              <w:rPr>
                <w:rStyle w:val="Bodytext29pt"/>
                <w:rFonts w:ascii="Times New Roman" w:hAnsi="Times New Roman" w:cs="Times New Roman"/>
                <w:noProof/>
              </w:rPr>
              <w:t>100199</w:t>
            </w:r>
          </w:p>
        </w:tc>
        <w:tc>
          <w:tcPr>
            <w:tcW w:w="2268" w:type="dxa"/>
          </w:tcPr>
          <w:p>
            <w:pPr>
              <w:rPr>
                <w:noProof/>
                <w:sz w:val="18"/>
                <w:szCs w:val="18"/>
              </w:rPr>
            </w:pPr>
            <w:r>
              <w:rPr>
                <w:rStyle w:val="Bodytext29pt"/>
                <w:rFonts w:ascii="Times New Roman" w:hAnsi="Times New Roman" w:cs="Times New Roman"/>
                <w:noProof/>
              </w:rPr>
              <w:t xml:space="preserve">Wheat and meslin </w:t>
            </w:r>
          </w:p>
        </w:tc>
        <w:tc>
          <w:tcPr>
            <w:tcW w:w="1134" w:type="dxa"/>
          </w:tcPr>
          <w:p>
            <w:pPr>
              <w:rPr>
                <w:noProof/>
                <w:sz w:val="18"/>
                <w:szCs w:val="18"/>
              </w:rPr>
            </w:pPr>
            <w:r>
              <w:rPr>
                <w:rStyle w:val="Bodytext29pt"/>
                <w:rFonts w:ascii="Times New Roman" w:hAnsi="Times New Roman" w:cs="Times New Roman"/>
                <w:noProof/>
              </w:rPr>
              <w:t>72,127,390</w:t>
            </w:r>
          </w:p>
        </w:tc>
        <w:tc>
          <w:tcPr>
            <w:tcW w:w="696" w:type="dxa"/>
          </w:tcPr>
          <w:p>
            <w:pPr>
              <w:rPr>
                <w:noProof/>
                <w:sz w:val="18"/>
                <w:szCs w:val="18"/>
              </w:rPr>
            </w:pPr>
            <w:r>
              <w:rPr>
                <w:rStyle w:val="Bodytext29pt"/>
                <w:rFonts w:ascii="Times New Roman" w:hAnsi="Times New Roman" w:cs="Times New Roman"/>
                <w:noProof/>
              </w:rPr>
              <w:t>2.6 %</w:t>
            </w:r>
          </w:p>
        </w:tc>
      </w:tr>
      <w:tr>
        <w:trPr>
          <w:trHeight w:val="365"/>
        </w:trPr>
        <w:tc>
          <w:tcPr>
            <w:tcW w:w="863" w:type="dxa"/>
          </w:tcPr>
          <w:p>
            <w:pPr>
              <w:rPr>
                <w:noProof/>
                <w:sz w:val="18"/>
                <w:szCs w:val="18"/>
              </w:rPr>
            </w:pPr>
            <w:r>
              <w:rPr>
                <w:noProof/>
                <w:sz w:val="18"/>
                <w:szCs w:val="18"/>
              </w:rPr>
              <w:t>400122</w:t>
            </w:r>
          </w:p>
        </w:tc>
        <w:tc>
          <w:tcPr>
            <w:tcW w:w="1939" w:type="dxa"/>
          </w:tcPr>
          <w:p>
            <w:pPr>
              <w:rPr>
                <w:noProof/>
                <w:sz w:val="18"/>
                <w:szCs w:val="18"/>
              </w:rPr>
            </w:pPr>
            <w:r>
              <w:rPr>
                <w:noProof/>
                <w:sz w:val="18"/>
                <w:szCs w:val="18"/>
              </w:rPr>
              <w:t>Technically specified natural rubber "TSNR"</w:t>
            </w:r>
          </w:p>
        </w:tc>
        <w:tc>
          <w:tcPr>
            <w:tcW w:w="1277" w:type="dxa"/>
          </w:tcPr>
          <w:p>
            <w:pPr>
              <w:rPr>
                <w:noProof/>
                <w:sz w:val="18"/>
                <w:szCs w:val="18"/>
              </w:rPr>
            </w:pPr>
            <w:r>
              <w:rPr>
                <w:noProof/>
                <w:sz w:val="18"/>
                <w:szCs w:val="18"/>
              </w:rPr>
              <w:t>262,330,162</w:t>
            </w:r>
          </w:p>
        </w:tc>
        <w:tc>
          <w:tcPr>
            <w:tcW w:w="849" w:type="dxa"/>
            <w:tcBorders>
              <w:right w:val="double" w:sz="4" w:space="0" w:color="auto"/>
            </w:tcBorders>
          </w:tcPr>
          <w:p>
            <w:pPr>
              <w:rPr>
                <w:noProof/>
                <w:sz w:val="18"/>
                <w:szCs w:val="18"/>
              </w:rPr>
            </w:pPr>
            <w:r>
              <w:rPr>
                <w:noProof/>
                <w:sz w:val="18"/>
                <w:szCs w:val="18"/>
              </w:rPr>
              <w:t>6 %</w:t>
            </w:r>
          </w:p>
        </w:tc>
        <w:tc>
          <w:tcPr>
            <w:tcW w:w="709" w:type="dxa"/>
            <w:tcBorders>
              <w:left w:val="double" w:sz="4" w:space="0" w:color="auto"/>
            </w:tcBorders>
          </w:tcPr>
          <w:p>
            <w:pPr>
              <w:rPr>
                <w:noProof/>
                <w:sz w:val="18"/>
                <w:szCs w:val="18"/>
              </w:rPr>
            </w:pPr>
            <w:r>
              <w:rPr>
                <w:rStyle w:val="Bodytext29pt"/>
                <w:rFonts w:ascii="Times New Roman" w:hAnsi="Times New Roman" w:cs="Times New Roman"/>
                <w:noProof/>
              </w:rPr>
              <w:t>271012</w:t>
            </w:r>
          </w:p>
        </w:tc>
        <w:tc>
          <w:tcPr>
            <w:tcW w:w="2268" w:type="dxa"/>
          </w:tcPr>
          <w:p>
            <w:pPr>
              <w:rPr>
                <w:noProof/>
                <w:sz w:val="18"/>
                <w:szCs w:val="18"/>
              </w:rPr>
            </w:pPr>
            <w:r>
              <w:rPr>
                <w:rStyle w:val="Bodytext29pt"/>
                <w:rFonts w:ascii="Times New Roman" w:hAnsi="Times New Roman" w:cs="Times New Roman"/>
                <w:noProof/>
              </w:rPr>
              <w:t>Light oils, of petroleum (…)</w:t>
            </w:r>
          </w:p>
        </w:tc>
        <w:tc>
          <w:tcPr>
            <w:tcW w:w="1134" w:type="dxa"/>
          </w:tcPr>
          <w:p>
            <w:pPr>
              <w:rPr>
                <w:noProof/>
                <w:sz w:val="18"/>
                <w:szCs w:val="18"/>
              </w:rPr>
            </w:pPr>
            <w:r>
              <w:rPr>
                <w:rStyle w:val="Bodytext29pt"/>
                <w:rFonts w:ascii="Times New Roman" w:hAnsi="Times New Roman" w:cs="Times New Roman"/>
                <w:noProof/>
              </w:rPr>
              <w:t>69,299,221</w:t>
            </w:r>
          </w:p>
        </w:tc>
        <w:tc>
          <w:tcPr>
            <w:tcW w:w="696" w:type="dxa"/>
          </w:tcPr>
          <w:p>
            <w:pPr>
              <w:rPr>
                <w:noProof/>
                <w:sz w:val="18"/>
                <w:szCs w:val="18"/>
              </w:rPr>
            </w:pPr>
            <w:r>
              <w:rPr>
                <w:rStyle w:val="Bodytext29pt"/>
                <w:rFonts w:ascii="Times New Roman" w:hAnsi="Times New Roman" w:cs="Times New Roman"/>
                <w:noProof/>
              </w:rPr>
              <w:t>2.5 %</w:t>
            </w:r>
          </w:p>
        </w:tc>
      </w:tr>
      <w:tr>
        <w:trPr>
          <w:trHeight w:val="518"/>
        </w:trPr>
        <w:tc>
          <w:tcPr>
            <w:tcW w:w="863" w:type="dxa"/>
          </w:tcPr>
          <w:p>
            <w:pPr>
              <w:rPr>
                <w:noProof/>
                <w:sz w:val="18"/>
                <w:szCs w:val="18"/>
              </w:rPr>
            </w:pPr>
            <w:r>
              <w:rPr>
                <w:noProof/>
                <w:sz w:val="18"/>
                <w:szCs w:val="18"/>
              </w:rPr>
              <w:t>080390</w:t>
            </w:r>
          </w:p>
        </w:tc>
        <w:tc>
          <w:tcPr>
            <w:tcW w:w="1939" w:type="dxa"/>
          </w:tcPr>
          <w:p>
            <w:pPr>
              <w:rPr>
                <w:noProof/>
                <w:sz w:val="18"/>
                <w:szCs w:val="18"/>
              </w:rPr>
            </w:pPr>
            <w:r>
              <w:rPr>
                <w:noProof/>
                <w:sz w:val="18"/>
                <w:szCs w:val="18"/>
              </w:rPr>
              <w:t>Fresh or dried bananas (excl. plantains)</w:t>
            </w:r>
          </w:p>
        </w:tc>
        <w:tc>
          <w:tcPr>
            <w:tcW w:w="1277" w:type="dxa"/>
          </w:tcPr>
          <w:p>
            <w:pPr>
              <w:rPr>
                <w:noProof/>
                <w:sz w:val="18"/>
                <w:szCs w:val="18"/>
              </w:rPr>
            </w:pPr>
            <w:r>
              <w:rPr>
                <w:noProof/>
                <w:sz w:val="18"/>
                <w:szCs w:val="18"/>
              </w:rPr>
              <w:t>237,878,059</w:t>
            </w:r>
          </w:p>
        </w:tc>
        <w:tc>
          <w:tcPr>
            <w:tcW w:w="849" w:type="dxa"/>
            <w:tcBorders>
              <w:right w:val="double" w:sz="4" w:space="0" w:color="auto"/>
            </w:tcBorders>
          </w:tcPr>
          <w:p>
            <w:pPr>
              <w:rPr>
                <w:noProof/>
                <w:sz w:val="18"/>
                <w:szCs w:val="18"/>
              </w:rPr>
            </w:pPr>
            <w:r>
              <w:rPr>
                <w:noProof/>
                <w:sz w:val="18"/>
                <w:szCs w:val="18"/>
              </w:rPr>
              <w:t>5.4 %</w:t>
            </w:r>
          </w:p>
        </w:tc>
        <w:tc>
          <w:tcPr>
            <w:tcW w:w="709" w:type="dxa"/>
            <w:tcBorders>
              <w:left w:val="double" w:sz="4" w:space="0" w:color="auto"/>
            </w:tcBorders>
          </w:tcPr>
          <w:p>
            <w:pPr>
              <w:rPr>
                <w:noProof/>
                <w:sz w:val="18"/>
                <w:szCs w:val="18"/>
              </w:rPr>
            </w:pPr>
            <w:r>
              <w:rPr>
                <w:rStyle w:val="Bodytext29pt"/>
                <w:rFonts w:ascii="Times New Roman" w:hAnsi="Times New Roman" w:cs="Times New Roman"/>
                <w:noProof/>
              </w:rPr>
              <w:t>870323</w:t>
            </w:r>
          </w:p>
        </w:tc>
        <w:tc>
          <w:tcPr>
            <w:tcW w:w="2268" w:type="dxa"/>
          </w:tcPr>
          <w:p>
            <w:pPr>
              <w:rPr>
                <w:noProof/>
                <w:sz w:val="18"/>
                <w:szCs w:val="18"/>
              </w:rPr>
            </w:pPr>
            <w:r>
              <w:rPr>
                <w:rStyle w:val="Bodytext29pt"/>
                <w:rFonts w:ascii="Times New Roman" w:hAnsi="Times New Roman" w:cs="Times New Roman"/>
                <w:noProof/>
              </w:rPr>
              <w:t>Motor cars / vehicles for the transport of &lt;10 persons</w:t>
            </w:r>
          </w:p>
        </w:tc>
        <w:tc>
          <w:tcPr>
            <w:tcW w:w="1134" w:type="dxa"/>
          </w:tcPr>
          <w:p>
            <w:pPr>
              <w:rPr>
                <w:noProof/>
                <w:sz w:val="18"/>
                <w:szCs w:val="18"/>
              </w:rPr>
            </w:pPr>
            <w:r>
              <w:rPr>
                <w:rStyle w:val="Bodytext29pt"/>
                <w:rFonts w:ascii="Times New Roman" w:hAnsi="Times New Roman" w:cs="Times New Roman"/>
                <w:noProof/>
              </w:rPr>
              <w:t>51,493,053</w:t>
            </w:r>
          </w:p>
        </w:tc>
        <w:tc>
          <w:tcPr>
            <w:tcW w:w="696" w:type="dxa"/>
          </w:tcPr>
          <w:p>
            <w:pPr>
              <w:rPr>
                <w:noProof/>
                <w:sz w:val="18"/>
                <w:szCs w:val="18"/>
              </w:rPr>
            </w:pPr>
            <w:r>
              <w:rPr>
                <w:rStyle w:val="Bodytext29pt"/>
                <w:rFonts w:ascii="Times New Roman" w:hAnsi="Times New Roman" w:cs="Times New Roman"/>
                <w:noProof/>
                <w:lang w:val="bg-BG" w:eastAsia="bg-BG" w:bidi="bg-BG"/>
              </w:rPr>
              <w:t xml:space="preserve">1.9 </w:t>
            </w:r>
            <w:r>
              <w:rPr>
                <w:rStyle w:val="Bodytext29pt"/>
                <w:rFonts w:ascii="Times New Roman" w:hAnsi="Times New Roman" w:cs="Times New Roman"/>
                <w:noProof/>
              </w:rPr>
              <w:t>%</w:t>
            </w:r>
          </w:p>
        </w:tc>
      </w:tr>
      <w:tr>
        <w:trPr>
          <w:trHeight w:val="559"/>
        </w:trPr>
        <w:tc>
          <w:tcPr>
            <w:tcW w:w="863" w:type="dxa"/>
          </w:tcPr>
          <w:p>
            <w:pPr>
              <w:rPr>
                <w:noProof/>
                <w:sz w:val="18"/>
                <w:szCs w:val="18"/>
              </w:rPr>
            </w:pPr>
            <w:r>
              <w:rPr>
                <w:noProof/>
                <w:sz w:val="18"/>
                <w:szCs w:val="18"/>
              </w:rPr>
              <w:t>160414</w:t>
            </w:r>
          </w:p>
        </w:tc>
        <w:tc>
          <w:tcPr>
            <w:tcW w:w="1939" w:type="dxa"/>
          </w:tcPr>
          <w:p>
            <w:pPr>
              <w:rPr>
                <w:noProof/>
                <w:sz w:val="18"/>
                <w:szCs w:val="18"/>
              </w:rPr>
            </w:pPr>
            <w:r>
              <w:rPr>
                <w:noProof/>
                <w:sz w:val="18"/>
                <w:szCs w:val="18"/>
              </w:rPr>
              <w:t>Prepared or preserved tunas, skipjack and Atlantic bonito</w:t>
            </w:r>
          </w:p>
        </w:tc>
        <w:tc>
          <w:tcPr>
            <w:tcW w:w="1277" w:type="dxa"/>
          </w:tcPr>
          <w:p>
            <w:pPr>
              <w:rPr>
                <w:noProof/>
                <w:sz w:val="18"/>
                <w:szCs w:val="18"/>
              </w:rPr>
            </w:pPr>
            <w:r>
              <w:rPr>
                <w:noProof/>
                <w:sz w:val="18"/>
                <w:szCs w:val="18"/>
              </w:rPr>
              <w:t>120,405,890</w:t>
            </w:r>
          </w:p>
        </w:tc>
        <w:tc>
          <w:tcPr>
            <w:tcW w:w="849" w:type="dxa"/>
            <w:tcBorders>
              <w:right w:val="double" w:sz="4" w:space="0" w:color="auto"/>
            </w:tcBorders>
          </w:tcPr>
          <w:p>
            <w:pPr>
              <w:rPr>
                <w:noProof/>
                <w:sz w:val="18"/>
                <w:szCs w:val="18"/>
              </w:rPr>
            </w:pPr>
            <w:r>
              <w:rPr>
                <w:noProof/>
                <w:sz w:val="18"/>
                <w:szCs w:val="18"/>
              </w:rPr>
              <w:t>2.7 %</w:t>
            </w:r>
          </w:p>
        </w:tc>
        <w:tc>
          <w:tcPr>
            <w:tcW w:w="709" w:type="dxa"/>
            <w:tcBorders>
              <w:left w:val="double" w:sz="4" w:space="0" w:color="auto"/>
            </w:tcBorders>
          </w:tcPr>
          <w:p>
            <w:pPr>
              <w:rPr>
                <w:noProof/>
                <w:sz w:val="18"/>
                <w:szCs w:val="18"/>
              </w:rPr>
            </w:pPr>
            <w:r>
              <w:rPr>
                <w:rStyle w:val="Bodytext29pt"/>
                <w:rFonts w:ascii="Times New Roman" w:hAnsi="Times New Roman" w:cs="Times New Roman"/>
                <w:noProof/>
              </w:rPr>
              <w:t>851762</w:t>
            </w:r>
          </w:p>
        </w:tc>
        <w:tc>
          <w:tcPr>
            <w:tcW w:w="2268" w:type="dxa"/>
          </w:tcPr>
          <w:p>
            <w:pPr>
              <w:rPr>
                <w:noProof/>
                <w:sz w:val="18"/>
                <w:szCs w:val="18"/>
              </w:rPr>
            </w:pPr>
            <w:r>
              <w:rPr>
                <w:rStyle w:val="Bodytext29pt"/>
                <w:rFonts w:ascii="Times New Roman" w:hAnsi="Times New Roman" w:cs="Times New Roman"/>
                <w:noProof/>
              </w:rPr>
              <w:t>Machines for the reception, conversion, transmission of voice (…)</w:t>
            </w:r>
          </w:p>
        </w:tc>
        <w:tc>
          <w:tcPr>
            <w:tcW w:w="1134" w:type="dxa"/>
          </w:tcPr>
          <w:p>
            <w:pPr>
              <w:rPr>
                <w:noProof/>
                <w:sz w:val="18"/>
                <w:szCs w:val="18"/>
              </w:rPr>
            </w:pPr>
            <w:r>
              <w:rPr>
                <w:rStyle w:val="Bodytext29pt"/>
                <w:rFonts w:ascii="Times New Roman" w:hAnsi="Times New Roman" w:cs="Times New Roman"/>
                <w:noProof/>
              </w:rPr>
              <w:t>36,035,865</w:t>
            </w:r>
          </w:p>
        </w:tc>
        <w:tc>
          <w:tcPr>
            <w:tcW w:w="696" w:type="dxa"/>
          </w:tcPr>
          <w:p>
            <w:pPr>
              <w:rPr>
                <w:noProof/>
                <w:sz w:val="18"/>
                <w:szCs w:val="18"/>
              </w:rPr>
            </w:pPr>
            <w:r>
              <w:rPr>
                <w:rStyle w:val="Bodytext29pt"/>
                <w:rFonts w:ascii="Times New Roman" w:hAnsi="Times New Roman" w:cs="Times New Roman"/>
                <w:noProof/>
                <w:lang w:val="bg-BG" w:eastAsia="bg-BG" w:bidi="bg-BG"/>
              </w:rPr>
              <w:t xml:space="preserve">1.3 </w:t>
            </w:r>
            <w:r>
              <w:rPr>
                <w:rStyle w:val="Bodytext29pt"/>
                <w:rFonts w:ascii="Times New Roman" w:hAnsi="Times New Roman" w:cs="Times New Roman"/>
                <w:noProof/>
              </w:rPr>
              <w:t>%</w:t>
            </w:r>
          </w:p>
        </w:tc>
      </w:tr>
      <w:tr>
        <w:trPr>
          <w:trHeight w:val="365"/>
        </w:trPr>
        <w:tc>
          <w:tcPr>
            <w:tcW w:w="863" w:type="dxa"/>
          </w:tcPr>
          <w:p>
            <w:pPr>
              <w:rPr>
                <w:noProof/>
                <w:sz w:val="18"/>
                <w:szCs w:val="18"/>
              </w:rPr>
            </w:pPr>
            <w:r>
              <w:rPr>
                <w:noProof/>
                <w:sz w:val="18"/>
                <w:szCs w:val="18"/>
              </w:rPr>
              <w:t>180620</w:t>
            </w:r>
          </w:p>
        </w:tc>
        <w:tc>
          <w:tcPr>
            <w:tcW w:w="1939" w:type="dxa"/>
          </w:tcPr>
          <w:p>
            <w:pPr>
              <w:rPr>
                <w:noProof/>
                <w:sz w:val="18"/>
                <w:szCs w:val="18"/>
              </w:rPr>
            </w:pPr>
            <w:r>
              <w:rPr>
                <w:noProof/>
                <w:sz w:val="18"/>
                <w:szCs w:val="18"/>
              </w:rPr>
              <w:t>Chocolate and other food preparations containing cocoa (…)</w:t>
            </w:r>
          </w:p>
        </w:tc>
        <w:tc>
          <w:tcPr>
            <w:tcW w:w="1277" w:type="dxa"/>
          </w:tcPr>
          <w:p>
            <w:pPr>
              <w:rPr>
                <w:noProof/>
                <w:sz w:val="18"/>
                <w:szCs w:val="18"/>
              </w:rPr>
            </w:pPr>
            <w:r>
              <w:rPr>
                <w:noProof/>
                <w:sz w:val="18"/>
                <w:szCs w:val="18"/>
              </w:rPr>
              <w:t>112,232,097</w:t>
            </w:r>
          </w:p>
        </w:tc>
        <w:tc>
          <w:tcPr>
            <w:tcW w:w="849" w:type="dxa"/>
            <w:tcBorders>
              <w:right w:val="double" w:sz="4" w:space="0" w:color="auto"/>
            </w:tcBorders>
          </w:tcPr>
          <w:p>
            <w:pPr>
              <w:rPr>
                <w:noProof/>
                <w:sz w:val="18"/>
                <w:szCs w:val="18"/>
              </w:rPr>
            </w:pPr>
            <w:r>
              <w:rPr>
                <w:noProof/>
                <w:sz w:val="18"/>
                <w:szCs w:val="18"/>
              </w:rPr>
              <w:t>2.5 %</w:t>
            </w:r>
          </w:p>
        </w:tc>
        <w:tc>
          <w:tcPr>
            <w:tcW w:w="709" w:type="dxa"/>
            <w:tcBorders>
              <w:left w:val="double" w:sz="4" w:space="0" w:color="auto"/>
            </w:tcBorders>
          </w:tcPr>
          <w:p>
            <w:pPr>
              <w:rPr>
                <w:noProof/>
                <w:sz w:val="18"/>
                <w:szCs w:val="18"/>
              </w:rPr>
            </w:pPr>
            <w:r>
              <w:rPr>
                <w:rStyle w:val="Bodytext29pt"/>
                <w:rFonts w:ascii="Times New Roman" w:hAnsi="Times New Roman" w:cs="Times New Roman"/>
                <w:noProof/>
              </w:rPr>
              <w:t>870120</w:t>
            </w:r>
          </w:p>
        </w:tc>
        <w:tc>
          <w:tcPr>
            <w:tcW w:w="2268" w:type="dxa"/>
          </w:tcPr>
          <w:p>
            <w:pPr>
              <w:rPr>
                <w:noProof/>
                <w:sz w:val="18"/>
                <w:szCs w:val="18"/>
              </w:rPr>
            </w:pPr>
            <w:r>
              <w:rPr>
                <w:rStyle w:val="Bodytext29pt"/>
                <w:rFonts w:ascii="Times New Roman" w:hAnsi="Times New Roman" w:cs="Times New Roman"/>
                <w:noProof/>
              </w:rPr>
              <w:t>Road tractors for semi-trailers</w:t>
            </w:r>
          </w:p>
        </w:tc>
        <w:tc>
          <w:tcPr>
            <w:tcW w:w="1134" w:type="dxa"/>
          </w:tcPr>
          <w:p>
            <w:pPr>
              <w:rPr>
                <w:noProof/>
                <w:sz w:val="18"/>
                <w:szCs w:val="18"/>
              </w:rPr>
            </w:pPr>
            <w:r>
              <w:rPr>
                <w:rStyle w:val="Bodytext29pt"/>
                <w:rFonts w:ascii="Times New Roman" w:hAnsi="Times New Roman" w:cs="Times New Roman"/>
                <w:noProof/>
              </w:rPr>
              <w:t>34,100,342</w:t>
            </w:r>
          </w:p>
        </w:tc>
        <w:tc>
          <w:tcPr>
            <w:tcW w:w="696" w:type="dxa"/>
          </w:tcPr>
          <w:p>
            <w:pPr>
              <w:rPr>
                <w:noProof/>
                <w:sz w:val="18"/>
                <w:szCs w:val="18"/>
              </w:rPr>
            </w:pPr>
            <w:r>
              <w:rPr>
                <w:rStyle w:val="Bodytext29pt"/>
                <w:rFonts w:ascii="Times New Roman" w:hAnsi="Times New Roman" w:cs="Times New Roman"/>
                <w:noProof/>
              </w:rPr>
              <w:t>1.2 %</w:t>
            </w:r>
          </w:p>
        </w:tc>
      </w:tr>
      <w:tr>
        <w:trPr>
          <w:trHeight w:val="365"/>
        </w:trPr>
        <w:tc>
          <w:tcPr>
            <w:tcW w:w="863" w:type="dxa"/>
          </w:tcPr>
          <w:p>
            <w:pPr>
              <w:rPr>
                <w:noProof/>
                <w:sz w:val="18"/>
                <w:szCs w:val="18"/>
              </w:rPr>
            </w:pPr>
            <w:r>
              <w:rPr>
                <w:noProof/>
                <w:sz w:val="18"/>
                <w:szCs w:val="18"/>
              </w:rPr>
              <w:t>180320</w:t>
            </w:r>
          </w:p>
        </w:tc>
        <w:tc>
          <w:tcPr>
            <w:tcW w:w="1939" w:type="dxa"/>
          </w:tcPr>
          <w:p>
            <w:pPr>
              <w:rPr>
                <w:noProof/>
                <w:sz w:val="18"/>
                <w:szCs w:val="18"/>
              </w:rPr>
            </w:pPr>
            <w:r>
              <w:rPr>
                <w:noProof/>
                <w:sz w:val="18"/>
                <w:szCs w:val="18"/>
              </w:rPr>
              <w:t>Cocoa paste, wholly or partly defatted</w:t>
            </w:r>
          </w:p>
        </w:tc>
        <w:tc>
          <w:tcPr>
            <w:tcW w:w="1277" w:type="dxa"/>
          </w:tcPr>
          <w:p>
            <w:pPr>
              <w:rPr>
                <w:noProof/>
                <w:sz w:val="18"/>
                <w:szCs w:val="18"/>
              </w:rPr>
            </w:pPr>
            <w:r>
              <w:rPr>
                <w:noProof/>
                <w:sz w:val="18"/>
                <w:szCs w:val="18"/>
              </w:rPr>
              <w:t>82,022,685</w:t>
            </w:r>
          </w:p>
        </w:tc>
        <w:tc>
          <w:tcPr>
            <w:tcW w:w="849" w:type="dxa"/>
            <w:tcBorders>
              <w:right w:val="double" w:sz="4" w:space="0" w:color="auto"/>
            </w:tcBorders>
          </w:tcPr>
          <w:p>
            <w:pPr>
              <w:rPr>
                <w:noProof/>
                <w:sz w:val="18"/>
                <w:szCs w:val="18"/>
              </w:rPr>
            </w:pPr>
            <w:r>
              <w:rPr>
                <w:noProof/>
                <w:sz w:val="18"/>
                <w:szCs w:val="18"/>
              </w:rPr>
              <w:t>1.9 %</w:t>
            </w:r>
          </w:p>
        </w:tc>
        <w:tc>
          <w:tcPr>
            <w:tcW w:w="709" w:type="dxa"/>
            <w:tcBorders>
              <w:left w:val="double" w:sz="4" w:space="0" w:color="auto"/>
            </w:tcBorders>
          </w:tcPr>
          <w:p>
            <w:pPr>
              <w:rPr>
                <w:noProof/>
                <w:sz w:val="18"/>
                <w:szCs w:val="18"/>
              </w:rPr>
            </w:pPr>
            <w:r>
              <w:rPr>
                <w:rStyle w:val="Bodytext29pt"/>
                <w:rFonts w:ascii="Times New Roman" w:hAnsi="Times New Roman" w:cs="Times New Roman"/>
                <w:noProof/>
              </w:rPr>
              <w:t>190190</w:t>
            </w:r>
          </w:p>
        </w:tc>
        <w:tc>
          <w:tcPr>
            <w:tcW w:w="2268" w:type="dxa"/>
          </w:tcPr>
          <w:p>
            <w:pPr>
              <w:rPr>
                <w:noProof/>
                <w:sz w:val="18"/>
                <w:szCs w:val="18"/>
              </w:rPr>
            </w:pPr>
            <w:r>
              <w:rPr>
                <w:rStyle w:val="Bodytext29pt"/>
                <w:rFonts w:ascii="Times New Roman" w:hAnsi="Times New Roman" w:cs="Times New Roman"/>
                <w:noProof/>
              </w:rPr>
              <w:t>Malt extract; food preparations of flour, groats, meal, starch or malt extract, (..) food preparations of milk, cream, butter milk, sour milk, sour cream, whey, yogurt, kephir (…)</w:t>
            </w:r>
          </w:p>
        </w:tc>
        <w:tc>
          <w:tcPr>
            <w:tcW w:w="1134" w:type="dxa"/>
          </w:tcPr>
          <w:p>
            <w:pPr>
              <w:rPr>
                <w:noProof/>
                <w:sz w:val="18"/>
                <w:szCs w:val="18"/>
              </w:rPr>
            </w:pPr>
            <w:r>
              <w:rPr>
                <w:rStyle w:val="Bodytext29pt"/>
                <w:rFonts w:ascii="Times New Roman" w:hAnsi="Times New Roman" w:cs="Times New Roman"/>
                <w:noProof/>
              </w:rPr>
              <w:t>33,099,317</w:t>
            </w:r>
          </w:p>
        </w:tc>
        <w:tc>
          <w:tcPr>
            <w:tcW w:w="696" w:type="dxa"/>
          </w:tcPr>
          <w:p>
            <w:pPr>
              <w:rPr>
                <w:noProof/>
                <w:sz w:val="18"/>
                <w:szCs w:val="18"/>
              </w:rPr>
            </w:pPr>
            <w:r>
              <w:rPr>
                <w:rStyle w:val="Bodytext29pt"/>
                <w:rFonts w:ascii="Times New Roman" w:hAnsi="Times New Roman" w:cs="Times New Roman"/>
                <w:noProof/>
                <w:lang w:val="bg-BG" w:eastAsia="bg-BG" w:bidi="bg-BG"/>
              </w:rPr>
              <w:t xml:space="preserve">1.2 </w:t>
            </w:r>
            <w:r>
              <w:rPr>
                <w:rStyle w:val="Bodytext29pt"/>
                <w:rFonts w:ascii="Times New Roman" w:hAnsi="Times New Roman" w:cs="Times New Roman"/>
                <w:noProof/>
              </w:rPr>
              <w:t>%</w:t>
            </w:r>
          </w:p>
        </w:tc>
      </w:tr>
      <w:tr>
        <w:trPr>
          <w:trHeight w:val="547"/>
        </w:trPr>
        <w:tc>
          <w:tcPr>
            <w:tcW w:w="863" w:type="dxa"/>
          </w:tcPr>
          <w:p>
            <w:pPr>
              <w:rPr>
                <w:noProof/>
                <w:sz w:val="18"/>
                <w:szCs w:val="18"/>
              </w:rPr>
            </w:pPr>
            <w:r>
              <w:rPr>
                <w:noProof/>
                <w:sz w:val="18"/>
                <w:szCs w:val="18"/>
              </w:rPr>
              <w:t>400129</w:t>
            </w:r>
          </w:p>
        </w:tc>
        <w:tc>
          <w:tcPr>
            <w:tcW w:w="1939" w:type="dxa"/>
          </w:tcPr>
          <w:p>
            <w:pPr>
              <w:rPr>
                <w:noProof/>
                <w:sz w:val="18"/>
                <w:szCs w:val="18"/>
              </w:rPr>
            </w:pPr>
            <w:r>
              <w:rPr>
                <w:noProof/>
                <w:sz w:val="18"/>
                <w:szCs w:val="18"/>
              </w:rPr>
              <w:t>Natural rubber in primary forms or in plates, sheets or strip (…)</w:t>
            </w:r>
          </w:p>
        </w:tc>
        <w:tc>
          <w:tcPr>
            <w:tcW w:w="1277" w:type="dxa"/>
          </w:tcPr>
          <w:p>
            <w:pPr>
              <w:rPr>
                <w:noProof/>
                <w:sz w:val="18"/>
                <w:szCs w:val="18"/>
              </w:rPr>
            </w:pPr>
            <w:r>
              <w:rPr>
                <w:noProof/>
                <w:sz w:val="18"/>
                <w:szCs w:val="18"/>
              </w:rPr>
              <w:t>43,454,296</w:t>
            </w:r>
          </w:p>
        </w:tc>
        <w:tc>
          <w:tcPr>
            <w:tcW w:w="849" w:type="dxa"/>
          </w:tcPr>
          <w:p>
            <w:pPr>
              <w:rPr>
                <w:noProof/>
                <w:sz w:val="18"/>
                <w:szCs w:val="18"/>
              </w:rPr>
            </w:pPr>
            <w:r>
              <w:rPr>
                <w:noProof/>
                <w:sz w:val="18"/>
                <w:szCs w:val="18"/>
              </w:rPr>
              <w:t>1 %</w:t>
            </w:r>
          </w:p>
        </w:tc>
        <w:tc>
          <w:tcPr>
            <w:tcW w:w="709" w:type="dxa"/>
          </w:tcPr>
          <w:p>
            <w:pPr>
              <w:rPr>
                <w:noProof/>
                <w:sz w:val="18"/>
                <w:szCs w:val="18"/>
              </w:rPr>
            </w:pPr>
            <w:r>
              <w:rPr>
                <w:rStyle w:val="Bodytext29pt"/>
                <w:rFonts w:ascii="Times New Roman" w:hAnsi="Times New Roman" w:cs="Times New Roman"/>
                <w:noProof/>
              </w:rPr>
              <w:t>870210</w:t>
            </w:r>
          </w:p>
        </w:tc>
        <w:tc>
          <w:tcPr>
            <w:tcW w:w="2268" w:type="dxa"/>
          </w:tcPr>
          <w:p>
            <w:pPr>
              <w:rPr>
                <w:noProof/>
                <w:sz w:val="18"/>
                <w:szCs w:val="18"/>
              </w:rPr>
            </w:pPr>
            <w:r>
              <w:rPr>
                <w:rStyle w:val="Bodytext29pt"/>
                <w:rFonts w:ascii="Times New Roman" w:hAnsi="Times New Roman" w:cs="Times New Roman"/>
                <w:noProof/>
              </w:rPr>
              <w:t>Motor vehicles for the transport of &gt;= 10 persons (…)</w:t>
            </w:r>
          </w:p>
        </w:tc>
        <w:tc>
          <w:tcPr>
            <w:tcW w:w="1134" w:type="dxa"/>
          </w:tcPr>
          <w:p>
            <w:pPr>
              <w:rPr>
                <w:noProof/>
                <w:sz w:val="18"/>
                <w:szCs w:val="18"/>
              </w:rPr>
            </w:pPr>
            <w:r>
              <w:rPr>
                <w:rStyle w:val="Bodytext29pt"/>
                <w:rFonts w:ascii="Times New Roman" w:hAnsi="Times New Roman" w:cs="Times New Roman"/>
                <w:noProof/>
              </w:rPr>
              <w:t>32,157,382</w:t>
            </w:r>
          </w:p>
        </w:tc>
        <w:tc>
          <w:tcPr>
            <w:tcW w:w="696" w:type="dxa"/>
          </w:tcPr>
          <w:p>
            <w:pPr>
              <w:rPr>
                <w:noProof/>
                <w:sz w:val="18"/>
                <w:szCs w:val="18"/>
              </w:rPr>
            </w:pPr>
            <w:r>
              <w:rPr>
                <w:rStyle w:val="Bodytext29pt"/>
                <w:rFonts w:ascii="Times New Roman" w:hAnsi="Times New Roman" w:cs="Times New Roman"/>
                <w:noProof/>
              </w:rPr>
              <w:t>1.2 %</w:t>
            </w:r>
          </w:p>
        </w:tc>
      </w:tr>
      <w:tr>
        <w:trPr>
          <w:trHeight w:val="365"/>
        </w:trPr>
        <w:tc>
          <w:tcPr>
            <w:tcW w:w="863" w:type="dxa"/>
          </w:tcPr>
          <w:p>
            <w:pPr>
              <w:rPr>
                <w:noProof/>
                <w:sz w:val="18"/>
                <w:szCs w:val="18"/>
              </w:rPr>
            </w:pPr>
          </w:p>
        </w:tc>
        <w:tc>
          <w:tcPr>
            <w:tcW w:w="1939" w:type="dxa"/>
          </w:tcPr>
          <w:p>
            <w:pPr>
              <w:rPr>
                <w:b/>
                <w:noProof/>
                <w:sz w:val="18"/>
                <w:szCs w:val="18"/>
              </w:rPr>
            </w:pPr>
            <w:r>
              <w:rPr>
                <w:b/>
                <w:noProof/>
                <w:sz w:val="18"/>
                <w:szCs w:val="18"/>
              </w:rPr>
              <w:t>Total top 10 products</w:t>
            </w:r>
          </w:p>
        </w:tc>
        <w:tc>
          <w:tcPr>
            <w:tcW w:w="1277" w:type="dxa"/>
          </w:tcPr>
          <w:p>
            <w:pPr>
              <w:rPr>
                <w:b/>
                <w:noProof/>
                <w:sz w:val="18"/>
                <w:szCs w:val="18"/>
              </w:rPr>
            </w:pPr>
            <w:r>
              <w:rPr>
                <w:b/>
                <w:noProof/>
                <w:sz w:val="18"/>
                <w:szCs w:val="18"/>
              </w:rPr>
              <w:t>4,029,939,200</w:t>
            </w:r>
          </w:p>
        </w:tc>
        <w:tc>
          <w:tcPr>
            <w:tcW w:w="849" w:type="dxa"/>
          </w:tcPr>
          <w:p>
            <w:pPr>
              <w:rPr>
                <w:b/>
                <w:noProof/>
                <w:sz w:val="18"/>
                <w:szCs w:val="18"/>
              </w:rPr>
            </w:pPr>
            <w:r>
              <w:rPr>
                <w:b/>
                <w:noProof/>
                <w:sz w:val="18"/>
                <w:szCs w:val="18"/>
              </w:rPr>
              <w:t>91.6 %</w:t>
            </w:r>
          </w:p>
        </w:tc>
        <w:tc>
          <w:tcPr>
            <w:tcW w:w="709" w:type="dxa"/>
          </w:tcPr>
          <w:p>
            <w:pPr>
              <w:rPr>
                <w:b/>
                <w:noProof/>
                <w:sz w:val="18"/>
                <w:szCs w:val="18"/>
              </w:rPr>
            </w:pPr>
          </w:p>
        </w:tc>
        <w:tc>
          <w:tcPr>
            <w:tcW w:w="2268" w:type="dxa"/>
          </w:tcPr>
          <w:p>
            <w:pPr>
              <w:rPr>
                <w:b/>
                <w:noProof/>
                <w:sz w:val="18"/>
                <w:szCs w:val="18"/>
              </w:rPr>
            </w:pPr>
            <w:r>
              <w:rPr>
                <w:rStyle w:val="Bodytext29pt"/>
                <w:rFonts w:ascii="Times New Roman" w:hAnsi="Times New Roman" w:cs="Times New Roman"/>
                <w:b/>
                <w:noProof/>
              </w:rPr>
              <w:t>Total top 10 products</w:t>
            </w:r>
          </w:p>
        </w:tc>
        <w:tc>
          <w:tcPr>
            <w:tcW w:w="1134" w:type="dxa"/>
          </w:tcPr>
          <w:p>
            <w:pPr>
              <w:rPr>
                <w:b/>
                <w:noProof/>
                <w:sz w:val="18"/>
                <w:szCs w:val="18"/>
              </w:rPr>
            </w:pPr>
            <w:r>
              <w:rPr>
                <w:rStyle w:val="Bodytext29pt"/>
                <w:rFonts w:ascii="Times New Roman" w:hAnsi="Times New Roman" w:cs="Times New Roman"/>
                <w:b/>
                <w:noProof/>
              </w:rPr>
              <w:t>604,231,680</w:t>
            </w:r>
          </w:p>
        </w:tc>
        <w:tc>
          <w:tcPr>
            <w:tcW w:w="696" w:type="dxa"/>
          </w:tcPr>
          <w:p>
            <w:pPr>
              <w:rPr>
                <w:b/>
                <w:noProof/>
                <w:sz w:val="18"/>
                <w:szCs w:val="18"/>
              </w:rPr>
            </w:pPr>
            <w:r>
              <w:rPr>
                <w:rStyle w:val="Bodytext29pt"/>
                <w:rFonts w:ascii="Times New Roman" w:hAnsi="Times New Roman" w:cs="Times New Roman"/>
                <w:b/>
                <w:noProof/>
              </w:rPr>
              <w:t>22 %</w:t>
            </w:r>
          </w:p>
        </w:tc>
      </w:tr>
    </w:tbl>
    <w:p>
      <w:pPr>
        <w:jc w:val="both"/>
        <w:rPr>
          <w:noProof/>
          <w:sz w:val="20"/>
          <w:szCs w:val="20"/>
        </w:rPr>
      </w:pPr>
      <w:r>
        <w:rPr>
          <w:noProof/>
          <w:sz w:val="20"/>
          <w:szCs w:val="20"/>
        </w:rPr>
        <w:t>Source: Eurostat (Product descriptions are partly shortened)</w:t>
      </w:r>
    </w:p>
    <w:p>
      <w:pPr>
        <w:jc w:val="both"/>
        <w:rPr>
          <w:noProof/>
          <w:lang w:eastAsia="en-GB"/>
        </w:rPr>
      </w:pPr>
    </w:p>
    <w:p>
      <w:pPr>
        <w:jc w:val="both"/>
        <w:rPr>
          <w:noProof/>
        </w:rPr>
      </w:pPr>
      <w:r>
        <w:rPr>
          <w:noProof/>
        </w:rPr>
        <w:t>The decrease in</w:t>
      </w:r>
      <w:r>
        <w:rPr>
          <w:b/>
          <w:noProof/>
        </w:rPr>
        <w:t xml:space="preserve"> EU exports to Côte d’Ivoire</w:t>
      </w:r>
      <w:r>
        <w:rPr>
          <w:noProof/>
        </w:rPr>
        <w:t xml:space="preserve"> in 2018 can be explained by an unusual spike in exports of aircrafts and aircraft parts in 2017. As part of its expansion, the national carrier Air Côte d’Ivoire is expanding and has made purchases of </w:t>
      </w:r>
      <w:r>
        <w:rPr>
          <w:noProof/>
          <w:lang w:val="en-IE"/>
        </w:rPr>
        <w:t xml:space="preserve">€123 million in 2017 – a figure that went down to €7 million in 2018. Disregarding the aircraft sector, EU exports to </w:t>
      </w:r>
      <w:r>
        <w:rPr>
          <w:noProof/>
        </w:rPr>
        <w:t xml:space="preserve">Côte d’Ivoire actually continue to increase, namely by 0.5% in 2018. </w:t>
      </w:r>
    </w:p>
    <w:p>
      <w:pPr>
        <w:jc w:val="both"/>
        <w:rPr>
          <w:noProof/>
        </w:rPr>
      </w:pPr>
    </w:p>
    <w:p>
      <w:pPr>
        <w:jc w:val="both"/>
        <w:rPr>
          <w:noProof/>
        </w:rPr>
      </w:pPr>
      <w:r>
        <w:rPr>
          <w:noProof/>
        </w:rPr>
        <w:t xml:space="preserve">Main export increases in 2018 concern machinery and mechanical appliances (+€66 million, +16%), motor vehicles, particularly cars (+€48 million, +24%), and articles of iron or steel (+€28 million, +22%). Main export decreases concern pharmaceutical products (-€77 million, -34%), ships and boats (-€30 million, -64%) and electrical machinery and equipment (-€22 million, -10%). </w:t>
      </w:r>
    </w:p>
    <w:p>
      <w:pPr>
        <w:jc w:val="both"/>
        <w:rPr>
          <w:noProof/>
        </w:rPr>
      </w:pPr>
    </w:p>
    <w:p>
      <w:pPr>
        <w:jc w:val="both"/>
        <w:rPr>
          <w:noProof/>
        </w:rPr>
      </w:pPr>
      <w:r>
        <w:rPr>
          <w:noProof/>
        </w:rPr>
        <w:t xml:space="preserve">In the </w:t>
      </w:r>
      <w:r>
        <w:rPr>
          <w:b/>
          <w:noProof/>
        </w:rPr>
        <w:t>agri-food trade</w:t>
      </w:r>
      <w:r>
        <w:rPr>
          <w:noProof/>
        </w:rPr>
        <w:t>, Côte d’Ivoire continued enjoying huge surplus of €2.8 billion due to significant exports of cocoa products, followed by tropical fruits, mainly bananas. EU agri-food exports to Côte d’Ivoire are at much lower level (€584 million, compared to €3.4 billion of agri-food imports from Côte d’Ivoire) and diversified, with wheat being the lead export product, followed by tobacco, infant food and other cereals, starch or milk preparation, wine, vegetables and offal, animal fats and other meats.</w:t>
      </w:r>
    </w:p>
    <w:p>
      <w:pPr>
        <w:pStyle w:val="Heading2"/>
        <w:ind w:left="0" w:firstLine="0"/>
      </w:pPr>
      <w:bookmarkStart w:id="4356" w:name="_Toc8833822"/>
      <w:bookmarkStart w:id="4357" w:name="_Toc8835649"/>
      <w:bookmarkStart w:id="4358" w:name="_Toc8834280"/>
      <w:bookmarkStart w:id="4359" w:name="_Toc8909741"/>
      <w:bookmarkStart w:id="4360" w:name="_Toc8910953"/>
      <w:bookmarkStart w:id="4361" w:name="_Toc8911990"/>
      <w:bookmarkStart w:id="4362" w:name="_Toc8974811"/>
      <w:bookmarkStart w:id="4363" w:name="_Toc9008464"/>
      <w:bookmarkStart w:id="4364" w:name="_Toc9008867"/>
      <w:bookmarkStart w:id="4365" w:name="_Toc9348863"/>
      <w:bookmarkStart w:id="4366" w:name="_Toc9608331"/>
      <w:bookmarkStart w:id="4367" w:name="_Toc16000886"/>
      <w:r>
        <w:t>2.2 Trade in services</w:t>
      </w:r>
      <w:bookmarkEnd w:id="4356"/>
      <w:bookmarkEnd w:id="4357"/>
      <w:bookmarkEnd w:id="4358"/>
      <w:bookmarkEnd w:id="4359"/>
      <w:bookmarkEnd w:id="4360"/>
      <w:bookmarkEnd w:id="4361"/>
      <w:bookmarkEnd w:id="4362"/>
      <w:bookmarkEnd w:id="4363"/>
      <w:bookmarkEnd w:id="4364"/>
      <w:bookmarkEnd w:id="4365"/>
      <w:bookmarkEnd w:id="4366"/>
      <w:bookmarkEnd w:id="4367"/>
    </w:p>
    <w:p>
      <w:pPr>
        <w:jc w:val="both"/>
        <w:rPr>
          <w:noProof/>
          <w:lang w:eastAsia="en-GB"/>
        </w:rPr>
      </w:pPr>
      <w:r>
        <w:rPr>
          <w:noProof/>
          <w:lang w:eastAsia="en-GB"/>
        </w:rPr>
        <w:t xml:space="preserve">The interim EPA with </w:t>
      </w:r>
      <w:r>
        <w:rPr>
          <w:noProof/>
        </w:rPr>
        <w:t xml:space="preserve">Côte d’Ivoire does not cover services. </w:t>
      </w:r>
      <w:r>
        <w:rPr>
          <w:noProof/>
          <w:lang w:eastAsia="en-GB"/>
        </w:rPr>
        <w:t xml:space="preserve">Trade in services between the EU and </w:t>
      </w:r>
      <w:r>
        <w:rPr>
          <w:noProof/>
        </w:rPr>
        <w:t xml:space="preserve">Côte d’Ivoire increased by 2.8% in 2017, due to an increase of EU exports by 9.8% or </w:t>
      </w:r>
      <w:r>
        <w:rPr>
          <w:noProof/>
          <w:lang w:val="en-IE"/>
        </w:rPr>
        <w:t xml:space="preserve">€84 million. EU services imports from </w:t>
      </w:r>
      <w:r>
        <w:rPr>
          <w:noProof/>
        </w:rPr>
        <w:t xml:space="preserve">Côte d’Ivoire decreased by 7.7% or </w:t>
      </w:r>
      <w:r>
        <w:rPr>
          <w:noProof/>
          <w:lang w:val="en-IE"/>
        </w:rPr>
        <w:t>€44 million. Total services trade balance is positive for the EU.</w:t>
      </w:r>
    </w:p>
    <w:p>
      <w:pPr>
        <w:pStyle w:val="Heading2"/>
        <w:ind w:left="0" w:firstLine="0"/>
      </w:pPr>
      <w:bookmarkStart w:id="4368" w:name="_Toc8833823"/>
      <w:bookmarkStart w:id="4369" w:name="_Toc8835650"/>
      <w:bookmarkStart w:id="4370" w:name="_Toc8834281"/>
      <w:bookmarkStart w:id="4371" w:name="_Toc8909742"/>
      <w:bookmarkStart w:id="4372" w:name="_Toc8910954"/>
      <w:bookmarkStart w:id="4373" w:name="_Toc8911991"/>
      <w:bookmarkStart w:id="4374" w:name="_Toc8974812"/>
      <w:bookmarkStart w:id="4375" w:name="_Toc9008465"/>
      <w:bookmarkStart w:id="4376" w:name="_Toc9008868"/>
      <w:bookmarkStart w:id="4377" w:name="_Toc9348864"/>
      <w:bookmarkStart w:id="4378" w:name="_Toc9608332"/>
      <w:bookmarkStart w:id="4379" w:name="_Toc16000887"/>
      <w:r>
        <w:t>2.3 Foreign Direct investment (FDI)</w:t>
      </w:r>
      <w:bookmarkEnd w:id="4368"/>
      <w:bookmarkEnd w:id="4369"/>
      <w:bookmarkEnd w:id="4370"/>
      <w:bookmarkEnd w:id="4371"/>
      <w:bookmarkEnd w:id="4372"/>
      <w:bookmarkEnd w:id="4373"/>
      <w:bookmarkEnd w:id="4374"/>
      <w:bookmarkEnd w:id="4375"/>
      <w:bookmarkEnd w:id="4376"/>
      <w:bookmarkEnd w:id="4377"/>
      <w:bookmarkEnd w:id="4378"/>
      <w:bookmarkEnd w:id="4379"/>
    </w:p>
    <w:p>
      <w:pPr>
        <w:jc w:val="both"/>
        <w:rPr>
          <w:noProof/>
          <w:lang w:val="en-IE"/>
        </w:rPr>
      </w:pPr>
      <w:r>
        <w:rPr>
          <w:noProof/>
          <w:lang w:eastAsia="en-GB"/>
        </w:rPr>
        <w:t xml:space="preserve">The interim EPA with </w:t>
      </w:r>
      <w:r>
        <w:rPr>
          <w:noProof/>
        </w:rPr>
        <w:t xml:space="preserve">Côte d’Ivoire does not include provisions on investment. </w:t>
      </w:r>
      <w:r>
        <w:rPr>
          <w:noProof/>
          <w:lang w:eastAsia="en-GB"/>
        </w:rPr>
        <w:t xml:space="preserve">EU foreign direct investment stocks in </w:t>
      </w:r>
      <w:r>
        <w:rPr>
          <w:noProof/>
        </w:rPr>
        <w:t xml:space="preserve">Côte d’Ivoire stood at </w:t>
      </w:r>
      <w:r>
        <w:rPr>
          <w:noProof/>
          <w:lang w:val="en-IE"/>
        </w:rPr>
        <w:t xml:space="preserve">€3.3 billion in 2017. New outward investment in </w:t>
      </w:r>
      <w:r>
        <w:rPr>
          <w:noProof/>
        </w:rPr>
        <w:t xml:space="preserve">Côte d’Ivoire was </w:t>
      </w:r>
      <w:r>
        <w:rPr>
          <w:noProof/>
          <w:lang w:val="en-IE"/>
        </w:rPr>
        <w:t xml:space="preserve">€263 million in 2017. </w:t>
      </w:r>
    </w:p>
    <w:p>
      <w:pPr>
        <w:jc w:val="both"/>
        <w:rPr>
          <w:noProof/>
          <w:lang w:val="en-IE"/>
        </w:rPr>
      </w:pPr>
    </w:p>
    <w:p>
      <w:pPr>
        <w:jc w:val="both"/>
        <w:rPr>
          <w:rFonts w:eastAsia="Calibri"/>
          <w:noProof/>
        </w:rPr>
      </w:pPr>
      <w:r>
        <w:rPr>
          <w:rFonts w:eastAsia="Calibri"/>
          <w:noProof/>
        </w:rPr>
        <w:t>Côte d’Ivoire is the second largest EU investment destination in West Africa after Nigeria. EU FDI accounted for over half of total FDI stocks in Côte d’Ivoire in 2016 (other important investors are Switzerland and the US; Chinese stocks are still rather limited even if inflows are increasing). The activities of the 180 European companies, represented by European Chamber of Commerce in Côte d’Ivoire, account together for 26% of GDP and have created 100,000 jobs in the country.</w:t>
      </w:r>
      <w:r>
        <w:rPr>
          <w:rStyle w:val="FootnoteReference"/>
          <w:rFonts w:eastAsia="Calibri"/>
          <w:noProof/>
        </w:rPr>
        <w:footnoteReference w:id="120"/>
      </w:r>
    </w:p>
    <w:p>
      <w:pPr>
        <w:jc w:val="both"/>
        <w:rPr>
          <w:rFonts w:eastAsia="Calibri"/>
          <w:noProof/>
        </w:rPr>
      </w:pPr>
    </w:p>
    <w:tbl>
      <w:tblPr>
        <w:tblStyle w:val="TableGrid"/>
        <w:tblW w:w="0" w:type="auto"/>
        <w:tblInd w:w="392" w:type="dxa"/>
        <w:tblLook w:val="04A0" w:firstRow="1" w:lastRow="0" w:firstColumn="1" w:lastColumn="0" w:noHBand="0" w:noVBand="1"/>
      </w:tblPr>
      <w:tblGrid>
        <w:gridCol w:w="8505"/>
      </w:tblGrid>
      <w:tr>
        <w:tc>
          <w:tcPr>
            <w:tcW w:w="8505" w:type="dxa"/>
            <w:tcBorders>
              <w:top w:val="single" w:sz="4" w:space="0" w:color="auto"/>
              <w:left w:val="single" w:sz="4" w:space="0" w:color="auto"/>
              <w:bottom w:val="single" w:sz="4" w:space="0" w:color="auto"/>
              <w:right w:val="single" w:sz="4" w:space="0" w:color="auto"/>
            </w:tcBorders>
          </w:tcPr>
          <w:p>
            <w:pPr>
              <w:jc w:val="center"/>
              <w:rPr>
                <w:b/>
                <w:noProof/>
                <w:lang w:val="en-US"/>
              </w:rPr>
            </w:pPr>
            <w:r>
              <w:rPr>
                <w:b/>
                <w:noProof/>
                <w:lang w:val="en-US"/>
              </w:rPr>
              <w:t>Gas-operated minivans for public transport, assembled in Abidjan</w:t>
            </w:r>
          </w:p>
          <w:p>
            <w:pPr>
              <w:jc w:val="both"/>
              <w:rPr>
                <w:noProof/>
                <w:lang w:val="en-US"/>
              </w:rPr>
            </w:pPr>
          </w:p>
          <w:p>
            <w:pPr>
              <w:jc w:val="both"/>
              <w:rPr>
                <w:rFonts w:eastAsia="Calibri"/>
                <w:noProof/>
              </w:rPr>
            </w:pPr>
            <w:r>
              <w:rPr>
                <w:noProof/>
                <w:lang w:val="en-US"/>
              </w:rPr>
              <w:t xml:space="preserve">One of the objectives of the EPA is to contribute to a </w:t>
            </w:r>
            <w:r>
              <w:rPr>
                <w:b/>
                <w:noProof/>
                <w:lang w:val="en-US"/>
              </w:rPr>
              <w:t>stable and conducive investment climate</w:t>
            </w:r>
            <w:r>
              <w:rPr>
                <w:noProof/>
                <w:lang w:val="en-US"/>
              </w:rPr>
              <w:t xml:space="preserve"> in the country, attracting foreign investors to produce for local, regional and international markets. EU investment in </w:t>
            </w:r>
            <w:r>
              <w:rPr>
                <w:rFonts w:eastAsia="Calibri"/>
                <w:noProof/>
              </w:rPr>
              <w:t xml:space="preserve">Côte d’Ivoire has been increasing over the past decade, reflecting the </w:t>
            </w:r>
            <w:r>
              <w:rPr>
                <w:rFonts w:eastAsia="Calibri"/>
                <w:b/>
                <w:noProof/>
              </w:rPr>
              <w:t>decisions of EU companies to locate assembly or production lines</w:t>
            </w:r>
            <w:r>
              <w:rPr>
                <w:rFonts w:eastAsia="Calibri"/>
                <w:noProof/>
              </w:rPr>
              <w:t xml:space="preserve"> in the country to increase their market share in the domestic and regional market – or even export to Europe. </w:t>
            </w:r>
          </w:p>
          <w:p>
            <w:pPr>
              <w:jc w:val="both"/>
              <w:rPr>
                <w:rFonts w:eastAsia="Calibri"/>
                <w:noProof/>
              </w:rPr>
            </w:pPr>
          </w:p>
          <w:p>
            <w:pPr>
              <w:jc w:val="both"/>
              <w:rPr>
                <w:rFonts w:eastAsia="Calibri"/>
                <w:noProof/>
              </w:rPr>
            </w:pPr>
            <w:r>
              <w:rPr>
                <w:rFonts w:eastAsia="Calibri"/>
                <w:noProof/>
              </w:rPr>
              <w:t xml:space="preserve">In 2018, the Italian automotive company </w:t>
            </w:r>
            <w:r>
              <w:rPr>
                <w:rFonts w:eastAsia="Calibri"/>
                <w:b/>
                <w:noProof/>
              </w:rPr>
              <w:t>IVECO</w:t>
            </w:r>
            <w:r>
              <w:rPr>
                <w:rFonts w:eastAsia="Calibri"/>
                <w:noProof/>
              </w:rPr>
              <w:t xml:space="preserve"> has been the latest European company to announce an investment into an assembly line in Abidjan. The announcement to invest locally follows a first agreement for the acquisition of 450 gas-powered busses and 105 waste management vehicles between IVECO, the Moroccan Premium Group, the city of Abidjan and Abidjan’s public transport company (SOTRA). </w:t>
            </w:r>
          </w:p>
          <w:p>
            <w:pPr>
              <w:jc w:val="both"/>
              <w:rPr>
                <w:rFonts w:eastAsia="Calibri"/>
                <w:noProof/>
              </w:rPr>
            </w:pPr>
          </w:p>
          <w:p>
            <w:pPr>
              <w:jc w:val="both"/>
              <w:rPr>
                <w:rFonts w:eastAsia="Calibri"/>
                <w:noProof/>
              </w:rPr>
            </w:pPr>
            <w:r>
              <w:rPr>
                <w:rFonts w:eastAsia="Calibri"/>
                <w:noProof/>
              </w:rPr>
              <w:t>Thanks to this partnership with SOTRA and the Ivorian government, IVECO is now investing</w:t>
            </w:r>
            <w:r>
              <w:rPr>
                <w:rFonts w:eastAsia="Calibri"/>
                <w:noProof/>
                <w:sz w:val="22"/>
                <w:szCs w:val="22"/>
              </w:rPr>
              <w:t xml:space="preserve"> </w:t>
            </w:r>
            <w:r>
              <w:rPr>
                <w:rFonts w:eastAsia="Calibri"/>
                <w:noProof/>
              </w:rPr>
              <w:t xml:space="preserve">in a </w:t>
            </w:r>
            <w:r>
              <w:rPr>
                <w:rFonts w:eastAsia="Calibri"/>
                <w:b/>
                <w:noProof/>
              </w:rPr>
              <w:t>local assembly plant with an initial capacity of 500 vehicles per year</w:t>
            </w:r>
            <w:r>
              <w:rPr>
                <w:rFonts w:eastAsia="Calibri"/>
                <w:noProof/>
              </w:rPr>
              <w:t xml:space="preserve"> (minivans for urban and interurban transport) to serve the local market. In a second phase, special purpose minivans are foreseen to be produced, such as vans for cold-chain transportation. This would be the first ever car assembly plant in the country. The construction of the plant was launched in August 2018 – production is expected to start in the first half of 2019. The investment of CFA 2 billion (</w:t>
            </w:r>
            <w:r>
              <w:rPr>
                <w:rFonts w:eastAsia="Calibri"/>
                <w:noProof/>
                <w:lang w:val="en-IE"/>
              </w:rPr>
              <w:t>€</w:t>
            </w:r>
            <w:r>
              <w:rPr>
                <w:rFonts w:eastAsia="Calibri"/>
                <w:noProof/>
              </w:rPr>
              <w:t xml:space="preserve">3 million) is expected to create around 500 jobs in a first phase. </w:t>
            </w:r>
          </w:p>
          <w:p>
            <w:pPr>
              <w:jc w:val="both"/>
              <w:rPr>
                <w:rFonts w:eastAsia="Calibri"/>
                <w:noProof/>
              </w:rPr>
            </w:pPr>
          </w:p>
          <w:p>
            <w:pPr>
              <w:jc w:val="both"/>
              <w:rPr>
                <w:noProof/>
                <w:sz w:val="22"/>
                <w:szCs w:val="22"/>
              </w:rPr>
            </w:pPr>
            <w:r>
              <w:rPr>
                <w:rFonts w:eastAsia="Calibri"/>
                <w:noProof/>
              </w:rPr>
              <w:t xml:space="preserve">The Ivorian government is supporting the project in order to contribute to a renewal of the Ivorian car fleet. The new minivans will also make transport in Côte d’Ivoire more </w:t>
            </w:r>
            <w:r>
              <w:rPr>
                <w:rFonts w:eastAsia="Calibri"/>
                <w:b/>
                <w:noProof/>
              </w:rPr>
              <w:t>sustainable and efficient</w:t>
            </w:r>
            <w:r>
              <w:rPr>
                <w:rFonts w:eastAsia="Calibri"/>
                <w:noProof/>
              </w:rPr>
              <w:t xml:space="preserve">, with </w:t>
            </w:r>
            <w:r>
              <w:rPr>
                <w:rFonts w:eastAsia="Calibri"/>
                <w:b/>
                <w:noProof/>
              </w:rPr>
              <w:t>lower emission rates</w:t>
            </w:r>
            <w:r>
              <w:rPr>
                <w:rFonts w:eastAsia="Calibri"/>
                <w:noProof/>
              </w:rPr>
              <w:t xml:space="preserve"> and noise disturbance, as they will mostly operate with </w:t>
            </w:r>
            <w:r>
              <w:rPr>
                <w:rFonts w:eastAsia="Calibri"/>
                <w:b/>
                <w:noProof/>
              </w:rPr>
              <w:t>natural gas</w:t>
            </w:r>
            <w:r>
              <w:rPr>
                <w:rFonts w:eastAsia="Calibri"/>
                <w:noProof/>
              </w:rPr>
              <w:t xml:space="preserve"> – a novelty in Sub-Saharan Africa.</w:t>
            </w:r>
            <w:r>
              <w:rPr>
                <w:rFonts w:eastAsia="Calibri"/>
                <w:noProof/>
                <w:sz w:val="22"/>
                <w:szCs w:val="22"/>
              </w:rPr>
              <w:t xml:space="preserve"> </w:t>
            </w:r>
          </w:p>
        </w:tc>
      </w:tr>
    </w:tbl>
    <w:p>
      <w:pPr>
        <w:rPr>
          <w:noProof/>
          <w:lang w:eastAsia="en-GB"/>
        </w:rPr>
      </w:pPr>
    </w:p>
    <w:p>
      <w:pPr>
        <w:pStyle w:val="ManualHeading1"/>
      </w:pPr>
      <w:bookmarkStart w:id="4380" w:name="_Toc8833824"/>
      <w:bookmarkStart w:id="4381" w:name="_Toc8835651"/>
      <w:bookmarkStart w:id="4382" w:name="_Toc8834282"/>
      <w:bookmarkStart w:id="4383" w:name="_Toc8909743"/>
      <w:bookmarkStart w:id="4384" w:name="_Toc8910955"/>
      <w:bookmarkStart w:id="4385" w:name="_Toc8911992"/>
      <w:bookmarkStart w:id="4386" w:name="_Toc8974813"/>
      <w:bookmarkStart w:id="4387" w:name="_Toc9008466"/>
      <w:bookmarkStart w:id="4388" w:name="_Toc9008869"/>
      <w:bookmarkStart w:id="4389" w:name="_Toc9348865"/>
      <w:bookmarkStart w:id="4390" w:name="_Toc9608333"/>
      <w:bookmarkStart w:id="4391" w:name="_Toc16000888"/>
      <w:r>
        <w:t>3.</w:t>
      </w:r>
      <w:r>
        <w:tab/>
        <w:t>Issues addressed in the annual EPA Committee meeting</w:t>
      </w:r>
      <w:bookmarkEnd w:id="4380"/>
      <w:bookmarkEnd w:id="4381"/>
      <w:bookmarkEnd w:id="4382"/>
      <w:bookmarkEnd w:id="4383"/>
      <w:bookmarkEnd w:id="4384"/>
      <w:bookmarkEnd w:id="4385"/>
      <w:bookmarkEnd w:id="4386"/>
      <w:bookmarkEnd w:id="4387"/>
      <w:bookmarkEnd w:id="4388"/>
      <w:bookmarkEnd w:id="4389"/>
      <w:bookmarkEnd w:id="4390"/>
      <w:bookmarkEnd w:id="4391"/>
    </w:p>
    <w:p>
      <w:pPr>
        <w:jc w:val="both"/>
        <w:rPr>
          <w:noProof/>
        </w:rPr>
      </w:pPr>
      <w:r>
        <w:rPr>
          <w:noProof/>
        </w:rPr>
        <w:t>The 3</w:t>
      </w:r>
      <w:r>
        <w:rPr>
          <w:noProof/>
          <w:vertAlign w:val="superscript"/>
        </w:rPr>
        <w:t>rd</w:t>
      </w:r>
      <w:r>
        <w:rPr>
          <w:noProof/>
        </w:rPr>
        <w:t xml:space="preserve"> EPA Committee meeting between Côte d’Ivoire and the EU took place in April 2019. The parties took stock of the liberalisation process in Côte d’Ivoire, which started on 1</w:t>
      </w:r>
      <w:r>
        <w:rPr>
          <w:noProof/>
          <w:vertAlign w:val="superscript"/>
        </w:rPr>
        <w:t>st</w:t>
      </w:r>
      <w:r>
        <w:rPr>
          <w:noProof/>
        </w:rPr>
        <w:t xml:space="preserve"> January 2019, as well as the preparation of the dispute settlement framework under the EPA. The parties also discussed the first joint monitoring report on the implementation of the EPA and agreed to finalize the report in the second half of 2019. The parties furthermore exchanged views on an on-going study to assess the impact of the iEPA on regional integration in the West African region. </w:t>
      </w:r>
    </w:p>
    <w:p>
      <w:pPr>
        <w:jc w:val="both"/>
        <w:rPr>
          <w:noProof/>
        </w:rPr>
      </w:pPr>
    </w:p>
    <w:p>
      <w:pPr>
        <w:jc w:val="both"/>
        <w:rPr>
          <w:noProof/>
        </w:rPr>
      </w:pPr>
      <w:r>
        <w:rPr>
          <w:noProof/>
        </w:rPr>
        <w:t xml:space="preserve">In Côte d’Ivoire, a technical group on sustainable development was established under the presidency of civil society groups, to promote feedback from civil society on EPA implementation and impact. The group is formally part of the “Commission Nationale APE”, the governing body in charge of implementing the iEPA in Cote d’Ivoire. The technical group on sustainable development reported to the EPA Committee on its first meeting and provided a number of recommendations on how to tackle questions of sustainable development in the framework of the EPA and how to organise future collaboration between the Ivorian and European civil society. </w:t>
      </w:r>
    </w:p>
    <w:p>
      <w:pPr>
        <w:pStyle w:val="ManualHeading1"/>
      </w:pPr>
      <w:bookmarkStart w:id="4392" w:name="_Toc8833825"/>
      <w:bookmarkStart w:id="4393" w:name="_Toc8835652"/>
      <w:bookmarkStart w:id="4394" w:name="_Toc8834283"/>
      <w:bookmarkStart w:id="4395" w:name="_Toc8909744"/>
      <w:bookmarkStart w:id="4396" w:name="_Toc8910956"/>
      <w:bookmarkStart w:id="4397" w:name="_Toc8911993"/>
      <w:bookmarkStart w:id="4398" w:name="_Toc8974814"/>
      <w:bookmarkStart w:id="4399" w:name="_Toc9008467"/>
      <w:bookmarkStart w:id="4400" w:name="_Toc9008870"/>
      <w:bookmarkStart w:id="4401" w:name="_Toc9348866"/>
      <w:bookmarkStart w:id="4402" w:name="_Toc9608334"/>
      <w:bookmarkStart w:id="4403" w:name="_Toc16000889"/>
      <w:r>
        <w:t>4.</w:t>
      </w:r>
      <w:r>
        <w:tab/>
        <w:t>Development Cooperation</w:t>
      </w:r>
      <w:bookmarkEnd w:id="4392"/>
      <w:bookmarkEnd w:id="4393"/>
      <w:bookmarkEnd w:id="4394"/>
      <w:bookmarkEnd w:id="4395"/>
      <w:bookmarkEnd w:id="4396"/>
      <w:bookmarkEnd w:id="4397"/>
      <w:bookmarkEnd w:id="4398"/>
      <w:bookmarkEnd w:id="4399"/>
      <w:bookmarkEnd w:id="4400"/>
      <w:bookmarkEnd w:id="4401"/>
      <w:bookmarkEnd w:id="4402"/>
      <w:bookmarkEnd w:id="4403"/>
    </w:p>
    <w:p>
      <w:pPr>
        <w:jc w:val="both"/>
        <w:rPr>
          <w:noProof/>
        </w:rPr>
      </w:pPr>
      <w:r>
        <w:rPr>
          <w:noProof/>
        </w:rPr>
        <w:t xml:space="preserve">Development cooperation, particularly trade-related assistance, is an important pillar of the EPA, as it contributes to operationalizing the development dimension of the partnership. </w:t>
      </w:r>
    </w:p>
    <w:p>
      <w:pPr>
        <w:jc w:val="both"/>
        <w:rPr>
          <w:noProof/>
        </w:rPr>
      </w:pPr>
      <w:r>
        <w:rPr>
          <w:noProof/>
        </w:rPr>
        <w:t xml:space="preserve">In 2018, the EU already supported Côte d’Ivoire in undertaking an </w:t>
      </w:r>
      <w:r>
        <w:rPr>
          <w:b/>
          <w:noProof/>
        </w:rPr>
        <w:t>impact study</w:t>
      </w:r>
      <w:r>
        <w:rPr>
          <w:noProof/>
        </w:rPr>
        <w:t xml:space="preserve"> to determine the potential effects of the interim EPA on regional integration and regional trade in West Africa, and suggest mediation measures. </w:t>
      </w:r>
    </w:p>
    <w:p>
      <w:pPr>
        <w:jc w:val="both"/>
        <w:rPr>
          <w:noProof/>
        </w:rPr>
      </w:pPr>
    </w:p>
    <w:p>
      <w:pPr>
        <w:jc w:val="both"/>
        <w:rPr>
          <w:noProof/>
          <w:lang w:val="en-IE"/>
        </w:rPr>
      </w:pPr>
      <w:r>
        <w:rPr>
          <w:noProof/>
        </w:rPr>
        <w:t xml:space="preserve">The EU provides budget support to Côte d’Ivoire under a </w:t>
      </w:r>
      <w:r>
        <w:rPr>
          <w:b/>
          <w:bCs/>
          <w:noProof/>
        </w:rPr>
        <w:t>good governance budget support contract (€</w:t>
      </w:r>
      <w:r>
        <w:rPr>
          <w:b/>
          <w:bCs/>
          <w:noProof/>
          <w:lang w:val="en-IE"/>
        </w:rPr>
        <w:t>60 million, 2016-2020)</w:t>
      </w:r>
      <w:r>
        <w:rPr>
          <w:noProof/>
          <w:lang w:val="en-IE"/>
        </w:rPr>
        <w:t xml:space="preserve"> with the aim to improve economic governance and the investment climate overall. Another budget support operation on-going is the </w:t>
      </w:r>
      <w:r>
        <w:rPr>
          <w:b/>
          <w:bCs/>
          <w:i/>
          <w:noProof/>
          <w:lang w:val="en-IE"/>
        </w:rPr>
        <w:t>Programme d'appui au foncier rural</w:t>
      </w:r>
      <w:r>
        <w:rPr>
          <w:b/>
          <w:bCs/>
          <w:noProof/>
          <w:lang w:val="en-IE"/>
        </w:rPr>
        <w:t xml:space="preserve"> (PAFR) (€41 million 2016-2022) </w:t>
      </w:r>
      <w:r>
        <w:rPr>
          <w:noProof/>
          <w:lang w:val="en-IE"/>
        </w:rPr>
        <w:t xml:space="preserve">which aims at investing in rural infrastructure, agricultural modernisation and security in rural areas. </w:t>
      </w:r>
    </w:p>
    <w:p>
      <w:pPr>
        <w:jc w:val="both"/>
        <w:rPr>
          <w:noProof/>
        </w:rPr>
      </w:pPr>
    </w:p>
    <w:p>
      <w:pPr>
        <w:jc w:val="both"/>
        <w:rPr>
          <w:noProof/>
        </w:rPr>
      </w:pPr>
      <w:r>
        <w:rPr>
          <w:noProof/>
        </w:rPr>
        <w:t xml:space="preserve">The </w:t>
      </w:r>
      <w:r>
        <w:rPr>
          <w:b/>
          <w:bCs/>
          <w:noProof/>
        </w:rPr>
        <w:t>Côte d’Ivoire</w:t>
      </w:r>
      <w:r>
        <w:rPr>
          <w:noProof/>
        </w:rPr>
        <w:t xml:space="preserve"> </w:t>
      </w:r>
      <w:r>
        <w:rPr>
          <w:b/>
          <w:bCs/>
          <w:noProof/>
        </w:rPr>
        <w:t>EPA Implementation Strategy</w:t>
      </w:r>
      <w:r>
        <w:rPr>
          <w:noProof/>
        </w:rPr>
        <w:t xml:space="preserve"> was adopted in October 2017. A dedicated EU-financed programme (€5 million in </w:t>
      </w:r>
      <w:r>
        <w:rPr>
          <w:b/>
          <w:bCs/>
          <w:noProof/>
        </w:rPr>
        <w:t>support of EPA implementation</w:t>
      </w:r>
      <w:r>
        <w:rPr>
          <w:noProof/>
        </w:rPr>
        <w:t xml:space="preserve">) and hence the operationalisation of the strategy, is currently under preparation. It will promote customs cooperation on tariff and non-tariff issues and provide support to reduce barriers to trade. The programme will also assist relevant government actors with other reforms related to the implementation of the EPA, including transition in taxation (diversification of fiscal revenues away from customs income) and the establishment of trade defence instruments.   </w:t>
      </w:r>
    </w:p>
    <w:p>
      <w:pPr>
        <w:jc w:val="both"/>
        <w:rPr>
          <w:noProof/>
        </w:rPr>
      </w:pPr>
    </w:p>
    <w:p>
      <w:pPr>
        <w:jc w:val="both"/>
        <w:rPr>
          <w:noProof/>
        </w:rPr>
      </w:pPr>
      <w:r>
        <w:rPr>
          <w:noProof/>
        </w:rPr>
        <w:t xml:space="preserve">Côte d'Ivoire is benefiting from the regional </w:t>
      </w:r>
      <w:r>
        <w:rPr>
          <w:b/>
          <w:bCs/>
          <w:noProof/>
        </w:rPr>
        <w:t xml:space="preserve">West Africa Competitiveness programme </w:t>
      </w:r>
      <w:r>
        <w:rPr>
          <w:noProof/>
        </w:rPr>
        <w:t xml:space="preserve">that aims at: (1) Upgrading and supporting consortia of companies in target sectors and value chains; (2) Strengthening the capacities of the Private Sector Intermediary Organizations that will serve as a lever for modernization, competitiveness and growth for SMEs; (3) Improving the overall business regulatory environment. The national component for Côte d'Ivoire (PACIR II) is €9 million and will further consolidate results achieved under the previous Trade and Regional Integration support programme (PACIR I, €16 million, 2010-2015). The project will start operations in 2019. </w:t>
      </w:r>
    </w:p>
    <w:p>
      <w:pPr>
        <w:jc w:val="both"/>
        <w:rPr>
          <w:noProof/>
        </w:rPr>
      </w:pPr>
    </w:p>
    <w:p>
      <w:pPr>
        <w:jc w:val="both"/>
        <w:rPr>
          <w:noProof/>
        </w:rPr>
      </w:pPr>
      <w:r>
        <w:rPr>
          <w:noProof/>
        </w:rPr>
        <w:t xml:space="preserve">Côte d’Ivoire will also benefit from the other regional programmes, including the </w:t>
      </w:r>
      <w:r>
        <w:rPr>
          <w:b/>
          <w:bCs/>
          <w:noProof/>
        </w:rPr>
        <w:t>West Africa Trade Facilitation Programme (€20 million EU contribution)</w:t>
      </w:r>
      <w:r>
        <w:rPr>
          <w:noProof/>
        </w:rPr>
        <w:t xml:space="preserve"> that aims at improving regional trade measures and movement of goods along selected priority corridors including the Abidjan - Ouagadougou corridor and also </w:t>
      </w:r>
      <w:r>
        <w:rPr>
          <w:b/>
          <w:bCs/>
          <w:noProof/>
        </w:rPr>
        <w:t xml:space="preserve">regional infrastructure investment programmes </w:t>
      </w:r>
      <w:r>
        <w:rPr>
          <w:noProof/>
        </w:rPr>
        <w:t xml:space="preserve">that foresee an investment of €28.6 million on the Bamako-San Pedro corridor between Mali and Côte d’Ivoire, as well as €9.43 million for pre-studies on the construction of a motorway between Abidjan and Lagos. </w:t>
      </w:r>
    </w:p>
    <w:p>
      <w:pPr>
        <w:pStyle w:val="ManualHeading1"/>
      </w:pPr>
      <w:bookmarkStart w:id="4404" w:name="_Toc8833826"/>
      <w:bookmarkStart w:id="4405" w:name="_Toc8835653"/>
      <w:bookmarkStart w:id="4406" w:name="_Toc8834284"/>
      <w:bookmarkStart w:id="4407" w:name="_Toc8909745"/>
      <w:bookmarkStart w:id="4408" w:name="_Toc8910957"/>
      <w:bookmarkStart w:id="4409" w:name="_Toc8911994"/>
      <w:bookmarkStart w:id="4410" w:name="_Toc8974815"/>
      <w:bookmarkStart w:id="4411" w:name="_Toc9008468"/>
      <w:bookmarkStart w:id="4412" w:name="_Toc9008871"/>
      <w:bookmarkStart w:id="4413" w:name="_Toc9348867"/>
      <w:bookmarkStart w:id="4414" w:name="_Toc9608335"/>
      <w:bookmarkStart w:id="4415" w:name="_Toc16000890"/>
      <w:r>
        <w:t>5.</w:t>
      </w:r>
      <w:r>
        <w:tab/>
        <w:t>Progress made, main open issues and follow-up actions</w:t>
      </w:r>
      <w:bookmarkEnd w:id="4404"/>
      <w:bookmarkEnd w:id="4405"/>
      <w:bookmarkEnd w:id="4406"/>
      <w:bookmarkEnd w:id="4407"/>
      <w:bookmarkEnd w:id="4408"/>
      <w:bookmarkEnd w:id="4409"/>
      <w:bookmarkEnd w:id="4410"/>
      <w:bookmarkEnd w:id="4411"/>
      <w:bookmarkEnd w:id="4412"/>
      <w:bookmarkEnd w:id="4413"/>
      <w:bookmarkEnd w:id="4414"/>
      <w:bookmarkEnd w:id="4415"/>
    </w:p>
    <w:p>
      <w:pPr>
        <w:rPr>
          <w:noProof/>
        </w:rPr>
      </w:pPr>
      <w:r>
        <w:rPr>
          <w:noProof/>
        </w:rPr>
        <w:t xml:space="preserve">Côte d’Ivoire is becoming the driving force behind trade integration and liberalisation in West Africa. It is implementing the EPA despite a difficult regional situation, with Nigeria blocking progress towards both the regional EPA, as well as free movement of goods within ECOWAS itself. </w:t>
      </w:r>
    </w:p>
    <w:p>
      <w:pPr>
        <w:rPr>
          <w:noProof/>
        </w:rPr>
      </w:pPr>
    </w:p>
    <w:p>
      <w:pPr>
        <w:spacing w:after="120"/>
        <w:jc w:val="both"/>
        <w:rPr>
          <w:noProof/>
          <w:lang w:val="en-IE"/>
        </w:rPr>
      </w:pPr>
      <w:r>
        <w:rPr>
          <w:noProof/>
        </w:rPr>
        <w:t xml:space="preserve">As mentioned above, Côte d’Ivoire commissioned a study with the financial support of the EU to measure the impact of the interim EPAs (Côte d’Ivoire and Ghana) on regional trade. A </w:t>
      </w:r>
      <w:r>
        <w:rPr>
          <w:noProof/>
          <w:lang w:val="en-IE"/>
        </w:rPr>
        <w:t xml:space="preserve">technical workshop took place in Abidjan on 7-8 May 2019 to present its results and recommendations to EPA stakeholders in Côte d'Ivoire, Ghana, Burkina, Mali and to the regional organisations </w:t>
      </w:r>
      <w:r>
        <w:rPr>
          <w:noProof/>
        </w:rPr>
        <w:t>West African Economic and Monetary Union (WAEMU)</w:t>
      </w:r>
      <w:r>
        <w:rPr>
          <w:noProof/>
          <w:lang w:val="en-IE"/>
        </w:rPr>
        <w:t xml:space="preserve"> and the </w:t>
      </w:r>
      <w:r>
        <w:rPr>
          <w:noProof/>
        </w:rPr>
        <w:t xml:space="preserve">Economic Community of West African States (ECOWAS). </w:t>
      </w:r>
    </w:p>
    <w:p>
      <w:pPr>
        <w:spacing w:after="120"/>
        <w:jc w:val="both"/>
        <w:rPr>
          <w:noProof/>
          <w:lang w:val="en-IE"/>
        </w:rPr>
      </w:pPr>
      <w:r>
        <w:rPr>
          <w:noProof/>
        </w:rPr>
        <w:t xml:space="preserve">The study shows that the possible impact is limited in terms of trade flows (affecting 2% of regional trade), products (about 15 products) and affected countries (2 countries). Trade distortions might thus occur but focused on few products and with limited scale. The study provides pragmatic solutions to mitigate the risk of distortion. Due to the progressive liberalisation, effects may become more significant as from 2024 for Côte d'Ivoire and 2026 for Ghana. In the medium and long term, the best solution would be of course to adopt the regional EPA. </w:t>
      </w:r>
    </w:p>
    <w:p>
      <w:pPr>
        <w:pStyle w:val="ManualHeading1"/>
      </w:pPr>
      <w:bookmarkStart w:id="4416" w:name="_Toc8833827"/>
      <w:bookmarkStart w:id="4417" w:name="_Toc8835654"/>
      <w:bookmarkStart w:id="4418" w:name="_Toc8834285"/>
      <w:bookmarkStart w:id="4419" w:name="_Toc8909746"/>
      <w:bookmarkStart w:id="4420" w:name="_Toc8910958"/>
      <w:bookmarkStart w:id="4421" w:name="_Toc8911995"/>
      <w:bookmarkStart w:id="4422" w:name="_Toc8974816"/>
      <w:bookmarkStart w:id="4423" w:name="_Toc9008469"/>
      <w:bookmarkStart w:id="4424" w:name="_Toc9008872"/>
      <w:bookmarkStart w:id="4425" w:name="_Toc9348868"/>
      <w:bookmarkStart w:id="4426" w:name="_Toc9608336"/>
      <w:bookmarkStart w:id="4427" w:name="_Toc16000891"/>
      <w:r>
        <w:t>6.</w:t>
      </w:r>
      <w:r>
        <w:tab/>
        <w:t>Conclusions and outlook</w:t>
      </w:r>
      <w:bookmarkEnd w:id="4416"/>
      <w:bookmarkEnd w:id="4417"/>
      <w:bookmarkEnd w:id="4418"/>
      <w:bookmarkEnd w:id="4419"/>
      <w:bookmarkEnd w:id="4420"/>
      <w:bookmarkEnd w:id="4421"/>
      <w:bookmarkEnd w:id="4422"/>
      <w:bookmarkEnd w:id="4423"/>
      <w:bookmarkEnd w:id="4424"/>
      <w:bookmarkEnd w:id="4425"/>
      <w:bookmarkEnd w:id="4426"/>
      <w:bookmarkEnd w:id="4427"/>
    </w:p>
    <w:p>
      <w:pPr>
        <w:jc w:val="both"/>
        <w:rPr>
          <w:noProof/>
        </w:rPr>
      </w:pPr>
      <w:r>
        <w:rPr>
          <w:noProof/>
        </w:rPr>
        <w:t>Côte d'Ivoire started the liberalisation of its market for EU exporters on 1</w:t>
      </w:r>
      <w:r>
        <w:rPr>
          <w:noProof/>
          <w:vertAlign w:val="superscript"/>
        </w:rPr>
        <w:t>st</w:t>
      </w:r>
      <w:r>
        <w:rPr>
          <w:noProof/>
        </w:rPr>
        <w:t xml:space="preserve"> of January 2019. This is an important step in EU trade's relationship with Côte d’Ivoire, making it the first country in West Africa to open its market in the context of the EPAs. Both parties are engaged to closely monitor and evaluate the process, including in cooperation with the regional organisations West African Economic and Monetary Union (WAEMU) and Economic Community of West African States (ECOWAS). </w:t>
      </w:r>
      <w:r>
        <w:rPr>
          <w:noProof/>
          <w:lang w:val="en-US"/>
        </w:rPr>
        <w:t>The EU will support Côte d'Ivoire in the implementation of the EPA through trade related development assistance.</w:t>
      </w:r>
    </w:p>
    <w:p>
      <w:pPr>
        <w:pStyle w:val="ManualHeading1"/>
      </w:pPr>
      <w:bookmarkStart w:id="4428" w:name="_Toc8833828"/>
      <w:bookmarkStart w:id="4429" w:name="_Toc8835655"/>
      <w:bookmarkStart w:id="4430" w:name="_Toc8834286"/>
      <w:bookmarkStart w:id="4431" w:name="_Toc8909747"/>
      <w:bookmarkStart w:id="4432" w:name="_Toc8910959"/>
      <w:bookmarkStart w:id="4433" w:name="_Toc8911996"/>
      <w:bookmarkStart w:id="4434" w:name="_Toc8974817"/>
      <w:bookmarkStart w:id="4435" w:name="_Toc9008470"/>
      <w:bookmarkStart w:id="4436" w:name="_Toc9008873"/>
      <w:bookmarkStart w:id="4437" w:name="_Toc9348869"/>
      <w:bookmarkStart w:id="4438" w:name="_Toc9608337"/>
      <w:bookmarkStart w:id="4439" w:name="_Toc16000892"/>
      <w:r>
        <w:t>7.</w:t>
      </w:r>
      <w:r>
        <w:tab/>
        <w:t>Statistics</w:t>
      </w:r>
      <w:bookmarkEnd w:id="4428"/>
      <w:bookmarkEnd w:id="4429"/>
      <w:bookmarkEnd w:id="4430"/>
      <w:bookmarkEnd w:id="4431"/>
      <w:bookmarkEnd w:id="4432"/>
      <w:bookmarkEnd w:id="4433"/>
      <w:bookmarkEnd w:id="4434"/>
      <w:bookmarkEnd w:id="4435"/>
      <w:bookmarkEnd w:id="4436"/>
      <w:bookmarkEnd w:id="4437"/>
      <w:bookmarkEnd w:id="4438"/>
      <w:bookmarkEnd w:id="4439"/>
    </w:p>
    <w:tbl>
      <w:tblPr>
        <w:tblW w:w="8307" w:type="dxa"/>
        <w:tblInd w:w="108" w:type="dxa"/>
        <w:tblLook w:val="04A0" w:firstRow="1" w:lastRow="0" w:firstColumn="1" w:lastColumn="0" w:noHBand="0" w:noVBand="1"/>
      </w:tblPr>
      <w:tblGrid>
        <w:gridCol w:w="3947"/>
        <w:gridCol w:w="856"/>
        <w:gridCol w:w="856"/>
        <w:gridCol w:w="936"/>
        <w:gridCol w:w="856"/>
        <w:gridCol w:w="856"/>
      </w:tblGrid>
      <w:tr>
        <w:trPr>
          <w:trHeight w:val="210"/>
        </w:trPr>
        <w:tc>
          <w:tcPr>
            <w:tcW w:w="8307" w:type="dxa"/>
            <w:gridSpan w:val="6"/>
            <w:tcBorders>
              <w:left w:val="nil"/>
              <w:bottom w:val="nil"/>
              <w:right w:val="nil"/>
            </w:tcBorders>
            <w:shd w:val="clear" w:color="000000" w:fill="FFFFFF"/>
            <w:noWrap/>
            <w:vAlign w:val="center"/>
            <w:hideMark/>
          </w:tcPr>
          <w:p>
            <w:pPr>
              <w:jc w:val="center"/>
              <w:rPr>
                <w:rFonts w:eastAsia="Times New Roman"/>
                <w:b/>
                <w:noProof/>
                <w:sz w:val="16"/>
                <w:szCs w:val="16"/>
                <w:lang w:val="fr-BE" w:eastAsia="en-IE"/>
              </w:rPr>
            </w:pPr>
            <w:r>
              <w:rPr>
                <w:rFonts w:eastAsia="Times New Roman"/>
                <w:b/>
                <w:noProof/>
                <w:sz w:val="16"/>
                <w:szCs w:val="16"/>
                <w:lang w:val="fr-BE" w:eastAsia="en-IE"/>
              </w:rPr>
              <w:t xml:space="preserve">Merchandise trade EU28 </w:t>
            </w:r>
            <w:r>
              <w:rPr>
                <w:rFonts w:eastAsia="Times New Roman"/>
                <w:b/>
                <w:bCs/>
                <w:noProof/>
                <w:sz w:val="16"/>
                <w:szCs w:val="16"/>
                <w:lang w:val="fr-BE" w:eastAsia="en-IE"/>
              </w:rPr>
              <w:t xml:space="preserve">with Côte d'Ivoire </w:t>
            </w:r>
            <w:r>
              <w:rPr>
                <w:rFonts w:eastAsia="Times New Roman"/>
                <w:b/>
                <w:noProof/>
                <w:sz w:val="16"/>
                <w:szCs w:val="16"/>
                <w:lang w:val="fr-BE" w:eastAsia="en-IE"/>
              </w:rPr>
              <w:t>2014-2018</w:t>
            </w:r>
          </w:p>
        </w:tc>
      </w:tr>
      <w:tr>
        <w:trPr>
          <w:trHeight w:val="210"/>
        </w:trPr>
        <w:tc>
          <w:tcPr>
            <w:tcW w:w="3947" w:type="dxa"/>
            <w:tcBorders>
              <w:top w:val="single" w:sz="4" w:space="0" w:color="auto"/>
              <w:left w:val="nil"/>
              <w:bottom w:val="single" w:sz="4" w:space="0" w:color="auto"/>
              <w:right w:val="nil"/>
            </w:tcBorders>
            <w:shd w:val="clear" w:color="000000" w:fill="FFFFFF"/>
            <w:noWrap/>
            <w:vAlign w:val="bottom"/>
            <w:hideMark/>
          </w:tcPr>
          <w:p>
            <w:pPr>
              <w:rPr>
                <w:rFonts w:eastAsia="Times New Roman"/>
                <w:b/>
                <w:noProof/>
                <w:sz w:val="16"/>
                <w:szCs w:val="16"/>
                <w:lang w:val="fr-BE" w:eastAsia="en-IE"/>
              </w:rPr>
            </w:pPr>
            <w:r>
              <w:rPr>
                <w:rFonts w:eastAsia="Times New Roman"/>
                <w:b/>
                <w:noProof/>
                <w:sz w:val="16"/>
                <w:szCs w:val="16"/>
                <w:lang w:val="fr-BE" w:eastAsia="en-IE"/>
              </w:rPr>
              <w:t> </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noProof/>
                <w:sz w:val="16"/>
                <w:szCs w:val="16"/>
                <w:lang w:val="en-IE" w:eastAsia="en-IE"/>
              </w:rPr>
            </w:pPr>
            <w:r>
              <w:rPr>
                <w:rFonts w:eastAsia="Times New Roman"/>
                <w:b/>
                <w:noProof/>
                <w:sz w:val="16"/>
                <w:szCs w:val="16"/>
                <w:lang w:val="en-IE" w:eastAsia="en-IE"/>
              </w:rPr>
              <w:t>2014</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noProof/>
                <w:sz w:val="16"/>
                <w:szCs w:val="16"/>
                <w:lang w:val="en-IE" w:eastAsia="en-IE"/>
              </w:rPr>
            </w:pPr>
            <w:r>
              <w:rPr>
                <w:rFonts w:eastAsia="Times New Roman"/>
                <w:b/>
                <w:noProof/>
                <w:sz w:val="16"/>
                <w:szCs w:val="16"/>
                <w:lang w:val="en-IE" w:eastAsia="en-IE"/>
              </w:rPr>
              <w:t>2015</w:t>
            </w:r>
          </w:p>
        </w:tc>
        <w:tc>
          <w:tcPr>
            <w:tcW w:w="93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noProof/>
                <w:sz w:val="16"/>
                <w:szCs w:val="16"/>
                <w:lang w:val="en-IE" w:eastAsia="en-IE"/>
              </w:rPr>
            </w:pPr>
            <w:r>
              <w:rPr>
                <w:rFonts w:eastAsia="Times New Roman"/>
                <w:b/>
                <w:noProof/>
                <w:sz w:val="16"/>
                <w:szCs w:val="16"/>
                <w:lang w:val="en-IE" w:eastAsia="en-IE"/>
              </w:rPr>
              <w:t>2016</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noProof/>
                <w:sz w:val="16"/>
                <w:szCs w:val="16"/>
                <w:lang w:val="en-IE" w:eastAsia="en-IE"/>
              </w:rPr>
            </w:pPr>
            <w:r>
              <w:rPr>
                <w:rFonts w:eastAsia="Times New Roman"/>
                <w:b/>
                <w:noProof/>
                <w:sz w:val="16"/>
                <w:szCs w:val="16"/>
                <w:lang w:val="en-IE" w:eastAsia="en-IE"/>
              </w:rPr>
              <w:t>2017</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noProof/>
                <w:sz w:val="16"/>
                <w:szCs w:val="16"/>
                <w:lang w:val="en-IE" w:eastAsia="en-IE"/>
              </w:rPr>
            </w:pPr>
            <w:r>
              <w:rPr>
                <w:rFonts w:eastAsia="Times New Roman"/>
                <w:b/>
                <w:noProof/>
                <w:sz w:val="16"/>
                <w:szCs w:val="16"/>
                <w:lang w:val="en-IE" w:eastAsia="en-IE"/>
              </w:rPr>
              <w:t>2018</w:t>
            </w:r>
          </w:p>
        </w:tc>
      </w:tr>
      <w:tr>
        <w:trPr>
          <w:trHeight w:val="210"/>
        </w:trPr>
        <w:tc>
          <w:tcPr>
            <w:tcW w:w="3947" w:type="dxa"/>
            <w:tcBorders>
              <w:top w:val="nil"/>
              <w:left w:val="nil"/>
              <w:bottom w:val="nil"/>
              <w:right w:val="nil"/>
            </w:tcBorders>
            <w:shd w:val="clear" w:color="000000" w:fill="FFFFFF"/>
            <w:noWrap/>
            <w:vAlign w:val="center"/>
            <w:hideMark/>
          </w:tcPr>
          <w:p>
            <w:pPr>
              <w:rPr>
                <w:rFonts w:eastAsia="Times New Roman"/>
                <w:b/>
                <w:i/>
                <w:noProof/>
                <w:sz w:val="16"/>
                <w:szCs w:val="16"/>
                <w:lang w:val="fr-BE" w:eastAsia="en-IE"/>
              </w:rPr>
            </w:pPr>
            <w:r>
              <w:rPr>
                <w:rFonts w:eastAsia="Times New Roman"/>
                <w:b/>
                <w:i/>
                <w:noProof/>
                <w:sz w:val="16"/>
                <w:szCs w:val="16"/>
                <w:lang w:val="fr-BE" w:eastAsia="en-IE"/>
              </w:rPr>
              <w:t xml:space="preserve">EU28 trade with </w:t>
            </w:r>
            <w:r>
              <w:rPr>
                <w:rFonts w:eastAsia="Times New Roman"/>
                <w:b/>
                <w:bCs/>
                <w:i/>
                <w:iCs/>
                <w:noProof/>
                <w:sz w:val="16"/>
                <w:szCs w:val="16"/>
                <w:lang w:val="fr-BE" w:eastAsia="en-IE"/>
              </w:rPr>
              <w:t>Côte d'Ivoire</w:t>
            </w:r>
            <w:r>
              <w:rPr>
                <w:rFonts w:eastAsia="Times New Roman"/>
                <w:b/>
                <w:i/>
                <w:noProof/>
                <w:sz w:val="16"/>
                <w:szCs w:val="16"/>
                <w:lang w:val="fr-BE" w:eastAsia="en-IE"/>
              </w:rPr>
              <w:t xml:space="preserve"> (mio €)</w:t>
            </w:r>
          </w:p>
        </w:tc>
        <w:tc>
          <w:tcPr>
            <w:tcW w:w="856" w:type="dxa"/>
            <w:tcBorders>
              <w:top w:val="nil"/>
              <w:left w:val="nil"/>
              <w:bottom w:val="nil"/>
              <w:right w:val="nil"/>
            </w:tcBorders>
            <w:shd w:val="clear" w:color="auto" w:fill="auto"/>
            <w:noWrap/>
            <w:vAlign w:val="center"/>
            <w:hideMark/>
          </w:tcPr>
          <w:p>
            <w:pPr>
              <w:jc w:val="center"/>
              <w:rPr>
                <w:rFonts w:eastAsia="Times New Roman"/>
                <w:b/>
                <w:i/>
                <w:noProof/>
                <w:sz w:val="16"/>
                <w:szCs w:val="16"/>
                <w:lang w:val="fr-BE" w:eastAsia="en-IE"/>
              </w:rPr>
            </w:pPr>
          </w:p>
        </w:tc>
        <w:tc>
          <w:tcPr>
            <w:tcW w:w="856" w:type="dxa"/>
            <w:tcBorders>
              <w:top w:val="nil"/>
              <w:left w:val="nil"/>
              <w:bottom w:val="nil"/>
              <w:right w:val="nil"/>
            </w:tcBorders>
            <w:shd w:val="clear" w:color="000000" w:fill="FFFFFF"/>
            <w:noWrap/>
            <w:vAlign w:val="center"/>
            <w:hideMark/>
          </w:tcPr>
          <w:p>
            <w:pPr>
              <w:rPr>
                <w:rFonts w:eastAsia="Times New Roman"/>
                <w:b/>
                <w:i/>
                <w:noProof/>
                <w:sz w:val="16"/>
                <w:szCs w:val="16"/>
                <w:lang w:val="fr-BE" w:eastAsia="en-IE"/>
              </w:rPr>
            </w:pPr>
            <w:r>
              <w:rPr>
                <w:rFonts w:eastAsia="Times New Roman"/>
                <w:b/>
                <w:i/>
                <w:noProof/>
                <w:sz w:val="16"/>
                <w:szCs w:val="16"/>
                <w:lang w:val="fr-BE" w:eastAsia="en-IE"/>
              </w:rPr>
              <w:t> </w:t>
            </w:r>
          </w:p>
        </w:tc>
        <w:tc>
          <w:tcPr>
            <w:tcW w:w="936" w:type="dxa"/>
            <w:tcBorders>
              <w:top w:val="nil"/>
              <w:left w:val="nil"/>
              <w:bottom w:val="nil"/>
              <w:right w:val="nil"/>
            </w:tcBorders>
            <w:shd w:val="clear" w:color="000000" w:fill="FFFFFF"/>
            <w:noWrap/>
            <w:vAlign w:val="center"/>
            <w:hideMark/>
          </w:tcPr>
          <w:p>
            <w:pPr>
              <w:rPr>
                <w:rFonts w:eastAsia="Times New Roman"/>
                <w:b/>
                <w:i/>
                <w:noProof/>
                <w:sz w:val="16"/>
                <w:szCs w:val="16"/>
                <w:lang w:val="fr-BE" w:eastAsia="en-IE"/>
              </w:rPr>
            </w:pPr>
            <w:r>
              <w:rPr>
                <w:rFonts w:eastAsia="Times New Roman"/>
                <w:b/>
                <w:i/>
                <w:noProof/>
                <w:sz w:val="16"/>
                <w:szCs w:val="16"/>
                <w:lang w:val="fr-B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i/>
                <w:noProof/>
                <w:sz w:val="16"/>
                <w:szCs w:val="16"/>
                <w:lang w:val="fr-BE" w:eastAsia="en-IE"/>
              </w:rPr>
            </w:pPr>
            <w:r>
              <w:rPr>
                <w:rFonts w:eastAsia="Times New Roman"/>
                <w:b/>
                <w:i/>
                <w:noProof/>
                <w:sz w:val="16"/>
                <w:szCs w:val="16"/>
                <w:lang w:val="fr-B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i/>
                <w:noProof/>
                <w:sz w:val="16"/>
                <w:szCs w:val="16"/>
                <w:lang w:val="fr-BE" w:eastAsia="en-IE"/>
              </w:rPr>
            </w:pPr>
            <w:r>
              <w:rPr>
                <w:rFonts w:eastAsia="Times New Roman"/>
                <w:b/>
                <w:i/>
                <w:noProof/>
                <w:sz w:val="16"/>
                <w:szCs w:val="16"/>
                <w:lang w:val="fr-BE" w:eastAsia="en-IE"/>
              </w:rPr>
              <w:t> </w:t>
            </w:r>
          </w:p>
        </w:tc>
      </w:tr>
      <w:tr>
        <w:trPr>
          <w:trHeight w:val="210"/>
        </w:trPr>
        <w:tc>
          <w:tcPr>
            <w:tcW w:w="394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3.256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4.255</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4.573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4.641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4.404</w:t>
            </w:r>
          </w:p>
        </w:tc>
      </w:tr>
      <w:tr>
        <w:trPr>
          <w:trHeight w:val="210"/>
        </w:trPr>
        <w:tc>
          <w:tcPr>
            <w:tcW w:w="394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2.310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2.672</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2.437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2.846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2.742</w:t>
            </w:r>
          </w:p>
        </w:tc>
      </w:tr>
      <w:tr>
        <w:trPr>
          <w:trHeight w:val="210"/>
        </w:trPr>
        <w:tc>
          <w:tcPr>
            <w:tcW w:w="394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-946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-1.583</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-2.136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-1.795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-1.662</w:t>
            </w:r>
          </w:p>
        </w:tc>
      </w:tr>
      <w:tr>
        <w:trPr>
          <w:trHeight w:val="210"/>
        </w:trPr>
        <w:tc>
          <w:tcPr>
            <w:tcW w:w="8307" w:type="dxa"/>
            <w:gridSpan w:val="6"/>
            <w:tcBorders>
              <w:top w:val="nil"/>
              <w:left w:val="nil"/>
              <w:bottom w:val="nil"/>
              <w:right w:val="nil"/>
            </w:tcBorders>
            <w:shd w:val="clear" w:color="000000" w:fill="FFFFFF"/>
            <w:noWrap/>
            <w:vAlign w:val="center"/>
            <w:hideMark/>
          </w:tcPr>
          <w:p>
            <w:pPr>
              <w:rPr>
                <w:rFonts w:eastAsia="Times New Roman"/>
                <w:b/>
                <w:i/>
                <w:noProof/>
                <w:sz w:val="16"/>
                <w:szCs w:val="16"/>
                <w:lang w:val="en-IE" w:eastAsia="en-IE"/>
              </w:rPr>
            </w:pPr>
            <w:r>
              <w:rPr>
                <w:rFonts w:eastAsia="Times New Roman"/>
                <w:b/>
                <w:bCs/>
                <w:i/>
                <w:iCs/>
                <w:noProof/>
                <w:sz w:val="16"/>
                <w:szCs w:val="16"/>
                <w:lang w:val="en-IE" w:eastAsia="en-IE"/>
              </w:rPr>
              <w:t>Share Côte d'Ivoire in EU28 trade with Extra-EU28 </w:t>
            </w:r>
          </w:p>
        </w:tc>
      </w:tr>
      <w:tr>
        <w:trPr>
          <w:trHeight w:val="210"/>
        </w:trPr>
        <w:tc>
          <w:tcPr>
            <w:tcW w:w="394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r>
      <w:tr>
        <w:trPr>
          <w:trHeight w:val="210"/>
        </w:trPr>
        <w:tc>
          <w:tcPr>
            <w:tcW w:w="394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r>
      <w:tr>
        <w:trPr>
          <w:trHeight w:val="210"/>
        </w:trPr>
        <w:tc>
          <w:tcPr>
            <w:tcW w:w="394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r>
      <w:tr>
        <w:trPr>
          <w:trHeight w:val="210"/>
        </w:trPr>
        <w:tc>
          <w:tcPr>
            <w:tcW w:w="8307" w:type="dxa"/>
            <w:gridSpan w:val="6"/>
            <w:tcBorders>
              <w:top w:val="nil"/>
              <w:left w:val="nil"/>
              <w:bottom w:val="nil"/>
              <w:right w:val="nil"/>
            </w:tcBorders>
            <w:shd w:val="clear" w:color="000000" w:fill="FFFFFF"/>
            <w:noWrap/>
            <w:vAlign w:val="center"/>
            <w:hideMark/>
          </w:tcPr>
          <w:p>
            <w:pPr>
              <w:rPr>
                <w:rFonts w:eastAsia="Times New Roman"/>
                <w:b/>
                <w:i/>
                <w:noProof/>
                <w:sz w:val="16"/>
                <w:szCs w:val="16"/>
                <w:lang w:val="en-IE" w:eastAsia="en-IE"/>
              </w:rPr>
            </w:pPr>
            <w:r>
              <w:rPr>
                <w:rFonts w:eastAsia="Times New Roman"/>
                <w:b/>
                <w:i/>
                <w:noProof/>
                <w:sz w:val="16"/>
                <w:szCs w:val="16"/>
                <w:lang w:val="en-IE" w:eastAsia="en-IE"/>
              </w:rPr>
              <w:t xml:space="preserve">Share EU28 in trade </w:t>
            </w:r>
            <w:r>
              <w:rPr>
                <w:rFonts w:eastAsia="Times New Roman"/>
                <w:b/>
                <w:bCs/>
                <w:i/>
                <w:iCs/>
                <w:noProof/>
                <w:sz w:val="16"/>
                <w:szCs w:val="16"/>
                <w:lang w:val="en-IE" w:eastAsia="en-IE"/>
              </w:rPr>
              <w:t>Côte d'Ivoire</w:t>
            </w:r>
            <w:r>
              <w:rPr>
                <w:rFonts w:eastAsia="Times New Roman"/>
                <w:b/>
                <w:i/>
                <w:noProof/>
                <w:sz w:val="16"/>
                <w:szCs w:val="16"/>
                <w:lang w:val="en-IE" w:eastAsia="en-IE"/>
              </w:rPr>
              <w:t xml:space="preserve"> with world</w:t>
            </w:r>
          </w:p>
        </w:tc>
      </w:tr>
      <w:tr>
        <w:trPr>
          <w:trHeight w:val="210"/>
        </w:trPr>
        <w:tc>
          <w:tcPr>
            <w:tcW w:w="394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33,1%</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31,1%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37,2%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37,2%</w:t>
            </w:r>
          </w:p>
        </w:tc>
      </w:tr>
      <w:tr>
        <w:trPr>
          <w:trHeight w:val="210"/>
        </w:trPr>
        <w:tc>
          <w:tcPr>
            <w:tcW w:w="394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35,3%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42,1%</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40,7%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40,7%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41,2%</w:t>
            </w:r>
          </w:p>
        </w:tc>
      </w:tr>
      <w:tr>
        <w:trPr>
          <w:trHeight w:val="210"/>
        </w:trPr>
        <w:tc>
          <w:tcPr>
            <w:tcW w:w="394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31,4%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38,1%</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36,4%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39,2%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39,3%</w:t>
            </w:r>
          </w:p>
        </w:tc>
      </w:tr>
      <w:tr>
        <w:trPr>
          <w:trHeight w:val="225"/>
        </w:trPr>
        <w:tc>
          <w:tcPr>
            <w:tcW w:w="8307" w:type="dxa"/>
            <w:gridSpan w:val="6"/>
            <w:tcBorders>
              <w:top w:val="single" w:sz="4" w:space="0" w:color="auto"/>
              <w:left w:val="nil"/>
              <w:bottom w:val="nil"/>
              <w:right w:val="nil"/>
            </w:tcBorders>
            <w:shd w:val="clear" w:color="000000" w:fill="FFFFFF"/>
            <w:noWrap/>
            <w:vAlign w:val="bottom"/>
            <w:hideMark/>
          </w:tcPr>
          <w:p>
            <w:pPr>
              <w:rPr>
                <w:rFonts w:eastAsia="Times New Roman"/>
                <w:i/>
                <w:noProof/>
                <w:sz w:val="16"/>
                <w:szCs w:val="16"/>
                <w:lang w:val="en-IE" w:eastAsia="en-IE"/>
              </w:rPr>
            </w:pPr>
            <w:r>
              <w:rPr>
                <w:rFonts w:eastAsia="Times New Roman"/>
                <w:i/>
                <w:noProof/>
                <w:sz w:val="16"/>
                <w:szCs w:val="16"/>
                <w:lang w:val="en-IE" w:eastAsia="en-IE"/>
              </w:rPr>
              <w:t xml:space="preserve">Source Trade G2 Statistics/ISDB, </w:t>
            </w:r>
          </w:p>
        </w:tc>
      </w:tr>
      <w:tr>
        <w:trPr>
          <w:trHeight w:val="210"/>
        </w:trPr>
        <w:tc>
          <w:tcPr>
            <w:tcW w:w="7451" w:type="dxa"/>
            <w:gridSpan w:val="5"/>
            <w:tcBorders>
              <w:top w:val="nil"/>
              <w:left w:val="nil"/>
              <w:bottom w:val="nil"/>
              <w:right w:val="nil"/>
            </w:tcBorders>
            <w:shd w:val="clear" w:color="000000" w:fill="FFFFFF"/>
            <w:noWrap/>
            <w:hideMark/>
          </w:tcPr>
          <w:p>
            <w:pPr>
              <w:rPr>
                <w:rFonts w:eastAsia="Times New Roman"/>
                <w:i/>
                <w:noProof/>
                <w:color w:val="000000"/>
                <w:sz w:val="16"/>
                <w:szCs w:val="16"/>
                <w:lang w:val="en-IE" w:eastAsia="en-IE"/>
              </w:rPr>
            </w:pPr>
            <w:r>
              <w:rPr>
                <w:rFonts w:eastAsia="Times New Roman"/>
                <w:i/>
                <w:noProof/>
                <w:color w:val="000000"/>
                <w:sz w:val="16"/>
                <w:szCs w:val="16"/>
                <w:lang w:val="en-IE" w:eastAsia="en-IE"/>
              </w:rPr>
              <w:t>Trade EU28: Eurostat COMEXT;  Trade Ivory Coast: IMF Dots</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10"/>
        </w:trPr>
        <w:tc>
          <w:tcPr>
            <w:tcW w:w="3947" w:type="dxa"/>
            <w:tcBorders>
              <w:top w:val="nil"/>
              <w:left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936" w:type="dxa"/>
            <w:tcBorders>
              <w:top w:val="nil"/>
              <w:left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25"/>
        </w:trPr>
        <w:tc>
          <w:tcPr>
            <w:tcW w:w="8307" w:type="dxa"/>
            <w:gridSpan w:val="6"/>
            <w:tcBorders>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 of merchandise trade EU28 with Côte d'Ivoire (mio €)</w:t>
            </w:r>
          </w:p>
        </w:tc>
      </w:tr>
      <w:tr>
        <w:trPr>
          <w:trHeight w:val="225"/>
        </w:trPr>
        <w:tc>
          <w:tcPr>
            <w:tcW w:w="4803"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Côte d'Ivoire</w:t>
            </w:r>
          </w:p>
        </w:tc>
        <w:tc>
          <w:tcPr>
            <w:tcW w:w="85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93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71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803" w:type="dxa"/>
            <w:gridSpan w:val="2"/>
            <w:vMerge/>
            <w:tcBorders>
              <w:top w:val="single" w:sz="4" w:space="0" w:color="auto"/>
              <w:left w:val="nil"/>
              <w:bottom w:val="single" w:sz="4" w:space="0" w:color="000000"/>
              <w:right w:val="nil"/>
            </w:tcBorders>
            <w:vAlign w:val="center"/>
            <w:hideMark/>
          </w:tcPr>
          <w:p>
            <w:pPr>
              <w:jc w:val="center"/>
              <w:rPr>
                <w:rFonts w:eastAsia="Times New Roman"/>
                <w:b/>
                <w:bCs/>
                <w:noProof/>
                <w:sz w:val="16"/>
                <w:szCs w:val="16"/>
                <w:lang w:val="en-IE" w:eastAsia="en-IE"/>
              </w:rPr>
            </w:pPr>
          </w:p>
        </w:tc>
        <w:tc>
          <w:tcPr>
            <w:tcW w:w="856" w:type="dxa"/>
            <w:vMerge/>
            <w:tcBorders>
              <w:top w:val="single" w:sz="4" w:space="0" w:color="auto"/>
              <w:left w:val="nil"/>
              <w:bottom w:val="single" w:sz="4" w:space="0" w:color="000000"/>
              <w:right w:val="nil"/>
            </w:tcBorders>
            <w:vAlign w:val="center"/>
            <w:hideMark/>
          </w:tcPr>
          <w:p>
            <w:pPr>
              <w:jc w:val="center"/>
              <w:rPr>
                <w:rFonts w:eastAsia="Times New Roman"/>
                <w:b/>
                <w:bCs/>
                <w:noProof/>
                <w:sz w:val="16"/>
                <w:szCs w:val="16"/>
                <w:lang w:val="en-IE" w:eastAsia="en-IE"/>
              </w:rPr>
            </w:pPr>
          </w:p>
        </w:tc>
        <w:tc>
          <w:tcPr>
            <w:tcW w:w="936" w:type="dxa"/>
            <w:vMerge/>
            <w:tcBorders>
              <w:top w:val="single" w:sz="4" w:space="0" w:color="auto"/>
              <w:left w:val="nil"/>
              <w:bottom w:val="single" w:sz="4" w:space="0" w:color="000000"/>
              <w:right w:val="nil"/>
            </w:tcBorders>
            <w:vAlign w:val="center"/>
            <w:hideMark/>
          </w:tcPr>
          <w:p>
            <w:pPr>
              <w:jc w:val="center"/>
              <w:rPr>
                <w:rFonts w:eastAsia="Times New Roman"/>
                <w:b/>
                <w:bCs/>
                <w:noProof/>
                <w:sz w:val="16"/>
                <w:szCs w:val="16"/>
                <w:lang w:val="en-IE" w:eastAsia="en-IE"/>
              </w:rPr>
            </w:pPr>
          </w:p>
        </w:tc>
        <w:tc>
          <w:tcPr>
            <w:tcW w:w="856" w:type="dxa"/>
            <w:tcBorders>
              <w:top w:val="nil"/>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56" w:type="dxa"/>
            <w:tcBorders>
              <w:top w:val="nil"/>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94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4.641</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4.404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-5,1%</w:t>
            </w:r>
          </w:p>
        </w:tc>
      </w:tr>
      <w:tr>
        <w:trPr>
          <w:trHeight w:val="225"/>
        </w:trPr>
        <w:tc>
          <w:tcPr>
            <w:tcW w:w="394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2.846</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2.742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-3,7%</w:t>
            </w:r>
          </w:p>
        </w:tc>
      </w:tr>
      <w:tr>
        <w:trPr>
          <w:trHeight w:val="225"/>
        </w:trPr>
        <w:tc>
          <w:tcPr>
            <w:tcW w:w="394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-1.795</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-1.662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133</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947"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7.488</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7.145</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-342</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-4,6%</w:t>
            </w:r>
          </w:p>
        </w:tc>
      </w:tr>
      <w:tr>
        <w:trPr>
          <w:trHeight w:val="240"/>
        </w:trPr>
        <w:tc>
          <w:tcPr>
            <w:tcW w:w="6595" w:type="dxa"/>
            <w:gridSpan w:val="4"/>
            <w:tcBorders>
              <w:top w:val="single" w:sz="4" w:space="0" w:color="auto"/>
              <w:left w:val="nil"/>
              <w:right w:val="nil"/>
            </w:tcBorders>
            <w:shd w:val="clear" w:color="000000" w:fill="FFFFFF"/>
            <w:noWrap/>
            <w:hideMark/>
          </w:tcPr>
          <w:p>
            <w:pPr>
              <w:rPr>
                <w:rFonts w:eastAsia="Times New Roman"/>
                <w:i/>
                <w:noProof/>
                <w:sz w:val="16"/>
                <w:szCs w:val="16"/>
                <w:lang w:val="en-IE" w:eastAsia="en-IE"/>
              </w:rPr>
            </w:pPr>
            <w:r>
              <w:rPr>
                <w:rFonts w:eastAsia="Times New Roman"/>
                <w:i/>
                <w:noProof/>
                <w:sz w:val="16"/>
                <w:szCs w:val="16"/>
                <w:lang w:val="en-IE" w:eastAsia="en-IE"/>
              </w:rPr>
              <w:t>Source Trade G2 Statistics/ISDB from Eurostat COMEXT</w:t>
            </w:r>
          </w:p>
          <w:p>
            <w:pPr>
              <w:rPr>
                <w:rFonts w:eastAsia="Times New Roman"/>
                <w:noProof/>
                <w:sz w:val="16"/>
                <w:szCs w:val="16"/>
                <w:lang w:val="en-IE" w:eastAsia="en-IE"/>
              </w:rPr>
            </w:pPr>
          </w:p>
        </w:tc>
        <w:tc>
          <w:tcPr>
            <w:tcW w:w="856" w:type="dxa"/>
            <w:tcBorders>
              <w:top w:val="nil"/>
              <w:left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8307" w:type="dxa"/>
            <w:gridSpan w:val="6"/>
            <w:tcBorders>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Agrifood trade EU28 with Côte d'Ivoire (mio €)</w:t>
            </w:r>
          </w:p>
        </w:tc>
      </w:tr>
      <w:tr>
        <w:trPr>
          <w:trHeight w:val="255"/>
        </w:trPr>
        <w:tc>
          <w:tcPr>
            <w:tcW w:w="4803"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Côte d'Ivoire</w:t>
            </w:r>
          </w:p>
        </w:tc>
        <w:tc>
          <w:tcPr>
            <w:tcW w:w="85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93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71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803"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93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94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3.543</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3.361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-5,2%</w:t>
            </w:r>
          </w:p>
        </w:tc>
      </w:tr>
      <w:tr>
        <w:trPr>
          <w:trHeight w:val="225"/>
        </w:trPr>
        <w:tc>
          <w:tcPr>
            <w:tcW w:w="394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575</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584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w:t>
            </w:r>
          </w:p>
        </w:tc>
      </w:tr>
      <w:tr>
        <w:trPr>
          <w:trHeight w:val="225"/>
        </w:trPr>
        <w:tc>
          <w:tcPr>
            <w:tcW w:w="394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-2.968</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-2.777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191</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947"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4.118</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3.944</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-174</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-4,2%</w:t>
            </w:r>
          </w:p>
        </w:tc>
      </w:tr>
      <w:tr>
        <w:trPr>
          <w:trHeight w:val="240"/>
        </w:trPr>
        <w:tc>
          <w:tcPr>
            <w:tcW w:w="6595" w:type="dxa"/>
            <w:gridSpan w:val="4"/>
            <w:tcBorders>
              <w:top w:val="single" w:sz="4" w:space="0" w:color="auto"/>
              <w:left w:val="nil"/>
              <w:bottom w:val="nil"/>
              <w:right w:val="nil"/>
            </w:tcBorders>
            <w:shd w:val="clear" w:color="000000" w:fill="FFFFFF"/>
            <w:noWrap/>
            <w:hideMark/>
          </w:tcPr>
          <w:p>
            <w:pPr>
              <w:rPr>
                <w:rFonts w:eastAsia="Times New Roman"/>
                <w:i/>
                <w:noProof/>
                <w:sz w:val="16"/>
                <w:szCs w:val="16"/>
                <w:lang w:val="en-IE" w:eastAsia="en-IE"/>
              </w:rPr>
            </w:pPr>
            <w:r>
              <w:rPr>
                <w:rFonts w:eastAsia="Times New Roman"/>
                <w:i/>
                <w:noProof/>
                <w:sz w:val="16"/>
                <w:szCs w:val="16"/>
                <w:lang w:val="en-IE" w:eastAsia="en-IE"/>
              </w:rPr>
              <w:t>Source Trade G2 Statistics/ISDB from Eurostat COMEXT</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8307"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fr-BE" w:eastAsia="en-IE"/>
              </w:rPr>
            </w:pPr>
            <w:r>
              <w:rPr>
                <w:rFonts w:eastAsia="Times New Roman"/>
                <w:b/>
                <w:bCs/>
                <w:noProof/>
                <w:sz w:val="16"/>
                <w:szCs w:val="16"/>
                <w:lang w:val="fr-BE" w:eastAsia="en-IE"/>
              </w:rPr>
              <w:t>NAMA trade EU28 with Côte d'Ivoire (mio €)</w:t>
            </w:r>
          </w:p>
        </w:tc>
      </w:tr>
      <w:tr>
        <w:trPr>
          <w:trHeight w:val="225"/>
        </w:trPr>
        <w:tc>
          <w:tcPr>
            <w:tcW w:w="4803"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Côte d'Ivoire</w:t>
            </w:r>
          </w:p>
        </w:tc>
        <w:tc>
          <w:tcPr>
            <w:tcW w:w="85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93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71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803"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93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4803"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1.098</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1.043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-5,0%</w:t>
            </w:r>
          </w:p>
        </w:tc>
      </w:tr>
      <w:tr>
        <w:trPr>
          <w:trHeight w:val="225"/>
        </w:trPr>
        <w:tc>
          <w:tcPr>
            <w:tcW w:w="4803"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2.271</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2.158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-5,0%</w:t>
            </w:r>
          </w:p>
        </w:tc>
      </w:tr>
      <w:tr>
        <w:trPr>
          <w:trHeight w:val="225"/>
        </w:trPr>
        <w:tc>
          <w:tcPr>
            <w:tcW w:w="394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1.173</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1.115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-58</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94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3.369</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3.201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-168</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-5,0%</w:t>
            </w:r>
          </w:p>
        </w:tc>
      </w:tr>
      <w:tr>
        <w:trPr>
          <w:trHeight w:val="240"/>
        </w:trPr>
        <w:tc>
          <w:tcPr>
            <w:tcW w:w="6595" w:type="dxa"/>
            <w:gridSpan w:val="4"/>
            <w:tcBorders>
              <w:top w:val="single" w:sz="4" w:space="0" w:color="auto"/>
              <w:left w:val="nil"/>
              <w:bottom w:val="nil"/>
              <w:right w:val="nil"/>
            </w:tcBorders>
            <w:shd w:val="clear" w:color="000000" w:fill="FFFFFF"/>
            <w:noWrap/>
            <w:hideMark/>
          </w:tcPr>
          <w:p>
            <w:pPr>
              <w:rPr>
                <w:rFonts w:eastAsia="Times New Roman"/>
                <w:i/>
                <w:noProof/>
                <w:sz w:val="16"/>
                <w:szCs w:val="16"/>
                <w:lang w:val="en-IE" w:eastAsia="en-IE"/>
              </w:rPr>
            </w:pPr>
            <w:r>
              <w:rPr>
                <w:rFonts w:eastAsia="Times New Roman"/>
                <w:i/>
                <w:noProof/>
                <w:sz w:val="16"/>
                <w:szCs w:val="16"/>
                <w:lang w:val="en-IE" w:eastAsia="en-IE"/>
              </w:rPr>
              <w:t>Source Trade G2 Statistics/ISDB from Eurostat COMEXT</w:t>
            </w:r>
          </w:p>
        </w:tc>
        <w:tc>
          <w:tcPr>
            <w:tcW w:w="856" w:type="dxa"/>
            <w:tcBorders>
              <w:top w:val="single" w:sz="4" w:space="0" w:color="auto"/>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8307" w:type="dxa"/>
            <w:gridSpan w:val="6"/>
            <w:tcBorders>
              <w:top w:val="nil"/>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 of Services trade EU28 with Côte d'Ivoire (mio €)</w:t>
            </w:r>
          </w:p>
        </w:tc>
      </w:tr>
      <w:tr>
        <w:trPr>
          <w:trHeight w:val="225"/>
        </w:trPr>
        <w:tc>
          <w:tcPr>
            <w:tcW w:w="4803"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Côte d'Ivoire</w:t>
            </w:r>
          </w:p>
        </w:tc>
        <w:tc>
          <w:tcPr>
            <w:tcW w:w="856"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936"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171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803"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936"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94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579</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534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-7,7%</w:t>
            </w:r>
          </w:p>
        </w:tc>
      </w:tr>
      <w:tr>
        <w:trPr>
          <w:trHeight w:val="225"/>
        </w:trPr>
        <w:tc>
          <w:tcPr>
            <w:tcW w:w="394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854</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938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9,8%</w:t>
            </w:r>
          </w:p>
        </w:tc>
      </w:tr>
      <w:tr>
        <w:trPr>
          <w:trHeight w:val="225"/>
        </w:trPr>
        <w:tc>
          <w:tcPr>
            <w:tcW w:w="394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275</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404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128</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947"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1.433</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1.472</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40</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2,8%</w:t>
            </w:r>
          </w:p>
        </w:tc>
      </w:tr>
      <w:tr>
        <w:trPr>
          <w:trHeight w:val="240"/>
        </w:trPr>
        <w:tc>
          <w:tcPr>
            <w:tcW w:w="7451" w:type="dxa"/>
            <w:gridSpan w:val="5"/>
            <w:tcBorders>
              <w:top w:val="nil"/>
              <w:left w:val="nil"/>
              <w:bottom w:val="nil"/>
              <w:right w:val="nil"/>
            </w:tcBorders>
            <w:shd w:val="clear" w:color="000000" w:fill="FFFFFF"/>
            <w:noWrap/>
            <w:hideMark/>
          </w:tcPr>
          <w:p>
            <w:pPr>
              <w:rPr>
                <w:rFonts w:eastAsia="Times New Roman"/>
                <w:i/>
                <w:noProof/>
                <w:sz w:val="16"/>
                <w:szCs w:val="16"/>
                <w:lang w:val="en-IE" w:eastAsia="en-IE"/>
              </w:rPr>
            </w:pPr>
            <w:r>
              <w:rPr>
                <w:rFonts w:eastAsia="Times New Roman"/>
                <w:i/>
                <w:noProof/>
                <w:sz w:val="16"/>
                <w:szCs w:val="16"/>
                <w:lang w:val="en-IE" w:eastAsia="en-IE"/>
              </w:rPr>
              <w:t>Source Trade G2 Statistics/ISDB from Eurostat BOP statistics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40"/>
        </w:trPr>
        <w:tc>
          <w:tcPr>
            <w:tcW w:w="8307"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fr-BE" w:eastAsia="en-IE"/>
              </w:rPr>
            </w:pPr>
            <w:r>
              <w:rPr>
                <w:rFonts w:eastAsia="Times New Roman"/>
                <w:b/>
                <w:bCs/>
                <w:noProof/>
                <w:sz w:val="16"/>
                <w:szCs w:val="16"/>
                <w:lang w:val="fr-BE" w:eastAsia="en-IE"/>
              </w:rPr>
              <w:t>Services trade EU28 with Côte d'Ivoire (mio €)</w:t>
            </w:r>
          </w:p>
        </w:tc>
      </w:tr>
      <w:tr>
        <w:trPr>
          <w:trHeight w:val="225"/>
        </w:trPr>
        <w:tc>
          <w:tcPr>
            <w:tcW w:w="3947"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val="fr-BE" w:eastAsia="en-IE"/>
              </w:rPr>
            </w:pPr>
            <w:r>
              <w:rPr>
                <w:rFonts w:eastAsia="Times New Roman"/>
                <w:noProof/>
                <w:sz w:val="16"/>
                <w:szCs w:val="16"/>
                <w:lang w:val="fr-BE" w:eastAsia="en-IE"/>
              </w:rPr>
              <w:t> </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93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394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410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478</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673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579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534</w:t>
            </w:r>
          </w:p>
        </w:tc>
      </w:tr>
      <w:tr>
        <w:trPr>
          <w:trHeight w:val="225"/>
        </w:trPr>
        <w:tc>
          <w:tcPr>
            <w:tcW w:w="394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928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793</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827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854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938</w:t>
            </w:r>
          </w:p>
        </w:tc>
      </w:tr>
      <w:tr>
        <w:trPr>
          <w:trHeight w:val="225"/>
        </w:trPr>
        <w:tc>
          <w:tcPr>
            <w:tcW w:w="394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518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315</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404</w:t>
            </w:r>
          </w:p>
        </w:tc>
      </w:tr>
      <w:tr>
        <w:trPr>
          <w:trHeight w:val="225"/>
        </w:trPr>
        <w:tc>
          <w:tcPr>
            <w:tcW w:w="3947"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1.338</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1.271</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1.500</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1.433</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1.472</w:t>
            </w:r>
          </w:p>
        </w:tc>
      </w:tr>
      <w:tr>
        <w:trPr>
          <w:trHeight w:val="225"/>
        </w:trPr>
        <w:tc>
          <w:tcPr>
            <w:tcW w:w="7451" w:type="dxa"/>
            <w:gridSpan w:val="5"/>
            <w:tcBorders>
              <w:top w:val="nil"/>
              <w:left w:val="nil"/>
              <w:bottom w:val="nil"/>
              <w:right w:val="nil"/>
            </w:tcBorders>
            <w:shd w:val="clear" w:color="000000" w:fill="FFFFFF"/>
            <w:noWrap/>
            <w:hideMark/>
          </w:tcPr>
          <w:p>
            <w:pPr>
              <w:rPr>
                <w:rFonts w:eastAsia="Times New Roman"/>
                <w:i/>
                <w:noProof/>
                <w:sz w:val="16"/>
                <w:szCs w:val="16"/>
                <w:lang w:val="en-IE" w:eastAsia="en-IE"/>
              </w:rPr>
            </w:pPr>
            <w:r>
              <w:rPr>
                <w:rFonts w:eastAsia="Times New Roman"/>
                <w:i/>
                <w:noProof/>
                <w:sz w:val="16"/>
                <w:szCs w:val="16"/>
                <w:lang w:val="en-IE" w:eastAsia="en-IE"/>
              </w:rPr>
              <w:t>Source Trade G2 Statistics/ISDB from Eurostat BOP statistics</w:t>
            </w:r>
          </w:p>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8307"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Foreign Direct Investment (FDI) EU28 with Côte d'Ivoire (mio €)</w:t>
            </w:r>
          </w:p>
        </w:tc>
      </w:tr>
      <w:tr>
        <w:trPr>
          <w:trHeight w:val="225"/>
        </w:trPr>
        <w:tc>
          <w:tcPr>
            <w:tcW w:w="3947"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93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8307"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Stocks</w:t>
            </w:r>
          </w:p>
        </w:tc>
      </w:tr>
      <w:tr>
        <w:trPr>
          <w:trHeight w:val="225"/>
        </w:trPr>
        <w:tc>
          <w:tcPr>
            <w:tcW w:w="394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582</w:t>
            </w:r>
          </w:p>
        </w:tc>
      </w:tr>
      <w:tr>
        <w:trPr>
          <w:trHeight w:val="225"/>
        </w:trPr>
        <w:tc>
          <w:tcPr>
            <w:tcW w:w="394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2.875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3.695</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3.817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3.616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3.364</w:t>
            </w:r>
          </w:p>
        </w:tc>
      </w:tr>
      <w:tr>
        <w:trPr>
          <w:trHeight w:val="225"/>
        </w:trPr>
        <w:tc>
          <w:tcPr>
            <w:tcW w:w="8307"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Flows</w:t>
            </w:r>
          </w:p>
        </w:tc>
      </w:tr>
      <w:tr>
        <w:trPr>
          <w:trHeight w:val="225"/>
        </w:trPr>
        <w:tc>
          <w:tcPr>
            <w:tcW w:w="394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35</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668</w:t>
            </w:r>
          </w:p>
        </w:tc>
      </w:tr>
      <w:tr>
        <w:trPr>
          <w:trHeight w:val="225"/>
        </w:trPr>
        <w:tc>
          <w:tcPr>
            <w:tcW w:w="394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125</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-75</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729</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106</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263</w:t>
            </w:r>
          </w:p>
        </w:tc>
      </w:tr>
      <w:tr>
        <w:trPr>
          <w:trHeight w:val="225"/>
        </w:trPr>
        <w:tc>
          <w:tcPr>
            <w:tcW w:w="8307" w:type="dxa"/>
            <w:gridSpan w:val="6"/>
            <w:tcBorders>
              <w:top w:val="single" w:sz="4" w:space="0" w:color="auto"/>
              <w:left w:val="nil"/>
              <w:bottom w:val="nil"/>
              <w:right w:val="nil"/>
            </w:tcBorders>
            <w:shd w:val="clear" w:color="000000" w:fill="FFFFFF"/>
            <w:noWrap/>
            <w:hideMark/>
          </w:tcPr>
          <w:p>
            <w:pPr>
              <w:rPr>
                <w:rFonts w:eastAsia="Times New Roman"/>
                <w:i/>
                <w:noProof/>
                <w:sz w:val="16"/>
                <w:szCs w:val="16"/>
                <w:lang w:val="en-IE" w:eastAsia="en-IE"/>
              </w:rPr>
            </w:pPr>
            <w:r>
              <w:rPr>
                <w:rFonts w:eastAsia="Times New Roman"/>
                <w:i/>
                <w:noProof/>
                <w:sz w:val="16"/>
                <w:szCs w:val="16"/>
                <w:lang w:val="en-IE" w:eastAsia="en-IE"/>
              </w:rPr>
              <w:t>Source Trade G2 Statistics/ISDB from Eurostat BOP statistics</w:t>
            </w:r>
          </w:p>
          <w:p>
            <w:pPr>
              <w:rPr>
                <w:rFonts w:eastAsia="Times New Roman"/>
                <w:noProof/>
                <w:sz w:val="16"/>
                <w:szCs w:val="16"/>
                <w:lang w:val="en-IE" w:eastAsia="en-IE"/>
              </w:rPr>
            </w:pPr>
            <w:r>
              <w:rPr>
                <w:rFonts w:eastAsia="Times New Roman"/>
                <w:noProof/>
                <w:sz w:val="16"/>
                <w:szCs w:val="16"/>
                <w:lang w:val="en-IE" w:eastAsia="en-IE"/>
              </w:rPr>
              <w:t>  </w:t>
            </w:r>
          </w:p>
        </w:tc>
      </w:tr>
    </w:tbl>
    <w:p>
      <w:pPr>
        <w:rPr>
          <w:noProof/>
          <w:sz w:val="16"/>
          <w:szCs w:val="16"/>
          <w:lang w:val="en-IE"/>
        </w:rPr>
      </w:pPr>
    </w:p>
    <w:p>
      <w:pPr>
        <w:spacing w:after="200" w:line="276" w:lineRule="auto"/>
        <w:rPr>
          <w:noProof/>
          <w:sz w:val="16"/>
          <w:szCs w:val="16"/>
        </w:rPr>
      </w:pPr>
      <w:r>
        <w:rPr>
          <w:noProof/>
          <w:sz w:val="16"/>
          <w:szCs w:val="16"/>
        </w:rPr>
        <w:br w:type="page"/>
      </w:r>
    </w:p>
    <w:p>
      <w:pPr>
        <w:pStyle w:val="ChapterHead"/>
        <w:jc w:val="both"/>
        <w:rPr>
          <w:b/>
          <w:noProof/>
        </w:rPr>
      </w:pPr>
      <w:bookmarkStart w:id="4440" w:name="_Toc8833829"/>
      <w:bookmarkStart w:id="4441" w:name="_Toc8835656"/>
      <w:bookmarkStart w:id="4442" w:name="_Toc8834287"/>
      <w:bookmarkStart w:id="4443" w:name="_Toc8909748"/>
      <w:bookmarkStart w:id="4444" w:name="_Toc8910960"/>
      <w:bookmarkStart w:id="4445" w:name="_Toc8911997"/>
      <w:bookmarkStart w:id="4446" w:name="_Toc8974818"/>
      <w:bookmarkStart w:id="4447" w:name="_Toc9008471"/>
      <w:bookmarkStart w:id="4448" w:name="_Toc9008874"/>
      <w:bookmarkStart w:id="4449" w:name="_Toc9348870"/>
      <w:bookmarkStart w:id="4450" w:name="_Toc9608338"/>
      <w:bookmarkStart w:id="4451" w:name="_Toc16000893"/>
      <w:r>
        <w:rPr>
          <w:b/>
          <w:noProof/>
        </w:rPr>
        <w:t>ANNUAL INFO SHEET ON THE IMPLEMENTATION OF THE ECONOMIC PARTNERSHIP AGREEMENT (EPA) BETWEEN THE EU AND GHANA</w:t>
      </w:r>
      <w:bookmarkEnd w:id="4440"/>
      <w:bookmarkEnd w:id="4441"/>
      <w:bookmarkEnd w:id="4442"/>
      <w:bookmarkEnd w:id="4443"/>
      <w:bookmarkEnd w:id="4444"/>
      <w:bookmarkEnd w:id="4445"/>
      <w:bookmarkEnd w:id="4446"/>
      <w:bookmarkEnd w:id="4447"/>
      <w:bookmarkEnd w:id="4448"/>
      <w:bookmarkEnd w:id="4449"/>
      <w:bookmarkEnd w:id="4450"/>
      <w:bookmarkEnd w:id="4451"/>
    </w:p>
    <w:p>
      <w:pPr>
        <w:pStyle w:val="ManualHeading1"/>
      </w:pPr>
      <w:bookmarkStart w:id="4452" w:name="_Toc8833830"/>
      <w:bookmarkStart w:id="4453" w:name="_Toc8835657"/>
      <w:bookmarkStart w:id="4454" w:name="_Toc8834288"/>
      <w:bookmarkStart w:id="4455" w:name="_Toc8909749"/>
      <w:bookmarkStart w:id="4456" w:name="_Toc8910961"/>
      <w:bookmarkStart w:id="4457" w:name="_Toc8911998"/>
      <w:bookmarkStart w:id="4458" w:name="_Toc8974819"/>
      <w:bookmarkStart w:id="4459" w:name="_Toc9008472"/>
      <w:bookmarkStart w:id="4460" w:name="_Toc9008875"/>
      <w:bookmarkStart w:id="4461" w:name="_Toc9348871"/>
      <w:bookmarkStart w:id="4462" w:name="_Toc9608339"/>
      <w:bookmarkStart w:id="4463" w:name="_Toc16000894"/>
      <w:r>
        <w:t>1.</w:t>
      </w:r>
      <w:r>
        <w:tab/>
        <w:t>Introduction</w:t>
      </w:r>
      <w:bookmarkEnd w:id="4452"/>
      <w:bookmarkEnd w:id="4453"/>
      <w:bookmarkEnd w:id="4454"/>
      <w:bookmarkEnd w:id="4455"/>
      <w:bookmarkEnd w:id="4456"/>
      <w:bookmarkEnd w:id="4457"/>
      <w:bookmarkEnd w:id="4458"/>
      <w:bookmarkEnd w:id="4459"/>
      <w:bookmarkEnd w:id="4460"/>
      <w:bookmarkEnd w:id="4461"/>
      <w:bookmarkEnd w:id="4462"/>
      <w:bookmarkEnd w:id="4463"/>
    </w:p>
    <w:p>
      <w:pPr>
        <w:jc w:val="both"/>
        <w:rPr>
          <w:noProof/>
        </w:rPr>
      </w:pPr>
      <w:r>
        <w:rPr>
          <w:noProof/>
        </w:rPr>
        <w:t>Pending an EPA with the West African region, Ghana concluded a stepping stone (or interim) Economic Partnership Agreement with the EU in December 2007.</w:t>
      </w:r>
      <w:r>
        <w:rPr>
          <w:rStyle w:val="FootnoteReference"/>
          <w:noProof/>
        </w:rPr>
        <w:footnoteReference w:id="121"/>
      </w:r>
      <w:r>
        <w:rPr>
          <w:noProof/>
        </w:rPr>
        <w:t xml:space="preserve"> The stepping stone EPA with Ghana was signed on 28 July 2016, ratified on 3 August 2016 by the Ghanaian Parliament and approved by the European Parliament on 1 December 2016. It entered into provisional application on 15 December 2016. This agreement will be substituted by the regional EU-West Africa EPA once the latter enters into force.</w:t>
      </w:r>
      <w:r>
        <w:rPr>
          <w:rStyle w:val="FootnoteReference"/>
          <w:noProof/>
        </w:rPr>
        <w:footnoteReference w:id="122"/>
      </w:r>
      <w:r>
        <w:rPr>
          <w:noProof/>
        </w:rPr>
        <w:t xml:space="preserve"> </w:t>
      </w:r>
    </w:p>
    <w:p>
      <w:pPr>
        <w:pStyle w:val="ManualHeading1"/>
      </w:pPr>
      <w:bookmarkStart w:id="4464" w:name="_Toc8833831"/>
      <w:bookmarkStart w:id="4465" w:name="_Toc8835658"/>
      <w:bookmarkStart w:id="4466" w:name="_Toc8834289"/>
      <w:bookmarkStart w:id="4467" w:name="_Toc8909750"/>
      <w:bookmarkStart w:id="4468" w:name="_Toc8910962"/>
      <w:bookmarkStart w:id="4469" w:name="_Toc8911999"/>
      <w:bookmarkStart w:id="4470" w:name="_Toc8974820"/>
      <w:bookmarkStart w:id="4471" w:name="_Toc9008473"/>
      <w:bookmarkStart w:id="4472" w:name="_Toc9008876"/>
      <w:bookmarkStart w:id="4473" w:name="_Toc9348872"/>
      <w:bookmarkStart w:id="4474" w:name="_Toc9608340"/>
      <w:bookmarkStart w:id="4475" w:name="_Toc16000895"/>
      <w:r>
        <w:t>2.</w:t>
      </w:r>
      <w:r>
        <w:tab/>
        <w:t>Evolution of trade</w:t>
      </w:r>
      <w:bookmarkEnd w:id="4464"/>
      <w:bookmarkEnd w:id="4465"/>
      <w:bookmarkEnd w:id="4466"/>
      <w:bookmarkEnd w:id="4467"/>
      <w:bookmarkEnd w:id="4468"/>
      <w:bookmarkEnd w:id="4469"/>
      <w:bookmarkEnd w:id="4470"/>
      <w:bookmarkEnd w:id="4471"/>
      <w:bookmarkEnd w:id="4472"/>
      <w:bookmarkEnd w:id="4473"/>
      <w:bookmarkEnd w:id="4474"/>
      <w:bookmarkEnd w:id="4475"/>
    </w:p>
    <w:p>
      <w:pPr>
        <w:pStyle w:val="Heading2"/>
        <w:ind w:left="0" w:firstLine="0"/>
      </w:pPr>
      <w:bookmarkStart w:id="4476" w:name="_Toc8833832"/>
      <w:bookmarkStart w:id="4477" w:name="_Toc8835659"/>
      <w:bookmarkStart w:id="4478" w:name="_Toc8834290"/>
      <w:bookmarkStart w:id="4479" w:name="_Toc8909751"/>
      <w:bookmarkStart w:id="4480" w:name="_Toc8910963"/>
      <w:bookmarkStart w:id="4481" w:name="_Toc8912000"/>
      <w:bookmarkStart w:id="4482" w:name="_Toc8974821"/>
      <w:bookmarkStart w:id="4483" w:name="_Toc9008474"/>
      <w:bookmarkStart w:id="4484" w:name="_Toc9008877"/>
      <w:bookmarkStart w:id="4485" w:name="_Toc9348873"/>
      <w:bookmarkStart w:id="4486" w:name="_Toc9608341"/>
      <w:bookmarkStart w:id="4487" w:name="_Toc16000896"/>
      <w:r>
        <w:t>2.1 Trade in goods</w:t>
      </w:r>
      <w:bookmarkEnd w:id="4476"/>
      <w:bookmarkEnd w:id="4477"/>
      <w:bookmarkEnd w:id="4478"/>
      <w:bookmarkEnd w:id="4479"/>
      <w:bookmarkEnd w:id="4480"/>
      <w:bookmarkEnd w:id="4481"/>
      <w:bookmarkEnd w:id="4482"/>
      <w:bookmarkEnd w:id="4483"/>
      <w:bookmarkEnd w:id="4484"/>
      <w:bookmarkEnd w:id="4485"/>
      <w:bookmarkEnd w:id="4486"/>
      <w:bookmarkEnd w:id="4487"/>
    </w:p>
    <w:p>
      <w:pPr>
        <w:jc w:val="both"/>
        <w:rPr>
          <w:noProof/>
          <w:lang w:eastAsia="en-GB"/>
        </w:rPr>
      </w:pPr>
      <w:r>
        <w:rPr>
          <w:noProof/>
          <w:lang w:eastAsia="en-GB"/>
        </w:rPr>
        <w:t xml:space="preserve">The EU is still Ghana’s largest trading partner, accounting for 21% of Ghana’s exports (ahead of India with 19% and China with 17% in 2018) and 31% of Ghana’s imports (ahead of China with 16% and the US with 8%). Only 13% of Ghana’s exports go to the West African region and less than 4% of Ghana’s imports come from the region. </w:t>
      </w:r>
    </w:p>
    <w:p>
      <w:pPr>
        <w:jc w:val="both"/>
        <w:rPr>
          <w:noProof/>
          <w:lang w:eastAsia="en-GB"/>
        </w:rPr>
      </w:pPr>
    </w:p>
    <w:p>
      <w:pPr>
        <w:jc w:val="both"/>
        <w:rPr>
          <w:noProof/>
          <w:lang w:eastAsia="en-GB"/>
        </w:rPr>
      </w:pPr>
      <w:r>
        <w:rPr>
          <w:noProof/>
          <w:lang w:eastAsia="en-GB"/>
        </w:rPr>
        <w:t xml:space="preserve">Total trade between the EU and Ghana increased by 15% in 2018. This is mostly due to an increase in EU imports from Ghana by </w:t>
      </w:r>
      <w:r>
        <w:rPr>
          <w:noProof/>
        </w:rPr>
        <w:t>€</w:t>
      </w:r>
      <w:r>
        <w:rPr>
          <w:noProof/>
          <w:lang w:eastAsia="en-GB"/>
        </w:rPr>
        <w:t xml:space="preserve">1 billion or 48% to </w:t>
      </w:r>
      <w:r>
        <w:rPr>
          <w:noProof/>
        </w:rPr>
        <w:t>€3.1 billion</w:t>
      </w:r>
      <w:r>
        <w:rPr>
          <w:noProof/>
          <w:lang w:eastAsia="en-GB"/>
        </w:rPr>
        <w:t xml:space="preserve">. EU exports to Ghana decreased by </w:t>
      </w:r>
      <w:r>
        <w:rPr>
          <w:noProof/>
        </w:rPr>
        <w:t>€</w:t>
      </w:r>
      <w:r>
        <w:rPr>
          <w:noProof/>
          <w:lang w:eastAsia="en-GB"/>
        </w:rPr>
        <w:t xml:space="preserve">218 million or 7% to </w:t>
      </w:r>
      <w:r>
        <w:rPr>
          <w:noProof/>
        </w:rPr>
        <w:t>€2.8 billion</w:t>
      </w:r>
      <w:r>
        <w:rPr>
          <w:noProof/>
          <w:lang w:eastAsia="en-GB"/>
        </w:rPr>
        <w:t xml:space="preserve">. The overall trade balance is negative for the EU, for both agricultural and non-agricultural goods. </w:t>
      </w:r>
    </w:p>
    <w:p>
      <w:pPr>
        <w:jc w:val="both"/>
        <w:rPr>
          <w:noProof/>
          <w:lang w:eastAsia="en-GB"/>
        </w:rPr>
      </w:pPr>
    </w:p>
    <w:p>
      <w:pPr>
        <w:jc w:val="both"/>
        <w:rPr>
          <w:noProof/>
        </w:rPr>
      </w:pPr>
      <w:r>
        <w:rPr>
          <w:noProof/>
          <w:lang w:eastAsia="en-GB"/>
        </w:rPr>
        <w:t xml:space="preserve">The strong increase in EU imports from Ghana has much to do with an increase in mineral oil imports by </w:t>
      </w:r>
      <w:r>
        <w:rPr>
          <w:noProof/>
        </w:rPr>
        <w:t xml:space="preserve">€833 million (+180%). But beyond oil, EU imports of raw cocoa beans from Ghana increased by €86 million (+14%) and imports of cocoa paste and butter increased by €25 million (+5.6%). Even though imports of further transformed cocoa powder and chocolate slightly decreased in 2018, processed cocoa products (paste, butter, powder and chocolate) now account for 42% of the overall value of Ghanaian cocoa exports to the EU. </w:t>
      </w:r>
    </w:p>
    <w:p>
      <w:pPr>
        <w:jc w:val="both"/>
        <w:rPr>
          <w:noProof/>
        </w:rPr>
      </w:pPr>
    </w:p>
    <w:p>
      <w:pPr>
        <w:jc w:val="both"/>
        <w:rPr>
          <w:noProof/>
        </w:rPr>
      </w:pPr>
      <w:r>
        <w:rPr>
          <w:noProof/>
        </w:rPr>
        <w:t>In addition, EU imports from Ghana of aluminium (+€38 million, 78%), vegetable fats and oils (+ €10 million or 31%), prepared or preserved tuna (+€8.6 million or 6.7%), copper (+€5 million, 20%), and edible fruits and nuts (+4 million or 3%; mostly coconut and bananas) also increased in 2018. Some emerging sectors showed high growth rates, for example exports of fresh coconuts (+230%) or perfumes and “Eaux de toilette” (+100%).</w:t>
      </w:r>
    </w:p>
    <w:p>
      <w:pPr>
        <w:jc w:val="both"/>
        <w:rPr>
          <w:noProof/>
        </w:rPr>
      </w:pPr>
    </w:p>
    <w:p>
      <w:pPr>
        <w:jc w:val="both"/>
        <w:rPr>
          <w:noProof/>
        </w:rPr>
      </w:pPr>
      <w:r>
        <w:rPr>
          <w:noProof/>
        </w:rPr>
        <w:t xml:space="preserve">On the other hand, EU imports of rubber from Ghana decreased by 30% and imports of fruit juices decreased by 40%. </w:t>
      </w:r>
    </w:p>
    <w:p>
      <w:pPr>
        <w:jc w:val="both"/>
        <w:rPr>
          <w:noProof/>
          <w:lang w:eastAsia="en-GB"/>
        </w:rPr>
      </w:pPr>
    </w:p>
    <w:p>
      <w:pPr>
        <w:jc w:val="both"/>
        <w:rPr>
          <w:noProof/>
          <w:lang w:eastAsia="en-GB"/>
        </w:rPr>
      </w:pPr>
      <w:r>
        <w:rPr>
          <w:noProof/>
          <w:lang w:eastAsia="en-GB"/>
        </w:rPr>
        <w:t xml:space="preserve">Main destination of Ghanaian exports in the EU are the Netherlands, the UK, France, Germany and Spain. Preference utilisation rates for EU imports from Ghana are continuously around 98 or 99%. </w:t>
      </w:r>
    </w:p>
    <w:p>
      <w:pPr>
        <w:jc w:val="both"/>
        <w:rPr>
          <w:noProof/>
          <w:lang w:eastAsia="en-GB"/>
        </w:rPr>
      </w:pPr>
    </w:p>
    <w:p>
      <w:pPr>
        <w:jc w:val="both"/>
        <w:rPr>
          <w:noProof/>
          <w:lang w:eastAsia="en-GB"/>
        </w:rPr>
      </w:pPr>
      <w:r>
        <w:rPr>
          <w:noProof/>
          <w:lang w:eastAsia="en-GB"/>
        </w:rPr>
        <w:t xml:space="preserve">EU imports from Ghana are diversifying only slowly. The 10 main EU import products (at HS 6-digit level), accounting for 89.8% of total imports, were petroleum oils, cocoa beans, cocoa butter, cocoa paste, prepared or preserved tuna, raw aluminium, bananas, vegetable fats and oils, cocoa powder, and finally wholly or partly defatted cocoa paste. </w:t>
      </w:r>
    </w:p>
    <w:p>
      <w:pPr>
        <w:jc w:val="both"/>
        <w:rPr>
          <w:noProof/>
          <w:lang w:eastAsia="en-GB"/>
        </w:rPr>
      </w:pPr>
    </w:p>
    <w:tbl>
      <w:tblPr>
        <w:tblStyle w:val="TableGrid"/>
        <w:tblW w:w="9735" w:type="dxa"/>
        <w:tblLook w:val="04A0" w:firstRow="1" w:lastRow="0" w:firstColumn="1" w:lastColumn="0" w:noHBand="0" w:noVBand="1"/>
      </w:tblPr>
      <w:tblGrid>
        <w:gridCol w:w="973"/>
        <w:gridCol w:w="1453"/>
        <w:gridCol w:w="1619"/>
        <w:gridCol w:w="772"/>
        <w:gridCol w:w="973"/>
        <w:gridCol w:w="1715"/>
        <w:gridCol w:w="1435"/>
        <w:gridCol w:w="795"/>
      </w:tblGrid>
      <w:tr>
        <w:trPr>
          <w:trHeight w:val="206"/>
        </w:trPr>
        <w:tc>
          <w:tcPr>
            <w:tcW w:w="4635" w:type="dxa"/>
            <w:gridSpan w:val="4"/>
            <w:tcBorders>
              <w:top w:val="nil"/>
              <w:left w:val="nil"/>
              <w:bottom w:val="double" w:sz="4" w:space="0" w:color="auto"/>
              <w:right w:val="nil"/>
            </w:tcBorders>
          </w:tcPr>
          <w:p>
            <w:pPr>
              <w:jc w:val="both"/>
              <w:rPr>
                <w:b/>
                <w:noProof/>
              </w:rPr>
            </w:pPr>
            <w:r>
              <w:rPr>
                <w:b/>
                <w:noProof/>
              </w:rPr>
              <w:t xml:space="preserve">2018 top 10 EU imports from Ghana </w:t>
            </w:r>
          </w:p>
        </w:tc>
        <w:tc>
          <w:tcPr>
            <w:tcW w:w="5100" w:type="dxa"/>
            <w:gridSpan w:val="4"/>
            <w:tcBorders>
              <w:top w:val="nil"/>
              <w:left w:val="nil"/>
              <w:bottom w:val="double" w:sz="4" w:space="0" w:color="auto"/>
              <w:right w:val="nil"/>
            </w:tcBorders>
          </w:tcPr>
          <w:p>
            <w:pPr>
              <w:jc w:val="both"/>
              <w:rPr>
                <w:b/>
                <w:noProof/>
              </w:rPr>
            </w:pPr>
            <w:r>
              <w:rPr>
                <w:b/>
                <w:noProof/>
              </w:rPr>
              <w:t>2018 top 10 EU exports to Ghana</w:t>
            </w:r>
          </w:p>
        </w:tc>
      </w:tr>
      <w:tr>
        <w:trPr>
          <w:trHeight w:val="182"/>
        </w:trPr>
        <w:tc>
          <w:tcPr>
            <w:tcW w:w="834" w:type="dxa"/>
            <w:tcBorders>
              <w:top w:val="double" w:sz="4" w:space="0" w:color="auto"/>
            </w:tcBorders>
          </w:tcPr>
          <w:p>
            <w:pPr>
              <w:jc w:val="both"/>
              <w:rPr>
                <w:i/>
                <w:noProof/>
              </w:rPr>
            </w:pPr>
            <w:r>
              <w:rPr>
                <w:i/>
                <w:noProof/>
              </w:rPr>
              <w:t>Product</w:t>
            </w:r>
          </w:p>
        </w:tc>
        <w:tc>
          <w:tcPr>
            <w:tcW w:w="1712" w:type="dxa"/>
            <w:tcBorders>
              <w:top w:val="double" w:sz="4" w:space="0" w:color="auto"/>
            </w:tcBorders>
          </w:tcPr>
          <w:p>
            <w:pPr>
              <w:jc w:val="both"/>
              <w:rPr>
                <w:i/>
                <w:noProof/>
              </w:rPr>
            </w:pPr>
            <w:r>
              <w:rPr>
                <w:i/>
                <w:noProof/>
              </w:rPr>
              <w:t>Description</w:t>
            </w:r>
          </w:p>
        </w:tc>
        <w:tc>
          <w:tcPr>
            <w:tcW w:w="1311" w:type="dxa"/>
            <w:tcBorders>
              <w:top w:val="double" w:sz="4" w:space="0" w:color="auto"/>
            </w:tcBorders>
          </w:tcPr>
          <w:p>
            <w:pPr>
              <w:jc w:val="both"/>
              <w:rPr>
                <w:i/>
                <w:noProof/>
              </w:rPr>
            </w:pPr>
            <w:r>
              <w:rPr>
                <w:i/>
                <w:noProof/>
              </w:rPr>
              <w:t>Volume</w:t>
            </w:r>
          </w:p>
        </w:tc>
        <w:tc>
          <w:tcPr>
            <w:tcW w:w="778" w:type="dxa"/>
            <w:tcBorders>
              <w:top w:val="double" w:sz="4" w:space="0" w:color="auto"/>
              <w:right w:val="double" w:sz="4" w:space="0" w:color="auto"/>
            </w:tcBorders>
          </w:tcPr>
          <w:p>
            <w:pPr>
              <w:jc w:val="both"/>
              <w:rPr>
                <w:i/>
                <w:noProof/>
              </w:rPr>
            </w:pPr>
            <w:r>
              <w:rPr>
                <w:i/>
                <w:noProof/>
              </w:rPr>
              <w:t>Share</w:t>
            </w:r>
          </w:p>
        </w:tc>
        <w:tc>
          <w:tcPr>
            <w:tcW w:w="882" w:type="dxa"/>
            <w:tcBorders>
              <w:top w:val="double" w:sz="4" w:space="0" w:color="auto"/>
              <w:left w:val="double" w:sz="4" w:space="0" w:color="auto"/>
            </w:tcBorders>
          </w:tcPr>
          <w:p>
            <w:pPr>
              <w:jc w:val="both"/>
              <w:rPr>
                <w:i/>
                <w:noProof/>
              </w:rPr>
            </w:pPr>
            <w:r>
              <w:rPr>
                <w:i/>
                <w:noProof/>
              </w:rPr>
              <w:t>Product</w:t>
            </w:r>
          </w:p>
        </w:tc>
        <w:tc>
          <w:tcPr>
            <w:tcW w:w="2096" w:type="dxa"/>
            <w:tcBorders>
              <w:top w:val="double" w:sz="4" w:space="0" w:color="auto"/>
            </w:tcBorders>
          </w:tcPr>
          <w:p>
            <w:pPr>
              <w:jc w:val="both"/>
              <w:rPr>
                <w:i/>
                <w:noProof/>
              </w:rPr>
            </w:pPr>
            <w:r>
              <w:rPr>
                <w:i/>
                <w:noProof/>
              </w:rPr>
              <w:t>Description</w:t>
            </w:r>
          </w:p>
        </w:tc>
        <w:tc>
          <w:tcPr>
            <w:tcW w:w="1266" w:type="dxa"/>
            <w:tcBorders>
              <w:top w:val="double" w:sz="4" w:space="0" w:color="auto"/>
            </w:tcBorders>
          </w:tcPr>
          <w:p>
            <w:pPr>
              <w:jc w:val="both"/>
              <w:rPr>
                <w:i/>
                <w:noProof/>
              </w:rPr>
            </w:pPr>
            <w:r>
              <w:rPr>
                <w:i/>
                <w:noProof/>
              </w:rPr>
              <w:t>Volume</w:t>
            </w:r>
          </w:p>
        </w:tc>
        <w:tc>
          <w:tcPr>
            <w:tcW w:w="856" w:type="dxa"/>
            <w:tcBorders>
              <w:top w:val="double" w:sz="4" w:space="0" w:color="auto"/>
            </w:tcBorders>
          </w:tcPr>
          <w:p>
            <w:pPr>
              <w:jc w:val="both"/>
              <w:rPr>
                <w:i/>
                <w:noProof/>
              </w:rPr>
            </w:pPr>
            <w:r>
              <w:rPr>
                <w:i/>
                <w:noProof/>
              </w:rPr>
              <w:t>Share</w:t>
            </w:r>
          </w:p>
        </w:tc>
      </w:tr>
      <w:tr>
        <w:trPr>
          <w:trHeight w:val="182"/>
        </w:trPr>
        <w:tc>
          <w:tcPr>
            <w:tcW w:w="834" w:type="dxa"/>
          </w:tcPr>
          <w:p>
            <w:pPr>
              <w:jc w:val="both"/>
              <w:rPr>
                <w:noProof/>
              </w:rPr>
            </w:pPr>
            <w:r>
              <w:rPr>
                <w:noProof/>
              </w:rPr>
              <w:t>270900</w:t>
            </w:r>
          </w:p>
        </w:tc>
        <w:tc>
          <w:tcPr>
            <w:tcW w:w="1712" w:type="dxa"/>
          </w:tcPr>
          <w:p>
            <w:pPr>
              <w:jc w:val="both"/>
              <w:rPr>
                <w:noProof/>
              </w:rPr>
            </w:pPr>
            <w:r>
              <w:rPr>
                <w:noProof/>
              </w:rPr>
              <w:t xml:space="preserve">Petroleum oils </w:t>
            </w:r>
          </w:p>
        </w:tc>
        <w:tc>
          <w:tcPr>
            <w:tcW w:w="1311" w:type="dxa"/>
          </w:tcPr>
          <w:p>
            <w:pPr>
              <w:jc w:val="both"/>
              <w:rPr>
                <w:noProof/>
              </w:rPr>
            </w:pPr>
            <w:r>
              <w:rPr>
                <w:noProof/>
              </w:rPr>
              <w:t>1,287,586,845</w:t>
            </w:r>
          </w:p>
        </w:tc>
        <w:tc>
          <w:tcPr>
            <w:tcW w:w="778" w:type="dxa"/>
            <w:tcBorders>
              <w:right w:val="double" w:sz="4" w:space="0" w:color="auto"/>
            </w:tcBorders>
          </w:tcPr>
          <w:p>
            <w:pPr>
              <w:jc w:val="both"/>
              <w:rPr>
                <w:noProof/>
              </w:rPr>
            </w:pPr>
            <w:r>
              <w:rPr>
                <w:noProof/>
              </w:rPr>
              <w:t>41.2 %</w:t>
            </w:r>
          </w:p>
        </w:tc>
        <w:tc>
          <w:tcPr>
            <w:tcW w:w="882" w:type="dxa"/>
            <w:tcBorders>
              <w:left w:val="double" w:sz="4" w:space="0" w:color="auto"/>
            </w:tcBorders>
          </w:tcPr>
          <w:p>
            <w:pPr>
              <w:jc w:val="both"/>
              <w:rPr>
                <w:noProof/>
              </w:rPr>
            </w:pPr>
            <w:r>
              <w:rPr>
                <w:noProof/>
              </w:rPr>
              <w:t>271019</w:t>
            </w:r>
          </w:p>
        </w:tc>
        <w:tc>
          <w:tcPr>
            <w:tcW w:w="2096" w:type="dxa"/>
          </w:tcPr>
          <w:p>
            <w:pPr>
              <w:jc w:val="both"/>
              <w:rPr>
                <w:noProof/>
              </w:rPr>
            </w:pPr>
            <w:r>
              <w:rPr>
                <w:noProof/>
              </w:rPr>
              <w:t xml:space="preserve">Medium oils </w:t>
            </w:r>
          </w:p>
        </w:tc>
        <w:tc>
          <w:tcPr>
            <w:tcW w:w="1266" w:type="dxa"/>
          </w:tcPr>
          <w:p>
            <w:pPr>
              <w:jc w:val="both"/>
              <w:rPr>
                <w:noProof/>
              </w:rPr>
            </w:pPr>
            <w:r>
              <w:rPr>
                <w:noProof/>
              </w:rPr>
              <w:t>301,419,989</w:t>
            </w:r>
          </w:p>
        </w:tc>
        <w:tc>
          <w:tcPr>
            <w:tcW w:w="856" w:type="dxa"/>
          </w:tcPr>
          <w:p>
            <w:pPr>
              <w:jc w:val="both"/>
              <w:rPr>
                <w:noProof/>
              </w:rPr>
            </w:pPr>
            <w:r>
              <w:rPr>
                <w:noProof/>
              </w:rPr>
              <w:t>10.7 %</w:t>
            </w:r>
          </w:p>
        </w:tc>
      </w:tr>
      <w:tr>
        <w:trPr>
          <w:trHeight w:val="376"/>
        </w:trPr>
        <w:tc>
          <w:tcPr>
            <w:tcW w:w="834" w:type="dxa"/>
          </w:tcPr>
          <w:p>
            <w:pPr>
              <w:jc w:val="both"/>
              <w:rPr>
                <w:noProof/>
              </w:rPr>
            </w:pPr>
            <w:r>
              <w:rPr>
                <w:noProof/>
              </w:rPr>
              <w:t>180100</w:t>
            </w:r>
          </w:p>
        </w:tc>
        <w:tc>
          <w:tcPr>
            <w:tcW w:w="1712" w:type="dxa"/>
          </w:tcPr>
          <w:p>
            <w:pPr>
              <w:jc w:val="both"/>
              <w:rPr>
                <w:noProof/>
              </w:rPr>
            </w:pPr>
            <w:r>
              <w:rPr>
                <w:noProof/>
              </w:rPr>
              <w:t>Cocoa beans</w:t>
            </w:r>
          </w:p>
        </w:tc>
        <w:tc>
          <w:tcPr>
            <w:tcW w:w="1311" w:type="dxa"/>
          </w:tcPr>
          <w:p>
            <w:pPr>
              <w:jc w:val="both"/>
              <w:rPr>
                <w:noProof/>
              </w:rPr>
            </w:pPr>
            <w:r>
              <w:rPr>
                <w:noProof/>
              </w:rPr>
              <w:t>700,951,960</w:t>
            </w:r>
          </w:p>
        </w:tc>
        <w:tc>
          <w:tcPr>
            <w:tcW w:w="778" w:type="dxa"/>
            <w:tcBorders>
              <w:right w:val="double" w:sz="4" w:space="0" w:color="auto"/>
            </w:tcBorders>
          </w:tcPr>
          <w:p>
            <w:pPr>
              <w:jc w:val="both"/>
              <w:rPr>
                <w:noProof/>
              </w:rPr>
            </w:pPr>
            <w:r>
              <w:rPr>
                <w:noProof/>
              </w:rPr>
              <w:t>22.4 %</w:t>
            </w:r>
          </w:p>
        </w:tc>
        <w:tc>
          <w:tcPr>
            <w:tcW w:w="882" w:type="dxa"/>
            <w:tcBorders>
              <w:left w:val="double" w:sz="4" w:space="0" w:color="auto"/>
            </w:tcBorders>
          </w:tcPr>
          <w:p>
            <w:pPr>
              <w:jc w:val="both"/>
              <w:rPr>
                <w:noProof/>
              </w:rPr>
            </w:pPr>
            <w:r>
              <w:rPr>
                <w:noProof/>
              </w:rPr>
              <w:t>271012</w:t>
            </w:r>
          </w:p>
        </w:tc>
        <w:tc>
          <w:tcPr>
            <w:tcW w:w="2096" w:type="dxa"/>
          </w:tcPr>
          <w:p>
            <w:pPr>
              <w:jc w:val="both"/>
              <w:rPr>
                <w:noProof/>
              </w:rPr>
            </w:pPr>
            <w:r>
              <w:rPr>
                <w:noProof/>
              </w:rPr>
              <w:t>Light oils and preparations</w:t>
            </w:r>
          </w:p>
        </w:tc>
        <w:tc>
          <w:tcPr>
            <w:tcW w:w="1266" w:type="dxa"/>
          </w:tcPr>
          <w:p>
            <w:pPr>
              <w:jc w:val="both"/>
              <w:rPr>
                <w:noProof/>
              </w:rPr>
            </w:pPr>
            <w:r>
              <w:rPr>
                <w:noProof/>
              </w:rPr>
              <w:t>181,013,501</w:t>
            </w:r>
          </w:p>
        </w:tc>
        <w:tc>
          <w:tcPr>
            <w:tcW w:w="856" w:type="dxa"/>
          </w:tcPr>
          <w:p>
            <w:pPr>
              <w:jc w:val="both"/>
              <w:rPr>
                <w:noProof/>
              </w:rPr>
            </w:pPr>
            <w:r>
              <w:rPr>
                <w:noProof/>
              </w:rPr>
              <w:t>6.4 %</w:t>
            </w:r>
          </w:p>
        </w:tc>
      </w:tr>
      <w:tr>
        <w:trPr>
          <w:trHeight w:val="365"/>
        </w:trPr>
        <w:tc>
          <w:tcPr>
            <w:tcW w:w="834" w:type="dxa"/>
          </w:tcPr>
          <w:p>
            <w:pPr>
              <w:jc w:val="both"/>
              <w:rPr>
                <w:noProof/>
              </w:rPr>
            </w:pPr>
            <w:r>
              <w:rPr>
                <w:noProof/>
              </w:rPr>
              <w:t>180400</w:t>
            </w:r>
          </w:p>
        </w:tc>
        <w:tc>
          <w:tcPr>
            <w:tcW w:w="1712" w:type="dxa"/>
          </w:tcPr>
          <w:p>
            <w:pPr>
              <w:jc w:val="both"/>
              <w:rPr>
                <w:noProof/>
              </w:rPr>
            </w:pPr>
            <w:r>
              <w:rPr>
                <w:noProof/>
              </w:rPr>
              <w:t>Cocoa butter, fat and oil</w:t>
            </w:r>
          </w:p>
        </w:tc>
        <w:tc>
          <w:tcPr>
            <w:tcW w:w="1311" w:type="dxa"/>
          </w:tcPr>
          <w:p>
            <w:pPr>
              <w:jc w:val="both"/>
              <w:rPr>
                <w:noProof/>
              </w:rPr>
            </w:pPr>
            <w:r>
              <w:rPr>
                <w:noProof/>
              </w:rPr>
              <w:t>260,675,615</w:t>
            </w:r>
          </w:p>
        </w:tc>
        <w:tc>
          <w:tcPr>
            <w:tcW w:w="778" w:type="dxa"/>
            <w:tcBorders>
              <w:right w:val="double" w:sz="4" w:space="0" w:color="auto"/>
            </w:tcBorders>
          </w:tcPr>
          <w:p>
            <w:pPr>
              <w:jc w:val="both"/>
              <w:rPr>
                <w:noProof/>
              </w:rPr>
            </w:pPr>
            <w:r>
              <w:rPr>
                <w:noProof/>
              </w:rPr>
              <w:t>8.3 %</w:t>
            </w:r>
          </w:p>
        </w:tc>
        <w:tc>
          <w:tcPr>
            <w:tcW w:w="882" w:type="dxa"/>
            <w:tcBorders>
              <w:left w:val="double" w:sz="4" w:space="0" w:color="auto"/>
            </w:tcBorders>
          </w:tcPr>
          <w:p>
            <w:pPr>
              <w:jc w:val="both"/>
              <w:rPr>
                <w:noProof/>
              </w:rPr>
            </w:pPr>
            <w:r>
              <w:rPr>
                <w:noProof/>
              </w:rPr>
              <w:t>630900</w:t>
            </w:r>
          </w:p>
        </w:tc>
        <w:tc>
          <w:tcPr>
            <w:tcW w:w="2096" w:type="dxa"/>
          </w:tcPr>
          <w:p>
            <w:pPr>
              <w:jc w:val="both"/>
              <w:rPr>
                <w:noProof/>
              </w:rPr>
            </w:pPr>
            <w:r>
              <w:rPr>
                <w:noProof/>
              </w:rPr>
              <w:t>Second hand textiles</w:t>
            </w:r>
          </w:p>
        </w:tc>
        <w:tc>
          <w:tcPr>
            <w:tcW w:w="1266" w:type="dxa"/>
          </w:tcPr>
          <w:p>
            <w:pPr>
              <w:jc w:val="both"/>
              <w:rPr>
                <w:noProof/>
              </w:rPr>
            </w:pPr>
            <w:r>
              <w:rPr>
                <w:noProof/>
              </w:rPr>
              <w:t>105,027,696</w:t>
            </w:r>
          </w:p>
        </w:tc>
        <w:tc>
          <w:tcPr>
            <w:tcW w:w="856" w:type="dxa"/>
          </w:tcPr>
          <w:p>
            <w:pPr>
              <w:jc w:val="both"/>
              <w:rPr>
                <w:noProof/>
              </w:rPr>
            </w:pPr>
            <w:r>
              <w:rPr>
                <w:noProof/>
              </w:rPr>
              <w:t>3.7 %</w:t>
            </w:r>
          </w:p>
        </w:tc>
      </w:tr>
      <w:tr>
        <w:trPr>
          <w:trHeight w:val="365"/>
        </w:trPr>
        <w:tc>
          <w:tcPr>
            <w:tcW w:w="834" w:type="dxa"/>
          </w:tcPr>
          <w:p>
            <w:pPr>
              <w:jc w:val="both"/>
              <w:rPr>
                <w:noProof/>
              </w:rPr>
            </w:pPr>
            <w:r>
              <w:rPr>
                <w:noProof/>
              </w:rPr>
              <w:t>180310</w:t>
            </w:r>
          </w:p>
        </w:tc>
        <w:tc>
          <w:tcPr>
            <w:tcW w:w="1712" w:type="dxa"/>
          </w:tcPr>
          <w:p>
            <w:pPr>
              <w:jc w:val="both"/>
              <w:rPr>
                <w:noProof/>
              </w:rPr>
            </w:pPr>
            <w:r>
              <w:rPr>
                <w:noProof/>
              </w:rPr>
              <w:t>Cocoa paste (excl. defatted)</w:t>
            </w:r>
          </w:p>
        </w:tc>
        <w:tc>
          <w:tcPr>
            <w:tcW w:w="1311" w:type="dxa"/>
          </w:tcPr>
          <w:p>
            <w:pPr>
              <w:jc w:val="both"/>
              <w:rPr>
                <w:noProof/>
              </w:rPr>
            </w:pPr>
            <w:r>
              <w:rPr>
                <w:noProof/>
              </w:rPr>
              <w:t>172,870,574</w:t>
            </w:r>
          </w:p>
        </w:tc>
        <w:tc>
          <w:tcPr>
            <w:tcW w:w="778" w:type="dxa"/>
            <w:tcBorders>
              <w:right w:val="double" w:sz="4" w:space="0" w:color="auto"/>
            </w:tcBorders>
          </w:tcPr>
          <w:p>
            <w:pPr>
              <w:jc w:val="both"/>
              <w:rPr>
                <w:noProof/>
              </w:rPr>
            </w:pPr>
            <w:r>
              <w:rPr>
                <w:noProof/>
              </w:rPr>
              <w:t>5.5 %</w:t>
            </w:r>
          </w:p>
        </w:tc>
        <w:tc>
          <w:tcPr>
            <w:tcW w:w="882" w:type="dxa"/>
            <w:tcBorders>
              <w:left w:val="double" w:sz="4" w:space="0" w:color="auto"/>
            </w:tcBorders>
          </w:tcPr>
          <w:p>
            <w:pPr>
              <w:jc w:val="both"/>
              <w:rPr>
                <w:noProof/>
              </w:rPr>
            </w:pPr>
            <w:r>
              <w:rPr>
                <w:noProof/>
              </w:rPr>
              <w:t>020714</w:t>
            </w:r>
          </w:p>
        </w:tc>
        <w:tc>
          <w:tcPr>
            <w:tcW w:w="2096" w:type="dxa"/>
          </w:tcPr>
          <w:p>
            <w:pPr>
              <w:jc w:val="both"/>
              <w:rPr>
                <w:noProof/>
              </w:rPr>
            </w:pPr>
            <w:r>
              <w:rPr>
                <w:noProof/>
              </w:rPr>
              <w:t>Frozen chicken</w:t>
            </w:r>
          </w:p>
        </w:tc>
        <w:tc>
          <w:tcPr>
            <w:tcW w:w="1266" w:type="dxa"/>
          </w:tcPr>
          <w:p>
            <w:pPr>
              <w:jc w:val="both"/>
              <w:rPr>
                <w:noProof/>
              </w:rPr>
            </w:pPr>
            <w:r>
              <w:rPr>
                <w:noProof/>
              </w:rPr>
              <w:t>104,132,301</w:t>
            </w:r>
          </w:p>
        </w:tc>
        <w:tc>
          <w:tcPr>
            <w:tcW w:w="856" w:type="dxa"/>
          </w:tcPr>
          <w:p>
            <w:pPr>
              <w:jc w:val="both"/>
              <w:rPr>
                <w:noProof/>
              </w:rPr>
            </w:pPr>
            <w:r>
              <w:rPr>
                <w:noProof/>
              </w:rPr>
              <w:t>3.7 %</w:t>
            </w:r>
          </w:p>
        </w:tc>
      </w:tr>
      <w:tr>
        <w:trPr>
          <w:trHeight w:val="365"/>
        </w:trPr>
        <w:tc>
          <w:tcPr>
            <w:tcW w:w="834" w:type="dxa"/>
          </w:tcPr>
          <w:p>
            <w:pPr>
              <w:jc w:val="both"/>
              <w:rPr>
                <w:noProof/>
              </w:rPr>
            </w:pPr>
            <w:r>
              <w:rPr>
                <w:noProof/>
              </w:rPr>
              <w:t>160414</w:t>
            </w:r>
          </w:p>
        </w:tc>
        <w:tc>
          <w:tcPr>
            <w:tcW w:w="1712" w:type="dxa"/>
          </w:tcPr>
          <w:p>
            <w:pPr>
              <w:jc w:val="both"/>
              <w:rPr>
                <w:noProof/>
              </w:rPr>
            </w:pPr>
            <w:r>
              <w:rPr>
                <w:noProof/>
              </w:rPr>
              <w:t>Prepared or preserved tunas</w:t>
            </w:r>
          </w:p>
        </w:tc>
        <w:tc>
          <w:tcPr>
            <w:tcW w:w="1311" w:type="dxa"/>
          </w:tcPr>
          <w:p>
            <w:pPr>
              <w:jc w:val="both"/>
              <w:rPr>
                <w:noProof/>
              </w:rPr>
            </w:pPr>
            <w:r>
              <w:rPr>
                <w:noProof/>
              </w:rPr>
              <w:t>137,899,394</w:t>
            </w:r>
          </w:p>
        </w:tc>
        <w:tc>
          <w:tcPr>
            <w:tcW w:w="778" w:type="dxa"/>
            <w:tcBorders>
              <w:right w:val="double" w:sz="4" w:space="0" w:color="auto"/>
            </w:tcBorders>
          </w:tcPr>
          <w:p>
            <w:pPr>
              <w:jc w:val="both"/>
              <w:rPr>
                <w:noProof/>
              </w:rPr>
            </w:pPr>
            <w:r>
              <w:rPr>
                <w:noProof/>
              </w:rPr>
              <w:t>4.4 %</w:t>
            </w:r>
          </w:p>
        </w:tc>
        <w:tc>
          <w:tcPr>
            <w:tcW w:w="882" w:type="dxa"/>
            <w:tcBorders>
              <w:left w:val="double" w:sz="4" w:space="0" w:color="auto"/>
            </w:tcBorders>
          </w:tcPr>
          <w:p>
            <w:pPr>
              <w:jc w:val="both"/>
              <w:rPr>
                <w:noProof/>
              </w:rPr>
            </w:pPr>
            <w:r>
              <w:rPr>
                <w:noProof/>
              </w:rPr>
              <w:t>300490</w:t>
            </w:r>
          </w:p>
        </w:tc>
        <w:tc>
          <w:tcPr>
            <w:tcW w:w="2096" w:type="dxa"/>
          </w:tcPr>
          <w:p>
            <w:pPr>
              <w:jc w:val="both"/>
              <w:rPr>
                <w:noProof/>
              </w:rPr>
            </w:pPr>
            <w:r>
              <w:rPr>
                <w:noProof/>
              </w:rPr>
              <w:t xml:space="preserve">Medicaments </w:t>
            </w:r>
          </w:p>
        </w:tc>
        <w:tc>
          <w:tcPr>
            <w:tcW w:w="1266" w:type="dxa"/>
          </w:tcPr>
          <w:p>
            <w:pPr>
              <w:jc w:val="both"/>
              <w:rPr>
                <w:noProof/>
              </w:rPr>
            </w:pPr>
            <w:r>
              <w:rPr>
                <w:noProof/>
              </w:rPr>
              <w:t>72,103,801</w:t>
            </w:r>
          </w:p>
        </w:tc>
        <w:tc>
          <w:tcPr>
            <w:tcW w:w="856" w:type="dxa"/>
          </w:tcPr>
          <w:p>
            <w:pPr>
              <w:jc w:val="both"/>
              <w:rPr>
                <w:noProof/>
              </w:rPr>
            </w:pPr>
            <w:r>
              <w:rPr>
                <w:noProof/>
              </w:rPr>
              <w:t>2.6 %</w:t>
            </w:r>
          </w:p>
        </w:tc>
      </w:tr>
      <w:tr>
        <w:trPr>
          <w:trHeight w:val="924"/>
        </w:trPr>
        <w:tc>
          <w:tcPr>
            <w:tcW w:w="834" w:type="dxa"/>
          </w:tcPr>
          <w:p>
            <w:pPr>
              <w:jc w:val="both"/>
              <w:rPr>
                <w:noProof/>
              </w:rPr>
            </w:pPr>
            <w:r>
              <w:rPr>
                <w:noProof/>
              </w:rPr>
              <w:t>760110</w:t>
            </w:r>
          </w:p>
        </w:tc>
        <w:tc>
          <w:tcPr>
            <w:tcW w:w="1712" w:type="dxa"/>
          </w:tcPr>
          <w:p>
            <w:pPr>
              <w:jc w:val="both"/>
              <w:rPr>
                <w:noProof/>
              </w:rPr>
            </w:pPr>
            <w:r>
              <w:rPr>
                <w:noProof/>
              </w:rPr>
              <w:t>Aluminium, not alloyed, unwrought</w:t>
            </w:r>
          </w:p>
        </w:tc>
        <w:tc>
          <w:tcPr>
            <w:tcW w:w="1311" w:type="dxa"/>
          </w:tcPr>
          <w:p>
            <w:pPr>
              <w:jc w:val="both"/>
              <w:rPr>
                <w:noProof/>
              </w:rPr>
            </w:pPr>
            <w:r>
              <w:rPr>
                <w:noProof/>
              </w:rPr>
              <w:t>80,526,891</w:t>
            </w:r>
          </w:p>
        </w:tc>
        <w:tc>
          <w:tcPr>
            <w:tcW w:w="778" w:type="dxa"/>
            <w:tcBorders>
              <w:right w:val="double" w:sz="4" w:space="0" w:color="auto"/>
            </w:tcBorders>
          </w:tcPr>
          <w:p>
            <w:pPr>
              <w:jc w:val="both"/>
              <w:rPr>
                <w:noProof/>
              </w:rPr>
            </w:pPr>
            <w:r>
              <w:rPr>
                <w:noProof/>
              </w:rPr>
              <w:t>2.6 %</w:t>
            </w:r>
          </w:p>
        </w:tc>
        <w:tc>
          <w:tcPr>
            <w:tcW w:w="882" w:type="dxa"/>
            <w:tcBorders>
              <w:left w:val="double" w:sz="4" w:space="0" w:color="auto"/>
            </w:tcBorders>
          </w:tcPr>
          <w:p>
            <w:pPr>
              <w:jc w:val="both"/>
              <w:rPr>
                <w:noProof/>
              </w:rPr>
            </w:pPr>
            <w:r>
              <w:rPr>
                <w:noProof/>
              </w:rPr>
              <w:t>843041</w:t>
            </w:r>
          </w:p>
        </w:tc>
        <w:tc>
          <w:tcPr>
            <w:tcW w:w="2096" w:type="dxa"/>
          </w:tcPr>
          <w:p>
            <w:pPr>
              <w:jc w:val="both"/>
              <w:rPr>
                <w:noProof/>
              </w:rPr>
            </w:pPr>
            <w:r>
              <w:rPr>
                <w:noProof/>
              </w:rPr>
              <w:t xml:space="preserve">Self-propelled boring or sinking machinery for boring earth or extracting minerals or ores </w:t>
            </w:r>
          </w:p>
        </w:tc>
        <w:tc>
          <w:tcPr>
            <w:tcW w:w="1266" w:type="dxa"/>
          </w:tcPr>
          <w:p>
            <w:pPr>
              <w:jc w:val="both"/>
              <w:rPr>
                <w:noProof/>
              </w:rPr>
            </w:pPr>
            <w:r>
              <w:rPr>
                <w:noProof/>
              </w:rPr>
              <w:t>41,208,810</w:t>
            </w:r>
          </w:p>
        </w:tc>
        <w:tc>
          <w:tcPr>
            <w:tcW w:w="856" w:type="dxa"/>
          </w:tcPr>
          <w:p>
            <w:pPr>
              <w:jc w:val="both"/>
              <w:rPr>
                <w:noProof/>
              </w:rPr>
            </w:pPr>
            <w:r>
              <w:rPr>
                <w:noProof/>
              </w:rPr>
              <w:t>1.5 %</w:t>
            </w:r>
          </w:p>
        </w:tc>
      </w:tr>
      <w:tr>
        <w:trPr>
          <w:trHeight w:val="559"/>
        </w:trPr>
        <w:tc>
          <w:tcPr>
            <w:tcW w:w="834" w:type="dxa"/>
          </w:tcPr>
          <w:p>
            <w:pPr>
              <w:jc w:val="both"/>
              <w:rPr>
                <w:noProof/>
              </w:rPr>
            </w:pPr>
            <w:r>
              <w:rPr>
                <w:noProof/>
              </w:rPr>
              <w:t>080390</w:t>
            </w:r>
          </w:p>
        </w:tc>
        <w:tc>
          <w:tcPr>
            <w:tcW w:w="1712" w:type="dxa"/>
          </w:tcPr>
          <w:p>
            <w:pPr>
              <w:jc w:val="both"/>
              <w:rPr>
                <w:noProof/>
              </w:rPr>
            </w:pPr>
            <w:r>
              <w:rPr>
                <w:noProof/>
              </w:rPr>
              <w:t>Fresh or dried bananas (excl. plantains)</w:t>
            </w:r>
          </w:p>
        </w:tc>
        <w:tc>
          <w:tcPr>
            <w:tcW w:w="1311" w:type="dxa"/>
          </w:tcPr>
          <w:p>
            <w:pPr>
              <w:jc w:val="both"/>
              <w:rPr>
                <w:noProof/>
              </w:rPr>
            </w:pPr>
            <w:r>
              <w:rPr>
                <w:noProof/>
              </w:rPr>
              <w:t>57,073,806</w:t>
            </w:r>
          </w:p>
        </w:tc>
        <w:tc>
          <w:tcPr>
            <w:tcW w:w="778" w:type="dxa"/>
            <w:tcBorders>
              <w:right w:val="double" w:sz="4" w:space="0" w:color="auto"/>
            </w:tcBorders>
          </w:tcPr>
          <w:p>
            <w:pPr>
              <w:jc w:val="both"/>
              <w:rPr>
                <w:noProof/>
              </w:rPr>
            </w:pPr>
            <w:r>
              <w:rPr>
                <w:noProof/>
              </w:rPr>
              <w:t>1.8 %</w:t>
            </w:r>
          </w:p>
        </w:tc>
        <w:tc>
          <w:tcPr>
            <w:tcW w:w="882" w:type="dxa"/>
            <w:tcBorders>
              <w:left w:val="double" w:sz="4" w:space="0" w:color="auto"/>
            </w:tcBorders>
          </w:tcPr>
          <w:p>
            <w:pPr>
              <w:jc w:val="both"/>
              <w:rPr>
                <w:noProof/>
              </w:rPr>
            </w:pPr>
            <w:r>
              <w:rPr>
                <w:noProof/>
              </w:rPr>
              <w:t>843143</w:t>
            </w:r>
          </w:p>
        </w:tc>
        <w:tc>
          <w:tcPr>
            <w:tcW w:w="2096" w:type="dxa"/>
          </w:tcPr>
          <w:p>
            <w:pPr>
              <w:jc w:val="both"/>
              <w:rPr>
                <w:noProof/>
              </w:rPr>
            </w:pPr>
            <w:r>
              <w:rPr>
                <w:noProof/>
              </w:rPr>
              <w:t>Parts for boring or sinking machinery</w:t>
            </w:r>
          </w:p>
        </w:tc>
        <w:tc>
          <w:tcPr>
            <w:tcW w:w="1266" w:type="dxa"/>
          </w:tcPr>
          <w:p>
            <w:pPr>
              <w:jc w:val="both"/>
              <w:rPr>
                <w:noProof/>
              </w:rPr>
            </w:pPr>
            <w:r>
              <w:rPr>
                <w:noProof/>
              </w:rPr>
              <w:t>33,874,967</w:t>
            </w:r>
          </w:p>
        </w:tc>
        <w:tc>
          <w:tcPr>
            <w:tcW w:w="856" w:type="dxa"/>
          </w:tcPr>
          <w:p>
            <w:pPr>
              <w:jc w:val="both"/>
              <w:rPr>
                <w:noProof/>
              </w:rPr>
            </w:pPr>
            <w:r>
              <w:rPr>
                <w:noProof/>
              </w:rPr>
              <w:t>1.2 %</w:t>
            </w:r>
          </w:p>
        </w:tc>
      </w:tr>
      <w:tr>
        <w:trPr>
          <w:trHeight w:val="365"/>
        </w:trPr>
        <w:tc>
          <w:tcPr>
            <w:tcW w:w="834" w:type="dxa"/>
          </w:tcPr>
          <w:p>
            <w:pPr>
              <w:jc w:val="both"/>
              <w:rPr>
                <w:noProof/>
              </w:rPr>
            </w:pPr>
            <w:r>
              <w:rPr>
                <w:noProof/>
              </w:rPr>
              <w:t>151590</w:t>
            </w:r>
          </w:p>
        </w:tc>
        <w:tc>
          <w:tcPr>
            <w:tcW w:w="1712" w:type="dxa"/>
          </w:tcPr>
          <w:p>
            <w:pPr>
              <w:jc w:val="both"/>
              <w:rPr>
                <w:noProof/>
              </w:rPr>
            </w:pPr>
            <w:r>
              <w:rPr>
                <w:noProof/>
              </w:rPr>
              <w:t xml:space="preserve">Fixed vegetable fats and oils </w:t>
            </w:r>
          </w:p>
        </w:tc>
        <w:tc>
          <w:tcPr>
            <w:tcW w:w="1311" w:type="dxa"/>
          </w:tcPr>
          <w:p>
            <w:pPr>
              <w:jc w:val="both"/>
              <w:rPr>
                <w:noProof/>
              </w:rPr>
            </w:pPr>
            <w:r>
              <w:rPr>
                <w:noProof/>
              </w:rPr>
              <w:t>44,059,240</w:t>
            </w:r>
          </w:p>
        </w:tc>
        <w:tc>
          <w:tcPr>
            <w:tcW w:w="778" w:type="dxa"/>
            <w:tcBorders>
              <w:right w:val="double" w:sz="4" w:space="0" w:color="auto"/>
            </w:tcBorders>
          </w:tcPr>
          <w:p>
            <w:pPr>
              <w:jc w:val="both"/>
              <w:rPr>
                <w:noProof/>
              </w:rPr>
            </w:pPr>
            <w:r>
              <w:rPr>
                <w:noProof/>
              </w:rPr>
              <w:t>1.4 %</w:t>
            </w:r>
          </w:p>
        </w:tc>
        <w:tc>
          <w:tcPr>
            <w:tcW w:w="882" w:type="dxa"/>
            <w:tcBorders>
              <w:left w:val="double" w:sz="4" w:space="0" w:color="auto"/>
            </w:tcBorders>
          </w:tcPr>
          <w:p>
            <w:pPr>
              <w:jc w:val="both"/>
              <w:rPr>
                <w:noProof/>
              </w:rPr>
            </w:pPr>
            <w:r>
              <w:rPr>
                <w:noProof/>
              </w:rPr>
              <w:t>170199</w:t>
            </w:r>
          </w:p>
        </w:tc>
        <w:tc>
          <w:tcPr>
            <w:tcW w:w="2096" w:type="dxa"/>
          </w:tcPr>
          <w:p>
            <w:pPr>
              <w:jc w:val="both"/>
              <w:rPr>
                <w:noProof/>
              </w:rPr>
            </w:pPr>
            <w:r>
              <w:rPr>
                <w:noProof/>
              </w:rPr>
              <w:t xml:space="preserve">Cane or beet sugar </w:t>
            </w:r>
          </w:p>
        </w:tc>
        <w:tc>
          <w:tcPr>
            <w:tcW w:w="1266" w:type="dxa"/>
          </w:tcPr>
          <w:p>
            <w:pPr>
              <w:jc w:val="both"/>
              <w:rPr>
                <w:noProof/>
              </w:rPr>
            </w:pPr>
            <w:r>
              <w:rPr>
                <w:noProof/>
              </w:rPr>
              <w:t>32,118,832</w:t>
            </w:r>
          </w:p>
        </w:tc>
        <w:tc>
          <w:tcPr>
            <w:tcW w:w="856" w:type="dxa"/>
          </w:tcPr>
          <w:p>
            <w:pPr>
              <w:jc w:val="both"/>
              <w:rPr>
                <w:noProof/>
              </w:rPr>
            </w:pPr>
            <w:r>
              <w:rPr>
                <w:noProof/>
              </w:rPr>
              <w:t>1.1 %</w:t>
            </w:r>
          </w:p>
        </w:tc>
      </w:tr>
      <w:tr>
        <w:trPr>
          <w:trHeight w:val="365"/>
        </w:trPr>
        <w:tc>
          <w:tcPr>
            <w:tcW w:w="834" w:type="dxa"/>
          </w:tcPr>
          <w:p>
            <w:pPr>
              <w:jc w:val="both"/>
              <w:rPr>
                <w:noProof/>
              </w:rPr>
            </w:pPr>
            <w:r>
              <w:rPr>
                <w:noProof/>
              </w:rPr>
              <w:t>180500</w:t>
            </w:r>
          </w:p>
        </w:tc>
        <w:tc>
          <w:tcPr>
            <w:tcW w:w="1712" w:type="dxa"/>
          </w:tcPr>
          <w:p>
            <w:pPr>
              <w:jc w:val="both"/>
              <w:rPr>
                <w:noProof/>
              </w:rPr>
            </w:pPr>
            <w:r>
              <w:rPr>
                <w:noProof/>
              </w:rPr>
              <w:t>Cocoa powder</w:t>
            </w:r>
          </w:p>
        </w:tc>
        <w:tc>
          <w:tcPr>
            <w:tcW w:w="1311" w:type="dxa"/>
          </w:tcPr>
          <w:p>
            <w:pPr>
              <w:jc w:val="both"/>
              <w:rPr>
                <w:noProof/>
              </w:rPr>
            </w:pPr>
            <w:r>
              <w:rPr>
                <w:noProof/>
              </w:rPr>
              <w:t>37,839,836</w:t>
            </w:r>
          </w:p>
        </w:tc>
        <w:tc>
          <w:tcPr>
            <w:tcW w:w="778" w:type="dxa"/>
            <w:tcBorders>
              <w:right w:val="double" w:sz="4" w:space="0" w:color="auto"/>
            </w:tcBorders>
          </w:tcPr>
          <w:p>
            <w:pPr>
              <w:jc w:val="both"/>
              <w:rPr>
                <w:noProof/>
              </w:rPr>
            </w:pPr>
            <w:r>
              <w:rPr>
                <w:noProof/>
              </w:rPr>
              <w:t>1.2 %</w:t>
            </w:r>
          </w:p>
        </w:tc>
        <w:tc>
          <w:tcPr>
            <w:tcW w:w="882" w:type="dxa"/>
            <w:tcBorders>
              <w:left w:val="double" w:sz="4" w:space="0" w:color="auto"/>
            </w:tcBorders>
          </w:tcPr>
          <w:p>
            <w:pPr>
              <w:jc w:val="both"/>
              <w:rPr>
                <w:noProof/>
              </w:rPr>
            </w:pPr>
            <w:r>
              <w:rPr>
                <w:noProof/>
              </w:rPr>
              <w:t>830710</w:t>
            </w:r>
          </w:p>
        </w:tc>
        <w:tc>
          <w:tcPr>
            <w:tcW w:w="2096" w:type="dxa"/>
          </w:tcPr>
          <w:p>
            <w:pPr>
              <w:jc w:val="both"/>
              <w:rPr>
                <w:noProof/>
              </w:rPr>
            </w:pPr>
            <w:r>
              <w:rPr>
                <w:noProof/>
              </w:rPr>
              <w:t>Flexible tubing of iron or steel, with or without fittings</w:t>
            </w:r>
          </w:p>
        </w:tc>
        <w:tc>
          <w:tcPr>
            <w:tcW w:w="1266" w:type="dxa"/>
          </w:tcPr>
          <w:p>
            <w:pPr>
              <w:jc w:val="both"/>
              <w:rPr>
                <w:noProof/>
              </w:rPr>
            </w:pPr>
            <w:r>
              <w:rPr>
                <w:noProof/>
              </w:rPr>
              <w:t>27,758,778</w:t>
            </w:r>
          </w:p>
        </w:tc>
        <w:tc>
          <w:tcPr>
            <w:tcW w:w="856" w:type="dxa"/>
          </w:tcPr>
          <w:p>
            <w:pPr>
              <w:jc w:val="both"/>
              <w:rPr>
                <w:noProof/>
              </w:rPr>
            </w:pPr>
            <w:r>
              <w:rPr>
                <w:noProof/>
              </w:rPr>
              <w:t>1 %</w:t>
            </w:r>
          </w:p>
        </w:tc>
      </w:tr>
      <w:tr>
        <w:trPr>
          <w:trHeight w:val="547"/>
        </w:trPr>
        <w:tc>
          <w:tcPr>
            <w:tcW w:w="834" w:type="dxa"/>
          </w:tcPr>
          <w:p>
            <w:pPr>
              <w:jc w:val="both"/>
              <w:rPr>
                <w:noProof/>
              </w:rPr>
            </w:pPr>
            <w:r>
              <w:rPr>
                <w:noProof/>
              </w:rPr>
              <w:t>180320</w:t>
            </w:r>
          </w:p>
        </w:tc>
        <w:tc>
          <w:tcPr>
            <w:tcW w:w="1712" w:type="dxa"/>
          </w:tcPr>
          <w:p>
            <w:pPr>
              <w:jc w:val="both"/>
              <w:rPr>
                <w:noProof/>
              </w:rPr>
            </w:pPr>
            <w:r>
              <w:rPr>
                <w:noProof/>
              </w:rPr>
              <w:t>Cocoa paste, wholly or partly defatted</w:t>
            </w:r>
          </w:p>
        </w:tc>
        <w:tc>
          <w:tcPr>
            <w:tcW w:w="1311" w:type="dxa"/>
          </w:tcPr>
          <w:p>
            <w:pPr>
              <w:jc w:val="both"/>
              <w:rPr>
                <w:noProof/>
              </w:rPr>
            </w:pPr>
            <w:r>
              <w:rPr>
                <w:noProof/>
              </w:rPr>
              <w:t>31,836,485</w:t>
            </w:r>
          </w:p>
        </w:tc>
        <w:tc>
          <w:tcPr>
            <w:tcW w:w="778" w:type="dxa"/>
          </w:tcPr>
          <w:p>
            <w:pPr>
              <w:jc w:val="both"/>
              <w:rPr>
                <w:noProof/>
              </w:rPr>
            </w:pPr>
            <w:r>
              <w:rPr>
                <w:noProof/>
              </w:rPr>
              <w:t>1 %</w:t>
            </w:r>
          </w:p>
        </w:tc>
        <w:tc>
          <w:tcPr>
            <w:tcW w:w="882" w:type="dxa"/>
          </w:tcPr>
          <w:p>
            <w:pPr>
              <w:jc w:val="both"/>
              <w:rPr>
                <w:noProof/>
              </w:rPr>
            </w:pPr>
            <w:r>
              <w:rPr>
                <w:noProof/>
              </w:rPr>
              <w:t>870410</w:t>
            </w:r>
          </w:p>
        </w:tc>
        <w:tc>
          <w:tcPr>
            <w:tcW w:w="2096" w:type="dxa"/>
          </w:tcPr>
          <w:p>
            <w:pPr>
              <w:jc w:val="both"/>
              <w:rPr>
                <w:noProof/>
              </w:rPr>
            </w:pPr>
            <w:r>
              <w:rPr>
                <w:noProof/>
              </w:rPr>
              <w:t>Dumpers for off-highway use</w:t>
            </w:r>
          </w:p>
        </w:tc>
        <w:tc>
          <w:tcPr>
            <w:tcW w:w="1266" w:type="dxa"/>
          </w:tcPr>
          <w:p>
            <w:pPr>
              <w:jc w:val="both"/>
              <w:rPr>
                <w:noProof/>
              </w:rPr>
            </w:pPr>
            <w:r>
              <w:rPr>
                <w:noProof/>
              </w:rPr>
              <w:t>26,942,320</w:t>
            </w:r>
          </w:p>
        </w:tc>
        <w:tc>
          <w:tcPr>
            <w:tcW w:w="856" w:type="dxa"/>
          </w:tcPr>
          <w:p>
            <w:pPr>
              <w:jc w:val="both"/>
              <w:rPr>
                <w:noProof/>
              </w:rPr>
            </w:pPr>
            <w:r>
              <w:rPr>
                <w:noProof/>
              </w:rPr>
              <w:t>1 %</w:t>
            </w:r>
          </w:p>
        </w:tc>
      </w:tr>
      <w:tr>
        <w:trPr>
          <w:trHeight w:val="365"/>
        </w:trPr>
        <w:tc>
          <w:tcPr>
            <w:tcW w:w="834" w:type="dxa"/>
          </w:tcPr>
          <w:p>
            <w:pPr>
              <w:jc w:val="both"/>
              <w:rPr>
                <w:noProof/>
              </w:rPr>
            </w:pPr>
          </w:p>
        </w:tc>
        <w:tc>
          <w:tcPr>
            <w:tcW w:w="1712" w:type="dxa"/>
          </w:tcPr>
          <w:p>
            <w:pPr>
              <w:jc w:val="both"/>
              <w:rPr>
                <w:b/>
                <w:noProof/>
              </w:rPr>
            </w:pPr>
            <w:r>
              <w:rPr>
                <w:b/>
                <w:noProof/>
              </w:rPr>
              <w:t>Total top 10 products</w:t>
            </w:r>
          </w:p>
        </w:tc>
        <w:tc>
          <w:tcPr>
            <w:tcW w:w="1311" w:type="dxa"/>
          </w:tcPr>
          <w:p>
            <w:pPr>
              <w:jc w:val="both"/>
              <w:rPr>
                <w:b/>
                <w:noProof/>
              </w:rPr>
            </w:pPr>
            <w:r>
              <w:rPr>
                <w:b/>
                <w:noProof/>
              </w:rPr>
              <w:t>2,811,320,576</w:t>
            </w:r>
          </w:p>
        </w:tc>
        <w:tc>
          <w:tcPr>
            <w:tcW w:w="778" w:type="dxa"/>
          </w:tcPr>
          <w:p>
            <w:pPr>
              <w:jc w:val="both"/>
              <w:rPr>
                <w:b/>
                <w:noProof/>
              </w:rPr>
            </w:pPr>
            <w:r>
              <w:rPr>
                <w:b/>
                <w:noProof/>
              </w:rPr>
              <w:t>89.8 %</w:t>
            </w:r>
          </w:p>
        </w:tc>
        <w:tc>
          <w:tcPr>
            <w:tcW w:w="882" w:type="dxa"/>
          </w:tcPr>
          <w:p>
            <w:pPr>
              <w:jc w:val="both"/>
              <w:rPr>
                <w:noProof/>
              </w:rPr>
            </w:pPr>
          </w:p>
        </w:tc>
        <w:tc>
          <w:tcPr>
            <w:tcW w:w="2096" w:type="dxa"/>
          </w:tcPr>
          <w:p>
            <w:pPr>
              <w:jc w:val="both"/>
              <w:rPr>
                <w:b/>
                <w:noProof/>
              </w:rPr>
            </w:pPr>
            <w:r>
              <w:rPr>
                <w:b/>
                <w:noProof/>
              </w:rPr>
              <w:t>Total top 10 products</w:t>
            </w:r>
          </w:p>
        </w:tc>
        <w:tc>
          <w:tcPr>
            <w:tcW w:w="1266" w:type="dxa"/>
          </w:tcPr>
          <w:p>
            <w:pPr>
              <w:jc w:val="both"/>
              <w:rPr>
                <w:b/>
                <w:noProof/>
              </w:rPr>
            </w:pPr>
            <w:r>
              <w:rPr>
                <w:b/>
                <w:noProof/>
              </w:rPr>
              <w:t>925,601,024</w:t>
            </w:r>
          </w:p>
        </w:tc>
        <w:tc>
          <w:tcPr>
            <w:tcW w:w="856" w:type="dxa"/>
          </w:tcPr>
          <w:p>
            <w:pPr>
              <w:jc w:val="both"/>
              <w:rPr>
                <w:b/>
                <w:noProof/>
              </w:rPr>
            </w:pPr>
            <w:r>
              <w:rPr>
                <w:b/>
                <w:noProof/>
              </w:rPr>
              <w:t>32.9 %</w:t>
            </w:r>
          </w:p>
        </w:tc>
      </w:tr>
    </w:tbl>
    <w:p>
      <w:pPr>
        <w:jc w:val="both"/>
        <w:rPr>
          <w:i/>
          <w:noProof/>
          <w:sz w:val="20"/>
          <w:szCs w:val="20"/>
        </w:rPr>
      </w:pPr>
      <w:r>
        <w:rPr>
          <w:i/>
          <w:noProof/>
          <w:sz w:val="20"/>
          <w:szCs w:val="20"/>
        </w:rPr>
        <w:t>Source: Eurostat (product names partly shortened)</w:t>
      </w:r>
    </w:p>
    <w:p>
      <w:pPr>
        <w:jc w:val="both"/>
        <w:rPr>
          <w:noProof/>
        </w:rPr>
      </w:pPr>
    </w:p>
    <w:p>
      <w:pPr>
        <w:jc w:val="both"/>
        <w:rPr>
          <w:noProof/>
        </w:rPr>
      </w:pPr>
      <w:r>
        <w:rPr>
          <w:noProof/>
          <w:lang w:eastAsia="en-GB"/>
        </w:rPr>
        <w:t xml:space="preserve">In 2018, the EU imported 58 different products (at HS 6-digit level) with a value of above </w:t>
      </w:r>
      <w:r>
        <w:rPr>
          <w:noProof/>
        </w:rPr>
        <w:t>€1 million from Ghana (compared to 65 products in 2014). However, the degree of diversification is significantly higher than with other export partners (e.g. China imported only 14 products with a value of above €1 million from Ghana in 2017)</w:t>
      </w:r>
      <w:r>
        <w:rPr>
          <w:rStyle w:val="FootnoteReference"/>
          <w:noProof/>
        </w:rPr>
        <w:footnoteReference w:id="123"/>
      </w:r>
      <w:r>
        <w:rPr>
          <w:noProof/>
        </w:rPr>
        <w:t>.</w:t>
      </w:r>
    </w:p>
    <w:p>
      <w:pPr>
        <w:jc w:val="both"/>
        <w:rPr>
          <w:noProof/>
          <w:lang w:eastAsia="en-GB"/>
        </w:rPr>
      </w:pPr>
    </w:p>
    <w:p>
      <w:pPr>
        <w:jc w:val="both"/>
        <w:rPr>
          <w:noProof/>
        </w:rPr>
      </w:pPr>
      <w:r>
        <w:rPr>
          <w:noProof/>
          <w:lang w:eastAsia="en-GB"/>
        </w:rPr>
        <w:t xml:space="preserve">The decrease in </w:t>
      </w:r>
      <w:r>
        <w:rPr>
          <w:b/>
          <w:noProof/>
          <w:lang w:eastAsia="en-GB"/>
        </w:rPr>
        <w:t>EU exports</w:t>
      </w:r>
      <w:r>
        <w:rPr>
          <w:noProof/>
          <w:lang w:eastAsia="en-GB"/>
        </w:rPr>
        <w:t xml:space="preserve"> to Ghana was mostly driven by a decrease in exports of miscellaneous articles of base metal (-</w:t>
      </w:r>
      <w:r>
        <w:rPr>
          <w:noProof/>
        </w:rPr>
        <w:t xml:space="preserve">€119 million, -72%), as well as machinery and mechanical appliances (-€48 million, -8.7%), motor vehicles (-€33 million, -17.6%) and optical, medical or surgical instruments (-€22 million, -27%). </w:t>
      </w:r>
    </w:p>
    <w:p>
      <w:pPr>
        <w:jc w:val="both"/>
        <w:rPr>
          <w:noProof/>
        </w:rPr>
      </w:pPr>
    </w:p>
    <w:p>
      <w:pPr>
        <w:jc w:val="both"/>
        <w:rPr>
          <w:noProof/>
        </w:rPr>
      </w:pPr>
      <w:r>
        <w:rPr>
          <w:noProof/>
        </w:rPr>
        <w:t>On the other hand, EU exports of pharmaceutical products (+€42 million, +51%), sugar (+€16 million, 95.2%) and chicken meat (+€14 million, +9.5%) increased in 2018.</w:t>
      </w:r>
    </w:p>
    <w:p>
      <w:pPr>
        <w:jc w:val="both"/>
        <w:rPr>
          <w:noProof/>
        </w:rPr>
      </w:pPr>
    </w:p>
    <w:p>
      <w:pPr>
        <w:jc w:val="both"/>
        <w:rPr>
          <w:noProof/>
        </w:rPr>
      </w:pPr>
      <w:r>
        <w:rPr>
          <w:noProof/>
          <w:lang w:eastAsia="en-GB"/>
        </w:rPr>
        <w:t xml:space="preserve">EU imports of </w:t>
      </w:r>
      <w:r>
        <w:rPr>
          <w:b/>
          <w:noProof/>
          <w:lang w:eastAsia="en-GB"/>
        </w:rPr>
        <w:t>agri-food products</w:t>
      </w:r>
      <w:r>
        <w:rPr>
          <w:noProof/>
          <w:lang w:eastAsia="en-GB"/>
        </w:rPr>
        <w:t xml:space="preserve"> from Ghana have increased by </w:t>
      </w:r>
      <w:r>
        <w:rPr>
          <w:noProof/>
        </w:rPr>
        <w:t xml:space="preserve">€118 million or 9% in 2018 to a total of €1.4 billion, while EU agri-food exports to Ghana increased by €5 million to €460 million. While, as mentioned above, Ghana´s agri-food exports are by far concentrated in cocoa products, followed by tropical fruits, </w:t>
      </w:r>
      <w:r>
        <w:rPr>
          <w:noProof/>
          <w:lang w:eastAsia="en-GB"/>
        </w:rPr>
        <w:t xml:space="preserve">EU exported to Ghana mainly poultry meat (25% of EU agri-food exports to Ghana), followed by sugar, vegetable oils, offal, animal fat and other meats. Ghana is not yet liberalizing its market for EU imports under the EPA, and most agricultural products will remain excluded from liberalization. </w:t>
      </w:r>
    </w:p>
    <w:p>
      <w:pPr>
        <w:pStyle w:val="Heading2"/>
        <w:ind w:left="0" w:firstLine="0"/>
      </w:pPr>
      <w:bookmarkStart w:id="4488" w:name="_Toc8833833"/>
      <w:bookmarkStart w:id="4489" w:name="_Toc8835660"/>
      <w:bookmarkStart w:id="4490" w:name="_Toc8834291"/>
      <w:bookmarkStart w:id="4491" w:name="_Toc8909752"/>
      <w:bookmarkStart w:id="4492" w:name="_Toc8910964"/>
      <w:bookmarkStart w:id="4493" w:name="_Toc8912001"/>
      <w:bookmarkStart w:id="4494" w:name="_Toc8974822"/>
      <w:bookmarkStart w:id="4495" w:name="_Toc9008475"/>
      <w:bookmarkStart w:id="4496" w:name="_Toc9008878"/>
      <w:bookmarkStart w:id="4497" w:name="_Toc9348874"/>
      <w:bookmarkStart w:id="4498" w:name="_Toc9608342"/>
      <w:bookmarkStart w:id="4499" w:name="_Toc16000897"/>
      <w:r>
        <w:t>2.2 Trade in services</w:t>
      </w:r>
      <w:bookmarkEnd w:id="4488"/>
      <w:bookmarkEnd w:id="4489"/>
      <w:bookmarkEnd w:id="4490"/>
      <w:bookmarkEnd w:id="4491"/>
      <w:bookmarkEnd w:id="4492"/>
      <w:bookmarkEnd w:id="4493"/>
      <w:bookmarkEnd w:id="4494"/>
      <w:bookmarkEnd w:id="4495"/>
      <w:bookmarkEnd w:id="4496"/>
      <w:bookmarkEnd w:id="4497"/>
      <w:bookmarkEnd w:id="4498"/>
      <w:bookmarkEnd w:id="4499"/>
    </w:p>
    <w:p>
      <w:pPr>
        <w:jc w:val="both"/>
        <w:rPr>
          <w:noProof/>
          <w:lang w:eastAsia="en-GB"/>
        </w:rPr>
      </w:pPr>
      <w:r>
        <w:rPr>
          <w:noProof/>
          <w:lang w:eastAsia="en-GB"/>
        </w:rPr>
        <w:t xml:space="preserve">The interim EPA with Ghana does not cover trade in services. Total EU services trade with Ghana decreased by 50% in 2017. </w:t>
      </w:r>
      <w:r>
        <w:rPr>
          <w:noProof/>
        </w:rPr>
        <w:t xml:space="preserve">EU imports of services from Ghana decreased by €845 million or 45% to 568 million. </w:t>
      </w:r>
      <w:r>
        <w:rPr>
          <w:noProof/>
          <w:lang w:eastAsia="en-GB"/>
        </w:rPr>
        <w:t xml:space="preserve">EU exports of services to Ghana decreased by </w:t>
      </w:r>
      <w:r>
        <w:rPr>
          <w:noProof/>
        </w:rPr>
        <w:t xml:space="preserve">€777 million or 58% to €1.022 billion. Overall balance is positive for the EU. </w:t>
      </w:r>
    </w:p>
    <w:p>
      <w:pPr>
        <w:pStyle w:val="Heading2"/>
        <w:ind w:left="0" w:firstLine="0"/>
      </w:pPr>
      <w:bookmarkStart w:id="4500" w:name="_Toc8833834"/>
      <w:bookmarkStart w:id="4501" w:name="_Toc8835661"/>
      <w:bookmarkStart w:id="4502" w:name="_Toc8834292"/>
      <w:bookmarkStart w:id="4503" w:name="_Toc8909753"/>
      <w:bookmarkStart w:id="4504" w:name="_Toc8910965"/>
      <w:bookmarkStart w:id="4505" w:name="_Toc8912002"/>
      <w:bookmarkStart w:id="4506" w:name="_Toc8974823"/>
      <w:bookmarkStart w:id="4507" w:name="_Toc9008476"/>
      <w:bookmarkStart w:id="4508" w:name="_Toc9008879"/>
      <w:bookmarkStart w:id="4509" w:name="_Toc9348875"/>
      <w:bookmarkStart w:id="4510" w:name="_Toc9608343"/>
      <w:bookmarkStart w:id="4511" w:name="_Toc16000898"/>
      <w:r>
        <w:t>2.3 Foreign Direct investment (FDIs)</w:t>
      </w:r>
      <w:bookmarkEnd w:id="4500"/>
      <w:bookmarkEnd w:id="4501"/>
      <w:bookmarkEnd w:id="4502"/>
      <w:bookmarkEnd w:id="4503"/>
      <w:bookmarkEnd w:id="4504"/>
      <w:bookmarkEnd w:id="4505"/>
      <w:bookmarkEnd w:id="4506"/>
      <w:bookmarkEnd w:id="4507"/>
      <w:bookmarkEnd w:id="4508"/>
      <w:bookmarkEnd w:id="4509"/>
      <w:bookmarkEnd w:id="4510"/>
      <w:bookmarkEnd w:id="4511"/>
    </w:p>
    <w:p>
      <w:pPr>
        <w:jc w:val="both"/>
        <w:rPr>
          <w:noProof/>
          <w:lang w:eastAsia="en-GB"/>
        </w:rPr>
      </w:pPr>
      <w:r>
        <w:rPr>
          <w:noProof/>
          <w:lang w:eastAsia="en-GB"/>
        </w:rPr>
        <w:t xml:space="preserve">The interim EPA with Ghana does not contain provisions on investment. EU foreign direct investment stocks in Ghana stood at </w:t>
      </w:r>
      <w:r>
        <w:rPr>
          <w:noProof/>
        </w:rPr>
        <w:t>€</w:t>
      </w:r>
      <w:r>
        <w:rPr>
          <w:noProof/>
          <w:lang w:eastAsia="en-GB"/>
        </w:rPr>
        <w:t xml:space="preserve">1.7 billion in 2017, down from </w:t>
      </w:r>
      <w:r>
        <w:rPr>
          <w:noProof/>
        </w:rPr>
        <w:t>€</w:t>
      </w:r>
      <w:r>
        <w:rPr>
          <w:noProof/>
          <w:lang w:eastAsia="en-GB"/>
        </w:rPr>
        <w:t xml:space="preserve">2.5 billion in 2016. New EU FDI flows to Ghana amounted to </w:t>
      </w:r>
      <w:r>
        <w:rPr>
          <w:noProof/>
        </w:rPr>
        <w:t>€</w:t>
      </w:r>
      <w:r>
        <w:rPr>
          <w:noProof/>
          <w:lang w:eastAsia="en-GB"/>
        </w:rPr>
        <w:t xml:space="preserve">74 million in 2017, also down from </w:t>
      </w:r>
      <w:r>
        <w:rPr>
          <w:noProof/>
        </w:rPr>
        <w:t>€</w:t>
      </w:r>
      <w:r>
        <w:rPr>
          <w:noProof/>
          <w:lang w:eastAsia="en-GB"/>
        </w:rPr>
        <w:t xml:space="preserve">201 million in 2016. </w:t>
      </w:r>
    </w:p>
    <w:p>
      <w:pPr>
        <w:jc w:val="both"/>
        <w:rPr>
          <w:noProof/>
          <w:lang w:eastAsia="en-GB"/>
        </w:rPr>
      </w:pPr>
    </w:p>
    <w:p>
      <w:pPr>
        <w:autoSpaceDE w:val="0"/>
        <w:autoSpaceDN w:val="0"/>
        <w:adjustRightInd w:val="0"/>
        <w:spacing w:after="120"/>
        <w:jc w:val="both"/>
        <w:rPr>
          <w:rFonts w:eastAsia="Times New Roman"/>
          <w:noProof/>
          <w:lang w:eastAsia="fr-BE"/>
        </w:rPr>
      </w:pPr>
      <w:r>
        <w:rPr>
          <w:rFonts w:eastAsia="Times New Roman"/>
          <w:noProof/>
          <w:lang w:eastAsia="fr-BE"/>
        </w:rPr>
        <w:t>Ghana remains a popular destination for doing business in West Africa due to its political stability, relatively open democratic institutions, free media and a fairly vibrant civil society.</w:t>
      </w:r>
      <w:r>
        <w:rPr>
          <w:rFonts w:eastAsia="Times New Roman"/>
          <w:b/>
          <w:noProof/>
          <w:lang w:eastAsia="fr-BE"/>
        </w:rPr>
        <w:t xml:space="preserve"> </w:t>
      </w:r>
      <w:r>
        <w:rPr>
          <w:rFonts w:eastAsia="Times New Roman"/>
          <w:noProof/>
          <w:lang w:eastAsia="fr-BE"/>
        </w:rPr>
        <w:t>The 2018 Mo Ibrahim Index on African Governance ranks Ghana 6 out of 54 African countries with increasing improvement in such indicators as 'Sustainable Economic Opportunities' and 'Safety and Rule of Law'.</w:t>
      </w:r>
      <w:r>
        <w:rPr>
          <w:rFonts w:eastAsia="Times New Roman"/>
          <w:noProof/>
          <w:vertAlign w:val="superscript"/>
          <w:lang w:eastAsia="fr-BE"/>
        </w:rPr>
        <w:footnoteReference w:id="124"/>
      </w:r>
      <w:r>
        <w:rPr>
          <w:rFonts w:eastAsia="Times New Roman"/>
          <w:noProof/>
          <w:lang w:eastAsia="fr-BE"/>
        </w:rPr>
        <w:t xml:space="preserve"> Ernst and Young, assessing attractiveness of countries as a FDI destination, rank Ghana 7</w:t>
      </w:r>
      <w:r>
        <w:rPr>
          <w:rFonts w:eastAsia="Times New Roman"/>
          <w:noProof/>
          <w:vertAlign w:val="superscript"/>
          <w:lang w:eastAsia="fr-BE"/>
        </w:rPr>
        <w:t>th</w:t>
      </w:r>
      <w:r>
        <w:rPr>
          <w:rFonts w:eastAsia="Times New Roman"/>
          <w:noProof/>
          <w:lang w:eastAsia="fr-BE"/>
        </w:rPr>
        <w:t xml:space="preserve"> out of 54 African countries in 2017.</w:t>
      </w:r>
      <w:r>
        <w:rPr>
          <w:rFonts w:eastAsia="Times New Roman"/>
          <w:noProof/>
          <w:vertAlign w:val="superscript"/>
          <w:lang w:eastAsia="fr-BE"/>
        </w:rPr>
        <w:footnoteReference w:id="125"/>
      </w:r>
      <w:r>
        <w:rPr>
          <w:rFonts w:eastAsia="Times New Roman"/>
          <w:noProof/>
          <w:lang w:eastAsia="fr-BE"/>
        </w:rPr>
        <w:t xml:space="preserve"> European businesses are very interested in using Ghana as a gateway for the region. Large companies, such as Volkswagen and Bosch, have expressed interest in investing in assembly lines in Ghana.  </w:t>
      </w:r>
    </w:p>
    <w:p>
      <w:pPr>
        <w:autoSpaceDE w:val="0"/>
        <w:autoSpaceDN w:val="0"/>
        <w:adjustRightInd w:val="0"/>
        <w:spacing w:after="120"/>
        <w:jc w:val="both"/>
        <w:rPr>
          <w:rFonts w:eastAsia="Times New Roman"/>
          <w:noProof/>
          <w:lang w:eastAsia="fr-BE"/>
        </w:rPr>
      </w:pPr>
      <w:r>
        <w:rPr>
          <w:rFonts w:eastAsia="Times New Roman"/>
          <w:noProof/>
          <w:lang w:eastAsia="fr-BE"/>
        </w:rPr>
        <w:t>The current Ghanaian administration appears determined to tackle increasing imports through nationwide policies as 'One District One Factory', attempting to boost private investment and local production capacity for local consumption and increased exports.</w:t>
      </w:r>
    </w:p>
    <w:p>
      <w:pPr>
        <w:pStyle w:val="ManualHeading1"/>
      </w:pPr>
      <w:bookmarkStart w:id="4512" w:name="_Toc8833835"/>
      <w:bookmarkStart w:id="4513" w:name="_Toc8835662"/>
      <w:bookmarkStart w:id="4514" w:name="_Toc8834293"/>
      <w:bookmarkStart w:id="4515" w:name="_Toc8909754"/>
      <w:bookmarkStart w:id="4516" w:name="_Toc8910966"/>
      <w:bookmarkStart w:id="4517" w:name="_Toc8912003"/>
      <w:bookmarkStart w:id="4518" w:name="_Toc8974824"/>
      <w:bookmarkStart w:id="4519" w:name="_Toc9008477"/>
      <w:bookmarkStart w:id="4520" w:name="_Toc9008880"/>
      <w:bookmarkStart w:id="4521" w:name="_Toc9348876"/>
      <w:bookmarkStart w:id="4522" w:name="_Toc9608344"/>
      <w:bookmarkStart w:id="4523" w:name="_Toc16000899"/>
      <w:r>
        <w:t>3.</w:t>
      </w:r>
      <w:r>
        <w:tab/>
        <w:t>Issues addressed in the first meeting of the joint EPA Committee</w:t>
      </w:r>
      <w:bookmarkEnd w:id="4512"/>
      <w:bookmarkEnd w:id="4513"/>
      <w:bookmarkEnd w:id="4514"/>
      <w:bookmarkEnd w:id="4515"/>
      <w:bookmarkEnd w:id="4516"/>
      <w:bookmarkEnd w:id="4517"/>
      <w:bookmarkEnd w:id="4518"/>
      <w:bookmarkEnd w:id="4519"/>
      <w:bookmarkEnd w:id="4520"/>
      <w:bookmarkEnd w:id="4521"/>
      <w:bookmarkEnd w:id="4522"/>
      <w:bookmarkEnd w:id="4523"/>
    </w:p>
    <w:p>
      <w:pPr>
        <w:spacing w:after="300"/>
        <w:jc w:val="both"/>
        <w:rPr>
          <w:noProof/>
        </w:rPr>
      </w:pPr>
      <w:r>
        <w:rPr>
          <w:noProof/>
        </w:rPr>
        <w:t xml:space="preserve">After Ghana's ratification in 2016, the preparatory work for implementation commenced. As a result, the first meeting of the EPA Committee was held in Accra, Ghana, on 24 January 2018. The EPA Committee adopted its rules of procedures governing the Joint EPA committee. The Parties exchanged information on the state of play in the implementation of the EPA with </w:t>
      </w:r>
      <w:r>
        <w:rPr>
          <w:noProof/>
          <w:lang w:val="en-US"/>
        </w:rPr>
        <w:t xml:space="preserve">Côte </w:t>
      </w:r>
      <w:r>
        <w:rPr>
          <w:noProof/>
        </w:rPr>
        <w:t xml:space="preserve">d’Ivoire and the process of adoption of the regional EPA with West Africa. </w:t>
      </w:r>
    </w:p>
    <w:p>
      <w:pPr>
        <w:spacing w:after="300"/>
        <w:jc w:val="both"/>
        <w:rPr>
          <w:noProof/>
        </w:rPr>
      </w:pPr>
      <w:r>
        <w:rPr>
          <w:noProof/>
        </w:rPr>
        <w:t xml:space="preserve">The Parties met again in a technical meeting in December 2018 to continue discussions on Ghana’s updated liberalization schedule. The interim EPA was negotiated back in 2007 and was only signed and ratified in 2016, therefore a certain number of dates in the market access offer are in the past and have to be updated. The Parties made substantial progress in the transposition of Ghana’s market access commitments from HS2002 (in which it was originally drafted) to HS2017 and which has been now fully endorsed. The Parties also agreed on the rules of origin and the institutional set up for the implementation of the EPA. </w:t>
      </w:r>
    </w:p>
    <w:p>
      <w:pPr>
        <w:spacing w:after="300"/>
        <w:jc w:val="both"/>
        <w:rPr>
          <w:noProof/>
        </w:rPr>
      </w:pPr>
      <w:r>
        <w:rPr>
          <w:noProof/>
        </w:rPr>
        <w:t xml:space="preserve">Following this meeting, Ghana made an announcement at the meeting of the WTO committee for regional trade agreement in late 2018 that it will start the liberalisation of its market to EU products by the beginning of 2020.  </w:t>
      </w:r>
    </w:p>
    <w:p>
      <w:pPr>
        <w:pStyle w:val="ManualHeading1"/>
      </w:pPr>
      <w:bookmarkStart w:id="4524" w:name="_Toc8833836"/>
      <w:bookmarkStart w:id="4525" w:name="_Toc8835663"/>
      <w:bookmarkStart w:id="4526" w:name="_Toc8834294"/>
      <w:bookmarkStart w:id="4527" w:name="_Toc8909755"/>
      <w:bookmarkStart w:id="4528" w:name="_Toc8910967"/>
      <w:bookmarkStart w:id="4529" w:name="_Toc8912004"/>
      <w:bookmarkStart w:id="4530" w:name="_Toc8974825"/>
      <w:bookmarkStart w:id="4531" w:name="_Toc9008478"/>
      <w:bookmarkStart w:id="4532" w:name="_Toc9008881"/>
      <w:bookmarkStart w:id="4533" w:name="_Toc9348877"/>
      <w:bookmarkStart w:id="4534" w:name="_Toc9608345"/>
      <w:bookmarkStart w:id="4535" w:name="_Toc16000900"/>
      <w:r>
        <w:t>4.</w:t>
      </w:r>
      <w:r>
        <w:tab/>
        <w:t>Development Cooperation</w:t>
      </w:r>
      <w:bookmarkEnd w:id="4524"/>
      <w:bookmarkEnd w:id="4525"/>
      <w:bookmarkEnd w:id="4526"/>
      <w:bookmarkEnd w:id="4527"/>
      <w:bookmarkEnd w:id="4528"/>
      <w:bookmarkEnd w:id="4529"/>
      <w:bookmarkEnd w:id="4530"/>
      <w:bookmarkEnd w:id="4531"/>
      <w:bookmarkEnd w:id="4532"/>
      <w:bookmarkEnd w:id="4533"/>
      <w:bookmarkEnd w:id="4534"/>
      <w:bookmarkEnd w:id="4535"/>
    </w:p>
    <w:p>
      <w:pPr>
        <w:spacing w:after="300"/>
        <w:jc w:val="both"/>
        <w:rPr>
          <w:noProof/>
        </w:rPr>
      </w:pPr>
      <w:r>
        <w:rPr>
          <w:noProof/>
        </w:rPr>
        <w:t xml:space="preserve">Development cooperation, particularly trade-related assistance, is an important pillar of EPA, as it contributes to operationalizing the development dimension of the partnership. </w:t>
      </w:r>
    </w:p>
    <w:p>
      <w:pPr>
        <w:spacing w:after="300"/>
        <w:jc w:val="both"/>
        <w:rPr>
          <w:noProof/>
        </w:rPr>
      </w:pPr>
      <w:r>
        <w:rPr>
          <w:noProof/>
        </w:rPr>
        <w:t xml:space="preserve">Ghana adopted an </w:t>
      </w:r>
      <w:r>
        <w:rPr>
          <w:b/>
          <w:bCs/>
          <w:noProof/>
        </w:rPr>
        <w:t>EPA Accompanying Measures Strategy</w:t>
      </w:r>
      <w:r>
        <w:rPr>
          <w:noProof/>
        </w:rPr>
        <w:t xml:space="preserve"> in 2015 to facilitate EPA implementation. The EU will support the implementation of the strategy with €12 million for 2018-2023 through the following projects: i) support to the Ministry of Trade to implement the EPA and to engage on EPA-related issues; ii) support to the Ghana Export Promotion Authority and the Ghana Investment Promotion Centre in promoting local SMEs to upgrade along value chains and improve the quality of their products; and iii) overall support to improving the business policy and regulatory environment.</w:t>
      </w:r>
    </w:p>
    <w:p>
      <w:pPr>
        <w:spacing w:after="300"/>
        <w:jc w:val="both"/>
        <w:rPr>
          <w:noProof/>
        </w:rPr>
      </w:pPr>
      <w:r>
        <w:rPr>
          <w:noProof/>
        </w:rPr>
        <w:t xml:space="preserve">The first action, </w:t>
      </w:r>
      <w:r>
        <w:rPr>
          <w:b/>
          <w:bCs/>
          <w:noProof/>
        </w:rPr>
        <w:t>Support to the Ministry of Trade (€4.1 million, 2019-2021)</w:t>
      </w:r>
      <w:r>
        <w:rPr>
          <w:noProof/>
        </w:rPr>
        <w:t xml:space="preserve"> aims at information dissemination, awareness raising and mainstreaming the EPA across public and private sector, as well as capacity building for EPA implementation and monitoring. Implementation will start in 2019.   </w:t>
      </w:r>
    </w:p>
    <w:p>
      <w:pPr>
        <w:spacing w:after="300"/>
        <w:jc w:val="both"/>
        <w:rPr>
          <w:noProof/>
        </w:rPr>
      </w:pPr>
      <w:r>
        <w:rPr>
          <w:noProof/>
        </w:rPr>
        <w:t xml:space="preserve">In 2018, the EU already launched the </w:t>
      </w:r>
      <w:r>
        <w:rPr>
          <w:b/>
          <w:bCs/>
          <w:noProof/>
        </w:rPr>
        <w:t xml:space="preserve">Ghana Employment and Social Protection Programme (GESP) – Investment Promotion Component (€2.8 million, 2018-2021) </w:t>
      </w:r>
      <w:r>
        <w:rPr>
          <w:noProof/>
        </w:rPr>
        <w:t xml:space="preserve">which aims at fostering access to business development services (BDS), promoting structured business advocacy initiatives and supporting investment promotion and business linkages in selected value chains. The project will undertake a structured sequence of investment promotion activities, such as identifying potential investors, lead companies and local suppliers, preparing investment briefs to key target investors, supporting promotion campaigns and providing investor management. In 2018, the project organised six large workshops across the country to identify SMEs in the agribusiness sector to be included in the business linkages and investment promotion activities. </w:t>
      </w:r>
    </w:p>
    <w:p>
      <w:pPr>
        <w:spacing w:after="300"/>
        <w:jc w:val="both"/>
        <w:rPr>
          <w:noProof/>
        </w:rPr>
      </w:pPr>
      <w:r>
        <w:rPr>
          <w:noProof/>
        </w:rPr>
        <w:t xml:space="preserve">Under the regional </w:t>
      </w:r>
      <w:r>
        <w:rPr>
          <w:b/>
          <w:bCs/>
          <w:noProof/>
        </w:rPr>
        <w:t xml:space="preserve">West Africa Competitiveness Programme, the national component in Ghana (€6.35 million, 2019-2022) </w:t>
      </w:r>
      <w:r>
        <w:rPr>
          <w:noProof/>
        </w:rPr>
        <w:t>will focus on value chain development in the fruits (pineapple and mango), cassava and cosmetics sector.</w:t>
      </w:r>
      <w:r>
        <w:rPr>
          <w:b/>
          <w:bCs/>
          <w:noProof/>
        </w:rPr>
        <w:t xml:space="preserve"> </w:t>
      </w:r>
      <w:r>
        <w:rPr>
          <w:noProof/>
        </w:rPr>
        <w:t>Planned activities include value chain diagnostics, strengthening of intermediary organizations, and specific training of brokers, cluster development agents and micro, small and medium sized enterprises (MSMEs). Implementation has started in 2019.</w:t>
      </w:r>
      <w:r>
        <w:rPr>
          <w:b/>
          <w:bCs/>
          <w:noProof/>
        </w:rPr>
        <w:t xml:space="preserve"> </w:t>
      </w:r>
      <w:r>
        <w:rPr>
          <w:noProof/>
        </w:rPr>
        <w:t xml:space="preserve">Ghana will also benefit from the other regional programmes, including the </w:t>
      </w:r>
      <w:r>
        <w:rPr>
          <w:b/>
          <w:noProof/>
        </w:rPr>
        <w:t>West Africa Trade Facilitation Programme</w:t>
      </w:r>
      <w:r>
        <w:rPr>
          <w:noProof/>
        </w:rPr>
        <w:t xml:space="preserve"> (€20 million EU contribution), that aims at improving regional trade measures and movement of goods along selected priority corridors including the Tema - Ouagadougou corridor.</w:t>
      </w:r>
      <w:r>
        <w:rPr>
          <w:b/>
          <w:bCs/>
          <w:noProof/>
        </w:rPr>
        <w:t xml:space="preserve"> </w:t>
      </w:r>
    </w:p>
    <w:p>
      <w:pPr>
        <w:spacing w:after="300"/>
        <w:jc w:val="both"/>
        <w:rPr>
          <w:noProof/>
        </w:rPr>
      </w:pPr>
      <w:r>
        <w:rPr>
          <w:noProof/>
        </w:rPr>
        <w:t xml:space="preserve">The EU further supports Ghana's agricultural sector through the </w:t>
      </w:r>
      <w:r>
        <w:rPr>
          <w:b/>
          <w:bCs/>
          <w:noProof/>
        </w:rPr>
        <w:t xml:space="preserve">Market Oriented Agricultural programme (MOAP) </w:t>
      </w:r>
      <w:r>
        <w:rPr>
          <w:noProof/>
        </w:rPr>
        <w:t>(€35 million, 2017-2024) and the programme to promote</w:t>
      </w:r>
      <w:r>
        <w:rPr>
          <w:b/>
          <w:bCs/>
          <w:noProof/>
        </w:rPr>
        <w:t xml:space="preserve"> productive investments for sustainable agriculture in Northern Ghana (2018-2025, 102M€)</w:t>
      </w:r>
      <w:r>
        <w:rPr>
          <w:noProof/>
        </w:rPr>
        <w:t xml:space="preserve">. </w:t>
      </w:r>
    </w:p>
    <w:p>
      <w:pPr>
        <w:spacing w:after="300"/>
        <w:jc w:val="both"/>
        <w:rPr>
          <w:noProof/>
        </w:rPr>
      </w:pPr>
      <w:r>
        <w:rPr>
          <w:noProof/>
        </w:rPr>
        <w:t xml:space="preserve">The EU is also implementing the </w:t>
      </w:r>
      <w:r>
        <w:rPr>
          <w:b/>
          <w:bCs/>
          <w:noProof/>
        </w:rPr>
        <w:t xml:space="preserve">Budget Support Programme to Promote Investment and Job Creation (SDG-Contract, 45 M€, 2019-2021) </w:t>
      </w:r>
      <w:r>
        <w:rPr>
          <w:noProof/>
        </w:rPr>
        <w:t xml:space="preserve">which aims at promoting domestic and foreign investment and strengthening public financial governance and fight against corruption, as well as boosting domestic revenue mobilisation. </w:t>
      </w:r>
    </w:p>
    <w:p>
      <w:pPr>
        <w:pStyle w:val="ManualHeading1"/>
      </w:pPr>
      <w:bookmarkStart w:id="4536" w:name="_Toc8833837"/>
      <w:bookmarkStart w:id="4537" w:name="_Toc8835664"/>
      <w:bookmarkStart w:id="4538" w:name="_Toc8834295"/>
      <w:bookmarkStart w:id="4539" w:name="_Toc8909756"/>
      <w:bookmarkStart w:id="4540" w:name="_Toc8910968"/>
      <w:bookmarkStart w:id="4541" w:name="_Toc8912005"/>
      <w:bookmarkStart w:id="4542" w:name="_Toc8974826"/>
      <w:bookmarkStart w:id="4543" w:name="_Toc9008479"/>
      <w:bookmarkStart w:id="4544" w:name="_Toc9008882"/>
      <w:bookmarkStart w:id="4545" w:name="_Toc9348878"/>
      <w:bookmarkStart w:id="4546" w:name="_Toc9608346"/>
      <w:bookmarkStart w:id="4547" w:name="_Toc16000901"/>
      <w:r>
        <w:t>5.</w:t>
      </w:r>
      <w:r>
        <w:tab/>
        <w:t>Follow-up actions</w:t>
      </w:r>
      <w:bookmarkEnd w:id="4536"/>
      <w:bookmarkEnd w:id="4537"/>
      <w:bookmarkEnd w:id="4538"/>
      <w:bookmarkEnd w:id="4539"/>
      <w:bookmarkEnd w:id="4540"/>
      <w:bookmarkEnd w:id="4541"/>
      <w:bookmarkEnd w:id="4542"/>
      <w:bookmarkEnd w:id="4543"/>
      <w:bookmarkEnd w:id="4544"/>
      <w:bookmarkEnd w:id="4545"/>
      <w:bookmarkEnd w:id="4546"/>
      <w:bookmarkEnd w:id="4547"/>
    </w:p>
    <w:p>
      <w:pPr>
        <w:spacing w:after="300"/>
        <w:jc w:val="both"/>
        <w:rPr>
          <w:noProof/>
        </w:rPr>
      </w:pPr>
      <w:r>
        <w:rPr>
          <w:noProof/>
        </w:rPr>
        <w:t xml:space="preserve">In relation to the next steps for the iEPA, EU and Ghana agreed to: </w:t>
      </w:r>
    </w:p>
    <w:p>
      <w:pPr>
        <w:pStyle w:val="ListParagraph"/>
        <w:numPr>
          <w:ilvl w:val="0"/>
          <w:numId w:val="35"/>
        </w:numPr>
        <w:spacing w:after="300"/>
        <w:jc w:val="both"/>
        <w:rPr>
          <w:rFonts w:ascii="Times New Roman" w:hAnsi="Times New Roman" w:cs="Times New Roman"/>
          <w:noProof/>
          <w:sz w:val="24"/>
          <w:szCs w:val="24"/>
        </w:rPr>
      </w:pPr>
      <w:r>
        <w:rPr>
          <w:rFonts w:ascii="Times New Roman" w:hAnsi="Times New Roman" w:cs="Times New Roman"/>
          <w:noProof/>
          <w:sz w:val="24"/>
          <w:szCs w:val="24"/>
        </w:rPr>
        <w:t>Review and endorse the updated liberalization schedule;</w:t>
      </w:r>
    </w:p>
    <w:p>
      <w:pPr>
        <w:pStyle w:val="ListParagraph"/>
        <w:numPr>
          <w:ilvl w:val="0"/>
          <w:numId w:val="35"/>
        </w:numPr>
        <w:spacing w:after="300"/>
        <w:jc w:val="both"/>
        <w:rPr>
          <w:rFonts w:ascii="Times New Roman" w:hAnsi="Times New Roman" w:cs="Times New Roman"/>
          <w:noProof/>
          <w:sz w:val="24"/>
          <w:szCs w:val="24"/>
        </w:rPr>
      </w:pPr>
      <w:r>
        <w:rPr>
          <w:rFonts w:ascii="Times New Roman" w:hAnsi="Times New Roman" w:cs="Times New Roman"/>
          <w:noProof/>
          <w:sz w:val="24"/>
          <w:szCs w:val="24"/>
        </w:rPr>
        <w:t xml:space="preserve">Set up an appropriate mechanism to monitor the operation and impact of the EPA; </w:t>
      </w:r>
    </w:p>
    <w:p>
      <w:pPr>
        <w:pStyle w:val="ListParagraph"/>
        <w:numPr>
          <w:ilvl w:val="0"/>
          <w:numId w:val="35"/>
        </w:numPr>
        <w:spacing w:after="300"/>
        <w:jc w:val="both"/>
        <w:rPr>
          <w:rFonts w:ascii="Times New Roman" w:hAnsi="Times New Roman" w:cs="Times New Roman"/>
          <w:noProof/>
        </w:rPr>
      </w:pPr>
      <w:r>
        <w:rPr>
          <w:rFonts w:ascii="Times New Roman" w:hAnsi="Times New Roman" w:cs="Times New Roman"/>
          <w:noProof/>
          <w:sz w:val="24"/>
          <w:szCs w:val="24"/>
        </w:rPr>
        <w:t>Start negotiating the dispute settlement mechanism.</w:t>
      </w:r>
    </w:p>
    <w:p>
      <w:pPr>
        <w:pStyle w:val="ManualHeading1"/>
      </w:pPr>
      <w:bookmarkStart w:id="4548" w:name="_Toc8833838"/>
      <w:bookmarkStart w:id="4549" w:name="_Toc8835665"/>
      <w:bookmarkStart w:id="4550" w:name="_Toc8834296"/>
      <w:bookmarkStart w:id="4551" w:name="_Toc8909757"/>
      <w:bookmarkStart w:id="4552" w:name="_Toc8910969"/>
      <w:bookmarkStart w:id="4553" w:name="_Toc8912006"/>
      <w:bookmarkStart w:id="4554" w:name="_Toc8974827"/>
      <w:bookmarkStart w:id="4555" w:name="_Toc9008480"/>
      <w:bookmarkStart w:id="4556" w:name="_Toc9008883"/>
      <w:bookmarkStart w:id="4557" w:name="_Toc9348879"/>
      <w:bookmarkStart w:id="4558" w:name="_Toc9608347"/>
      <w:bookmarkStart w:id="4559" w:name="_Toc16000902"/>
      <w:r>
        <w:t>6.</w:t>
      </w:r>
      <w:r>
        <w:tab/>
        <w:t>Conclusions and outlook</w:t>
      </w:r>
      <w:bookmarkEnd w:id="4548"/>
      <w:bookmarkEnd w:id="4549"/>
      <w:bookmarkEnd w:id="4550"/>
      <w:bookmarkEnd w:id="4551"/>
      <w:bookmarkEnd w:id="4552"/>
      <w:bookmarkEnd w:id="4553"/>
      <w:bookmarkEnd w:id="4554"/>
      <w:bookmarkEnd w:id="4555"/>
      <w:bookmarkEnd w:id="4556"/>
      <w:bookmarkEnd w:id="4557"/>
      <w:bookmarkEnd w:id="4558"/>
      <w:bookmarkEnd w:id="4559"/>
    </w:p>
    <w:p>
      <w:pPr>
        <w:pStyle w:val="Pa8"/>
        <w:spacing w:after="300" w:line="276" w:lineRule="auto"/>
        <w:jc w:val="both"/>
        <w:rPr>
          <w:rFonts w:ascii="Times New Roman" w:hAnsi="Times New Roman" w:cs="Times New Roman"/>
          <w:noProof/>
        </w:rPr>
      </w:pPr>
      <w:r>
        <w:rPr>
          <w:rFonts w:ascii="Times New Roman" w:hAnsi="Times New Roman" w:cs="Times New Roman"/>
          <w:noProof/>
        </w:rPr>
        <w:t xml:space="preserve">The implementation of the iEPA with Ghana is in its early stages. As Ghana moves to implement its market access commitments, close attention will be paid to the effects the iEPA might have for Ghana's economy in terms of trade and investment flows, government revenue and sustainable development. In the coming years, the implementation of iEPA should also be impacted by the ongoing business climate and fiscal reforms in Ghana and by the EU support to various aspects of iEPA implementation. </w:t>
      </w:r>
    </w:p>
    <w:p>
      <w:pPr>
        <w:pStyle w:val="ManualHeading1"/>
      </w:pPr>
      <w:bookmarkStart w:id="4560" w:name="_Toc8833839"/>
      <w:bookmarkStart w:id="4561" w:name="_Toc8835666"/>
      <w:bookmarkStart w:id="4562" w:name="_Toc8834297"/>
      <w:bookmarkStart w:id="4563" w:name="_Toc8909758"/>
      <w:bookmarkStart w:id="4564" w:name="_Toc8910970"/>
      <w:bookmarkStart w:id="4565" w:name="_Toc8912007"/>
      <w:bookmarkStart w:id="4566" w:name="_Toc8974828"/>
      <w:bookmarkStart w:id="4567" w:name="_Toc9008481"/>
      <w:bookmarkStart w:id="4568" w:name="_Toc9008884"/>
      <w:bookmarkStart w:id="4569" w:name="_Toc9348880"/>
      <w:bookmarkStart w:id="4570" w:name="_Toc9608348"/>
      <w:bookmarkStart w:id="4571" w:name="_Toc16000903"/>
      <w:r>
        <w:t>7.</w:t>
      </w:r>
      <w:r>
        <w:tab/>
        <w:t>Statistics</w:t>
      </w:r>
      <w:bookmarkEnd w:id="4560"/>
      <w:bookmarkEnd w:id="4561"/>
      <w:bookmarkEnd w:id="4562"/>
      <w:bookmarkEnd w:id="4563"/>
      <w:bookmarkEnd w:id="4564"/>
      <w:bookmarkEnd w:id="4565"/>
      <w:bookmarkEnd w:id="4566"/>
      <w:bookmarkEnd w:id="4567"/>
      <w:bookmarkEnd w:id="4568"/>
      <w:bookmarkEnd w:id="4569"/>
      <w:bookmarkEnd w:id="4570"/>
      <w:bookmarkEnd w:id="4571"/>
    </w:p>
    <w:tbl>
      <w:tblPr>
        <w:tblW w:w="8559" w:type="dxa"/>
        <w:tblInd w:w="108" w:type="dxa"/>
        <w:tblLook w:val="04A0" w:firstRow="1" w:lastRow="0" w:firstColumn="1" w:lastColumn="0" w:noHBand="0" w:noVBand="1"/>
      </w:tblPr>
      <w:tblGrid>
        <w:gridCol w:w="4974"/>
        <w:gridCol w:w="818"/>
        <w:gridCol w:w="818"/>
        <w:gridCol w:w="818"/>
        <w:gridCol w:w="818"/>
        <w:gridCol w:w="934"/>
      </w:tblGrid>
      <w:tr>
        <w:trPr>
          <w:trHeight w:val="210"/>
        </w:trPr>
        <w:tc>
          <w:tcPr>
            <w:tcW w:w="8559" w:type="dxa"/>
            <w:gridSpan w:val="6"/>
            <w:tcBorders>
              <w:top w:val="nil"/>
              <w:left w:val="nil"/>
              <w:bottom w:val="nil"/>
              <w:right w:val="nil"/>
            </w:tcBorders>
            <w:shd w:val="clear" w:color="000000" w:fill="FFFFFF"/>
            <w:noWrap/>
            <w:vAlign w:val="center"/>
            <w:hideMark/>
          </w:tcPr>
          <w:p>
            <w:pPr>
              <w:jc w:val="center"/>
              <w:rPr>
                <w:rFonts w:eastAsia="Times New Roman"/>
                <w:b/>
                <w:bCs/>
                <w:noProof/>
                <w:lang w:eastAsia="en-GB"/>
              </w:rPr>
            </w:pPr>
            <w:r>
              <w:rPr>
                <w:rFonts w:eastAsia="Times New Roman"/>
                <w:b/>
                <w:bCs/>
                <w:noProof/>
                <w:lang w:eastAsia="en-GB"/>
              </w:rPr>
              <w:t>Merchandise trade EU28 with Ghana 2014-2018</w:t>
            </w:r>
          </w:p>
        </w:tc>
      </w:tr>
      <w:tr>
        <w:trPr>
          <w:trHeight w:val="210"/>
        </w:trPr>
        <w:tc>
          <w:tcPr>
            <w:tcW w:w="5120" w:type="dxa"/>
            <w:tcBorders>
              <w:top w:val="single" w:sz="4" w:space="0" w:color="auto"/>
              <w:left w:val="nil"/>
              <w:bottom w:val="single" w:sz="4" w:space="0" w:color="auto"/>
              <w:right w:val="nil"/>
            </w:tcBorders>
            <w:shd w:val="clear" w:color="000000" w:fill="FFFFFF"/>
            <w:noWrap/>
            <w:vAlign w:val="bottom"/>
            <w:hideMark/>
          </w:tcPr>
          <w:p>
            <w:pPr>
              <w:rPr>
                <w:rFonts w:eastAsia="Times New Roman"/>
                <w:b/>
                <w:bCs/>
                <w:noProof/>
                <w:lang w:eastAsia="en-GB"/>
              </w:rPr>
            </w:pPr>
            <w:r>
              <w:rPr>
                <w:rFonts w:eastAsia="Times New Roman"/>
                <w:b/>
                <w:bCs/>
                <w:noProof/>
                <w:lang w:eastAsia="en-GB"/>
              </w:rPr>
              <w:t> </w:t>
            </w:r>
          </w:p>
        </w:tc>
        <w:tc>
          <w:tcPr>
            <w:tcW w:w="670"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lang w:eastAsia="en-GB"/>
              </w:rPr>
            </w:pPr>
            <w:r>
              <w:rPr>
                <w:rFonts w:eastAsia="Times New Roman"/>
                <w:b/>
                <w:bCs/>
                <w:noProof/>
                <w:lang w:eastAsia="en-GB"/>
              </w:rPr>
              <w:t>2014</w:t>
            </w:r>
          </w:p>
        </w:tc>
        <w:tc>
          <w:tcPr>
            <w:tcW w:w="670"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lang w:eastAsia="en-GB"/>
              </w:rPr>
            </w:pPr>
            <w:r>
              <w:rPr>
                <w:rFonts w:eastAsia="Times New Roman"/>
                <w:b/>
                <w:bCs/>
                <w:noProof/>
                <w:lang w:eastAsia="en-GB"/>
              </w:rPr>
              <w:t>2015</w:t>
            </w:r>
          </w:p>
        </w:tc>
        <w:tc>
          <w:tcPr>
            <w:tcW w:w="670"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lang w:eastAsia="en-GB"/>
              </w:rPr>
            </w:pPr>
            <w:r>
              <w:rPr>
                <w:rFonts w:eastAsia="Times New Roman"/>
                <w:b/>
                <w:bCs/>
                <w:noProof/>
                <w:lang w:eastAsia="en-GB"/>
              </w:rPr>
              <w:t>2016</w:t>
            </w:r>
          </w:p>
        </w:tc>
        <w:tc>
          <w:tcPr>
            <w:tcW w:w="670"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lang w:eastAsia="en-GB"/>
              </w:rPr>
            </w:pPr>
            <w:r>
              <w:rPr>
                <w:rFonts w:eastAsia="Times New Roman"/>
                <w:b/>
                <w:bCs/>
                <w:noProof/>
                <w:lang w:eastAsia="en-GB"/>
              </w:rPr>
              <w:t>2017</w:t>
            </w:r>
          </w:p>
        </w:tc>
        <w:tc>
          <w:tcPr>
            <w:tcW w:w="759"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lang w:eastAsia="en-GB"/>
              </w:rPr>
            </w:pPr>
            <w:r>
              <w:rPr>
                <w:rFonts w:eastAsia="Times New Roman"/>
                <w:b/>
                <w:bCs/>
                <w:noProof/>
                <w:lang w:eastAsia="en-GB"/>
              </w:rPr>
              <w:t>2018</w:t>
            </w:r>
          </w:p>
        </w:tc>
      </w:tr>
      <w:tr>
        <w:trPr>
          <w:trHeight w:val="210"/>
        </w:trPr>
        <w:tc>
          <w:tcPr>
            <w:tcW w:w="5120" w:type="dxa"/>
            <w:tcBorders>
              <w:top w:val="nil"/>
              <w:left w:val="nil"/>
              <w:bottom w:val="nil"/>
              <w:right w:val="nil"/>
            </w:tcBorders>
            <w:shd w:val="clear" w:color="000000" w:fill="FFFFFF"/>
            <w:noWrap/>
            <w:vAlign w:val="center"/>
            <w:hideMark/>
          </w:tcPr>
          <w:p>
            <w:pPr>
              <w:rPr>
                <w:rFonts w:eastAsia="Times New Roman"/>
                <w:b/>
                <w:bCs/>
                <w:i/>
                <w:iCs/>
                <w:noProof/>
                <w:lang w:eastAsia="en-GB"/>
              </w:rPr>
            </w:pPr>
            <w:r>
              <w:rPr>
                <w:rFonts w:eastAsia="Times New Roman"/>
                <w:b/>
                <w:bCs/>
                <w:i/>
                <w:iCs/>
                <w:noProof/>
                <w:lang w:eastAsia="en-GB"/>
              </w:rPr>
              <w:t>EU28 trade with Ghana (mio €)</w:t>
            </w:r>
          </w:p>
        </w:tc>
        <w:tc>
          <w:tcPr>
            <w:tcW w:w="670" w:type="dxa"/>
            <w:tcBorders>
              <w:top w:val="nil"/>
              <w:left w:val="nil"/>
              <w:bottom w:val="nil"/>
              <w:right w:val="nil"/>
            </w:tcBorders>
            <w:shd w:val="clear" w:color="auto" w:fill="auto"/>
            <w:noWrap/>
            <w:vAlign w:val="center"/>
            <w:hideMark/>
          </w:tcPr>
          <w:p>
            <w:pPr>
              <w:jc w:val="center"/>
              <w:rPr>
                <w:rFonts w:eastAsia="Times New Roman"/>
                <w:b/>
                <w:bCs/>
                <w:i/>
                <w:iCs/>
                <w:noProof/>
                <w:lang w:eastAsia="en-GB"/>
              </w:rPr>
            </w:pPr>
          </w:p>
        </w:tc>
        <w:tc>
          <w:tcPr>
            <w:tcW w:w="670" w:type="dxa"/>
            <w:tcBorders>
              <w:top w:val="nil"/>
              <w:left w:val="nil"/>
              <w:bottom w:val="nil"/>
              <w:right w:val="nil"/>
            </w:tcBorders>
            <w:shd w:val="clear" w:color="000000" w:fill="FFFFFF"/>
            <w:noWrap/>
            <w:vAlign w:val="center"/>
            <w:hideMark/>
          </w:tcPr>
          <w:p>
            <w:pPr>
              <w:rPr>
                <w:rFonts w:eastAsia="Times New Roman"/>
                <w:b/>
                <w:bCs/>
                <w:i/>
                <w:iCs/>
                <w:noProof/>
                <w:lang w:eastAsia="en-GB"/>
              </w:rPr>
            </w:pPr>
            <w:r>
              <w:rPr>
                <w:rFonts w:eastAsia="Times New Roman"/>
                <w:b/>
                <w:bCs/>
                <w:i/>
                <w:iCs/>
                <w:noProof/>
                <w:lang w:eastAsia="en-GB"/>
              </w:rPr>
              <w:t> </w:t>
            </w:r>
          </w:p>
        </w:tc>
        <w:tc>
          <w:tcPr>
            <w:tcW w:w="670" w:type="dxa"/>
            <w:tcBorders>
              <w:top w:val="nil"/>
              <w:left w:val="nil"/>
              <w:bottom w:val="nil"/>
              <w:right w:val="nil"/>
            </w:tcBorders>
            <w:shd w:val="clear" w:color="000000" w:fill="FFFFFF"/>
            <w:noWrap/>
            <w:vAlign w:val="center"/>
            <w:hideMark/>
          </w:tcPr>
          <w:p>
            <w:pPr>
              <w:rPr>
                <w:rFonts w:eastAsia="Times New Roman"/>
                <w:b/>
                <w:bCs/>
                <w:i/>
                <w:iCs/>
                <w:noProof/>
                <w:lang w:eastAsia="en-GB"/>
              </w:rPr>
            </w:pPr>
            <w:r>
              <w:rPr>
                <w:rFonts w:eastAsia="Times New Roman"/>
                <w:b/>
                <w:bCs/>
                <w:i/>
                <w:iCs/>
                <w:noProof/>
                <w:lang w:eastAsia="en-GB"/>
              </w:rPr>
              <w:t> </w:t>
            </w:r>
          </w:p>
        </w:tc>
        <w:tc>
          <w:tcPr>
            <w:tcW w:w="670" w:type="dxa"/>
            <w:tcBorders>
              <w:top w:val="nil"/>
              <w:left w:val="nil"/>
              <w:bottom w:val="nil"/>
              <w:right w:val="nil"/>
            </w:tcBorders>
            <w:shd w:val="clear" w:color="000000" w:fill="FFFFFF"/>
            <w:noWrap/>
            <w:vAlign w:val="center"/>
            <w:hideMark/>
          </w:tcPr>
          <w:p>
            <w:pPr>
              <w:rPr>
                <w:rFonts w:eastAsia="Times New Roman"/>
                <w:b/>
                <w:bCs/>
                <w:i/>
                <w:iCs/>
                <w:noProof/>
                <w:lang w:eastAsia="en-GB"/>
              </w:rPr>
            </w:pPr>
            <w:r>
              <w:rPr>
                <w:rFonts w:eastAsia="Times New Roman"/>
                <w:b/>
                <w:bCs/>
                <w:i/>
                <w:iCs/>
                <w:noProof/>
                <w:lang w:eastAsia="en-GB"/>
              </w:rPr>
              <w:t> </w:t>
            </w:r>
          </w:p>
        </w:tc>
        <w:tc>
          <w:tcPr>
            <w:tcW w:w="759" w:type="dxa"/>
            <w:tcBorders>
              <w:top w:val="nil"/>
              <w:left w:val="nil"/>
              <w:bottom w:val="nil"/>
              <w:right w:val="nil"/>
            </w:tcBorders>
            <w:shd w:val="clear" w:color="000000" w:fill="FFFFFF"/>
            <w:noWrap/>
            <w:vAlign w:val="center"/>
            <w:hideMark/>
          </w:tcPr>
          <w:p>
            <w:pPr>
              <w:rPr>
                <w:rFonts w:eastAsia="Times New Roman"/>
                <w:b/>
                <w:bCs/>
                <w:i/>
                <w:iCs/>
                <w:noProof/>
                <w:lang w:eastAsia="en-GB"/>
              </w:rPr>
            </w:pPr>
            <w:r>
              <w:rPr>
                <w:rFonts w:eastAsia="Times New Roman"/>
                <w:b/>
                <w:bCs/>
                <w:i/>
                <w:iCs/>
                <w:noProof/>
                <w:lang w:eastAsia="en-GB"/>
              </w:rPr>
              <w:t> </w:t>
            </w:r>
          </w:p>
        </w:tc>
      </w:tr>
      <w:tr>
        <w:trPr>
          <w:trHeight w:val="210"/>
        </w:trPr>
        <w:tc>
          <w:tcPr>
            <w:tcW w:w="512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Imports</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2.885</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2.645</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2.301</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2.119</w:t>
            </w:r>
          </w:p>
        </w:tc>
        <w:tc>
          <w:tcPr>
            <w:tcW w:w="759"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3.126</w:t>
            </w:r>
          </w:p>
        </w:tc>
      </w:tr>
      <w:tr>
        <w:trPr>
          <w:trHeight w:val="210"/>
        </w:trPr>
        <w:tc>
          <w:tcPr>
            <w:tcW w:w="512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Exports</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3.116</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3.061</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2.888</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3.042</w:t>
            </w:r>
          </w:p>
        </w:tc>
        <w:tc>
          <w:tcPr>
            <w:tcW w:w="759"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2.824</w:t>
            </w:r>
          </w:p>
        </w:tc>
      </w:tr>
      <w:tr>
        <w:trPr>
          <w:trHeight w:val="210"/>
        </w:trPr>
        <w:tc>
          <w:tcPr>
            <w:tcW w:w="512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Balance</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231</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416</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587</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923</w:t>
            </w:r>
          </w:p>
        </w:tc>
        <w:tc>
          <w:tcPr>
            <w:tcW w:w="759"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-302</w:t>
            </w:r>
          </w:p>
        </w:tc>
      </w:tr>
      <w:tr>
        <w:trPr>
          <w:trHeight w:val="210"/>
        </w:trPr>
        <w:tc>
          <w:tcPr>
            <w:tcW w:w="5120" w:type="dxa"/>
            <w:tcBorders>
              <w:top w:val="nil"/>
              <w:left w:val="nil"/>
              <w:bottom w:val="nil"/>
              <w:right w:val="nil"/>
            </w:tcBorders>
            <w:shd w:val="clear" w:color="000000" w:fill="FFFFFF"/>
            <w:noWrap/>
            <w:vAlign w:val="center"/>
            <w:hideMark/>
          </w:tcPr>
          <w:p>
            <w:pPr>
              <w:rPr>
                <w:rFonts w:eastAsia="Times New Roman"/>
                <w:b/>
                <w:bCs/>
                <w:i/>
                <w:iCs/>
                <w:noProof/>
                <w:lang w:eastAsia="en-GB"/>
              </w:rPr>
            </w:pPr>
            <w:r>
              <w:rPr>
                <w:rFonts w:eastAsia="Times New Roman"/>
                <w:b/>
                <w:bCs/>
                <w:i/>
                <w:iCs/>
                <w:noProof/>
                <w:lang w:eastAsia="en-GB"/>
              </w:rPr>
              <w:t>Share Ghana in EU28 trade with Extra-EU28</w:t>
            </w:r>
          </w:p>
        </w:tc>
        <w:tc>
          <w:tcPr>
            <w:tcW w:w="670" w:type="dxa"/>
            <w:tcBorders>
              <w:top w:val="nil"/>
              <w:left w:val="nil"/>
              <w:bottom w:val="nil"/>
              <w:right w:val="nil"/>
            </w:tcBorders>
            <w:shd w:val="clear" w:color="auto" w:fill="auto"/>
            <w:noWrap/>
            <w:vAlign w:val="center"/>
            <w:hideMark/>
          </w:tcPr>
          <w:p>
            <w:pPr>
              <w:jc w:val="center"/>
              <w:rPr>
                <w:rFonts w:eastAsia="Times New Roman"/>
                <w:b/>
                <w:bCs/>
                <w:i/>
                <w:iCs/>
                <w:noProof/>
                <w:lang w:eastAsia="en-GB"/>
              </w:rPr>
            </w:pPr>
          </w:p>
        </w:tc>
        <w:tc>
          <w:tcPr>
            <w:tcW w:w="670" w:type="dxa"/>
            <w:tcBorders>
              <w:top w:val="nil"/>
              <w:left w:val="nil"/>
              <w:bottom w:val="nil"/>
              <w:right w:val="nil"/>
            </w:tcBorders>
            <w:shd w:val="clear" w:color="000000" w:fill="FFFFFF"/>
            <w:noWrap/>
            <w:vAlign w:val="center"/>
            <w:hideMark/>
          </w:tcPr>
          <w:p>
            <w:pPr>
              <w:rPr>
                <w:rFonts w:eastAsia="Times New Roman"/>
                <w:b/>
                <w:bCs/>
                <w:i/>
                <w:iCs/>
                <w:noProof/>
                <w:lang w:eastAsia="en-GB"/>
              </w:rPr>
            </w:pPr>
            <w:r>
              <w:rPr>
                <w:rFonts w:eastAsia="Times New Roman"/>
                <w:b/>
                <w:bCs/>
                <w:i/>
                <w:iCs/>
                <w:noProof/>
                <w:lang w:eastAsia="en-GB"/>
              </w:rPr>
              <w:t> </w:t>
            </w:r>
          </w:p>
        </w:tc>
        <w:tc>
          <w:tcPr>
            <w:tcW w:w="670" w:type="dxa"/>
            <w:tcBorders>
              <w:top w:val="nil"/>
              <w:left w:val="nil"/>
              <w:bottom w:val="nil"/>
              <w:right w:val="nil"/>
            </w:tcBorders>
            <w:shd w:val="clear" w:color="000000" w:fill="FFFFFF"/>
            <w:noWrap/>
            <w:vAlign w:val="center"/>
            <w:hideMark/>
          </w:tcPr>
          <w:p>
            <w:pPr>
              <w:rPr>
                <w:rFonts w:eastAsia="Times New Roman"/>
                <w:b/>
                <w:bCs/>
                <w:i/>
                <w:iCs/>
                <w:noProof/>
                <w:lang w:eastAsia="en-GB"/>
              </w:rPr>
            </w:pPr>
            <w:r>
              <w:rPr>
                <w:rFonts w:eastAsia="Times New Roman"/>
                <w:b/>
                <w:bCs/>
                <w:i/>
                <w:iCs/>
                <w:noProof/>
                <w:lang w:eastAsia="en-GB"/>
              </w:rPr>
              <w:t> </w:t>
            </w:r>
          </w:p>
        </w:tc>
        <w:tc>
          <w:tcPr>
            <w:tcW w:w="670" w:type="dxa"/>
            <w:tcBorders>
              <w:top w:val="nil"/>
              <w:left w:val="nil"/>
              <w:bottom w:val="nil"/>
              <w:right w:val="nil"/>
            </w:tcBorders>
            <w:shd w:val="clear" w:color="000000" w:fill="FFFFFF"/>
            <w:noWrap/>
            <w:vAlign w:val="center"/>
            <w:hideMark/>
          </w:tcPr>
          <w:p>
            <w:pPr>
              <w:rPr>
                <w:rFonts w:eastAsia="Times New Roman"/>
                <w:b/>
                <w:bCs/>
                <w:i/>
                <w:iCs/>
                <w:noProof/>
                <w:lang w:eastAsia="en-GB"/>
              </w:rPr>
            </w:pPr>
            <w:r>
              <w:rPr>
                <w:rFonts w:eastAsia="Times New Roman"/>
                <w:b/>
                <w:bCs/>
                <w:i/>
                <w:iCs/>
                <w:noProof/>
                <w:lang w:eastAsia="en-GB"/>
              </w:rPr>
              <w:t> </w:t>
            </w:r>
          </w:p>
        </w:tc>
        <w:tc>
          <w:tcPr>
            <w:tcW w:w="759" w:type="dxa"/>
            <w:tcBorders>
              <w:top w:val="nil"/>
              <w:left w:val="nil"/>
              <w:bottom w:val="nil"/>
              <w:right w:val="nil"/>
            </w:tcBorders>
            <w:shd w:val="clear" w:color="000000" w:fill="FFFFFF"/>
            <w:noWrap/>
            <w:vAlign w:val="center"/>
            <w:hideMark/>
          </w:tcPr>
          <w:p>
            <w:pPr>
              <w:rPr>
                <w:rFonts w:eastAsia="Times New Roman"/>
                <w:b/>
                <w:bCs/>
                <w:i/>
                <w:iCs/>
                <w:noProof/>
                <w:lang w:eastAsia="en-GB"/>
              </w:rPr>
            </w:pPr>
            <w:r>
              <w:rPr>
                <w:rFonts w:eastAsia="Times New Roman"/>
                <w:b/>
                <w:bCs/>
                <w:i/>
                <w:iCs/>
                <w:noProof/>
                <w:lang w:eastAsia="en-GB"/>
              </w:rPr>
              <w:t> </w:t>
            </w:r>
          </w:p>
        </w:tc>
      </w:tr>
      <w:tr>
        <w:trPr>
          <w:trHeight w:val="210"/>
        </w:trPr>
        <w:tc>
          <w:tcPr>
            <w:tcW w:w="512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Imports</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0,2%</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0,2%</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0,1%</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0,1%</w:t>
            </w:r>
          </w:p>
        </w:tc>
        <w:tc>
          <w:tcPr>
            <w:tcW w:w="759"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0,2%</w:t>
            </w:r>
          </w:p>
        </w:tc>
      </w:tr>
      <w:tr>
        <w:trPr>
          <w:trHeight w:val="210"/>
        </w:trPr>
        <w:tc>
          <w:tcPr>
            <w:tcW w:w="512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Exports</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0,2%</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0,2%</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0,2%</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0,2%</w:t>
            </w:r>
          </w:p>
        </w:tc>
        <w:tc>
          <w:tcPr>
            <w:tcW w:w="759"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0,1%</w:t>
            </w:r>
          </w:p>
        </w:tc>
      </w:tr>
      <w:tr>
        <w:trPr>
          <w:trHeight w:val="210"/>
        </w:trPr>
        <w:tc>
          <w:tcPr>
            <w:tcW w:w="512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Total (I+E)</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0,2%</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0,2%</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0,2%</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0,1%</w:t>
            </w:r>
          </w:p>
        </w:tc>
        <w:tc>
          <w:tcPr>
            <w:tcW w:w="759"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0,2%</w:t>
            </w:r>
          </w:p>
        </w:tc>
      </w:tr>
      <w:tr>
        <w:trPr>
          <w:trHeight w:val="210"/>
        </w:trPr>
        <w:tc>
          <w:tcPr>
            <w:tcW w:w="8559" w:type="dxa"/>
            <w:gridSpan w:val="6"/>
            <w:tcBorders>
              <w:top w:val="nil"/>
              <w:left w:val="nil"/>
              <w:bottom w:val="nil"/>
              <w:right w:val="nil"/>
            </w:tcBorders>
            <w:shd w:val="clear" w:color="000000" w:fill="FFFFFF"/>
            <w:noWrap/>
            <w:vAlign w:val="center"/>
            <w:hideMark/>
          </w:tcPr>
          <w:p>
            <w:pPr>
              <w:rPr>
                <w:rFonts w:eastAsia="Times New Roman"/>
                <w:b/>
                <w:bCs/>
                <w:i/>
                <w:iCs/>
                <w:noProof/>
                <w:lang w:eastAsia="en-GB"/>
              </w:rPr>
            </w:pPr>
            <w:r>
              <w:rPr>
                <w:rFonts w:eastAsia="Times New Roman"/>
                <w:b/>
                <w:bCs/>
                <w:i/>
                <w:iCs/>
                <w:noProof/>
                <w:lang w:eastAsia="en-GB"/>
              </w:rPr>
              <w:t>Share EU28 in trade Ghana with world</w:t>
            </w:r>
          </w:p>
        </w:tc>
      </w:tr>
      <w:tr>
        <w:trPr>
          <w:trHeight w:val="210"/>
        </w:trPr>
        <w:tc>
          <w:tcPr>
            <w:tcW w:w="512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Imports</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33,8%</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30,3%</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31,2%</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31,8%</w:t>
            </w:r>
          </w:p>
        </w:tc>
        <w:tc>
          <w:tcPr>
            <w:tcW w:w="759"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31,0%</w:t>
            </w:r>
          </w:p>
        </w:tc>
      </w:tr>
      <w:tr>
        <w:trPr>
          <w:trHeight w:val="210"/>
        </w:trPr>
        <w:tc>
          <w:tcPr>
            <w:tcW w:w="512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Exports</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21,2%</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14,4%</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13,3%</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17,5%</w:t>
            </w:r>
          </w:p>
        </w:tc>
        <w:tc>
          <w:tcPr>
            <w:tcW w:w="759"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21,3%</w:t>
            </w:r>
          </w:p>
        </w:tc>
      </w:tr>
      <w:tr>
        <w:trPr>
          <w:trHeight w:val="210"/>
        </w:trPr>
        <w:tc>
          <w:tcPr>
            <w:tcW w:w="512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Total (I+E)</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27,5%</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22,3%</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22,6%</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24,2%</w:t>
            </w:r>
          </w:p>
        </w:tc>
        <w:tc>
          <w:tcPr>
            <w:tcW w:w="759"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25,4%</w:t>
            </w:r>
          </w:p>
        </w:tc>
      </w:tr>
      <w:tr>
        <w:trPr>
          <w:trHeight w:val="225"/>
        </w:trPr>
        <w:tc>
          <w:tcPr>
            <w:tcW w:w="6460" w:type="dxa"/>
            <w:gridSpan w:val="3"/>
            <w:tcBorders>
              <w:top w:val="single" w:sz="4" w:space="0" w:color="auto"/>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xml:space="preserve">Source Trade G2 Statistics/ISDB </w:t>
            </w:r>
          </w:p>
        </w:tc>
        <w:tc>
          <w:tcPr>
            <w:tcW w:w="670" w:type="dxa"/>
            <w:tcBorders>
              <w:top w:val="single" w:sz="4" w:space="0" w:color="auto"/>
              <w:left w:val="nil"/>
              <w:bottom w:val="nil"/>
              <w:right w:val="nil"/>
            </w:tcBorders>
            <w:shd w:val="clear" w:color="000000" w:fill="FFFFFF"/>
            <w:noWrap/>
            <w:vAlign w:val="bottom"/>
            <w:hideMark/>
          </w:tcPr>
          <w:p>
            <w:pPr>
              <w:jc w:val="center"/>
              <w:rPr>
                <w:rFonts w:eastAsia="Times New Roman"/>
                <w:noProof/>
                <w:lang w:eastAsia="en-GB"/>
              </w:rPr>
            </w:pPr>
            <w:r>
              <w:rPr>
                <w:rFonts w:eastAsia="Times New Roman"/>
                <w:noProof/>
                <w:lang w:eastAsia="en-GB"/>
              </w:rPr>
              <w:t> </w:t>
            </w:r>
          </w:p>
        </w:tc>
        <w:tc>
          <w:tcPr>
            <w:tcW w:w="670" w:type="dxa"/>
            <w:tcBorders>
              <w:top w:val="single" w:sz="4" w:space="0" w:color="auto"/>
              <w:left w:val="nil"/>
              <w:bottom w:val="nil"/>
              <w:right w:val="nil"/>
            </w:tcBorders>
            <w:shd w:val="clear" w:color="000000" w:fill="FFFFFF"/>
            <w:noWrap/>
            <w:vAlign w:val="bottom"/>
            <w:hideMark/>
          </w:tcPr>
          <w:p>
            <w:pPr>
              <w:jc w:val="center"/>
              <w:rPr>
                <w:rFonts w:eastAsia="Times New Roman"/>
                <w:noProof/>
                <w:lang w:eastAsia="en-GB"/>
              </w:rPr>
            </w:pPr>
            <w:r>
              <w:rPr>
                <w:rFonts w:eastAsia="Times New Roman"/>
                <w:noProof/>
                <w:lang w:eastAsia="en-GB"/>
              </w:rPr>
              <w:t> </w:t>
            </w:r>
          </w:p>
        </w:tc>
        <w:tc>
          <w:tcPr>
            <w:tcW w:w="759" w:type="dxa"/>
            <w:tcBorders>
              <w:top w:val="single" w:sz="4" w:space="0" w:color="auto"/>
              <w:left w:val="nil"/>
              <w:bottom w:val="nil"/>
              <w:right w:val="nil"/>
            </w:tcBorders>
            <w:shd w:val="clear" w:color="000000" w:fill="FFFFFF"/>
            <w:noWrap/>
            <w:hideMark/>
          </w:tcPr>
          <w:p>
            <w:pPr>
              <w:jc w:val="right"/>
              <w:rPr>
                <w:rFonts w:eastAsia="Times New Roman"/>
                <w:noProof/>
                <w:lang w:eastAsia="en-GB"/>
              </w:rPr>
            </w:pPr>
            <w:r>
              <w:rPr>
                <w:rFonts w:eastAsia="Times New Roman"/>
                <w:noProof/>
                <w:lang w:eastAsia="en-GB"/>
              </w:rPr>
              <w:t>25-mars-19</w:t>
            </w:r>
          </w:p>
        </w:tc>
      </w:tr>
      <w:tr>
        <w:trPr>
          <w:trHeight w:val="210"/>
        </w:trPr>
        <w:tc>
          <w:tcPr>
            <w:tcW w:w="7130" w:type="dxa"/>
            <w:gridSpan w:val="4"/>
            <w:tcBorders>
              <w:top w:val="nil"/>
              <w:left w:val="nil"/>
              <w:bottom w:val="nil"/>
              <w:right w:val="nil"/>
            </w:tcBorders>
            <w:shd w:val="clear" w:color="000000" w:fill="FFFFFF"/>
            <w:noWrap/>
            <w:hideMark/>
          </w:tcPr>
          <w:p>
            <w:pPr>
              <w:rPr>
                <w:rFonts w:eastAsia="Times New Roman"/>
                <w:noProof/>
                <w:color w:val="000000"/>
                <w:lang w:eastAsia="en-GB"/>
              </w:rPr>
            </w:pPr>
            <w:r>
              <w:rPr>
                <w:rFonts w:eastAsia="Times New Roman"/>
                <w:noProof/>
                <w:color w:val="000000"/>
                <w:lang w:eastAsia="en-GB"/>
              </w:rPr>
              <w:t>Trade EU28: Eurostat COMEXT;  Trade Ghana: IMF Dots</w:t>
            </w:r>
          </w:p>
        </w:tc>
        <w:tc>
          <w:tcPr>
            <w:tcW w:w="670" w:type="dxa"/>
            <w:tcBorders>
              <w:top w:val="nil"/>
              <w:left w:val="nil"/>
              <w:bottom w:val="nil"/>
              <w:right w:val="nil"/>
            </w:tcBorders>
            <w:shd w:val="clear" w:color="000000" w:fill="FFFFFF"/>
            <w:noWrap/>
            <w:vAlign w:val="bottom"/>
            <w:hideMark/>
          </w:tcPr>
          <w:p>
            <w:pPr>
              <w:rPr>
                <w:rFonts w:eastAsia="Times New Roman"/>
                <w:noProof/>
                <w:color w:val="000000"/>
                <w:lang w:eastAsia="en-GB"/>
              </w:rPr>
            </w:pPr>
            <w:r>
              <w:rPr>
                <w:rFonts w:eastAsia="Times New Roman"/>
                <w:noProof/>
                <w:color w:val="000000"/>
                <w:lang w:eastAsia="en-GB"/>
              </w:rPr>
              <w:t> </w:t>
            </w:r>
          </w:p>
        </w:tc>
        <w:tc>
          <w:tcPr>
            <w:tcW w:w="759" w:type="dxa"/>
            <w:tcBorders>
              <w:top w:val="nil"/>
              <w:left w:val="nil"/>
              <w:bottom w:val="nil"/>
              <w:right w:val="nil"/>
            </w:tcBorders>
            <w:shd w:val="clear" w:color="000000" w:fill="FFFFFF"/>
            <w:noWrap/>
            <w:vAlign w:val="bottom"/>
            <w:hideMark/>
          </w:tcPr>
          <w:p>
            <w:pPr>
              <w:rPr>
                <w:rFonts w:eastAsia="Times New Roman"/>
                <w:noProof/>
                <w:color w:val="000000"/>
                <w:lang w:eastAsia="en-GB"/>
              </w:rPr>
            </w:pPr>
            <w:r>
              <w:rPr>
                <w:rFonts w:eastAsia="Times New Roman"/>
                <w:noProof/>
                <w:color w:val="000000"/>
                <w:lang w:eastAsia="en-GB"/>
              </w:rPr>
              <w:t> </w:t>
            </w:r>
          </w:p>
        </w:tc>
      </w:tr>
      <w:tr>
        <w:trPr>
          <w:trHeight w:val="210"/>
        </w:trPr>
        <w:tc>
          <w:tcPr>
            <w:tcW w:w="5120" w:type="dxa"/>
            <w:tcBorders>
              <w:top w:val="nil"/>
              <w:left w:val="nil"/>
              <w:bottom w:val="nil"/>
              <w:right w:val="nil"/>
            </w:tcBorders>
            <w:shd w:val="clear" w:color="000000" w:fill="FFFFFF"/>
            <w:noWrap/>
            <w:vAlign w:val="bottom"/>
            <w:hideMark/>
          </w:tcPr>
          <w:p>
            <w:pPr>
              <w:rPr>
                <w:rFonts w:eastAsia="Times New Roman"/>
                <w:noProof/>
                <w:color w:val="000000"/>
                <w:lang w:eastAsia="en-GB"/>
              </w:rPr>
            </w:pPr>
            <w:r>
              <w:rPr>
                <w:rFonts w:eastAsia="Times New Roman"/>
                <w:noProof/>
                <w:color w:val="000000"/>
                <w:lang w:eastAsia="en-GB"/>
              </w:rPr>
              <w:t> </w:t>
            </w:r>
          </w:p>
        </w:tc>
        <w:tc>
          <w:tcPr>
            <w:tcW w:w="670" w:type="dxa"/>
            <w:tcBorders>
              <w:top w:val="nil"/>
              <w:left w:val="nil"/>
              <w:bottom w:val="nil"/>
              <w:right w:val="nil"/>
            </w:tcBorders>
            <w:shd w:val="clear" w:color="000000" w:fill="FFFFFF"/>
            <w:noWrap/>
            <w:vAlign w:val="bottom"/>
            <w:hideMark/>
          </w:tcPr>
          <w:p>
            <w:pPr>
              <w:rPr>
                <w:rFonts w:eastAsia="Times New Roman"/>
                <w:noProof/>
                <w:color w:val="000000"/>
                <w:lang w:eastAsia="en-GB"/>
              </w:rPr>
            </w:pPr>
            <w:r>
              <w:rPr>
                <w:rFonts w:eastAsia="Times New Roman"/>
                <w:noProof/>
                <w:color w:val="000000"/>
                <w:lang w:eastAsia="en-GB"/>
              </w:rPr>
              <w:t> </w:t>
            </w:r>
          </w:p>
        </w:tc>
        <w:tc>
          <w:tcPr>
            <w:tcW w:w="670" w:type="dxa"/>
            <w:tcBorders>
              <w:top w:val="nil"/>
              <w:left w:val="nil"/>
              <w:bottom w:val="nil"/>
              <w:right w:val="nil"/>
            </w:tcBorders>
            <w:shd w:val="clear" w:color="000000" w:fill="FFFFFF"/>
            <w:noWrap/>
            <w:vAlign w:val="bottom"/>
            <w:hideMark/>
          </w:tcPr>
          <w:p>
            <w:pPr>
              <w:rPr>
                <w:rFonts w:eastAsia="Times New Roman"/>
                <w:noProof/>
                <w:color w:val="000000"/>
                <w:lang w:eastAsia="en-GB"/>
              </w:rPr>
            </w:pPr>
            <w:r>
              <w:rPr>
                <w:rFonts w:eastAsia="Times New Roman"/>
                <w:noProof/>
                <w:color w:val="000000"/>
                <w:lang w:eastAsia="en-GB"/>
              </w:rPr>
              <w:t> </w:t>
            </w:r>
          </w:p>
        </w:tc>
        <w:tc>
          <w:tcPr>
            <w:tcW w:w="670" w:type="dxa"/>
            <w:tcBorders>
              <w:top w:val="nil"/>
              <w:left w:val="nil"/>
              <w:bottom w:val="nil"/>
              <w:right w:val="nil"/>
            </w:tcBorders>
            <w:shd w:val="clear" w:color="000000" w:fill="FFFFFF"/>
            <w:noWrap/>
            <w:vAlign w:val="bottom"/>
            <w:hideMark/>
          </w:tcPr>
          <w:p>
            <w:pPr>
              <w:rPr>
                <w:rFonts w:eastAsia="Times New Roman"/>
                <w:noProof/>
                <w:color w:val="000000"/>
                <w:lang w:eastAsia="en-GB"/>
              </w:rPr>
            </w:pPr>
            <w:r>
              <w:rPr>
                <w:rFonts w:eastAsia="Times New Roman"/>
                <w:noProof/>
                <w:color w:val="000000"/>
                <w:lang w:eastAsia="en-GB"/>
              </w:rPr>
              <w:t> </w:t>
            </w:r>
          </w:p>
        </w:tc>
        <w:tc>
          <w:tcPr>
            <w:tcW w:w="670" w:type="dxa"/>
            <w:tcBorders>
              <w:top w:val="nil"/>
              <w:left w:val="nil"/>
              <w:bottom w:val="nil"/>
              <w:right w:val="nil"/>
            </w:tcBorders>
            <w:shd w:val="clear" w:color="000000" w:fill="FFFFFF"/>
            <w:noWrap/>
            <w:vAlign w:val="bottom"/>
            <w:hideMark/>
          </w:tcPr>
          <w:p>
            <w:pPr>
              <w:rPr>
                <w:rFonts w:eastAsia="Times New Roman"/>
                <w:noProof/>
                <w:color w:val="000000"/>
                <w:lang w:eastAsia="en-GB"/>
              </w:rPr>
            </w:pPr>
            <w:r>
              <w:rPr>
                <w:rFonts w:eastAsia="Times New Roman"/>
                <w:noProof/>
                <w:color w:val="000000"/>
                <w:lang w:eastAsia="en-GB"/>
              </w:rPr>
              <w:t> </w:t>
            </w:r>
          </w:p>
        </w:tc>
        <w:tc>
          <w:tcPr>
            <w:tcW w:w="759" w:type="dxa"/>
            <w:tcBorders>
              <w:top w:val="nil"/>
              <w:left w:val="nil"/>
              <w:bottom w:val="nil"/>
              <w:right w:val="nil"/>
            </w:tcBorders>
            <w:shd w:val="clear" w:color="000000" w:fill="FFFFFF"/>
            <w:noWrap/>
            <w:vAlign w:val="bottom"/>
            <w:hideMark/>
          </w:tcPr>
          <w:p>
            <w:pPr>
              <w:rPr>
                <w:rFonts w:eastAsia="Times New Roman"/>
                <w:noProof/>
                <w:color w:val="000000"/>
                <w:lang w:eastAsia="en-GB"/>
              </w:rPr>
            </w:pPr>
            <w:r>
              <w:rPr>
                <w:rFonts w:eastAsia="Times New Roman"/>
                <w:noProof/>
                <w:color w:val="000000"/>
                <w:lang w:eastAsia="en-GB"/>
              </w:rPr>
              <w:t> </w:t>
            </w:r>
          </w:p>
        </w:tc>
      </w:tr>
      <w:tr>
        <w:trPr>
          <w:trHeight w:val="225"/>
        </w:trPr>
        <w:tc>
          <w:tcPr>
            <w:tcW w:w="8559" w:type="dxa"/>
            <w:gridSpan w:val="6"/>
            <w:tcBorders>
              <w:top w:val="nil"/>
              <w:left w:val="nil"/>
              <w:bottom w:val="nil"/>
              <w:right w:val="nil"/>
            </w:tcBorders>
            <w:shd w:val="clear" w:color="000000" w:fill="FFFFFF"/>
            <w:noWrap/>
            <w:vAlign w:val="center"/>
            <w:hideMark/>
          </w:tcPr>
          <w:p>
            <w:pPr>
              <w:jc w:val="center"/>
              <w:rPr>
                <w:rFonts w:eastAsia="Times New Roman"/>
                <w:b/>
                <w:bCs/>
                <w:noProof/>
                <w:lang w:eastAsia="en-GB"/>
              </w:rPr>
            </w:pPr>
            <w:r>
              <w:rPr>
                <w:rFonts w:eastAsia="Times New Roman"/>
                <w:b/>
                <w:bCs/>
                <w:noProof/>
                <w:lang w:eastAsia="en-GB"/>
              </w:rPr>
              <w:t>Growth of merchandise trade EU28 with Ghana (mio €)</w:t>
            </w:r>
          </w:p>
        </w:tc>
      </w:tr>
      <w:tr>
        <w:trPr>
          <w:trHeight w:val="225"/>
        </w:trPr>
        <w:tc>
          <w:tcPr>
            <w:tcW w:w="5790"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lang w:eastAsia="en-GB"/>
              </w:rPr>
            </w:pPr>
            <w:r>
              <w:rPr>
                <w:rFonts w:eastAsia="Times New Roman"/>
                <w:b/>
                <w:bCs/>
                <w:noProof/>
                <w:lang w:eastAsia="en-GB"/>
              </w:rPr>
              <w:t>Ghana</w:t>
            </w:r>
          </w:p>
        </w:tc>
        <w:tc>
          <w:tcPr>
            <w:tcW w:w="67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lang w:eastAsia="en-GB"/>
              </w:rPr>
            </w:pPr>
            <w:r>
              <w:rPr>
                <w:rFonts w:eastAsia="Times New Roman"/>
                <w:b/>
                <w:bCs/>
                <w:noProof/>
                <w:lang w:eastAsia="en-GB"/>
              </w:rPr>
              <w:t>2017</w:t>
            </w:r>
          </w:p>
        </w:tc>
        <w:tc>
          <w:tcPr>
            <w:tcW w:w="67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lang w:eastAsia="en-GB"/>
              </w:rPr>
            </w:pPr>
            <w:r>
              <w:rPr>
                <w:rFonts w:eastAsia="Times New Roman"/>
                <w:b/>
                <w:bCs/>
                <w:noProof/>
                <w:lang w:eastAsia="en-GB"/>
              </w:rPr>
              <w:t>2018</w:t>
            </w:r>
          </w:p>
        </w:tc>
        <w:tc>
          <w:tcPr>
            <w:tcW w:w="1429"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lang w:eastAsia="en-GB"/>
              </w:rPr>
            </w:pPr>
            <w:r>
              <w:rPr>
                <w:rFonts w:eastAsia="Times New Roman"/>
                <w:b/>
                <w:bCs/>
                <w:noProof/>
                <w:lang w:eastAsia="en-GB"/>
              </w:rPr>
              <w:t>Growth</w:t>
            </w:r>
          </w:p>
        </w:tc>
      </w:tr>
      <w:tr>
        <w:trPr>
          <w:trHeight w:val="225"/>
        </w:trPr>
        <w:tc>
          <w:tcPr>
            <w:tcW w:w="5790" w:type="dxa"/>
            <w:gridSpan w:val="2"/>
            <w:vMerge/>
            <w:tcBorders>
              <w:top w:val="single" w:sz="4" w:space="0" w:color="auto"/>
              <w:left w:val="nil"/>
              <w:bottom w:val="single" w:sz="4" w:space="0" w:color="000000"/>
              <w:right w:val="nil"/>
            </w:tcBorders>
            <w:vAlign w:val="center"/>
            <w:hideMark/>
          </w:tcPr>
          <w:p>
            <w:pPr>
              <w:rPr>
                <w:rFonts w:eastAsia="Times New Roman"/>
                <w:b/>
                <w:bCs/>
                <w:noProof/>
                <w:lang w:eastAsia="en-GB"/>
              </w:rPr>
            </w:pPr>
          </w:p>
        </w:tc>
        <w:tc>
          <w:tcPr>
            <w:tcW w:w="670" w:type="dxa"/>
            <w:vMerge/>
            <w:tcBorders>
              <w:top w:val="single" w:sz="4" w:space="0" w:color="auto"/>
              <w:left w:val="nil"/>
              <w:bottom w:val="single" w:sz="4" w:space="0" w:color="000000"/>
              <w:right w:val="nil"/>
            </w:tcBorders>
            <w:vAlign w:val="center"/>
            <w:hideMark/>
          </w:tcPr>
          <w:p>
            <w:pPr>
              <w:rPr>
                <w:rFonts w:eastAsia="Times New Roman"/>
                <w:b/>
                <w:bCs/>
                <w:noProof/>
                <w:lang w:eastAsia="en-GB"/>
              </w:rPr>
            </w:pPr>
          </w:p>
        </w:tc>
        <w:tc>
          <w:tcPr>
            <w:tcW w:w="670" w:type="dxa"/>
            <w:vMerge/>
            <w:tcBorders>
              <w:top w:val="single" w:sz="4" w:space="0" w:color="auto"/>
              <w:left w:val="nil"/>
              <w:bottom w:val="single" w:sz="4" w:space="0" w:color="000000"/>
              <w:right w:val="nil"/>
            </w:tcBorders>
            <w:vAlign w:val="center"/>
            <w:hideMark/>
          </w:tcPr>
          <w:p>
            <w:pPr>
              <w:rPr>
                <w:rFonts w:eastAsia="Times New Roman"/>
                <w:b/>
                <w:bCs/>
                <w:noProof/>
                <w:lang w:eastAsia="en-GB"/>
              </w:rPr>
            </w:pPr>
          </w:p>
        </w:tc>
        <w:tc>
          <w:tcPr>
            <w:tcW w:w="670" w:type="dxa"/>
            <w:tcBorders>
              <w:top w:val="nil"/>
              <w:left w:val="nil"/>
              <w:bottom w:val="single" w:sz="4" w:space="0" w:color="auto"/>
              <w:right w:val="nil"/>
            </w:tcBorders>
            <w:shd w:val="clear" w:color="000000" w:fill="FFFFFF"/>
            <w:noWrap/>
            <w:vAlign w:val="bottom"/>
            <w:hideMark/>
          </w:tcPr>
          <w:p>
            <w:pPr>
              <w:jc w:val="center"/>
              <w:rPr>
                <w:rFonts w:eastAsia="Times New Roman"/>
                <w:b/>
                <w:bCs/>
                <w:noProof/>
                <w:lang w:eastAsia="en-GB"/>
              </w:rPr>
            </w:pPr>
            <w:r>
              <w:rPr>
                <w:rFonts w:eastAsia="Times New Roman"/>
                <w:b/>
                <w:bCs/>
                <w:noProof/>
                <w:lang w:eastAsia="en-GB"/>
              </w:rPr>
              <w:t>mio €</w:t>
            </w:r>
          </w:p>
        </w:tc>
        <w:tc>
          <w:tcPr>
            <w:tcW w:w="759" w:type="dxa"/>
            <w:tcBorders>
              <w:top w:val="nil"/>
              <w:left w:val="nil"/>
              <w:bottom w:val="single" w:sz="4" w:space="0" w:color="auto"/>
              <w:right w:val="nil"/>
            </w:tcBorders>
            <w:shd w:val="clear" w:color="000000" w:fill="FFFFFF"/>
            <w:noWrap/>
            <w:vAlign w:val="bottom"/>
            <w:hideMark/>
          </w:tcPr>
          <w:p>
            <w:pPr>
              <w:jc w:val="center"/>
              <w:rPr>
                <w:rFonts w:eastAsia="Times New Roman"/>
                <w:b/>
                <w:bCs/>
                <w:noProof/>
                <w:lang w:eastAsia="en-GB"/>
              </w:rPr>
            </w:pPr>
            <w:r>
              <w:rPr>
                <w:rFonts w:eastAsia="Times New Roman"/>
                <w:b/>
                <w:bCs/>
                <w:noProof/>
                <w:lang w:eastAsia="en-GB"/>
              </w:rPr>
              <w:t>annual %</w:t>
            </w:r>
          </w:p>
        </w:tc>
      </w:tr>
      <w:tr>
        <w:trPr>
          <w:trHeight w:val="225"/>
        </w:trPr>
        <w:tc>
          <w:tcPr>
            <w:tcW w:w="512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Imports</w:t>
            </w:r>
          </w:p>
        </w:tc>
        <w:tc>
          <w:tcPr>
            <w:tcW w:w="67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2.119</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3.126</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1.007</w:t>
            </w:r>
          </w:p>
        </w:tc>
        <w:tc>
          <w:tcPr>
            <w:tcW w:w="759"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47,5%</w:t>
            </w:r>
          </w:p>
        </w:tc>
      </w:tr>
      <w:tr>
        <w:trPr>
          <w:trHeight w:val="225"/>
        </w:trPr>
        <w:tc>
          <w:tcPr>
            <w:tcW w:w="512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Exports</w:t>
            </w:r>
          </w:p>
        </w:tc>
        <w:tc>
          <w:tcPr>
            <w:tcW w:w="67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3.042</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2.824</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-218</w:t>
            </w:r>
          </w:p>
        </w:tc>
        <w:tc>
          <w:tcPr>
            <w:tcW w:w="759"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-7,2%</w:t>
            </w:r>
          </w:p>
        </w:tc>
      </w:tr>
      <w:tr>
        <w:trPr>
          <w:trHeight w:val="225"/>
        </w:trPr>
        <w:tc>
          <w:tcPr>
            <w:tcW w:w="512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Balance</w:t>
            </w:r>
          </w:p>
        </w:tc>
        <w:tc>
          <w:tcPr>
            <w:tcW w:w="67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923</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-302</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-1.225</w:t>
            </w:r>
          </w:p>
        </w:tc>
        <w:tc>
          <w:tcPr>
            <w:tcW w:w="759"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25"/>
        </w:trPr>
        <w:tc>
          <w:tcPr>
            <w:tcW w:w="5120" w:type="dxa"/>
            <w:tcBorders>
              <w:top w:val="nil"/>
              <w:left w:val="nil"/>
              <w:bottom w:val="single" w:sz="4" w:space="0" w:color="auto"/>
              <w:right w:val="nil"/>
            </w:tcBorders>
            <w:shd w:val="clear" w:color="000000" w:fill="FFFFFF"/>
            <w:noWrap/>
            <w:vAlign w:val="bottom"/>
            <w:hideMark/>
          </w:tcPr>
          <w:p>
            <w:pPr>
              <w:rPr>
                <w:rFonts w:eastAsia="Times New Roman"/>
                <w:noProof/>
                <w:lang w:eastAsia="en-GB"/>
              </w:rPr>
            </w:pPr>
            <w:r>
              <w:rPr>
                <w:rFonts w:eastAsia="Times New Roman"/>
                <w:noProof/>
                <w:lang w:eastAsia="en-GB"/>
              </w:rPr>
              <w:t>Total trade</w:t>
            </w:r>
          </w:p>
        </w:tc>
        <w:tc>
          <w:tcPr>
            <w:tcW w:w="670" w:type="dxa"/>
            <w:tcBorders>
              <w:top w:val="nil"/>
              <w:left w:val="nil"/>
              <w:bottom w:val="single" w:sz="4" w:space="0" w:color="auto"/>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670" w:type="dxa"/>
            <w:tcBorders>
              <w:top w:val="nil"/>
              <w:left w:val="nil"/>
              <w:bottom w:val="single" w:sz="4" w:space="0" w:color="auto"/>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5.161</w:t>
            </w:r>
          </w:p>
        </w:tc>
        <w:tc>
          <w:tcPr>
            <w:tcW w:w="670" w:type="dxa"/>
            <w:tcBorders>
              <w:top w:val="nil"/>
              <w:left w:val="nil"/>
              <w:bottom w:val="single" w:sz="4" w:space="0" w:color="auto"/>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5.951</w:t>
            </w:r>
          </w:p>
        </w:tc>
        <w:tc>
          <w:tcPr>
            <w:tcW w:w="670" w:type="dxa"/>
            <w:tcBorders>
              <w:top w:val="nil"/>
              <w:left w:val="nil"/>
              <w:bottom w:val="single" w:sz="4" w:space="0" w:color="auto"/>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789</w:t>
            </w:r>
          </w:p>
        </w:tc>
        <w:tc>
          <w:tcPr>
            <w:tcW w:w="759" w:type="dxa"/>
            <w:tcBorders>
              <w:top w:val="nil"/>
              <w:left w:val="nil"/>
              <w:bottom w:val="single" w:sz="4" w:space="0" w:color="auto"/>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15,3%</w:t>
            </w:r>
          </w:p>
        </w:tc>
      </w:tr>
      <w:tr>
        <w:trPr>
          <w:trHeight w:val="240"/>
        </w:trPr>
        <w:tc>
          <w:tcPr>
            <w:tcW w:w="7130" w:type="dxa"/>
            <w:gridSpan w:val="4"/>
            <w:tcBorders>
              <w:top w:val="single" w:sz="4" w:space="0" w:color="auto"/>
              <w:left w:val="nil"/>
              <w:bottom w:val="nil"/>
              <w:right w:val="nil"/>
            </w:tcBorders>
            <w:shd w:val="clear" w:color="000000" w:fill="FFFFFF"/>
            <w:noWrap/>
            <w:hideMark/>
          </w:tcPr>
          <w:p>
            <w:pPr>
              <w:rPr>
                <w:rFonts w:eastAsia="Times New Roman"/>
                <w:noProof/>
                <w:lang w:eastAsia="en-GB"/>
              </w:rPr>
            </w:pPr>
            <w:r>
              <w:rPr>
                <w:rFonts w:eastAsia="Times New Roman"/>
                <w:noProof/>
                <w:lang w:eastAsia="en-GB"/>
              </w:rPr>
              <w:t>Source Trade G2 Statistics/ISDB from Eurostat COMEXT</w:t>
            </w:r>
          </w:p>
        </w:tc>
        <w:tc>
          <w:tcPr>
            <w:tcW w:w="67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759"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25"/>
        </w:trPr>
        <w:tc>
          <w:tcPr>
            <w:tcW w:w="8559" w:type="dxa"/>
            <w:gridSpan w:val="6"/>
            <w:tcBorders>
              <w:top w:val="nil"/>
              <w:left w:val="nil"/>
              <w:bottom w:val="nil"/>
              <w:right w:val="nil"/>
            </w:tcBorders>
            <w:shd w:val="clear" w:color="000000" w:fill="FFFFFF"/>
            <w:noWrap/>
            <w:vAlign w:val="center"/>
            <w:hideMark/>
          </w:tcPr>
          <w:p>
            <w:pPr>
              <w:jc w:val="center"/>
              <w:rPr>
                <w:rFonts w:eastAsia="Times New Roman"/>
                <w:b/>
                <w:bCs/>
                <w:noProof/>
                <w:lang w:eastAsia="en-GB"/>
              </w:rPr>
            </w:pPr>
            <w:r>
              <w:rPr>
                <w:rFonts w:eastAsia="Times New Roman"/>
                <w:b/>
                <w:bCs/>
                <w:noProof/>
                <w:lang w:eastAsia="en-GB"/>
              </w:rPr>
              <w:t>Agri-food trade EU28 with Ghana (mio €)</w:t>
            </w:r>
          </w:p>
        </w:tc>
      </w:tr>
      <w:tr>
        <w:trPr>
          <w:trHeight w:val="255"/>
        </w:trPr>
        <w:tc>
          <w:tcPr>
            <w:tcW w:w="5790"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lang w:eastAsia="en-GB"/>
              </w:rPr>
            </w:pPr>
            <w:r>
              <w:rPr>
                <w:rFonts w:eastAsia="Times New Roman"/>
                <w:b/>
                <w:bCs/>
                <w:noProof/>
                <w:lang w:eastAsia="en-GB"/>
              </w:rPr>
              <w:t>Ghana</w:t>
            </w:r>
          </w:p>
        </w:tc>
        <w:tc>
          <w:tcPr>
            <w:tcW w:w="67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lang w:eastAsia="en-GB"/>
              </w:rPr>
            </w:pPr>
            <w:r>
              <w:rPr>
                <w:rFonts w:eastAsia="Times New Roman"/>
                <w:b/>
                <w:bCs/>
                <w:noProof/>
                <w:lang w:eastAsia="en-GB"/>
              </w:rPr>
              <w:t>2017</w:t>
            </w:r>
          </w:p>
        </w:tc>
        <w:tc>
          <w:tcPr>
            <w:tcW w:w="67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lang w:eastAsia="en-GB"/>
              </w:rPr>
            </w:pPr>
            <w:r>
              <w:rPr>
                <w:rFonts w:eastAsia="Times New Roman"/>
                <w:b/>
                <w:bCs/>
                <w:noProof/>
                <w:lang w:eastAsia="en-GB"/>
              </w:rPr>
              <w:t>2018</w:t>
            </w:r>
          </w:p>
        </w:tc>
        <w:tc>
          <w:tcPr>
            <w:tcW w:w="1429"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lang w:eastAsia="en-GB"/>
              </w:rPr>
            </w:pPr>
            <w:r>
              <w:rPr>
                <w:rFonts w:eastAsia="Times New Roman"/>
                <w:b/>
                <w:bCs/>
                <w:noProof/>
                <w:lang w:eastAsia="en-GB"/>
              </w:rPr>
              <w:t>Growth</w:t>
            </w:r>
          </w:p>
        </w:tc>
      </w:tr>
      <w:tr>
        <w:trPr>
          <w:trHeight w:val="225"/>
        </w:trPr>
        <w:tc>
          <w:tcPr>
            <w:tcW w:w="5790" w:type="dxa"/>
            <w:gridSpan w:val="2"/>
            <w:vMerge/>
            <w:tcBorders>
              <w:top w:val="single" w:sz="4" w:space="0" w:color="auto"/>
              <w:left w:val="nil"/>
              <w:bottom w:val="single" w:sz="4" w:space="0" w:color="000000"/>
              <w:right w:val="nil"/>
            </w:tcBorders>
            <w:vAlign w:val="center"/>
            <w:hideMark/>
          </w:tcPr>
          <w:p>
            <w:pPr>
              <w:rPr>
                <w:rFonts w:eastAsia="Times New Roman"/>
                <w:b/>
                <w:bCs/>
                <w:noProof/>
                <w:lang w:eastAsia="en-GB"/>
              </w:rPr>
            </w:pPr>
          </w:p>
        </w:tc>
        <w:tc>
          <w:tcPr>
            <w:tcW w:w="670" w:type="dxa"/>
            <w:vMerge/>
            <w:tcBorders>
              <w:top w:val="single" w:sz="4" w:space="0" w:color="auto"/>
              <w:left w:val="nil"/>
              <w:bottom w:val="single" w:sz="4" w:space="0" w:color="000000"/>
              <w:right w:val="nil"/>
            </w:tcBorders>
            <w:vAlign w:val="center"/>
            <w:hideMark/>
          </w:tcPr>
          <w:p>
            <w:pPr>
              <w:rPr>
                <w:rFonts w:eastAsia="Times New Roman"/>
                <w:b/>
                <w:bCs/>
                <w:noProof/>
                <w:lang w:eastAsia="en-GB"/>
              </w:rPr>
            </w:pPr>
          </w:p>
        </w:tc>
        <w:tc>
          <w:tcPr>
            <w:tcW w:w="670" w:type="dxa"/>
            <w:vMerge/>
            <w:tcBorders>
              <w:top w:val="single" w:sz="4" w:space="0" w:color="auto"/>
              <w:left w:val="nil"/>
              <w:bottom w:val="single" w:sz="4" w:space="0" w:color="000000"/>
              <w:right w:val="nil"/>
            </w:tcBorders>
            <w:vAlign w:val="center"/>
            <w:hideMark/>
          </w:tcPr>
          <w:p>
            <w:pPr>
              <w:rPr>
                <w:rFonts w:eastAsia="Times New Roman"/>
                <w:b/>
                <w:bCs/>
                <w:noProof/>
                <w:lang w:eastAsia="en-GB"/>
              </w:rPr>
            </w:pPr>
          </w:p>
        </w:tc>
        <w:tc>
          <w:tcPr>
            <w:tcW w:w="670" w:type="dxa"/>
            <w:tcBorders>
              <w:top w:val="nil"/>
              <w:left w:val="nil"/>
              <w:bottom w:val="single" w:sz="4" w:space="0" w:color="auto"/>
              <w:right w:val="nil"/>
            </w:tcBorders>
            <w:shd w:val="clear" w:color="000000" w:fill="FFFFFF"/>
            <w:noWrap/>
            <w:vAlign w:val="bottom"/>
            <w:hideMark/>
          </w:tcPr>
          <w:p>
            <w:pPr>
              <w:jc w:val="center"/>
              <w:rPr>
                <w:rFonts w:eastAsia="Times New Roman"/>
                <w:b/>
                <w:bCs/>
                <w:noProof/>
                <w:lang w:eastAsia="en-GB"/>
              </w:rPr>
            </w:pPr>
            <w:r>
              <w:rPr>
                <w:rFonts w:eastAsia="Times New Roman"/>
                <w:b/>
                <w:bCs/>
                <w:noProof/>
                <w:lang w:eastAsia="en-GB"/>
              </w:rPr>
              <w:t>mio €</w:t>
            </w:r>
          </w:p>
        </w:tc>
        <w:tc>
          <w:tcPr>
            <w:tcW w:w="759" w:type="dxa"/>
            <w:tcBorders>
              <w:top w:val="nil"/>
              <w:left w:val="nil"/>
              <w:bottom w:val="single" w:sz="4" w:space="0" w:color="auto"/>
              <w:right w:val="nil"/>
            </w:tcBorders>
            <w:shd w:val="clear" w:color="000000" w:fill="FFFFFF"/>
            <w:noWrap/>
            <w:vAlign w:val="bottom"/>
            <w:hideMark/>
          </w:tcPr>
          <w:p>
            <w:pPr>
              <w:jc w:val="center"/>
              <w:rPr>
                <w:rFonts w:eastAsia="Times New Roman"/>
                <w:b/>
                <w:bCs/>
                <w:noProof/>
                <w:lang w:eastAsia="en-GB"/>
              </w:rPr>
            </w:pPr>
            <w:r>
              <w:rPr>
                <w:rFonts w:eastAsia="Times New Roman"/>
                <w:b/>
                <w:bCs/>
                <w:noProof/>
                <w:lang w:eastAsia="en-GB"/>
              </w:rPr>
              <w:t>annual %</w:t>
            </w:r>
          </w:p>
        </w:tc>
      </w:tr>
      <w:tr>
        <w:trPr>
          <w:trHeight w:val="225"/>
        </w:trPr>
        <w:tc>
          <w:tcPr>
            <w:tcW w:w="512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Imports</w:t>
            </w:r>
          </w:p>
        </w:tc>
        <w:tc>
          <w:tcPr>
            <w:tcW w:w="67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1.314</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1.431</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118</w:t>
            </w:r>
          </w:p>
        </w:tc>
        <w:tc>
          <w:tcPr>
            <w:tcW w:w="759"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9,0%</w:t>
            </w:r>
          </w:p>
        </w:tc>
      </w:tr>
      <w:tr>
        <w:trPr>
          <w:trHeight w:val="225"/>
        </w:trPr>
        <w:tc>
          <w:tcPr>
            <w:tcW w:w="512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Exports</w:t>
            </w:r>
          </w:p>
        </w:tc>
        <w:tc>
          <w:tcPr>
            <w:tcW w:w="67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455</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460</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5</w:t>
            </w:r>
          </w:p>
        </w:tc>
        <w:tc>
          <w:tcPr>
            <w:tcW w:w="759"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1,2%</w:t>
            </w:r>
          </w:p>
        </w:tc>
      </w:tr>
      <w:tr>
        <w:trPr>
          <w:trHeight w:val="225"/>
        </w:trPr>
        <w:tc>
          <w:tcPr>
            <w:tcW w:w="512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Balance</w:t>
            </w:r>
          </w:p>
        </w:tc>
        <w:tc>
          <w:tcPr>
            <w:tcW w:w="67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-859</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-971</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-112</w:t>
            </w:r>
          </w:p>
        </w:tc>
        <w:tc>
          <w:tcPr>
            <w:tcW w:w="759"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25"/>
        </w:trPr>
        <w:tc>
          <w:tcPr>
            <w:tcW w:w="5120" w:type="dxa"/>
            <w:tcBorders>
              <w:top w:val="nil"/>
              <w:left w:val="nil"/>
              <w:bottom w:val="single" w:sz="4" w:space="0" w:color="auto"/>
              <w:right w:val="nil"/>
            </w:tcBorders>
            <w:shd w:val="clear" w:color="000000" w:fill="FFFFFF"/>
            <w:noWrap/>
            <w:vAlign w:val="bottom"/>
            <w:hideMark/>
          </w:tcPr>
          <w:p>
            <w:pPr>
              <w:rPr>
                <w:rFonts w:eastAsia="Times New Roman"/>
                <w:noProof/>
                <w:lang w:eastAsia="en-GB"/>
              </w:rPr>
            </w:pPr>
            <w:r>
              <w:rPr>
                <w:rFonts w:eastAsia="Times New Roman"/>
                <w:noProof/>
                <w:lang w:eastAsia="en-GB"/>
              </w:rPr>
              <w:t>Total trade</w:t>
            </w:r>
          </w:p>
        </w:tc>
        <w:tc>
          <w:tcPr>
            <w:tcW w:w="67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670" w:type="dxa"/>
            <w:tcBorders>
              <w:top w:val="nil"/>
              <w:left w:val="nil"/>
              <w:bottom w:val="single" w:sz="4" w:space="0" w:color="auto"/>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1.769</w:t>
            </w:r>
          </w:p>
        </w:tc>
        <w:tc>
          <w:tcPr>
            <w:tcW w:w="670" w:type="dxa"/>
            <w:tcBorders>
              <w:top w:val="nil"/>
              <w:left w:val="nil"/>
              <w:bottom w:val="single" w:sz="4" w:space="0" w:color="auto"/>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1.892</w:t>
            </w:r>
          </w:p>
        </w:tc>
        <w:tc>
          <w:tcPr>
            <w:tcW w:w="670" w:type="dxa"/>
            <w:tcBorders>
              <w:top w:val="nil"/>
              <w:left w:val="nil"/>
              <w:bottom w:val="single" w:sz="4" w:space="0" w:color="auto"/>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123</w:t>
            </w:r>
          </w:p>
        </w:tc>
        <w:tc>
          <w:tcPr>
            <w:tcW w:w="759" w:type="dxa"/>
            <w:tcBorders>
              <w:top w:val="nil"/>
              <w:left w:val="nil"/>
              <w:bottom w:val="single" w:sz="4" w:space="0" w:color="auto"/>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7,0%</w:t>
            </w:r>
          </w:p>
        </w:tc>
      </w:tr>
      <w:tr>
        <w:trPr>
          <w:trHeight w:val="240"/>
        </w:trPr>
        <w:tc>
          <w:tcPr>
            <w:tcW w:w="7130" w:type="dxa"/>
            <w:gridSpan w:val="4"/>
            <w:tcBorders>
              <w:top w:val="single" w:sz="4" w:space="0" w:color="auto"/>
              <w:left w:val="nil"/>
              <w:bottom w:val="nil"/>
              <w:right w:val="nil"/>
            </w:tcBorders>
            <w:shd w:val="clear" w:color="000000" w:fill="FFFFFF"/>
            <w:noWrap/>
            <w:hideMark/>
          </w:tcPr>
          <w:p>
            <w:pPr>
              <w:rPr>
                <w:rFonts w:eastAsia="Times New Roman"/>
                <w:noProof/>
                <w:lang w:eastAsia="en-GB"/>
              </w:rPr>
            </w:pPr>
            <w:r>
              <w:rPr>
                <w:rFonts w:eastAsia="Times New Roman"/>
                <w:noProof/>
                <w:lang w:eastAsia="en-GB"/>
              </w:rPr>
              <w:t>Source Trade G2 Statistics/ISDB from Eurostat COMEXT</w:t>
            </w:r>
          </w:p>
        </w:tc>
        <w:tc>
          <w:tcPr>
            <w:tcW w:w="67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759"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25"/>
        </w:trPr>
        <w:tc>
          <w:tcPr>
            <w:tcW w:w="8559" w:type="dxa"/>
            <w:gridSpan w:val="6"/>
            <w:tcBorders>
              <w:top w:val="nil"/>
              <w:left w:val="nil"/>
              <w:bottom w:val="nil"/>
              <w:right w:val="nil"/>
            </w:tcBorders>
            <w:shd w:val="clear" w:color="000000" w:fill="FFFFFF"/>
            <w:noWrap/>
            <w:vAlign w:val="center"/>
            <w:hideMark/>
          </w:tcPr>
          <w:p>
            <w:pPr>
              <w:jc w:val="center"/>
              <w:rPr>
                <w:rFonts w:eastAsia="Times New Roman"/>
                <w:b/>
                <w:bCs/>
                <w:noProof/>
                <w:lang w:eastAsia="en-GB"/>
              </w:rPr>
            </w:pPr>
            <w:r>
              <w:rPr>
                <w:rFonts w:eastAsia="Times New Roman"/>
                <w:b/>
                <w:bCs/>
                <w:noProof/>
                <w:lang w:eastAsia="en-GB"/>
              </w:rPr>
              <w:t>NAMA trade EU28 with Ghana (mio €)</w:t>
            </w:r>
          </w:p>
        </w:tc>
      </w:tr>
      <w:tr>
        <w:trPr>
          <w:trHeight w:val="225"/>
        </w:trPr>
        <w:tc>
          <w:tcPr>
            <w:tcW w:w="5790"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lang w:eastAsia="en-GB"/>
              </w:rPr>
            </w:pPr>
            <w:r>
              <w:rPr>
                <w:rFonts w:eastAsia="Times New Roman"/>
                <w:b/>
                <w:bCs/>
                <w:noProof/>
                <w:lang w:eastAsia="en-GB"/>
              </w:rPr>
              <w:t>Ghana</w:t>
            </w:r>
          </w:p>
        </w:tc>
        <w:tc>
          <w:tcPr>
            <w:tcW w:w="67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lang w:eastAsia="en-GB"/>
              </w:rPr>
            </w:pPr>
            <w:r>
              <w:rPr>
                <w:rFonts w:eastAsia="Times New Roman"/>
                <w:b/>
                <w:bCs/>
                <w:noProof/>
                <w:lang w:eastAsia="en-GB"/>
              </w:rPr>
              <w:t>2017</w:t>
            </w:r>
          </w:p>
        </w:tc>
        <w:tc>
          <w:tcPr>
            <w:tcW w:w="670"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lang w:eastAsia="en-GB"/>
              </w:rPr>
            </w:pPr>
            <w:r>
              <w:rPr>
                <w:rFonts w:eastAsia="Times New Roman"/>
                <w:b/>
                <w:bCs/>
                <w:noProof/>
                <w:lang w:eastAsia="en-GB"/>
              </w:rPr>
              <w:t>2018</w:t>
            </w:r>
          </w:p>
        </w:tc>
        <w:tc>
          <w:tcPr>
            <w:tcW w:w="1429"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lang w:eastAsia="en-GB"/>
              </w:rPr>
            </w:pPr>
            <w:r>
              <w:rPr>
                <w:rFonts w:eastAsia="Times New Roman"/>
                <w:b/>
                <w:bCs/>
                <w:noProof/>
                <w:lang w:eastAsia="en-GB"/>
              </w:rPr>
              <w:t>Growth</w:t>
            </w:r>
          </w:p>
        </w:tc>
      </w:tr>
      <w:tr>
        <w:trPr>
          <w:trHeight w:val="225"/>
        </w:trPr>
        <w:tc>
          <w:tcPr>
            <w:tcW w:w="5790" w:type="dxa"/>
            <w:gridSpan w:val="2"/>
            <w:vMerge/>
            <w:tcBorders>
              <w:top w:val="single" w:sz="4" w:space="0" w:color="auto"/>
              <w:left w:val="nil"/>
              <w:bottom w:val="single" w:sz="4" w:space="0" w:color="000000"/>
              <w:right w:val="nil"/>
            </w:tcBorders>
            <w:vAlign w:val="center"/>
            <w:hideMark/>
          </w:tcPr>
          <w:p>
            <w:pPr>
              <w:rPr>
                <w:rFonts w:eastAsia="Times New Roman"/>
                <w:b/>
                <w:bCs/>
                <w:noProof/>
                <w:lang w:eastAsia="en-GB"/>
              </w:rPr>
            </w:pPr>
          </w:p>
        </w:tc>
        <w:tc>
          <w:tcPr>
            <w:tcW w:w="670" w:type="dxa"/>
            <w:vMerge/>
            <w:tcBorders>
              <w:top w:val="single" w:sz="4" w:space="0" w:color="auto"/>
              <w:left w:val="nil"/>
              <w:bottom w:val="single" w:sz="4" w:space="0" w:color="000000"/>
              <w:right w:val="nil"/>
            </w:tcBorders>
            <w:vAlign w:val="center"/>
            <w:hideMark/>
          </w:tcPr>
          <w:p>
            <w:pPr>
              <w:rPr>
                <w:rFonts w:eastAsia="Times New Roman"/>
                <w:b/>
                <w:bCs/>
                <w:noProof/>
                <w:lang w:eastAsia="en-GB"/>
              </w:rPr>
            </w:pPr>
          </w:p>
        </w:tc>
        <w:tc>
          <w:tcPr>
            <w:tcW w:w="670" w:type="dxa"/>
            <w:vMerge/>
            <w:tcBorders>
              <w:top w:val="single" w:sz="4" w:space="0" w:color="auto"/>
              <w:left w:val="nil"/>
              <w:bottom w:val="single" w:sz="4" w:space="0" w:color="000000"/>
              <w:right w:val="nil"/>
            </w:tcBorders>
            <w:vAlign w:val="center"/>
            <w:hideMark/>
          </w:tcPr>
          <w:p>
            <w:pPr>
              <w:rPr>
                <w:rFonts w:eastAsia="Times New Roman"/>
                <w:b/>
                <w:bCs/>
                <w:noProof/>
                <w:lang w:eastAsia="en-GB"/>
              </w:rPr>
            </w:pPr>
          </w:p>
        </w:tc>
        <w:tc>
          <w:tcPr>
            <w:tcW w:w="670" w:type="dxa"/>
            <w:tcBorders>
              <w:top w:val="nil"/>
              <w:left w:val="nil"/>
              <w:bottom w:val="single" w:sz="4" w:space="0" w:color="auto"/>
              <w:right w:val="nil"/>
            </w:tcBorders>
            <w:shd w:val="clear" w:color="000000" w:fill="FFFFFF"/>
            <w:noWrap/>
            <w:vAlign w:val="bottom"/>
            <w:hideMark/>
          </w:tcPr>
          <w:p>
            <w:pPr>
              <w:jc w:val="center"/>
              <w:rPr>
                <w:rFonts w:eastAsia="Times New Roman"/>
                <w:b/>
                <w:bCs/>
                <w:noProof/>
                <w:lang w:eastAsia="en-GB"/>
              </w:rPr>
            </w:pPr>
            <w:r>
              <w:rPr>
                <w:rFonts w:eastAsia="Times New Roman"/>
                <w:b/>
                <w:bCs/>
                <w:noProof/>
                <w:lang w:eastAsia="en-GB"/>
              </w:rPr>
              <w:t>mio €</w:t>
            </w:r>
          </w:p>
        </w:tc>
        <w:tc>
          <w:tcPr>
            <w:tcW w:w="759" w:type="dxa"/>
            <w:tcBorders>
              <w:top w:val="nil"/>
              <w:left w:val="nil"/>
              <w:bottom w:val="single" w:sz="4" w:space="0" w:color="auto"/>
              <w:right w:val="nil"/>
            </w:tcBorders>
            <w:shd w:val="clear" w:color="000000" w:fill="FFFFFF"/>
            <w:noWrap/>
            <w:vAlign w:val="bottom"/>
            <w:hideMark/>
          </w:tcPr>
          <w:p>
            <w:pPr>
              <w:jc w:val="center"/>
              <w:rPr>
                <w:rFonts w:eastAsia="Times New Roman"/>
                <w:b/>
                <w:bCs/>
                <w:noProof/>
                <w:lang w:eastAsia="en-GB"/>
              </w:rPr>
            </w:pPr>
            <w:r>
              <w:rPr>
                <w:rFonts w:eastAsia="Times New Roman"/>
                <w:b/>
                <w:bCs/>
                <w:noProof/>
                <w:lang w:eastAsia="en-GB"/>
              </w:rPr>
              <w:t>annual %</w:t>
            </w:r>
          </w:p>
        </w:tc>
      </w:tr>
      <w:tr>
        <w:trPr>
          <w:trHeight w:val="225"/>
        </w:trPr>
        <w:tc>
          <w:tcPr>
            <w:tcW w:w="5790" w:type="dxa"/>
            <w:gridSpan w:val="2"/>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EU28 imports</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805</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1.695</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889</w:t>
            </w:r>
          </w:p>
        </w:tc>
        <w:tc>
          <w:tcPr>
            <w:tcW w:w="759"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110,4%</w:t>
            </w:r>
          </w:p>
        </w:tc>
      </w:tr>
      <w:tr>
        <w:trPr>
          <w:trHeight w:val="225"/>
        </w:trPr>
        <w:tc>
          <w:tcPr>
            <w:tcW w:w="5790" w:type="dxa"/>
            <w:gridSpan w:val="2"/>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EU28 exports</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2.587</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2.364</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-223</w:t>
            </w:r>
          </w:p>
        </w:tc>
        <w:tc>
          <w:tcPr>
            <w:tcW w:w="759"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-8,6%</w:t>
            </w:r>
          </w:p>
        </w:tc>
      </w:tr>
      <w:tr>
        <w:trPr>
          <w:trHeight w:val="225"/>
        </w:trPr>
        <w:tc>
          <w:tcPr>
            <w:tcW w:w="512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Balance</w:t>
            </w:r>
          </w:p>
        </w:tc>
        <w:tc>
          <w:tcPr>
            <w:tcW w:w="67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1.782</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669</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-1.113</w:t>
            </w:r>
          </w:p>
        </w:tc>
        <w:tc>
          <w:tcPr>
            <w:tcW w:w="759"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25"/>
        </w:trPr>
        <w:tc>
          <w:tcPr>
            <w:tcW w:w="512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Total trade</w:t>
            </w:r>
          </w:p>
        </w:tc>
        <w:tc>
          <w:tcPr>
            <w:tcW w:w="67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3.393</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4.059</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666</w:t>
            </w:r>
          </w:p>
        </w:tc>
        <w:tc>
          <w:tcPr>
            <w:tcW w:w="759" w:type="dxa"/>
            <w:tcBorders>
              <w:top w:val="nil"/>
              <w:left w:val="nil"/>
              <w:bottom w:val="single" w:sz="4" w:space="0" w:color="auto"/>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19,6%</w:t>
            </w:r>
          </w:p>
        </w:tc>
      </w:tr>
      <w:tr>
        <w:trPr>
          <w:trHeight w:val="240"/>
        </w:trPr>
        <w:tc>
          <w:tcPr>
            <w:tcW w:w="7130" w:type="dxa"/>
            <w:gridSpan w:val="4"/>
            <w:tcBorders>
              <w:top w:val="single" w:sz="4" w:space="0" w:color="auto"/>
              <w:left w:val="nil"/>
              <w:bottom w:val="nil"/>
              <w:right w:val="nil"/>
            </w:tcBorders>
            <w:shd w:val="clear" w:color="000000" w:fill="FFFFFF"/>
            <w:noWrap/>
            <w:hideMark/>
          </w:tcPr>
          <w:p>
            <w:pPr>
              <w:rPr>
                <w:rFonts w:eastAsia="Times New Roman"/>
                <w:noProof/>
                <w:lang w:eastAsia="en-GB"/>
              </w:rPr>
            </w:pPr>
            <w:r>
              <w:rPr>
                <w:rFonts w:eastAsia="Times New Roman"/>
                <w:noProof/>
                <w:lang w:eastAsia="en-GB"/>
              </w:rPr>
              <w:t>Source Trade G2 Statistics/ISDB from Eurostat COMEXT</w:t>
            </w:r>
          </w:p>
        </w:tc>
        <w:tc>
          <w:tcPr>
            <w:tcW w:w="670" w:type="dxa"/>
            <w:tcBorders>
              <w:top w:val="single" w:sz="4" w:space="0" w:color="auto"/>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759"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25"/>
        </w:trPr>
        <w:tc>
          <w:tcPr>
            <w:tcW w:w="8559" w:type="dxa"/>
            <w:gridSpan w:val="6"/>
            <w:tcBorders>
              <w:top w:val="nil"/>
              <w:left w:val="nil"/>
              <w:bottom w:val="single" w:sz="4" w:space="0" w:color="auto"/>
              <w:right w:val="nil"/>
            </w:tcBorders>
            <w:shd w:val="clear" w:color="000000" w:fill="FFFFFF"/>
            <w:noWrap/>
            <w:vAlign w:val="center"/>
            <w:hideMark/>
          </w:tcPr>
          <w:p>
            <w:pPr>
              <w:jc w:val="center"/>
              <w:rPr>
                <w:rFonts w:eastAsia="Times New Roman"/>
                <w:b/>
                <w:bCs/>
                <w:noProof/>
                <w:lang w:eastAsia="en-GB"/>
              </w:rPr>
            </w:pPr>
            <w:r>
              <w:rPr>
                <w:rFonts w:eastAsia="Times New Roman"/>
                <w:b/>
                <w:bCs/>
                <w:noProof/>
                <w:lang w:eastAsia="en-GB"/>
              </w:rPr>
              <w:t>Services trade EU28 with Ghana (mio €)</w:t>
            </w:r>
          </w:p>
        </w:tc>
      </w:tr>
      <w:tr>
        <w:trPr>
          <w:trHeight w:val="225"/>
        </w:trPr>
        <w:tc>
          <w:tcPr>
            <w:tcW w:w="5790"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lang w:eastAsia="en-GB"/>
              </w:rPr>
            </w:pPr>
            <w:r>
              <w:rPr>
                <w:rFonts w:eastAsia="Times New Roman"/>
                <w:b/>
                <w:bCs/>
                <w:noProof/>
                <w:lang w:eastAsia="en-GB"/>
              </w:rPr>
              <w:t>Ghana</w:t>
            </w:r>
          </w:p>
        </w:tc>
        <w:tc>
          <w:tcPr>
            <w:tcW w:w="670"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lang w:eastAsia="en-GB"/>
              </w:rPr>
            </w:pPr>
            <w:r>
              <w:rPr>
                <w:rFonts w:eastAsia="Times New Roman"/>
                <w:b/>
                <w:bCs/>
                <w:noProof/>
                <w:lang w:eastAsia="en-GB"/>
              </w:rPr>
              <w:t>2016</w:t>
            </w:r>
          </w:p>
        </w:tc>
        <w:tc>
          <w:tcPr>
            <w:tcW w:w="670"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lang w:eastAsia="en-GB"/>
              </w:rPr>
            </w:pPr>
            <w:r>
              <w:rPr>
                <w:rFonts w:eastAsia="Times New Roman"/>
                <w:b/>
                <w:bCs/>
                <w:noProof/>
                <w:lang w:eastAsia="en-GB"/>
              </w:rPr>
              <w:t>2017</w:t>
            </w:r>
          </w:p>
        </w:tc>
        <w:tc>
          <w:tcPr>
            <w:tcW w:w="1429"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lang w:eastAsia="en-GB"/>
              </w:rPr>
            </w:pPr>
            <w:r>
              <w:rPr>
                <w:rFonts w:eastAsia="Times New Roman"/>
                <w:b/>
                <w:bCs/>
                <w:noProof/>
                <w:lang w:eastAsia="en-GB"/>
              </w:rPr>
              <w:t>Growth</w:t>
            </w:r>
          </w:p>
        </w:tc>
      </w:tr>
      <w:tr>
        <w:trPr>
          <w:trHeight w:val="225"/>
        </w:trPr>
        <w:tc>
          <w:tcPr>
            <w:tcW w:w="5790" w:type="dxa"/>
            <w:gridSpan w:val="2"/>
            <w:vMerge/>
            <w:tcBorders>
              <w:top w:val="single" w:sz="4" w:space="0" w:color="auto"/>
              <w:left w:val="nil"/>
              <w:bottom w:val="single" w:sz="4" w:space="0" w:color="000000"/>
              <w:right w:val="nil"/>
            </w:tcBorders>
            <w:vAlign w:val="center"/>
            <w:hideMark/>
          </w:tcPr>
          <w:p>
            <w:pPr>
              <w:rPr>
                <w:rFonts w:eastAsia="Times New Roman"/>
                <w:b/>
                <w:bCs/>
                <w:noProof/>
                <w:lang w:eastAsia="en-GB"/>
              </w:rPr>
            </w:pPr>
          </w:p>
        </w:tc>
        <w:tc>
          <w:tcPr>
            <w:tcW w:w="670" w:type="dxa"/>
            <w:vMerge/>
            <w:tcBorders>
              <w:top w:val="nil"/>
              <w:left w:val="nil"/>
              <w:bottom w:val="single" w:sz="4" w:space="0" w:color="000000"/>
              <w:right w:val="nil"/>
            </w:tcBorders>
            <w:vAlign w:val="center"/>
            <w:hideMark/>
          </w:tcPr>
          <w:p>
            <w:pPr>
              <w:rPr>
                <w:rFonts w:eastAsia="Times New Roman"/>
                <w:b/>
                <w:bCs/>
                <w:noProof/>
                <w:lang w:eastAsia="en-GB"/>
              </w:rPr>
            </w:pPr>
          </w:p>
        </w:tc>
        <w:tc>
          <w:tcPr>
            <w:tcW w:w="670" w:type="dxa"/>
            <w:vMerge/>
            <w:tcBorders>
              <w:top w:val="nil"/>
              <w:left w:val="nil"/>
              <w:bottom w:val="single" w:sz="4" w:space="0" w:color="000000"/>
              <w:right w:val="nil"/>
            </w:tcBorders>
            <w:vAlign w:val="center"/>
            <w:hideMark/>
          </w:tcPr>
          <w:p>
            <w:pPr>
              <w:rPr>
                <w:rFonts w:eastAsia="Times New Roman"/>
                <w:b/>
                <w:bCs/>
                <w:noProof/>
                <w:lang w:eastAsia="en-GB"/>
              </w:rPr>
            </w:pPr>
          </w:p>
        </w:tc>
        <w:tc>
          <w:tcPr>
            <w:tcW w:w="670" w:type="dxa"/>
            <w:tcBorders>
              <w:top w:val="nil"/>
              <w:left w:val="nil"/>
              <w:bottom w:val="single" w:sz="4" w:space="0" w:color="auto"/>
              <w:right w:val="nil"/>
            </w:tcBorders>
            <w:shd w:val="clear" w:color="000000" w:fill="FFFFFF"/>
            <w:noWrap/>
            <w:vAlign w:val="bottom"/>
            <w:hideMark/>
          </w:tcPr>
          <w:p>
            <w:pPr>
              <w:jc w:val="center"/>
              <w:rPr>
                <w:rFonts w:eastAsia="Times New Roman"/>
                <w:b/>
                <w:bCs/>
                <w:noProof/>
                <w:lang w:eastAsia="en-GB"/>
              </w:rPr>
            </w:pPr>
            <w:r>
              <w:rPr>
                <w:rFonts w:eastAsia="Times New Roman"/>
                <w:b/>
                <w:bCs/>
                <w:noProof/>
                <w:lang w:eastAsia="en-GB"/>
              </w:rPr>
              <w:t>mio €</w:t>
            </w:r>
          </w:p>
        </w:tc>
        <w:tc>
          <w:tcPr>
            <w:tcW w:w="759" w:type="dxa"/>
            <w:tcBorders>
              <w:top w:val="nil"/>
              <w:left w:val="nil"/>
              <w:bottom w:val="single" w:sz="4" w:space="0" w:color="auto"/>
              <w:right w:val="nil"/>
            </w:tcBorders>
            <w:shd w:val="clear" w:color="000000" w:fill="FFFFFF"/>
            <w:noWrap/>
            <w:vAlign w:val="bottom"/>
            <w:hideMark/>
          </w:tcPr>
          <w:p>
            <w:pPr>
              <w:jc w:val="center"/>
              <w:rPr>
                <w:rFonts w:eastAsia="Times New Roman"/>
                <w:b/>
                <w:bCs/>
                <w:noProof/>
                <w:lang w:eastAsia="en-GB"/>
              </w:rPr>
            </w:pPr>
            <w:r>
              <w:rPr>
                <w:rFonts w:eastAsia="Times New Roman"/>
                <w:b/>
                <w:bCs/>
                <w:noProof/>
                <w:lang w:eastAsia="en-GB"/>
              </w:rPr>
              <w:t>annual %</w:t>
            </w:r>
          </w:p>
        </w:tc>
      </w:tr>
      <w:tr>
        <w:trPr>
          <w:trHeight w:val="225"/>
        </w:trPr>
        <w:tc>
          <w:tcPr>
            <w:tcW w:w="512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Imports</w:t>
            </w:r>
          </w:p>
        </w:tc>
        <w:tc>
          <w:tcPr>
            <w:tcW w:w="67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1.346</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568</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-777</w:t>
            </w:r>
          </w:p>
        </w:tc>
        <w:tc>
          <w:tcPr>
            <w:tcW w:w="759"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-57,8%</w:t>
            </w:r>
          </w:p>
        </w:tc>
      </w:tr>
      <w:tr>
        <w:trPr>
          <w:trHeight w:val="225"/>
        </w:trPr>
        <w:tc>
          <w:tcPr>
            <w:tcW w:w="512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Exports</w:t>
            </w:r>
          </w:p>
        </w:tc>
        <w:tc>
          <w:tcPr>
            <w:tcW w:w="67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1.866</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1.022</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-845</w:t>
            </w:r>
          </w:p>
        </w:tc>
        <w:tc>
          <w:tcPr>
            <w:tcW w:w="759"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-45,2%</w:t>
            </w:r>
          </w:p>
        </w:tc>
      </w:tr>
      <w:tr>
        <w:trPr>
          <w:trHeight w:val="225"/>
        </w:trPr>
        <w:tc>
          <w:tcPr>
            <w:tcW w:w="512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Balance</w:t>
            </w:r>
          </w:p>
        </w:tc>
        <w:tc>
          <w:tcPr>
            <w:tcW w:w="67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521</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454</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-67</w:t>
            </w:r>
          </w:p>
        </w:tc>
        <w:tc>
          <w:tcPr>
            <w:tcW w:w="759"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25"/>
        </w:trPr>
        <w:tc>
          <w:tcPr>
            <w:tcW w:w="5120" w:type="dxa"/>
            <w:tcBorders>
              <w:top w:val="nil"/>
              <w:left w:val="nil"/>
              <w:bottom w:val="single" w:sz="4" w:space="0" w:color="auto"/>
              <w:right w:val="nil"/>
            </w:tcBorders>
            <w:shd w:val="clear" w:color="000000" w:fill="FFFFFF"/>
            <w:noWrap/>
            <w:vAlign w:val="bottom"/>
            <w:hideMark/>
          </w:tcPr>
          <w:p>
            <w:pPr>
              <w:rPr>
                <w:rFonts w:eastAsia="Times New Roman"/>
                <w:noProof/>
                <w:lang w:eastAsia="en-GB"/>
              </w:rPr>
            </w:pPr>
            <w:r>
              <w:rPr>
                <w:rFonts w:eastAsia="Times New Roman"/>
                <w:noProof/>
                <w:lang w:eastAsia="en-GB"/>
              </w:rPr>
              <w:t>Total trade</w:t>
            </w:r>
          </w:p>
        </w:tc>
        <w:tc>
          <w:tcPr>
            <w:tcW w:w="670" w:type="dxa"/>
            <w:tcBorders>
              <w:top w:val="nil"/>
              <w:left w:val="nil"/>
              <w:bottom w:val="single" w:sz="4" w:space="0" w:color="auto"/>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670" w:type="dxa"/>
            <w:tcBorders>
              <w:top w:val="nil"/>
              <w:left w:val="nil"/>
              <w:bottom w:val="single" w:sz="4" w:space="0" w:color="auto"/>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3.212</w:t>
            </w:r>
          </w:p>
        </w:tc>
        <w:tc>
          <w:tcPr>
            <w:tcW w:w="670" w:type="dxa"/>
            <w:tcBorders>
              <w:top w:val="nil"/>
              <w:left w:val="nil"/>
              <w:bottom w:val="single" w:sz="4" w:space="0" w:color="auto"/>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1.590</w:t>
            </w:r>
          </w:p>
        </w:tc>
        <w:tc>
          <w:tcPr>
            <w:tcW w:w="670" w:type="dxa"/>
            <w:tcBorders>
              <w:top w:val="nil"/>
              <w:left w:val="nil"/>
              <w:bottom w:val="single" w:sz="4" w:space="0" w:color="auto"/>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-1.622</w:t>
            </w:r>
          </w:p>
        </w:tc>
        <w:tc>
          <w:tcPr>
            <w:tcW w:w="759" w:type="dxa"/>
            <w:tcBorders>
              <w:top w:val="nil"/>
              <w:left w:val="nil"/>
              <w:bottom w:val="single" w:sz="4" w:space="0" w:color="auto"/>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-50,5%</w:t>
            </w:r>
          </w:p>
        </w:tc>
      </w:tr>
      <w:tr>
        <w:trPr>
          <w:trHeight w:val="240"/>
        </w:trPr>
        <w:tc>
          <w:tcPr>
            <w:tcW w:w="7800" w:type="dxa"/>
            <w:gridSpan w:val="5"/>
            <w:tcBorders>
              <w:top w:val="nil"/>
              <w:left w:val="nil"/>
              <w:bottom w:val="nil"/>
              <w:right w:val="nil"/>
            </w:tcBorders>
            <w:shd w:val="clear" w:color="000000" w:fill="FFFFFF"/>
            <w:noWrap/>
            <w:hideMark/>
          </w:tcPr>
          <w:p>
            <w:pPr>
              <w:rPr>
                <w:rFonts w:eastAsia="Times New Roman"/>
                <w:noProof/>
                <w:lang w:eastAsia="en-GB"/>
              </w:rPr>
            </w:pPr>
            <w:r>
              <w:rPr>
                <w:rFonts w:eastAsia="Times New Roman"/>
                <w:noProof/>
                <w:lang w:eastAsia="en-GB"/>
              </w:rPr>
              <w:t>Source Trade G2 Statistics/ISDB from Eurostat BOP statistics</w:t>
            </w:r>
          </w:p>
        </w:tc>
        <w:tc>
          <w:tcPr>
            <w:tcW w:w="759"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40"/>
        </w:trPr>
        <w:tc>
          <w:tcPr>
            <w:tcW w:w="8559" w:type="dxa"/>
            <w:gridSpan w:val="6"/>
            <w:tcBorders>
              <w:top w:val="nil"/>
              <w:left w:val="nil"/>
              <w:bottom w:val="nil"/>
              <w:right w:val="nil"/>
            </w:tcBorders>
            <w:shd w:val="clear" w:color="000000" w:fill="FFFFFF"/>
            <w:noWrap/>
            <w:vAlign w:val="center"/>
            <w:hideMark/>
          </w:tcPr>
          <w:p>
            <w:pPr>
              <w:jc w:val="center"/>
              <w:rPr>
                <w:rFonts w:eastAsia="Times New Roman"/>
                <w:b/>
                <w:bCs/>
                <w:noProof/>
                <w:lang w:eastAsia="en-GB"/>
              </w:rPr>
            </w:pPr>
            <w:r>
              <w:rPr>
                <w:rFonts w:eastAsia="Times New Roman"/>
                <w:b/>
                <w:bCs/>
                <w:noProof/>
                <w:lang w:eastAsia="en-GB"/>
              </w:rPr>
              <w:t>Services trade EU28 with Ghana (mio €)</w:t>
            </w:r>
          </w:p>
        </w:tc>
      </w:tr>
      <w:tr>
        <w:trPr>
          <w:trHeight w:val="225"/>
        </w:trPr>
        <w:tc>
          <w:tcPr>
            <w:tcW w:w="5120"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67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lang w:eastAsia="en-GB"/>
              </w:rPr>
            </w:pPr>
            <w:r>
              <w:rPr>
                <w:rFonts w:eastAsia="Times New Roman"/>
                <w:b/>
                <w:bCs/>
                <w:noProof/>
                <w:lang w:eastAsia="en-GB"/>
              </w:rPr>
              <w:t>2013</w:t>
            </w:r>
          </w:p>
        </w:tc>
        <w:tc>
          <w:tcPr>
            <w:tcW w:w="67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lang w:eastAsia="en-GB"/>
              </w:rPr>
            </w:pPr>
            <w:r>
              <w:rPr>
                <w:rFonts w:eastAsia="Times New Roman"/>
                <w:b/>
                <w:bCs/>
                <w:noProof/>
                <w:lang w:eastAsia="en-GB"/>
              </w:rPr>
              <w:t>2014</w:t>
            </w:r>
          </w:p>
        </w:tc>
        <w:tc>
          <w:tcPr>
            <w:tcW w:w="67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lang w:eastAsia="en-GB"/>
              </w:rPr>
            </w:pPr>
            <w:r>
              <w:rPr>
                <w:rFonts w:eastAsia="Times New Roman"/>
                <w:b/>
                <w:bCs/>
                <w:noProof/>
                <w:lang w:eastAsia="en-GB"/>
              </w:rPr>
              <w:t>2015</w:t>
            </w:r>
          </w:p>
        </w:tc>
        <w:tc>
          <w:tcPr>
            <w:tcW w:w="67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lang w:eastAsia="en-GB"/>
              </w:rPr>
            </w:pPr>
            <w:r>
              <w:rPr>
                <w:rFonts w:eastAsia="Times New Roman"/>
                <w:b/>
                <w:bCs/>
                <w:noProof/>
                <w:lang w:eastAsia="en-GB"/>
              </w:rPr>
              <w:t>2016</w:t>
            </w:r>
          </w:p>
        </w:tc>
        <w:tc>
          <w:tcPr>
            <w:tcW w:w="759"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lang w:eastAsia="en-GB"/>
              </w:rPr>
            </w:pPr>
            <w:r>
              <w:rPr>
                <w:rFonts w:eastAsia="Times New Roman"/>
                <w:b/>
                <w:bCs/>
                <w:noProof/>
                <w:lang w:eastAsia="en-GB"/>
              </w:rPr>
              <w:t>2017</w:t>
            </w:r>
          </w:p>
        </w:tc>
      </w:tr>
      <w:tr>
        <w:trPr>
          <w:trHeight w:val="225"/>
        </w:trPr>
        <w:tc>
          <w:tcPr>
            <w:tcW w:w="512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Imports</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577</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1.171</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1.361</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1.346</w:t>
            </w:r>
          </w:p>
        </w:tc>
        <w:tc>
          <w:tcPr>
            <w:tcW w:w="759"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568</w:t>
            </w:r>
          </w:p>
        </w:tc>
      </w:tr>
      <w:tr>
        <w:trPr>
          <w:trHeight w:val="225"/>
        </w:trPr>
        <w:tc>
          <w:tcPr>
            <w:tcW w:w="512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Exports</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992</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1.541</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2.004</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1.866</w:t>
            </w:r>
          </w:p>
        </w:tc>
        <w:tc>
          <w:tcPr>
            <w:tcW w:w="759"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1.022</w:t>
            </w:r>
          </w:p>
        </w:tc>
      </w:tr>
      <w:tr>
        <w:trPr>
          <w:trHeight w:val="225"/>
        </w:trPr>
        <w:tc>
          <w:tcPr>
            <w:tcW w:w="512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Balance</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415</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370</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643</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521</w:t>
            </w:r>
          </w:p>
        </w:tc>
        <w:tc>
          <w:tcPr>
            <w:tcW w:w="759"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454</w:t>
            </w:r>
          </w:p>
        </w:tc>
      </w:tr>
      <w:tr>
        <w:trPr>
          <w:trHeight w:val="225"/>
        </w:trPr>
        <w:tc>
          <w:tcPr>
            <w:tcW w:w="5120" w:type="dxa"/>
            <w:tcBorders>
              <w:top w:val="nil"/>
              <w:left w:val="nil"/>
              <w:bottom w:val="single" w:sz="4" w:space="0" w:color="auto"/>
              <w:right w:val="nil"/>
            </w:tcBorders>
            <w:shd w:val="clear" w:color="000000" w:fill="FFFFFF"/>
            <w:noWrap/>
            <w:vAlign w:val="bottom"/>
            <w:hideMark/>
          </w:tcPr>
          <w:p>
            <w:pPr>
              <w:rPr>
                <w:rFonts w:eastAsia="Times New Roman"/>
                <w:noProof/>
                <w:lang w:eastAsia="en-GB"/>
              </w:rPr>
            </w:pPr>
            <w:r>
              <w:rPr>
                <w:rFonts w:eastAsia="Times New Roman"/>
                <w:noProof/>
                <w:lang w:eastAsia="en-GB"/>
              </w:rPr>
              <w:t>Total trade</w:t>
            </w:r>
          </w:p>
        </w:tc>
        <w:tc>
          <w:tcPr>
            <w:tcW w:w="670" w:type="dxa"/>
            <w:tcBorders>
              <w:top w:val="nil"/>
              <w:left w:val="nil"/>
              <w:bottom w:val="single" w:sz="4" w:space="0" w:color="auto"/>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1.568</w:t>
            </w:r>
          </w:p>
        </w:tc>
        <w:tc>
          <w:tcPr>
            <w:tcW w:w="670" w:type="dxa"/>
            <w:tcBorders>
              <w:top w:val="nil"/>
              <w:left w:val="nil"/>
              <w:bottom w:val="single" w:sz="4" w:space="0" w:color="auto"/>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2.712</w:t>
            </w:r>
          </w:p>
        </w:tc>
        <w:tc>
          <w:tcPr>
            <w:tcW w:w="670" w:type="dxa"/>
            <w:tcBorders>
              <w:top w:val="nil"/>
              <w:left w:val="nil"/>
              <w:bottom w:val="single" w:sz="4" w:space="0" w:color="auto"/>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3.365</w:t>
            </w:r>
          </w:p>
        </w:tc>
        <w:tc>
          <w:tcPr>
            <w:tcW w:w="670" w:type="dxa"/>
            <w:tcBorders>
              <w:top w:val="nil"/>
              <w:left w:val="nil"/>
              <w:bottom w:val="single" w:sz="4" w:space="0" w:color="auto"/>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3.212</w:t>
            </w:r>
          </w:p>
        </w:tc>
        <w:tc>
          <w:tcPr>
            <w:tcW w:w="759" w:type="dxa"/>
            <w:tcBorders>
              <w:top w:val="nil"/>
              <w:left w:val="nil"/>
              <w:bottom w:val="single" w:sz="4" w:space="0" w:color="auto"/>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1.590</w:t>
            </w:r>
          </w:p>
        </w:tc>
      </w:tr>
      <w:tr>
        <w:trPr>
          <w:trHeight w:val="225"/>
        </w:trPr>
        <w:tc>
          <w:tcPr>
            <w:tcW w:w="5120" w:type="dxa"/>
            <w:tcBorders>
              <w:top w:val="nil"/>
              <w:left w:val="nil"/>
              <w:bottom w:val="nil"/>
              <w:right w:val="nil"/>
            </w:tcBorders>
            <w:shd w:val="clear" w:color="000000" w:fill="FFFFFF"/>
            <w:noWrap/>
            <w:hideMark/>
          </w:tcPr>
          <w:p>
            <w:pPr>
              <w:rPr>
                <w:rFonts w:eastAsia="Times New Roman"/>
                <w:noProof/>
                <w:lang w:eastAsia="en-GB"/>
              </w:rPr>
            </w:pPr>
            <w:r>
              <w:rPr>
                <w:rFonts w:eastAsia="Times New Roman"/>
                <w:noProof/>
                <w:lang w:eastAsia="en-GB"/>
              </w:rPr>
              <w:t>Source Trade G2 Statistics/ISDB from Eurostat BOP statistics</w:t>
            </w:r>
          </w:p>
        </w:tc>
        <w:tc>
          <w:tcPr>
            <w:tcW w:w="670" w:type="dxa"/>
            <w:tcBorders>
              <w:top w:val="nil"/>
              <w:left w:val="nil"/>
              <w:bottom w:val="nil"/>
              <w:right w:val="nil"/>
            </w:tcBorders>
            <w:shd w:val="clear" w:color="000000" w:fill="FFFFFF"/>
            <w:noWrap/>
            <w:hideMark/>
          </w:tcPr>
          <w:p>
            <w:pPr>
              <w:rPr>
                <w:rFonts w:eastAsia="Times New Roman"/>
                <w:noProof/>
                <w:lang w:eastAsia="en-GB"/>
              </w:rPr>
            </w:pPr>
            <w:r>
              <w:rPr>
                <w:rFonts w:eastAsia="Times New Roman"/>
                <w:noProof/>
                <w:lang w:eastAsia="en-GB"/>
              </w:rPr>
              <w:t> </w:t>
            </w:r>
          </w:p>
        </w:tc>
        <w:tc>
          <w:tcPr>
            <w:tcW w:w="67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67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67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759"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r>
      <w:tr>
        <w:trPr>
          <w:trHeight w:val="225"/>
        </w:trPr>
        <w:tc>
          <w:tcPr>
            <w:tcW w:w="8559" w:type="dxa"/>
            <w:gridSpan w:val="6"/>
            <w:tcBorders>
              <w:top w:val="nil"/>
              <w:left w:val="nil"/>
              <w:bottom w:val="nil"/>
              <w:right w:val="nil"/>
            </w:tcBorders>
            <w:shd w:val="clear" w:color="000000" w:fill="FFFFFF"/>
            <w:noWrap/>
            <w:vAlign w:val="center"/>
            <w:hideMark/>
          </w:tcPr>
          <w:p>
            <w:pPr>
              <w:jc w:val="center"/>
              <w:rPr>
                <w:rFonts w:eastAsia="Times New Roman"/>
                <w:b/>
                <w:bCs/>
                <w:noProof/>
                <w:lang w:eastAsia="en-GB"/>
              </w:rPr>
            </w:pPr>
            <w:r>
              <w:rPr>
                <w:rFonts w:eastAsia="Times New Roman"/>
                <w:b/>
                <w:bCs/>
                <w:noProof/>
                <w:lang w:eastAsia="en-GB"/>
              </w:rPr>
              <w:t>Foreign Direct Investment (FDI) EU28 with Ghana (mio €)</w:t>
            </w:r>
          </w:p>
        </w:tc>
      </w:tr>
      <w:tr>
        <w:trPr>
          <w:trHeight w:val="225"/>
        </w:trPr>
        <w:tc>
          <w:tcPr>
            <w:tcW w:w="5120"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lang w:eastAsia="en-GB"/>
              </w:rPr>
            </w:pPr>
            <w:r>
              <w:rPr>
                <w:rFonts w:eastAsia="Times New Roman"/>
                <w:noProof/>
                <w:lang w:eastAsia="en-GB"/>
              </w:rPr>
              <w:t> </w:t>
            </w:r>
          </w:p>
        </w:tc>
        <w:tc>
          <w:tcPr>
            <w:tcW w:w="670"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lang w:eastAsia="en-GB"/>
              </w:rPr>
            </w:pPr>
            <w:r>
              <w:rPr>
                <w:rFonts w:eastAsia="Times New Roman"/>
                <w:b/>
                <w:bCs/>
                <w:noProof/>
                <w:lang w:eastAsia="en-GB"/>
              </w:rPr>
              <w:t>2013</w:t>
            </w:r>
          </w:p>
        </w:tc>
        <w:tc>
          <w:tcPr>
            <w:tcW w:w="67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lang w:eastAsia="en-GB"/>
              </w:rPr>
            </w:pPr>
            <w:r>
              <w:rPr>
                <w:rFonts w:eastAsia="Times New Roman"/>
                <w:b/>
                <w:bCs/>
                <w:noProof/>
                <w:lang w:eastAsia="en-GB"/>
              </w:rPr>
              <w:t>2014</w:t>
            </w:r>
          </w:p>
        </w:tc>
        <w:tc>
          <w:tcPr>
            <w:tcW w:w="67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lang w:eastAsia="en-GB"/>
              </w:rPr>
            </w:pPr>
            <w:r>
              <w:rPr>
                <w:rFonts w:eastAsia="Times New Roman"/>
                <w:b/>
                <w:bCs/>
                <w:noProof/>
                <w:lang w:eastAsia="en-GB"/>
              </w:rPr>
              <w:t>2015</w:t>
            </w:r>
          </w:p>
        </w:tc>
        <w:tc>
          <w:tcPr>
            <w:tcW w:w="670"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lang w:eastAsia="en-GB"/>
              </w:rPr>
            </w:pPr>
            <w:r>
              <w:rPr>
                <w:rFonts w:eastAsia="Times New Roman"/>
                <w:b/>
                <w:bCs/>
                <w:noProof/>
                <w:lang w:eastAsia="en-GB"/>
              </w:rPr>
              <w:t>2016</w:t>
            </w:r>
          </w:p>
        </w:tc>
        <w:tc>
          <w:tcPr>
            <w:tcW w:w="759"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lang w:eastAsia="en-GB"/>
              </w:rPr>
            </w:pPr>
            <w:r>
              <w:rPr>
                <w:rFonts w:eastAsia="Times New Roman"/>
                <w:b/>
                <w:bCs/>
                <w:noProof/>
                <w:lang w:eastAsia="en-GB"/>
              </w:rPr>
              <w:t>2017</w:t>
            </w:r>
          </w:p>
        </w:tc>
      </w:tr>
      <w:tr>
        <w:trPr>
          <w:trHeight w:val="225"/>
        </w:trPr>
        <w:tc>
          <w:tcPr>
            <w:tcW w:w="8559" w:type="dxa"/>
            <w:gridSpan w:val="6"/>
            <w:tcBorders>
              <w:top w:val="nil"/>
              <w:left w:val="nil"/>
              <w:bottom w:val="nil"/>
              <w:right w:val="nil"/>
            </w:tcBorders>
            <w:shd w:val="clear" w:color="000000" w:fill="FFFFFF"/>
            <w:noWrap/>
            <w:vAlign w:val="center"/>
            <w:hideMark/>
          </w:tcPr>
          <w:p>
            <w:pPr>
              <w:jc w:val="center"/>
              <w:rPr>
                <w:rFonts w:eastAsia="Times New Roman"/>
                <w:b/>
                <w:bCs/>
                <w:i/>
                <w:iCs/>
                <w:noProof/>
                <w:lang w:eastAsia="en-GB"/>
              </w:rPr>
            </w:pPr>
            <w:r>
              <w:rPr>
                <w:rFonts w:eastAsia="Times New Roman"/>
                <w:b/>
                <w:bCs/>
                <w:i/>
                <w:iCs/>
                <w:noProof/>
                <w:lang w:eastAsia="en-GB"/>
              </w:rPr>
              <w:t>FDI Stocks</w:t>
            </w:r>
          </w:p>
        </w:tc>
      </w:tr>
      <w:tr>
        <w:trPr>
          <w:trHeight w:val="225"/>
        </w:trPr>
        <w:tc>
          <w:tcPr>
            <w:tcW w:w="512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Inward</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-426</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-567</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-1.074</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-639</w:t>
            </w:r>
          </w:p>
        </w:tc>
        <w:tc>
          <w:tcPr>
            <w:tcW w:w="759"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-924</w:t>
            </w:r>
          </w:p>
        </w:tc>
      </w:tr>
      <w:tr>
        <w:trPr>
          <w:trHeight w:val="225"/>
        </w:trPr>
        <w:tc>
          <w:tcPr>
            <w:tcW w:w="5120" w:type="dxa"/>
            <w:tcBorders>
              <w:top w:val="nil"/>
              <w:left w:val="nil"/>
              <w:bottom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Outward</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1.999</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2.665</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4.855</w:t>
            </w:r>
          </w:p>
        </w:tc>
        <w:tc>
          <w:tcPr>
            <w:tcW w:w="670"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2.536</w:t>
            </w:r>
          </w:p>
        </w:tc>
        <w:tc>
          <w:tcPr>
            <w:tcW w:w="759" w:type="dxa"/>
            <w:tcBorders>
              <w:top w:val="nil"/>
              <w:left w:val="nil"/>
              <w:bottom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1.709</w:t>
            </w:r>
          </w:p>
        </w:tc>
      </w:tr>
      <w:tr>
        <w:trPr>
          <w:trHeight w:val="225"/>
        </w:trPr>
        <w:tc>
          <w:tcPr>
            <w:tcW w:w="8559" w:type="dxa"/>
            <w:gridSpan w:val="6"/>
            <w:tcBorders>
              <w:top w:val="nil"/>
              <w:left w:val="nil"/>
              <w:bottom w:val="nil"/>
              <w:right w:val="nil"/>
            </w:tcBorders>
            <w:shd w:val="clear" w:color="000000" w:fill="FFFFFF"/>
            <w:noWrap/>
            <w:vAlign w:val="center"/>
            <w:hideMark/>
          </w:tcPr>
          <w:p>
            <w:pPr>
              <w:jc w:val="center"/>
              <w:rPr>
                <w:rFonts w:eastAsia="Times New Roman"/>
                <w:b/>
                <w:bCs/>
                <w:i/>
                <w:iCs/>
                <w:noProof/>
                <w:lang w:eastAsia="en-GB"/>
              </w:rPr>
            </w:pPr>
            <w:r>
              <w:rPr>
                <w:rFonts w:eastAsia="Times New Roman"/>
                <w:b/>
                <w:bCs/>
                <w:i/>
                <w:iCs/>
                <w:noProof/>
                <w:lang w:eastAsia="en-GB"/>
              </w:rPr>
              <w:t>FDI Flows</w:t>
            </w:r>
          </w:p>
        </w:tc>
      </w:tr>
      <w:tr>
        <w:trPr>
          <w:trHeight w:val="225"/>
        </w:trPr>
        <w:tc>
          <w:tcPr>
            <w:tcW w:w="5120" w:type="dxa"/>
            <w:tcBorders>
              <w:top w:val="nil"/>
              <w:left w:val="nil"/>
              <w:right w:val="nil"/>
            </w:tcBorders>
            <w:shd w:val="clear" w:color="000000" w:fill="FFFFFF"/>
            <w:noWrap/>
            <w:vAlign w:val="bottom"/>
            <w:hideMark/>
          </w:tcPr>
          <w:p>
            <w:pPr>
              <w:rPr>
                <w:rFonts w:eastAsia="Times New Roman"/>
                <w:noProof/>
                <w:lang w:eastAsia="en-GB"/>
              </w:rPr>
            </w:pPr>
            <w:r>
              <w:rPr>
                <w:rFonts w:eastAsia="Times New Roman"/>
                <w:noProof/>
                <w:lang w:eastAsia="en-GB"/>
              </w:rPr>
              <w:t>Inward</w:t>
            </w:r>
          </w:p>
        </w:tc>
        <w:tc>
          <w:tcPr>
            <w:tcW w:w="670" w:type="dxa"/>
            <w:tcBorders>
              <w:top w:val="nil"/>
              <w:left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-62</w:t>
            </w:r>
          </w:p>
        </w:tc>
        <w:tc>
          <w:tcPr>
            <w:tcW w:w="670" w:type="dxa"/>
            <w:tcBorders>
              <w:top w:val="nil"/>
              <w:left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-41</w:t>
            </w:r>
          </w:p>
        </w:tc>
        <w:tc>
          <w:tcPr>
            <w:tcW w:w="670" w:type="dxa"/>
            <w:tcBorders>
              <w:top w:val="nil"/>
              <w:left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-424</w:t>
            </w:r>
          </w:p>
        </w:tc>
        <w:tc>
          <w:tcPr>
            <w:tcW w:w="670" w:type="dxa"/>
            <w:tcBorders>
              <w:top w:val="nil"/>
              <w:left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-291</w:t>
            </w:r>
          </w:p>
        </w:tc>
        <w:tc>
          <w:tcPr>
            <w:tcW w:w="759" w:type="dxa"/>
            <w:tcBorders>
              <w:top w:val="nil"/>
              <w:left w:val="nil"/>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-605</w:t>
            </w:r>
          </w:p>
        </w:tc>
      </w:tr>
      <w:tr>
        <w:trPr>
          <w:trHeight w:val="225"/>
        </w:trPr>
        <w:tc>
          <w:tcPr>
            <w:tcW w:w="5120" w:type="dxa"/>
            <w:tcBorders>
              <w:top w:val="nil"/>
              <w:left w:val="nil"/>
              <w:bottom w:val="single" w:sz="4" w:space="0" w:color="auto"/>
              <w:right w:val="nil"/>
            </w:tcBorders>
            <w:shd w:val="clear" w:color="000000" w:fill="FFFFFF"/>
            <w:noWrap/>
            <w:vAlign w:val="bottom"/>
            <w:hideMark/>
          </w:tcPr>
          <w:p>
            <w:pPr>
              <w:rPr>
                <w:rFonts w:eastAsia="Times New Roman"/>
                <w:noProof/>
                <w:lang w:eastAsia="en-GB"/>
              </w:rPr>
            </w:pPr>
            <w:r>
              <w:rPr>
                <w:rFonts w:eastAsia="Times New Roman"/>
                <w:noProof/>
                <w:lang w:eastAsia="en-GB"/>
              </w:rPr>
              <w:t>Outward</w:t>
            </w:r>
          </w:p>
        </w:tc>
        <w:tc>
          <w:tcPr>
            <w:tcW w:w="670" w:type="dxa"/>
            <w:tcBorders>
              <w:top w:val="nil"/>
              <w:left w:val="nil"/>
              <w:bottom w:val="single" w:sz="4" w:space="0" w:color="auto"/>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837</w:t>
            </w:r>
          </w:p>
        </w:tc>
        <w:tc>
          <w:tcPr>
            <w:tcW w:w="670" w:type="dxa"/>
            <w:tcBorders>
              <w:top w:val="nil"/>
              <w:left w:val="nil"/>
              <w:bottom w:val="single" w:sz="4" w:space="0" w:color="auto"/>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69</w:t>
            </w:r>
          </w:p>
        </w:tc>
        <w:tc>
          <w:tcPr>
            <w:tcW w:w="670" w:type="dxa"/>
            <w:tcBorders>
              <w:top w:val="nil"/>
              <w:left w:val="nil"/>
              <w:bottom w:val="single" w:sz="4" w:space="0" w:color="auto"/>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335</w:t>
            </w:r>
          </w:p>
        </w:tc>
        <w:tc>
          <w:tcPr>
            <w:tcW w:w="670" w:type="dxa"/>
            <w:tcBorders>
              <w:top w:val="nil"/>
              <w:left w:val="nil"/>
              <w:bottom w:val="single" w:sz="4" w:space="0" w:color="auto"/>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201</w:t>
            </w:r>
          </w:p>
        </w:tc>
        <w:tc>
          <w:tcPr>
            <w:tcW w:w="759" w:type="dxa"/>
            <w:tcBorders>
              <w:top w:val="nil"/>
              <w:left w:val="nil"/>
              <w:bottom w:val="single" w:sz="4" w:space="0" w:color="auto"/>
              <w:right w:val="nil"/>
            </w:tcBorders>
            <w:shd w:val="clear" w:color="000000" w:fill="FFFFFF"/>
            <w:noWrap/>
            <w:vAlign w:val="bottom"/>
            <w:hideMark/>
          </w:tcPr>
          <w:p>
            <w:pPr>
              <w:jc w:val="right"/>
              <w:rPr>
                <w:rFonts w:eastAsia="Times New Roman"/>
                <w:noProof/>
                <w:lang w:eastAsia="en-GB"/>
              </w:rPr>
            </w:pPr>
            <w:r>
              <w:rPr>
                <w:rFonts w:eastAsia="Times New Roman"/>
                <w:noProof/>
                <w:lang w:eastAsia="en-GB"/>
              </w:rPr>
              <w:t>74</w:t>
            </w:r>
          </w:p>
        </w:tc>
      </w:tr>
    </w:tbl>
    <w:p>
      <w:pPr>
        <w:jc w:val="both"/>
        <w:rPr>
          <w:rFonts w:eastAsia="Times New Roman"/>
          <w:noProof/>
          <w:sz w:val="12"/>
          <w:szCs w:val="12"/>
          <w:lang w:eastAsia="en-GB"/>
        </w:rPr>
      </w:pPr>
      <w:r>
        <w:rPr>
          <w:rFonts w:eastAsia="Times New Roman"/>
          <w:noProof/>
          <w:sz w:val="12"/>
          <w:szCs w:val="12"/>
          <w:lang w:eastAsia="en-GB"/>
        </w:rPr>
        <w:t>Source Trade G2 Statistics/ISDB from Eurostat BOP statistics</w:t>
      </w:r>
    </w:p>
    <w:p>
      <w:pPr>
        <w:pStyle w:val="Text1"/>
        <w:spacing w:after="0"/>
        <w:ind w:left="0"/>
        <w:rPr>
          <w:noProof/>
        </w:rPr>
      </w:pPr>
    </w:p>
    <w:bookmarkStart w:id="4572" w:name="_Toc9008482"/>
    <w:bookmarkStart w:id="4573" w:name="_Toc9008885"/>
    <w:bookmarkStart w:id="4574" w:name="_Toc9348881"/>
    <w:p>
      <w:pPr>
        <w:pStyle w:val="ChapterHead"/>
        <w:spacing w:after="0"/>
        <w:jc w:val="both"/>
        <w:rPr>
          <w:noProof/>
          <w:sz w:val="22"/>
          <w:szCs w:val="22"/>
        </w:rPr>
      </w:pPr>
      <w:r>
        <w:rPr>
          <w:b/>
          <w:noProof/>
        </w:rPr>
        <w:fldChar w:fldCharType="begin"/>
      </w:r>
      <w:r>
        <w:rPr>
          <w:b/>
          <w:noProof/>
        </w:rPr>
        <w:instrText xml:space="preserve"> LINK Excel.Sheet.12 "\\\\net1.cec.eu.int\\TRADE\\Public\\Doc-DirD\\EPAs horizontal\\EPA Monitoring and Evaluation (M&amp;E)\\Annual FTA Implementation Report\\2018 FTA report\\data from G2\\2018 General Statistics.xlsx" "by partner!R4C1:R68C6" \a \f 4 \h  \* MERGEFORMAT </w:instrText>
      </w:r>
      <w:r>
        <w:rPr>
          <w:b/>
          <w:noProof/>
        </w:rPr>
        <w:fldChar w:fldCharType="separate"/>
      </w:r>
      <w:bookmarkStart w:id="4575" w:name="_1620476732"/>
      <w:bookmarkStart w:id="4576" w:name="_1620477195"/>
      <w:bookmarkStart w:id="4577" w:name="_1620478144"/>
      <w:bookmarkStart w:id="4578" w:name="_1620480432"/>
      <w:bookmarkStart w:id="4579" w:name="_1620477015"/>
      <w:bookmarkEnd w:id="4575"/>
      <w:bookmarkEnd w:id="4576"/>
      <w:bookmarkEnd w:id="4577"/>
      <w:bookmarkEnd w:id="4578"/>
      <w:bookmarkEnd w:id="4579"/>
    </w:p>
    <w:p>
      <w:pPr>
        <w:pStyle w:val="ChapterHead"/>
        <w:spacing w:after="0"/>
        <w:jc w:val="both"/>
        <w:rPr>
          <w:b/>
          <w:noProof/>
        </w:rPr>
      </w:pPr>
      <w:r>
        <w:rPr>
          <w:b/>
          <w:noProof/>
        </w:rPr>
        <w:fldChar w:fldCharType="end"/>
      </w:r>
      <w:r>
        <w:rPr>
          <w:b/>
          <w:noProof/>
        </w:rPr>
        <w:br w:type="page"/>
      </w:r>
    </w:p>
    <w:p>
      <w:pPr>
        <w:pStyle w:val="ChapterHead"/>
        <w:jc w:val="both"/>
        <w:rPr>
          <w:b/>
          <w:noProof/>
        </w:rPr>
      </w:pPr>
      <w:bookmarkStart w:id="4580" w:name="_Toc8833840"/>
      <w:bookmarkStart w:id="4581" w:name="_Toc8835667"/>
      <w:bookmarkStart w:id="4582" w:name="_Toc8834298"/>
      <w:bookmarkStart w:id="4583" w:name="_Toc8909759"/>
      <w:bookmarkStart w:id="4584" w:name="_Toc8910971"/>
      <w:bookmarkStart w:id="4585" w:name="_Toc8912008"/>
      <w:bookmarkStart w:id="4586" w:name="_Toc8974829"/>
      <w:bookmarkStart w:id="4587" w:name="_Toc9608349"/>
      <w:bookmarkStart w:id="4588" w:name="_Toc16000904"/>
      <w:r>
        <w:rPr>
          <w:b/>
          <w:noProof/>
        </w:rPr>
        <w:t>ANNUAL INFO SHEET ON THE IMPLEMENTATION OF THE ECONOMIC PARTNERSHIP AGREEMENT (EPA) BETWEEN THE EU AND CAMEROON</w:t>
      </w:r>
      <w:bookmarkEnd w:id="4572"/>
      <w:bookmarkEnd w:id="4573"/>
      <w:bookmarkEnd w:id="4574"/>
      <w:bookmarkEnd w:id="4580"/>
      <w:bookmarkEnd w:id="4581"/>
      <w:bookmarkEnd w:id="4582"/>
      <w:bookmarkEnd w:id="4583"/>
      <w:bookmarkEnd w:id="4584"/>
      <w:bookmarkEnd w:id="4585"/>
      <w:bookmarkEnd w:id="4586"/>
      <w:bookmarkEnd w:id="4587"/>
      <w:bookmarkEnd w:id="4588"/>
    </w:p>
    <w:p>
      <w:pPr>
        <w:pStyle w:val="ManualHeading1"/>
      </w:pPr>
      <w:bookmarkStart w:id="4589" w:name="_Toc16000905"/>
      <w:bookmarkStart w:id="4590" w:name="_Toc8833841"/>
      <w:bookmarkStart w:id="4591" w:name="_Toc8835668"/>
      <w:bookmarkStart w:id="4592" w:name="_Toc8834299"/>
      <w:bookmarkStart w:id="4593" w:name="_Toc8910972"/>
      <w:bookmarkStart w:id="4594" w:name="_Toc8912009"/>
      <w:bookmarkStart w:id="4595" w:name="_Toc8974830"/>
      <w:bookmarkStart w:id="4596" w:name="_Toc9008483"/>
      <w:bookmarkStart w:id="4597" w:name="_Toc9008886"/>
      <w:bookmarkStart w:id="4598" w:name="_Toc9348882"/>
      <w:bookmarkStart w:id="4599" w:name="_Toc9608350"/>
      <w:bookmarkStart w:id="4600" w:name="_Toc8909760"/>
      <w:r>
        <w:t>1.</w:t>
      </w:r>
      <w:r>
        <w:tab/>
        <w:t>Introduction</w:t>
      </w:r>
      <w:bookmarkEnd w:id="4589"/>
    </w:p>
    <w:bookmarkEnd w:id="4590"/>
    <w:bookmarkEnd w:id="4591"/>
    <w:bookmarkEnd w:id="4592"/>
    <w:bookmarkEnd w:id="4593"/>
    <w:bookmarkEnd w:id="4594"/>
    <w:bookmarkEnd w:id="4595"/>
    <w:bookmarkEnd w:id="4596"/>
    <w:bookmarkEnd w:id="4597"/>
    <w:bookmarkEnd w:id="4598"/>
    <w:bookmarkEnd w:id="4599"/>
    <w:bookmarkEnd w:id="4600"/>
    <w:p>
      <w:pPr>
        <w:jc w:val="both"/>
        <w:rPr>
          <w:noProof/>
        </w:rPr>
      </w:pPr>
      <w:r>
        <w:rPr>
          <w:noProof/>
        </w:rPr>
        <w:t>On 17 December 2007, Cameroon and the EU initialled a stepping-stone EPA. They signed it on 15 January 2009. The European Parliament approved this agreement on 13 June 2013 and the Parliament of Cameroon proceeded to its ratification on 22 July 2014. On 4 August 2014, the agreement entered into provisional application. This EPA is a regional agreement and is open to the accession of other Central African countries.</w:t>
      </w:r>
    </w:p>
    <w:p>
      <w:pPr>
        <w:jc w:val="both"/>
        <w:rPr>
          <w:noProof/>
        </w:rPr>
      </w:pPr>
    </w:p>
    <w:p>
      <w:pPr>
        <w:jc w:val="both"/>
        <w:rPr>
          <w:bCs/>
          <w:noProof/>
        </w:rPr>
      </w:pPr>
      <w:r>
        <w:rPr>
          <w:noProof/>
        </w:rPr>
        <w:t xml:space="preserve">In August 2016, Cameroon started reciprocating its preferential access to the EU. After 3 years, the liberalisation process has now reached cruising speed. </w:t>
      </w:r>
      <w:r>
        <w:rPr>
          <w:bCs/>
          <w:noProof/>
        </w:rPr>
        <w:t xml:space="preserve">Cameroon will liberalize 80% of imports from the EU over 15 years. Products under liberalization are mainly industrial machines (pumps, generators, turbines, etc.), electrical equipment (transformers, capacitors, resistors, etc.) and certain chemicals. These are mostly inputs used by Cameroon's industries which are not produced locally. Eliminating import duties will reduce the costs of inputs for local businesses and will also benefit consumers. </w:t>
      </w:r>
    </w:p>
    <w:p>
      <w:pPr>
        <w:jc w:val="both"/>
        <w:rPr>
          <w:bCs/>
          <w:noProof/>
        </w:rPr>
      </w:pPr>
    </w:p>
    <w:p>
      <w:pPr>
        <w:jc w:val="both"/>
        <w:rPr>
          <w:bCs/>
          <w:noProof/>
        </w:rPr>
      </w:pPr>
      <w:r>
        <w:rPr>
          <w:bCs/>
          <w:noProof/>
        </w:rPr>
        <w:t>Cameroon has excluded a number of agricultural and non-agricultural processed goods from liberalisation of EU imports, mainly to ensure the protection of certain sensitive agricultural markets and industries but also to maintain fiscal revenues. The excluded products include most types of meat, wines and spirits, malt, milk products, flour, certain vegetables, wood and wood products, used clothes and textiles, paintings, and used tyres.</w:t>
      </w:r>
    </w:p>
    <w:p>
      <w:pPr>
        <w:pStyle w:val="ManualHeading1"/>
      </w:pPr>
      <w:bookmarkStart w:id="4601" w:name="_Toc8833842"/>
      <w:bookmarkStart w:id="4602" w:name="_Toc8835669"/>
      <w:bookmarkStart w:id="4603" w:name="_Toc8834300"/>
      <w:bookmarkStart w:id="4604" w:name="_Toc8909761"/>
      <w:bookmarkStart w:id="4605" w:name="_Toc8910973"/>
      <w:bookmarkStart w:id="4606" w:name="_Toc8912010"/>
      <w:bookmarkStart w:id="4607" w:name="_Toc8974831"/>
      <w:bookmarkStart w:id="4608" w:name="_Toc9008484"/>
      <w:bookmarkStart w:id="4609" w:name="_Toc9008887"/>
      <w:bookmarkStart w:id="4610" w:name="_Toc9348883"/>
      <w:bookmarkStart w:id="4611" w:name="_Toc9608351"/>
      <w:bookmarkStart w:id="4612" w:name="_Toc16000906"/>
      <w:r>
        <w:t>2.</w:t>
      </w:r>
      <w:r>
        <w:tab/>
        <w:t>Evolution of trade</w:t>
      </w:r>
      <w:bookmarkEnd w:id="4601"/>
      <w:bookmarkEnd w:id="4602"/>
      <w:bookmarkEnd w:id="4603"/>
      <w:bookmarkEnd w:id="4604"/>
      <w:bookmarkEnd w:id="4605"/>
      <w:bookmarkEnd w:id="4606"/>
      <w:bookmarkEnd w:id="4607"/>
      <w:bookmarkEnd w:id="4608"/>
      <w:bookmarkEnd w:id="4609"/>
      <w:bookmarkEnd w:id="4610"/>
      <w:bookmarkEnd w:id="4611"/>
      <w:bookmarkEnd w:id="4612"/>
    </w:p>
    <w:p>
      <w:pPr>
        <w:pStyle w:val="Heading2"/>
        <w:ind w:left="0" w:firstLine="0"/>
      </w:pPr>
      <w:bookmarkStart w:id="4613" w:name="_Toc8833843"/>
      <w:bookmarkStart w:id="4614" w:name="_Toc8835670"/>
      <w:bookmarkStart w:id="4615" w:name="_Toc8834301"/>
      <w:bookmarkStart w:id="4616" w:name="_Toc8910974"/>
      <w:bookmarkStart w:id="4617" w:name="_Toc8912011"/>
      <w:bookmarkStart w:id="4618" w:name="_Toc8974832"/>
      <w:bookmarkStart w:id="4619" w:name="_Toc9008485"/>
      <w:bookmarkStart w:id="4620" w:name="_Toc9008888"/>
      <w:bookmarkStart w:id="4621" w:name="_Toc9348884"/>
      <w:bookmarkStart w:id="4622" w:name="_Toc9608352"/>
      <w:bookmarkStart w:id="4623" w:name="_Toc16000907"/>
      <w:r>
        <w:t xml:space="preserve">2.1 </w:t>
      </w:r>
      <w:bookmarkStart w:id="4624" w:name="_Toc8909762"/>
      <w:r>
        <w:t>Trade in goods</w:t>
      </w:r>
      <w:bookmarkEnd w:id="4613"/>
      <w:bookmarkEnd w:id="4614"/>
      <w:bookmarkEnd w:id="4615"/>
      <w:bookmarkEnd w:id="4616"/>
      <w:bookmarkEnd w:id="4617"/>
      <w:bookmarkEnd w:id="4618"/>
      <w:bookmarkEnd w:id="4619"/>
      <w:bookmarkEnd w:id="4620"/>
      <w:bookmarkEnd w:id="4621"/>
      <w:bookmarkEnd w:id="4622"/>
      <w:bookmarkEnd w:id="4624"/>
      <w:bookmarkEnd w:id="4623"/>
    </w:p>
    <w:p>
      <w:pPr>
        <w:jc w:val="both"/>
        <w:rPr>
          <w:noProof/>
          <w:lang w:val="en-US"/>
        </w:rPr>
      </w:pPr>
      <w:r>
        <w:rPr>
          <w:noProof/>
          <w:lang w:eastAsia="en-GB"/>
        </w:rPr>
        <w:drawing>
          <wp:anchor distT="0" distB="0" distL="114300" distR="114300" simplePos="0" relativeHeight="251661312" behindDoc="1" locked="0" layoutInCell="1" allowOverlap="1">
            <wp:simplePos x="0" y="0"/>
            <wp:positionH relativeFrom="column">
              <wp:posOffset>4611</wp:posOffset>
            </wp:positionH>
            <wp:positionV relativeFrom="paragraph">
              <wp:posOffset>718240</wp:posOffset>
            </wp:positionV>
            <wp:extent cx="3975100" cy="2456815"/>
            <wp:effectExtent l="0" t="0" r="6350" b="635"/>
            <wp:wrapTight wrapText="bothSides">
              <wp:wrapPolygon edited="0">
                <wp:start x="0" y="0"/>
                <wp:lineTo x="0" y="21438"/>
                <wp:lineTo x="21531" y="21438"/>
                <wp:lineTo x="2153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75100" cy="24568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t>The EU is by far the most important trade partner of Cameroon</w:t>
      </w:r>
      <w:r>
        <w:rPr>
          <w:noProof/>
        </w:rPr>
        <w:t>: 48</w:t>
      </w:r>
      <w:r>
        <w:rPr>
          <w:noProof/>
          <w:lang w:val="en-US"/>
        </w:rPr>
        <w:t>% of Cameroon's exports</w:t>
      </w:r>
      <w:r>
        <w:rPr>
          <w:noProof/>
        </w:rPr>
        <w:t xml:space="preserve"> go to the EU</w:t>
      </w:r>
      <w:r>
        <w:rPr>
          <w:noProof/>
          <w:lang w:val="en-US"/>
        </w:rPr>
        <w:t>, followed by China (19%), India (8%), as well as the Central African region (7%) and Nigeria (5%). In total 32% of Cameroon's imports</w:t>
      </w:r>
      <w:r>
        <w:rPr>
          <w:noProof/>
        </w:rPr>
        <w:t xml:space="preserve"> come from the EU (followed by China with 19%)</w:t>
      </w:r>
      <w:r>
        <w:rPr>
          <w:noProof/>
          <w:lang w:val="en-US"/>
        </w:rPr>
        <w:t xml:space="preserve">. </w:t>
      </w:r>
    </w:p>
    <w:p>
      <w:pPr>
        <w:jc w:val="both"/>
        <w:rPr>
          <w:noProof/>
          <w:lang w:val="en-US"/>
        </w:rPr>
      </w:pPr>
      <w:r>
        <w:rPr>
          <w:b/>
          <w:noProof/>
        </w:rPr>
        <w:t>Total trade with Cameroon</w:t>
      </w:r>
      <w:r>
        <w:rPr>
          <w:noProof/>
        </w:rPr>
        <w:t xml:space="preserve"> has been relatively stable over the last decade. In 2018, EU imports from Cameroon decreased by </w:t>
      </w:r>
      <w:bookmarkStart w:id="4625" w:name="_Hlk8315889"/>
      <w:r>
        <w:rPr>
          <w:noProof/>
        </w:rPr>
        <w:t>€</w:t>
      </w:r>
      <w:bookmarkEnd w:id="4625"/>
      <w:r>
        <w:rPr>
          <w:noProof/>
        </w:rPr>
        <w:t>146 million (-7.6%) to €1.8 billion, back to the level of 2016 after a spike in 2017. Exports from the EU to Cameroon increased by €106 million or 7.2% to €1.6 billion, recovering from a pronounced drop in 2017. The balance of trade is positive for Cameroon.</w:t>
      </w:r>
      <w:r>
        <w:rPr>
          <w:noProof/>
          <w:lang w:val="en-US"/>
        </w:rPr>
        <w:t xml:space="preserve"> All exports from Cameroon enter the EU duty free and quota free.</w:t>
      </w:r>
    </w:p>
    <w:p>
      <w:pPr>
        <w:jc w:val="both"/>
        <w:rPr>
          <w:noProof/>
        </w:rPr>
      </w:pPr>
    </w:p>
    <w:p>
      <w:pPr>
        <w:jc w:val="both"/>
        <w:rPr>
          <w:noProof/>
        </w:rPr>
      </w:pPr>
      <w:r>
        <w:rPr>
          <w:noProof/>
          <w:lang w:val="en-US"/>
        </w:rPr>
        <w:t xml:space="preserve">The decrease in </w:t>
      </w:r>
      <w:r>
        <w:rPr>
          <w:b/>
          <w:noProof/>
          <w:lang w:val="en-US"/>
        </w:rPr>
        <w:t>EU imports from Cameroon</w:t>
      </w:r>
      <w:r>
        <w:rPr>
          <w:noProof/>
          <w:lang w:val="en-US"/>
        </w:rPr>
        <w:t xml:space="preserve"> in 2018 can be attributed to a decrease in the value of imports of mineral fuels (-</w:t>
      </w:r>
      <w:r>
        <w:rPr>
          <w:noProof/>
        </w:rPr>
        <w:t xml:space="preserve">€63 million, -7.7%), cocoa beans (-€46 million, -15%), </w:t>
      </w:r>
      <w:r>
        <w:rPr>
          <w:noProof/>
          <w:lang w:val="en-US"/>
        </w:rPr>
        <w:t>bananas (-</w:t>
      </w:r>
      <w:r>
        <w:rPr>
          <w:noProof/>
        </w:rPr>
        <w:t>€41 million, -19%) and r</w:t>
      </w:r>
      <w:r>
        <w:rPr>
          <w:noProof/>
          <w:lang w:val="en-US"/>
        </w:rPr>
        <w:t>ubber (-</w:t>
      </w:r>
      <w:r>
        <w:rPr>
          <w:noProof/>
        </w:rPr>
        <w:t xml:space="preserve">€25 million, -50%). </w:t>
      </w:r>
    </w:p>
    <w:p>
      <w:pPr>
        <w:jc w:val="both"/>
        <w:rPr>
          <w:noProof/>
          <w:lang w:val="en-US"/>
        </w:rPr>
      </w:pPr>
    </w:p>
    <w:p>
      <w:pPr>
        <w:jc w:val="both"/>
        <w:rPr>
          <w:noProof/>
          <w:lang w:val="en-US"/>
        </w:rPr>
      </w:pPr>
      <w:r>
        <w:rPr>
          <w:noProof/>
          <w:lang w:val="en-US"/>
        </w:rPr>
        <w:t xml:space="preserve">On the other hand, EU imports of aluminum from Cameroon increased by </w:t>
      </w:r>
      <w:r>
        <w:rPr>
          <w:noProof/>
        </w:rPr>
        <w:t xml:space="preserve">€18 million (+15.5%). Similarly, imports of wood and wood articles increased by €15 million (+6%). While still fairly limited in value compared to imports of raw cocoa beans, EU imports of processed cocoa paste and cocoa butter, fat and oils from Cameroon amounted to €31 million (+10%) and 72 million (+27%), respectively. </w:t>
      </w:r>
      <w:r>
        <w:rPr>
          <w:noProof/>
          <w:lang w:val="en-US"/>
        </w:rPr>
        <w:t xml:space="preserve">Main destination for Cameroonian exports in the EU are France, Italy, the Netherlands and Spain. </w:t>
      </w:r>
    </w:p>
    <w:p>
      <w:pPr>
        <w:jc w:val="both"/>
        <w:rPr>
          <w:noProof/>
          <w:lang w:val="en-US"/>
        </w:rPr>
      </w:pPr>
    </w:p>
    <w:p>
      <w:pPr>
        <w:jc w:val="both"/>
        <w:rPr>
          <w:noProof/>
          <w:lang w:val="en-US"/>
        </w:rPr>
      </w:pPr>
      <w:r>
        <w:rPr>
          <w:noProof/>
          <w:lang w:val="en-US"/>
        </w:rPr>
        <w:t xml:space="preserve">Imports from Cameroon are still </w:t>
      </w:r>
      <w:r>
        <w:rPr>
          <w:b/>
          <w:noProof/>
          <w:lang w:val="en-US"/>
        </w:rPr>
        <w:t>little</w:t>
      </w:r>
      <w:r>
        <w:rPr>
          <w:noProof/>
          <w:lang w:val="en-US"/>
        </w:rPr>
        <w:t xml:space="preserve"> </w:t>
      </w:r>
      <w:r>
        <w:rPr>
          <w:b/>
          <w:noProof/>
          <w:lang w:val="en-US"/>
        </w:rPr>
        <w:t>diversified</w:t>
      </w:r>
      <w:r>
        <w:rPr>
          <w:noProof/>
          <w:lang w:val="en-US"/>
        </w:rPr>
        <w:t xml:space="preserve">. Main products </w:t>
      </w:r>
      <w:r>
        <w:rPr>
          <w:noProof/>
        </w:rPr>
        <w:t>exported</w:t>
      </w:r>
      <w:r>
        <w:rPr>
          <w:noProof/>
          <w:lang w:val="en-US"/>
        </w:rPr>
        <w:t xml:space="preserve"> from Cameroon </w:t>
      </w:r>
      <w:r>
        <w:rPr>
          <w:noProof/>
        </w:rPr>
        <w:t xml:space="preserve">to the EU </w:t>
      </w:r>
      <w:r>
        <w:rPr>
          <w:noProof/>
          <w:lang w:val="en-US"/>
        </w:rPr>
        <w:t xml:space="preserve">are oil </w:t>
      </w:r>
      <w:r>
        <w:rPr>
          <w:noProof/>
        </w:rPr>
        <w:t xml:space="preserve">and gas </w:t>
      </w:r>
      <w:r>
        <w:rPr>
          <w:noProof/>
          <w:lang w:val="en-US"/>
        </w:rPr>
        <w:t>(</w:t>
      </w:r>
      <w:r>
        <w:rPr>
          <w:noProof/>
        </w:rPr>
        <w:t>43</w:t>
      </w:r>
      <w:r>
        <w:rPr>
          <w:noProof/>
          <w:lang w:val="en-US"/>
        </w:rPr>
        <w:t>%</w:t>
      </w:r>
      <w:r>
        <w:rPr>
          <w:noProof/>
        </w:rPr>
        <w:t xml:space="preserve"> of total exports in value</w:t>
      </w:r>
      <w:r>
        <w:rPr>
          <w:noProof/>
          <w:lang w:val="en-US"/>
        </w:rPr>
        <w:t>), cocoa beans (</w:t>
      </w:r>
      <w:r>
        <w:rPr>
          <w:noProof/>
        </w:rPr>
        <w:t>15</w:t>
      </w:r>
      <w:r>
        <w:rPr>
          <w:noProof/>
          <w:lang w:val="en-US"/>
        </w:rPr>
        <w:t>%), wood (1</w:t>
      </w:r>
      <w:r>
        <w:rPr>
          <w:noProof/>
        </w:rPr>
        <w:t>2</w:t>
      </w:r>
      <w:r>
        <w:rPr>
          <w:noProof/>
          <w:lang w:val="en-US"/>
        </w:rPr>
        <w:t>%), bananas (1</w:t>
      </w:r>
      <w:r>
        <w:rPr>
          <w:noProof/>
        </w:rPr>
        <w:t>0</w:t>
      </w:r>
      <w:r>
        <w:rPr>
          <w:noProof/>
          <w:lang w:val="en-US"/>
        </w:rPr>
        <w:t>%) and aluminium (</w:t>
      </w:r>
      <w:r>
        <w:rPr>
          <w:noProof/>
        </w:rPr>
        <w:t>7</w:t>
      </w:r>
      <w:r>
        <w:rPr>
          <w:noProof/>
          <w:lang w:val="en-US"/>
        </w:rPr>
        <w:t xml:space="preserve">%) (Figures for 2018). The top 10 products accounted for 91.4% of total imports in 2018, almost the same figure as in 2008. The total number of products exported with an exporting value of at least €1 million was 29 in 2018 (32 in 2008), while the number of products exported valued at least €500,000 was 44 (42 in 2008). </w:t>
      </w:r>
    </w:p>
    <w:p>
      <w:pPr>
        <w:jc w:val="both"/>
        <w:rPr>
          <w:noProof/>
          <w:lang w:val="en-US"/>
        </w:rPr>
      </w:pPr>
    </w:p>
    <w:tbl>
      <w:tblPr>
        <w:tblStyle w:val="TableGrid"/>
        <w:tblW w:w="9735" w:type="dxa"/>
        <w:tblLook w:val="04A0" w:firstRow="1" w:lastRow="0" w:firstColumn="1" w:lastColumn="0" w:noHBand="0" w:noVBand="1"/>
      </w:tblPr>
      <w:tblGrid>
        <w:gridCol w:w="973"/>
        <w:gridCol w:w="1556"/>
        <w:gridCol w:w="1596"/>
        <w:gridCol w:w="769"/>
        <w:gridCol w:w="973"/>
        <w:gridCol w:w="1667"/>
        <w:gridCol w:w="1416"/>
        <w:gridCol w:w="785"/>
      </w:tblGrid>
      <w:tr>
        <w:trPr>
          <w:trHeight w:val="206"/>
        </w:trPr>
        <w:tc>
          <w:tcPr>
            <w:tcW w:w="4832" w:type="dxa"/>
            <w:gridSpan w:val="4"/>
            <w:tcBorders>
              <w:top w:val="nil"/>
              <w:left w:val="nil"/>
              <w:bottom w:val="double" w:sz="4" w:space="0" w:color="auto"/>
              <w:right w:val="nil"/>
            </w:tcBorders>
          </w:tcPr>
          <w:p>
            <w:pPr>
              <w:rPr>
                <w:b/>
                <w:noProof/>
                <w:sz w:val="18"/>
                <w:szCs w:val="18"/>
              </w:rPr>
            </w:pPr>
            <w:r>
              <w:rPr>
                <w:b/>
                <w:noProof/>
                <w:sz w:val="18"/>
                <w:szCs w:val="18"/>
              </w:rPr>
              <w:t xml:space="preserve">2018 top 10 EU imports from Cameroon </w:t>
            </w:r>
          </w:p>
        </w:tc>
        <w:tc>
          <w:tcPr>
            <w:tcW w:w="4903" w:type="dxa"/>
            <w:gridSpan w:val="4"/>
            <w:tcBorders>
              <w:top w:val="nil"/>
              <w:left w:val="nil"/>
              <w:bottom w:val="double" w:sz="4" w:space="0" w:color="auto"/>
              <w:right w:val="nil"/>
            </w:tcBorders>
          </w:tcPr>
          <w:p>
            <w:pPr>
              <w:rPr>
                <w:b/>
                <w:noProof/>
                <w:sz w:val="18"/>
                <w:szCs w:val="18"/>
              </w:rPr>
            </w:pPr>
            <w:r>
              <w:rPr>
                <w:b/>
                <w:noProof/>
                <w:sz w:val="18"/>
                <w:szCs w:val="18"/>
              </w:rPr>
              <w:t>2018 top 10 EU exports to Cameroon</w:t>
            </w:r>
          </w:p>
        </w:tc>
      </w:tr>
      <w:tr>
        <w:trPr>
          <w:trHeight w:val="182"/>
        </w:trPr>
        <w:tc>
          <w:tcPr>
            <w:tcW w:w="831" w:type="dxa"/>
            <w:tcBorders>
              <w:top w:val="double" w:sz="4" w:space="0" w:color="auto"/>
            </w:tcBorders>
          </w:tcPr>
          <w:p>
            <w:pPr>
              <w:rPr>
                <w:i/>
                <w:noProof/>
              </w:rPr>
            </w:pPr>
            <w:r>
              <w:rPr>
                <w:i/>
                <w:noProof/>
              </w:rPr>
              <w:t>Product</w:t>
            </w:r>
          </w:p>
        </w:tc>
        <w:tc>
          <w:tcPr>
            <w:tcW w:w="1992" w:type="dxa"/>
            <w:tcBorders>
              <w:top w:val="double" w:sz="4" w:space="0" w:color="auto"/>
            </w:tcBorders>
          </w:tcPr>
          <w:p>
            <w:pPr>
              <w:rPr>
                <w:i/>
                <w:noProof/>
              </w:rPr>
            </w:pPr>
            <w:r>
              <w:rPr>
                <w:i/>
                <w:noProof/>
              </w:rPr>
              <w:t>Description</w:t>
            </w:r>
          </w:p>
        </w:tc>
        <w:tc>
          <w:tcPr>
            <w:tcW w:w="1251" w:type="dxa"/>
            <w:tcBorders>
              <w:top w:val="double" w:sz="4" w:space="0" w:color="auto"/>
            </w:tcBorders>
          </w:tcPr>
          <w:p>
            <w:pPr>
              <w:rPr>
                <w:i/>
                <w:noProof/>
              </w:rPr>
            </w:pPr>
            <w:r>
              <w:rPr>
                <w:i/>
                <w:noProof/>
              </w:rPr>
              <w:t>Volume</w:t>
            </w:r>
          </w:p>
        </w:tc>
        <w:tc>
          <w:tcPr>
            <w:tcW w:w="758" w:type="dxa"/>
            <w:tcBorders>
              <w:top w:val="double" w:sz="4" w:space="0" w:color="auto"/>
              <w:right w:val="double" w:sz="4" w:space="0" w:color="auto"/>
            </w:tcBorders>
          </w:tcPr>
          <w:p>
            <w:pPr>
              <w:rPr>
                <w:i/>
                <w:noProof/>
              </w:rPr>
            </w:pPr>
            <w:r>
              <w:rPr>
                <w:i/>
                <w:noProof/>
              </w:rPr>
              <w:t>Share</w:t>
            </w:r>
          </w:p>
        </w:tc>
        <w:tc>
          <w:tcPr>
            <w:tcW w:w="869" w:type="dxa"/>
            <w:tcBorders>
              <w:top w:val="double" w:sz="4" w:space="0" w:color="auto"/>
              <w:left w:val="double" w:sz="4" w:space="0" w:color="auto"/>
            </w:tcBorders>
          </w:tcPr>
          <w:p>
            <w:pPr>
              <w:rPr>
                <w:i/>
                <w:noProof/>
              </w:rPr>
            </w:pPr>
            <w:r>
              <w:rPr>
                <w:i/>
                <w:noProof/>
              </w:rPr>
              <w:t>Product</w:t>
            </w:r>
          </w:p>
        </w:tc>
        <w:tc>
          <w:tcPr>
            <w:tcW w:w="2062" w:type="dxa"/>
            <w:tcBorders>
              <w:top w:val="double" w:sz="4" w:space="0" w:color="auto"/>
            </w:tcBorders>
          </w:tcPr>
          <w:p>
            <w:pPr>
              <w:rPr>
                <w:i/>
                <w:noProof/>
              </w:rPr>
            </w:pPr>
            <w:r>
              <w:rPr>
                <w:i/>
                <w:noProof/>
              </w:rPr>
              <w:t>Description</w:t>
            </w:r>
          </w:p>
        </w:tc>
        <w:tc>
          <w:tcPr>
            <w:tcW w:w="1148" w:type="dxa"/>
            <w:tcBorders>
              <w:top w:val="double" w:sz="4" w:space="0" w:color="auto"/>
            </w:tcBorders>
          </w:tcPr>
          <w:p>
            <w:pPr>
              <w:rPr>
                <w:i/>
                <w:noProof/>
              </w:rPr>
            </w:pPr>
            <w:r>
              <w:rPr>
                <w:i/>
                <w:noProof/>
              </w:rPr>
              <w:t>Volume</w:t>
            </w:r>
          </w:p>
        </w:tc>
        <w:tc>
          <w:tcPr>
            <w:tcW w:w="824" w:type="dxa"/>
            <w:tcBorders>
              <w:top w:val="double" w:sz="4" w:space="0" w:color="auto"/>
            </w:tcBorders>
          </w:tcPr>
          <w:p>
            <w:pPr>
              <w:rPr>
                <w:i/>
                <w:noProof/>
              </w:rPr>
            </w:pPr>
            <w:r>
              <w:rPr>
                <w:i/>
                <w:noProof/>
              </w:rPr>
              <w:t>Share</w:t>
            </w:r>
          </w:p>
        </w:tc>
      </w:tr>
      <w:tr>
        <w:trPr>
          <w:trHeight w:val="182"/>
        </w:trPr>
        <w:tc>
          <w:tcPr>
            <w:tcW w:w="831" w:type="dxa"/>
          </w:tcPr>
          <w:p>
            <w:pPr>
              <w:rPr>
                <w:noProof/>
              </w:rPr>
            </w:pPr>
            <w:r>
              <w:rPr>
                <w:rStyle w:val="Bodytext29pt"/>
                <w:rFonts w:ascii="Times New Roman" w:hAnsi="Times New Roman" w:cs="Times New Roman"/>
                <w:noProof/>
                <w:sz w:val="24"/>
                <w:szCs w:val="24"/>
              </w:rPr>
              <w:t>270900</w:t>
            </w:r>
          </w:p>
        </w:tc>
        <w:tc>
          <w:tcPr>
            <w:tcW w:w="1992" w:type="dxa"/>
          </w:tcPr>
          <w:p>
            <w:pPr>
              <w:rPr>
                <w:noProof/>
              </w:rPr>
            </w:pPr>
            <w:r>
              <w:rPr>
                <w:rStyle w:val="Bodytext29pt"/>
                <w:rFonts w:ascii="Times New Roman" w:hAnsi="Times New Roman" w:cs="Times New Roman"/>
                <w:noProof/>
                <w:sz w:val="24"/>
                <w:szCs w:val="24"/>
              </w:rPr>
              <w:t>Petroleum oils and oils obtained from bituminous minerals, crude</w:t>
            </w:r>
          </w:p>
        </w:tc>
        <w:tc>
          <w:tcPr>
            <w:tcW w:w="1251" w:type="dxa"/>
          </w:tcPr>
          <w:p>
            <w:pPr>
              <w:rPr>
                <w:noProof/>
              </w:rPr>
            </w:pPr>
            <w:r>
              <w:rPr>
                <w:rStyle w:val="Bodytext29pt"/>
                <w:rFonts w:ascii="Times New Roman" w:hAnsi="Times New Roman" w:cs="Times New Roman"/>
                <w:noProof/>
                <w:sz w:val="24"/>
                <w:szCs w:val="24"/>
              </w:rPr>
              <w:t>717,045,244</w:t>
            </w:r>
          </w:p>
        </w:tc>
        <w:tc>
          <w:tcPr>
            <w:tcW w:w="758" w:type="dxa"/>
            <w:tcBorders>
              <w:right w:val="double" w:sz="4" w:space="0" w:color="auto"/>
            </w:tcBorders>
          </w:tcPr>
          <w:p>
            <w:pPr>
              <w:rPr>
                <w:noProof/>
              </w:rPr>
            </w:pPr>
            <w:r>
              <w:rPr>
                <w:rStyle w:val="Bodytext29pt"/>
                <w:rFonts w:ascii="Times New Roman" w:hAnsi="Times New Roman" w:cs="Times New Roman"/>
                <w:noProof/>
                <w:sz w:val="24"/>
                <w:szCs w:val="24"/>
              </w:rPr>
              <w:t>40.3 %</w:t>
            </w:r>
          </w:p>
        </w:tc>
        <w:tc>
          <w:tcPr>
            <w:tcW w:w="869" w:type="dxa"/>
            <w:tcBorders>
              <w:left w:val="double" w:sz="4" w:space="0" w:color="auto"/>
            </w:tcBorders>
          </w:tcPr>
          <w:p>
            <w:pPr>
              <w:rPr>
                <w:noProof/>
              </w:rPr>
            </w:pPr>
            <w:r>
              <w:rPr>
                <w:rStyle w:val="Bodytext29pt"/>
                <w:rFonts w:ascii="Times New Roman" w:hAnsi="Times New Roman" w:cs="Times New Roman"/>
                <w:noProof/>
                <w:sz w:val="24"/>
                <w:szCs w:val="24"/>
              </w:rPr>
              <w:t>630900</w:t>
            </w:r>
          </w:p>
        </w:tc>
        <w:tc>
          <w:tcPr>
            <w:tcW w:w="2062" w:type="dxa"/>
          </w:tcPr>
          <w:p>
            <w:pPr>
              <w:rPr>
                <w:noProof/>
              </w:rPr>
            </w:pPr>
            <w:r>
              <w:rPr>
                <w:rStyle w:val="Bodytext29pt"/>
                <w:rFonts w:ascii="Times New Roman" w:hAnsi="Times New Roman" w:cs="Times New Roman"/>
                <w:noProof/>
                <w:sz w:val="24"/>
                <w:szCs w:val="24"/>
              </w:rPr>
              <w:t>Worn clothing and clothing accessories, showing signs of appreciable wear and presented in bulk (…)</w:t>
            </w:r>
          </w:p>
        </w:tc>
        <w:tc>
          <w:tcPr>
            <w:tcW w:w="1148" w:type="dxa"/>
          </w:tcPr>
          <w:p>
            <w:pPr>
              <w:rPr>
                <w:noProof/>
              </w:rPr>
            </w:pPr>
            <w:r>
              <w:rPr>
                <w:rStyle w:val="Bodytext29pt"/>
                <w:rFonts w:ascii="Times New Roman" w:hAnsi="Times New Roman" w:cs="Times New Roman"/>
                <w:noProof/>
                <w:sz w:val="24"/>
                <w:szCs w:val="24"/>
              </w:rPr>
              <w:t>70,644,051</w:t>
            </w:r>
          </w:p>
        </w:tc>
        <w:tc>
          <w:tcPr>
            <w:tcW w:w="824" w:type="dxa"/>
          </w:tcPr>
          <w:p>
            <w:pPr>
              <w:rPr>
                <w:noProof/>
              </w:rPr>
            </w:pPr>
            <w:r>
              <w:rPr>
                <w:rStyle w:val="Bodytext29pt"/>
                <w:rFonts w:ascii="Times New Roman" w:hAnsi="Times New Roman" w:cs="Times New Roman"/>
                <w:noProof/>
                <w:sz w:val="24"/>
                <w:szCs w:val="24"/>
              </w:rPr>
              <w:t>4.5 %</w:t>
            </w:r>
          </w:p>
        </w:tc>
      </w:tr>
      <w:tr>
        <w:trPr>
          <w:trHeight w:val="376"/>
        </w:trPr>
        <w:tc>
          <w:tcPr>
            <w:tcW w:w="831" w:type="dxa"/>
          </w:tcPr>
          <w:p>
            <w:pPr>
              <w:rPr>
                <w:noProof/>
              </w:rPr>
            </w:pPr>
            <w:r>
              <w:rPr>
                <w:rStyle w:val="Bodytext29pt"/>
                <w:rFonts w:ascii="Times New Roman" w:hAnsi="Times New Roman" w:cs="Times New Roman"/>
                <w:noProof/>
                <w:sz w:val="24"/>
                <w:szCs w:val="24"/>
              </w:rPr>
              <w:t>180100</w:t>
            </w:r>
          </w:p>
        </w:tc>
        <w:tc>
          <w:tcPr>
            <w:tcW w:w="1992" w:type="dxa"/>
          </w:tcPr>
          <w:p>
            <w:pPr>
              <w:rPr>
                <w:noProof/>
              </w:rPr>
            </w:pPr>
            <w:r>
              <w:rPr>
                <w:rStyle w:val="Bodytext29pt"/>
                <w:rFonts w:ascii="Times New Roman" w:hAnsi="Times New Roman" w:cs="Times New Roman"/>
                <w:noProof/>
                <w:sz w:val="24"/>
                <w:szCs w:val="24"/>
              </w:rPr>
              <w:t>Cocoa beans, whole or broken, raw or roasted</w:t>
            </w:r>
          </w:p>
        </w:tc>
        <w:tc>
          <w:tcPr>
            <w:tcW w:w="1251" w:type="dxa"/>
          </w:tcPr>
          <w:p>
            <w:pPr>
              <w:rPr>
                <w:noProof/>
              </w:rPr>
            </w:pPr>
            <w:r>
              <w:rPr>
                <w:rStyle w:val="Bodytext29pt"/>
                <w:rFonts w:ascii="Times New Roman" w:hAnsi="Times New Roman" w:cs="Times New Roman"/>
                <w:noProof/>
                <w:sz w:val="24"/>
                <w:szCs w:val="24"/>
              </w:rPr>
              <w:t>262,462,852</w:t>
            </w:r>
          </w:p>
        </w:tc>
        <w:tc>
          <w:tcPr>
            <w:tcW w:w="758" w:type="dxa"/>
            <w:tcBorders>
              <w:right w:val="double" w:sz="4" w:space="0" w:color="auto"/>
            </w:tcBorders>
          </w:tcPr>
          <w:p>
            <w:pPr>
              <w:rPr>
                <w:noProof/>
              </w:rPr>
            </w:pPr>
            <w:r>
              <w:rPr>
                <w:rStyle w:val="Bodytext29pt"/>
                <w:rFonts w:ascii="Times New Roman" w:hAnsi="Times New Roman" w:cs="Times New Roman"/>
                <w:noProof/>
                <w:sz w:val="24"/>
                <w:szCs w:val="24"/>
              </w:rPr>
              <w:t>14.8 %</w:t>
            </w:r>
          </w:p>
        </w:tc>
        <w:tc>
          <w:tcPr>
            <w:tcW w:w="869" w:type="dxa"/>
            <w:tcBorders>
              <w:left w:val="double" w:sz="4" w:space="0" w:color="auto"/>
            </w:tcBorders>
          </w:tcPr>
          <w:p>
            <w:pPr>
              <w:rPr>
                <w:noProof/>
              </w:rPr>
            </w:pPr>
            <w:r>
              <w:rPr>
                <w:rStyle w:val="Bodytext29pt"/>
                <w:rFonts w:ascii="Times New Roman" w:hAnsi="Times New Roman" w:cs="Times New Roman"/>
                <w:noProof/>
                <w:sz w:val="24"/>
                <w:szCs w:val="24"/>
              </w:rPr>
              <w:t>300490</w:t>
            </w:r>
          </w:p>
        </w:tc>
        <w:tc>
          <w:tcPr>
            <w:tcW w:w="2062" w:type="dxa"/>
          </w:tcPr>
          <w:p>
            <w:pPr>
              <w:rPr>
                <w:noProof/>
              </w:rPr>
            </w:pPr>
            <w:r>
              <w:rPr>
                <w:rStyle w:val="Bodytext29pt"/>
                <w:rFonts w:ascii="Times New Roman" w:hAnsi="Times New Roman" w:cs="Times New Roman"/>
                <w:noProof/>
                <w:sz w:val="24"/>
                <w:szCs w:val="24"/>
              </w:rPr>
              <w:t>Medicaments (…)</w:t>
            </w:r>
          </w:p>
        </w:tc>
        <w:tc>
          <w:tcPr>
            <w:tcW w:w="1148" w:type="dxa"/>
          </w:tcPr>
          <w:p>
            <w:pPr>
              <w:rPr>
                <w:noProof/>
              </w:rPr>
            </w:pPr>
            <w:r>
              <w:rPr>
                <w:rStyle w:val="Bodytext29pt"/>
                <w:rFonts w:ascii="Times New Roman" w:hAnsi="Times New Roman" w:cs="Times New Roman"/>
                <w:noProof/>
                <w:sz w:val="24"/>
                <w:szCs w:val="24"/>
              </w:rPr>
              <w:t>65,669,391</w:t>
            </w:r>
          </w:p>
        </w:tc>
        <w:tc>
          <w:tcPr>
            <w:tcW w:w="824" w:type="dxa"/>
          </w:tcPr>
          <w:p>
            <w:pPr>
              <w:rPr>
                <w:noProof/>
              </w:rPr>
            </w:pPr>
            <w:r>
              <w:rPr>
                <w:rStyle w:val="Bodytext29pt"/>
                <w:rFonts w:ascii="Times New Roman" w:hAnsi="Times New Roman" w:cs="Times New Roman"/>
                <w:noProof/>
                <w:sz w:val="24"/>
                <w:szCs w:val="24"/>
              </w:rPr>
              <w:t>4.2 %</w:t>
            </w:r>
          </w:p>
        </w:tc>
      </w:tr>
      <w:tr>
        <w:trPr>
          <w:trHeight w:val="365"/>
        </w:trPr>
        <w:tc>
          <w:tcPr>
            <w:tcW w:w="831" w:type="dxa"/>
          </w:tcPr>
          <w:p>
            <w:pPr>
              <w:rPr>
                <w:noProof/>
              </w:rPr>
            </w:pPr>
            <w:r>
              <w:rPr>
                <w:rStyle w:val="Bodytext29pt"/>
                <w:rFonts w:ascii="Times New Roman" w:hAnsi="Times New Roman" w:cs="Times New Roman"/>
                <w:noProof/>
                <w:sz w:val="24"/>
                <w:szCs w:val="24"/>
              </w:rPr>
              <w:t>080390</w:t>
            </w:r>
          </w:p>
        </w:tc>
        <w:tc>
          <w:tcPr>
            <w:tcW w:w="1992" w:type="dxa"/>
          </w:tcPr>
          <w:p>
            <w:pPr>
              <w:rPr>
                <w:noProof/>
              </w:rPr>
            </w:pPr>
            <w:r>
              <w:rPr>
                <w:rStyle w:val="Bodytext29pt"/>
                <w:rFonts w:ascii="Times New Roman" w:hAnsi="Times New Roman" w:cs="Times New Roman"/>
                <w:noProof/>
                <w:sz w:val="24"/>
                <w:szCs w:val="24"/>
              </w:rPr>
              <w:t>Fresh or dried bananas (excl. plantains)</w:t>
            </w:r>
          </w:p>
        </w:tc>
        <w:tc>
          <w:tcPr>
            <w:tcW w:w="1251" w:type="dxa"/>
          </w:tcPr>
          <w:p>
            <w:pPr>
              <w:rPr>
                <w:noProof/>
              </w:rPr>
            </w:pPr>
            <w:r>
              <w:rPr>
                <w:rStyle w:val="Bodytext29pt"/>
                <w:rFonts w:ascii="Times New Roman" w:hAnsi="Times New Roman" w:cs="Times New Roman"/>
                <w:noProof/>
                <w:sz w:val="24"/>
                <w:szCs w:val="24"/>
              </w:rPr>
              <w:t>175,086,969</w:t>
            </w:r>
          </w:p>
        </w:tc>
        <w:tc>
          <w:tcPr>
            <w:tcW w:w="758" w:type="dxa"/>
            <w:tcBorders>
              <w:right w:val="double" w:sz="4" w:space="0" w:color="auto"/>
            </w:tcBorders>
          </w:tcPr>
          <w:p>
            <w:pPr>
              <w:rPr>
                <w:noProof/>
              </w:rPr>
            </w:pPr>
            <w:r>
              <w:rPr>
                <w:rStyle w:val="Bodytext29pt"/>
                <w:rFonts w:ascii="Times New Roman" w:hAnsi="Times New Roman" w:cs="Times New Roman"/>
                <w:noProof/>
                <w:sz w:val="24"/>
                <w:szCs w:val="24"/>
              </w:rPr>
              <w:t>9.8 %</w:t>
            </w:r>
          </w:p>
        </w:tc>
        <w:tc>
          <w:tcPr>
            <w:tcW w:w="869" w:type="dxa"/>
            <w:tcBorders>
              <w:left w:val="double" w:sz="4" w:space="0" w:color="auto"/>
            </w:tcBorders>
          </w:tcPr>
          <w:p>
            <w:pPr>
              <w:rPr>
                <w:noProof/>
              </w:rPr>
            </w:pPr>
            <w:r>
              <w:rPr>
                <w:rStyle w:val="Bodytext29pt"/>
                <w:rFonts w:ascii="Times New Roman" w:hAnsi="Times New Roman" w:cs="Times New Roman"/>
                <w:noProof/>
                <w:sz w:val="24"/>
                <w:szCs w:val="24"/>
              </w:rPr>
              <w:t>271012</w:t>
            </w:r>
          </w:p>
        </w:tc>
        <w:tc>
          <w:tcPr>
            <w:tcW w:w="2062" w:type="dxa"/>
          </w:tcPr>
          <w:p>
            <w:pPr>
              <w:rPr>
                <w:noProof/>
              </w:rPr>
            </w:pPr>
            <w:r>
              <w:rPr>
                <w:rStyle w:val="Bodytext29pt"/>
                <w:rFonts w:ascii="Times New Roman" w:hAnsi="Times New Roman" w:cs="Times New Roman"/>
                <w:noProof/>
                <w:sz w:val="24"/>
                <w:szCs w:val="24"/>
              </w:rPr>
              <w:t>Light oils, of petroleum (…)</w:t>
            </w:r>
          </w:p>
        </w:tc>
        <w:tc>
          <w:tcPr>
            <w:tcW w:w="1148" w:type="dxa"/>
          </w:tcPr>
          <w:p>
            <w:pPr>
              <w:rPr>
                <w:noProof/>
              </w:rPr>
            </w:pPr>
            <w:r>
              <w:rPr>
                <w:rStyle w:val="Bodytext29pt"/>
                <w:rFonts w:ascii="Times New Roman" w:hAnsi="Times New Roman" w:cs="Times New Roman"/>
                <w:noProof/>
                <w:sz w:val="24"/>
                <w:szCs w:val="24"/>
              </w:rPr>
              <w:t>61,976,452</w:t>
            </w:r>
          </w:p>
        </w:tc>
        <w:tc>
          <w:tcPr>
            <w:tcW w:w="824" w:type="dxa"/>
          </w:tcPr>
          <w:p>
            <w:pPr>
              <w:rPr>
                <w:noProof/>
              </w:rPr>
            </w:pPr>
            <w:r>
              <w:rPr>
                <w:rStyle w:val="Bodytext29pt"/>
                <w:rFonts w:ascii="Times New Roman" w:hAnsi="Times New Roman" w:cs="Times New Roman"/>
                <w:noProof/>
                <w:sz w:val="24"/>
                <w:szCs w:val="24"/>
              </w:rPr>
              <w:t>3.9 %</w:t>
            </w:r>
          </w:p>
        </w:tc>
      </w:tr>
      <w:tr>
        <w:trPr>
          <w:trHeight w:val="365"/>
        </w:trPr>
        <w:tc>
          <w:tcPr>
            <w:tcW w:w="831" w:type="dxa"/>
          </w:tcPr>
          <w:p>
            <w:pPr>
              <w:rPr>
                <w:noProof/>
              </w:rPr>
            </w:pPr>
            <w:r>
              <w:rPr>
                <w:rStyle w:val="Bodytext29pt"/>
                <w:rFonts w:ascii="Times New Roman" w:hAnsi="Times New Roman" w:cs="Times New Roman"/>
                <w:noProof/>
                <w:sz w:val="24"/>
                <w:szCs w:val="24"/>
              </w:rPr>
              <w:t>440729</w:t>
            </w:r>
          </w:p>
        </w:tc>
        <w:tc>
          <w:tcPr>
            <w:tcW w:w="1992" w:type="dxa"/>
          </w:tcPr>
          <w:p>
            <w:pPr>
              <w:rPr>
                <w:noProof/>
              </w:rPr>
            </w:pPr>
            <w:r>
              <w:rPr>
                <w:rStyle w:val="Bodytext29pt"/>
                <w:rFonts w:ascii="Times New Roman" w:hAnsi="Times New Roman" w:cs="Times New Roman"/>
                <w:noProof/>
                <w:sz w:val="24"/>
                <w:szCs w:val="24"/>
              </w:rPr>
              <w:t>Tropical wood, sawn or chipped lengthwise, sliced or peeled (…)</w:t>
            </w:r>
          </w:p>
        </w:tc>
        <w:tc>
          <w:tcPr>
            <w:tcW w:w="1251" w:type="dxa"/>
          </w:tcPr>
          <w:p>
            <w:pPr>
              <w:rPr>
                <w:noProof/>
              </w:rPr>
            </w:pPr>
            <w:r>
              <w:rPr>
                <w:rStyle w:val="Bodytext29pt"/>
                <w:rFonts w:ascii="Times New Roman" w:hAnsi="Times New Roman" w:cs="Times New Roman"/>
                <w:noProof/>
                <w:sz w:val="24"/>
                <w:szCs w:val="24"/>
              </w:rPr>
              <w:t>122,580,425</w:t>
            </w:r>
          </w:p>
        </w:tc>
        <w:tc>
          <w:tcPr>
            <w:tcW w:w="758" w:type="dxa"/>
            <w:tcBorders>
              <w:right w:val="double" w:sz="4" w:space="0" w:color="auto"/>
            </w:tcBorders>
          </w:tcPr>
          <w:p>
            <w:pPr>
              <w:rPr>
                <w:noProof/>
              </w:rPr>
            </w:pPr>
            <w:r>
              <w:rPr>
                <w:rStyle w:val="Bodytext29pt"/>
                <w:rFonts w:ascii="Times New Roman" w:hAnsi="Times New Roman" w:cs="Times New Roman"/>
                <w:noProof/>
                <w:sz w:val="24"/>
                <w:szCs w:val="24"/>
              </w:rPr>
              <w:t>6.9 %</w:t>
            </w:r>
          </w:p>
        </w:tc>
        <w:tc>
          <w:tcPr>
            <w:tcW w:w="869" w:type="dxa"/>
            <w:tcBorders>
              <w:left w:val="double" w:sz="4" w:space="0" w:color="auto"/>
            </w:tcBorders>
          </w:tcPr>
          <w:p>
            <w:pPr>
              <w:rPr>
                <w:noProof/>
              </w:rPr>
            </w:pPr>
            <w:r>
              <w:rPr>
                <w:rStyle w:val="Bodytext29pt"/>
                <w:rFonts w:ascii="Times New Roman" w:hAnsi="Times New Roman" w:cs="Times New Roman"/>
                <w:noProof/>
                <w:sz w:val="24"/>
                <w:szCs w:val="24"/>
              </w:rPr>
              <w:t>730890</w:t>
            </w:r>
          </w:p>
        </w:tc>
        <w:tc>
          <w:tcPr>
            <w:tcW w:w="2062" w:type="dxa"/>
          </w:tcPr>
          <w:p>
            <w:pPr>
              <w:rPr>
                <w:noProof/>
              </w:rPr>
            </w:pPr>
            <w:r>
              <w:rPr>
                <w:rStyle w:val="Bodytext29pt"/>
                <w:rFonts w:ascii="Times New Roman" w:hAnsi="Times New Roman" w:cs="Times New Roman"/>
                <w:noProof/>
                <w:sz w:val="24"/>
                <w:szCs w:val="24"/>
              </w:rPr>
              <w:t>Structures and parts of structures, of iron or steel, n.e.s. (…)</w:t>
            </w:r>
          </w:p>
        </w:tc>
        <w:tc>
          <w:tcPr>
            <w:tcW w:w="1148" w:type="dxa"/>
          </w:tcPr>
          <w:p>
            <w:pPr>
              <w:rPr>
                <w:noProof/>
              </w:rPr>
            </w:pPr>
            <w:r>
              <w:rPr>
                <w:rStyle w:val="Bodytext29pt"/>
                <w:rFonts w:ascii="Times New Roman" w:hAnsi="Times New Roman" w:cs="Times New Roman"/>
                <w:noProof/>
                <w:sz w:val="24"/>
                <w:szCs w:val="24"/>
              </w:rPr>
              <w:t>49,996,245</w:t>
            </w:r>
          </w:p>
        </w:tc>
        <w:tc>
          <w:tcPr>
            <w:tcW w:w="824" w:type="dxa"/>
          </w:tcPr>
          <w:p>
            <w:pPr>
              <w:rPr>
                <w:noProof/>
              </w:rPr>
            </w:pPr>
            <w:r>
              <w:rPr>
                <w:rStyle w:val="Bodytext29pt"/>
                <w:rFonts w:ascii="Times New Roman" w:hAnsi="Times New Roman" w:cs="Times New Roman"/>
                <w:noProof/>
                <w:sz w:val="24"/>
                <w:szCs w:val="24"/>
              </w:rPr>
              <w:t>3.2 %</w:t>
            </w:r>
          </w:p>
        </w:tc>
      </w:tr>
      <w:tr>
        <w:trPr>
          <w:trHeight w:val="365"/>
        </w:trPr>
        <w:tc>
          <w:tcPr>
            <w:tcW w:w="831" w:type="dxa"/>
          </w:tcPr>
          <w:p>
            <w:pPr>
              <w:rPr>
                <w:noProof/>
              </w:rPr>
            </w:pPr>
            <w:r>
              <w:rPr>
                <w:rStyle w:val="Bodytext29pt"/>
                <w:rFonts w:ascii="Times New Roman" w:hAnsi="Times New Roman" w:cs="Times New Roman"/>
                <w:noProof/>
                <w:sz w:val="24"/>
                <w:szCs w:val="24"/>
              </w:rPr>
              <w:t>760110</w:t>
            </w:r>
          </w:p>
        </w:tc>
        <w:tc>
          <w:tcPr>
            <w:tcW w:w="1992" w:type="dxa"/>
          </w:tcPr>
          <w:p>
            <w:pPr>
              <w:rPr>
                <w:noProof/>
              </w:rPr>
            </w:pPr>
            <w:r>
              <w:rPr>
                <w:rStyle w:val="Bodytext29pt"/>
                <w:rFonts w:ascii="Times New Roman" w:hAnsi="Times New Roman" w:cs="Times New Roman"/>
                <w:noProof/>
                <w:sz w:val="24"/>
                <w:szCs w:val="24"/>
              </w:rPr>
              <w:t>Aluminium, not alloyed, unwrought</w:t>
            </w:r>
          </w:p>
        </w:tc>
        <w:tc>
          <w:tcPr>
            <w:tcW w:w="1251" w:type="dxa"/>
          </w:tcPr>
          <w:p>
            <w:pPr>
              <w:rPr>
                <w:noProof/>
              </w:rPr>
            </w:pPr>
            <w:r>
              <w:rPr>
                <w:rStyle w:val="Bodytext29pt"/>
                <w:rFonts w:ascii="Times New Roman" w:hAnsi="Times New Roman" w:cs="Times New Roman"/>
                <w:noProof/>
                <w:sz w:val="24"/>
                <w:szCs w:val="24"/>
              </w:rPr>
              <w:t>120,386,985</w:t>
            </w:r>
          </w:p>
        </w:tc>
        <w:tc>
          <w:tcPr>
            <w:tcW w:w="758" w:type="dxa"/>
            <w:tcBorders>
              <w:right w:val="double" w:sz="4" w:space="0" w:color="auto"/>
            </w:tcBorders>
          </w:tcPr>
          <w:p>
            <w:pPr>
              <w:rPr>
                <w:noProof/>
              </w:rPr>
            </w:pPr>
            <w:r>
              <w:rPr>
                <w:rStyle w:val="Bodytext29pt"/>
                <w:rFonts w:ascii="Times New Roman" w:hAnsi="Times New Roman" w:cs="Times New Roman"/>
                <w:noProof/>
                <w:sz w:val="24"/>
                <w:szCs w:val="24"/>
              </w:rPr>
              <w:t>6.8 %</w:t>
            </w:r>
          </w:p>
        </w:tc>
        <w:tc>
          <w:tcPr>
            <w:tcW w:w="869" w:type="dxa"/>
            <w:tcBorders>
              <w:left w:val="double" w:sz="4" w:space="0" w:color="auto"/>
            </w:tcBorders>
          </w:tcPr>
          <w:p>
            <w:pPr>
              <w:rPr>
                <w:noProof/>
              </w:rPr>
            </w:pPr>
            <w:r>
              <w:rPr>
                <w:rStyle w:val="Bodytext29pt"/>
                <w:rFonts w:ascii="Times New Roman" w:hAnsi="Times New Roman" w:cs="Times New Roman"/>
                <w:noProof/>
                <w:sz w:val="24"/>
                <w:szCs w:val="24"/>
              </w:rPr>
              <w:t>252310</w:t>
            </w:r>
          </w:p>
        </w:tc>
        <w:tc>
          <w:tcPr>
            <w:tcW w:w="2062" w:type="dxa"/>
          </w:tcPr>
          <w:p>
            <w:pPr>
              <w:rPr>
                <w:noProof/>
              </w:rPr>
            </w:pPr>
            <w:r>
              <w:rPr>
                <w:rStyle w:val="Bodytext29pt"/>
                <w:rFonts w:ascii="Times New Roman" w:hAnsi="Times New Roman" w:cs="Times New Roman"/>
                <w:noProof/>
                <w:sz w:val="24"/>
                <w:szCs w:val="24"/>
              </w:rPr>
              <w:t>Cement clinkers</w:t>
            </w:r>
          </w:p>
        </w:tc>
        <w:tc>
          <w:tcPr>
            <w:tcW w:w="1148" w:type="dxa"/>
          </w:tcPr>
          <w:p>
            <w:pPr>
              <w:rPr>
                <w:noProof/>
              </w:rPr>
            </w:pPr>
            <w:r>
              <w:rPr>
                <w:rStyle w:val="Bodytext29pt"/>
                <w:rFonts w:ascii="Times New Roman" w:hAnsi="Times New Roman" w:cs="Times New Roman"/>
                <w:noProof/>
                <w:sz w:val="24"/>
                <w:szCs w:val="24"/>
              </w:rPr>
              <w:t>33,464,651</w:t>
            </w:r>
          </w:p>
        </w:tc>
        <w:tc>
          <w:tcPr>
            <w:tcW w:w="824" w:type="dxa"/>
          </w:tcPr>
          <w:p>
            <w:pPr>
              <w:rPr>
                <w:noProof/>
              </w:rPr>
            </w:pPr>
            <w:r>
              <w:rPr>
                <w:rStyle w:val="Bodytext29pt"/>
                <w:rFonts w:ascii="Times New Roman" w:hAnsi="Times New Roman" w:cs="Times New Roman"/>
                <w:noProof/>
                <w:sz w:val="24"/>
                <w:szCs w:val="24"/>
              </w:rPr>
              <w:t>2.1 %</w:t>
            </w:r>
          </w:p>
        </w:tc>
      </w:tr>
      <w:tr>
        <w:trPr>
          <w:trHeight w:val="745"/>
        </w:trPr>
        <w:tc>
          <w:tcPr>
            <w:tcW w:w="831" w:type="dxa"/>
          </w:tcPr>
          <w:p>
            <w:pPr>
              <w:rPr>
                <w:noProof/>
              </w:rPr>
            </w:pPr>
            <w:r>
              <w:rPr>
                <w:rStyle w:val="Bodytext29pt"/>
                <w:rFonts w:ascii="Times New Roman" w:hAnsi="Times New Roman" w:cs="Times New Roman"/>
                <w:noProof/>
                <w:sz w:val="24"/>
                <w:szCs w:val="24"/>
              </w:rPr>
              <w:t>180400</w:t>
            </w:r>
          </w:p>
        </w:tc>
        <w:tc>
          <w:tcPr>
            <w:tcW w:w="1992" w:type="dxa"/>
          </w:tcPr>
          <w:p>
            <w:pPr>
              <w:rPr>
                <w:noProof/>
              </w:rPr>
            </w:pPr>
            <w:r>
              <w:rPr>
                <w:rStyle w:val="Bodytext29pt"/>
                <w:rFonts w:ascii="Times New Roman" w:hAnsi="Times New Roman" w:cs="Times New Roman"/>
                <w:noProof/>
                <w:sz w:val="24"/>
                <w:szCs w:val="24"/>
              </w:rPr>
              <w:t>Cocoa butter, fat and oil</w:t>
            </w:r>
          </w:p>
        </w:tc>
        <w:tc>
          <w:tcPr>
            <w:tcW w:w="1251" w:type="dxa"/>
          </w:tcPr>
          <w:p>
            <w:pPr>
              <w:rPr>
                <w:noProof/>
              </w:rPr>
            </w:pPr>
            <w:r>
              <w:rPr>
                <w:rStyle w:val="Bodytext29pt"/>
                <w:rFonts w:ascii="Times New Roman" w:hAnsi="Times New Roman" w:cs="Times New Roman"/>
                <w:noProof/>
                <w:sz w:val="24"/>
                <w:szCs w:val="24"/>
              </w:rPr>
              <w:t>71,687,151</w:t>
            </w:r>
          </w:p>
        </w:tc>
        <w:tc>
          <w:tcPr>
            <w:tcW w:w="758" w:type="dxa"/>
            <w:tcBorders>
              <w:right w:val="double" w:sz="4" w:space="0" w:color="auto"/>
            </w:tcBorders>
          </w:tcPr>
          <w:p>
            <w:pPr>
              <w:rPr>
                <w:noProof/>
              </w:rPr>
            </w:pPr>
            <w:r>
              <w:rPr>
                <w:rStyle w:val="Bodytext29pt"/>
                <w:rFonts w:ascii="Times New Roman" w:hAnsi="Times New Roman" w:cs="Times New Roman"/>
                <w:noProof/>
                <w:sz w:val="24"/>
                <w:szCs w:val="24"/>
              </w:rPr>
              <w:t>4 %</w:t>
            </w:r>
          </w:p>
        </w:tc>
        <w:tc>
          <w:tcPr>
            <w:tcW w:w="869" w:type="dxa"/>
            <w:tcBorders>
              <w:left w:val="double" w:sz="4" w:space="0" w:color="auto"/>
            </w:tcBorders>
          </w:tcPr>
          <w:p>
            <w:pPr>
              <w:rPr>
                <w:noProof/>
              </w:rPr>
            </w:pPr>
            <w:r>
              <w:rPr>
                <w:rStyle w:val="Bodytext29pt"/>
                <w:rFonts w:ascii="Times New Roman" w:hAnsi="Times New Roman" w:cs="Times New Roman"/>
                <w:noProof/>
                <w:sz w:val="24"/>
                <w:szCs w:val="24"/>
              </w:rPr>
              <w:t>870323</w:t>
            </w:r>
          </w:p>
        </w:tc>
        <w:tc>
          <w:tcPr>
            <w:tcW w:w="2062" w:type="dxa"/>
          </w:tcPr>
          <w:p>
            <w:pPr>
              <w:rPr>
                <w:noProof/>
              </w:rPr>
            </w:pPr>
            <w:r>
              <w:rPr>
                <w:rStyle w:val="Bodytext29pt"/>
                <w:rFonts w:ascii="Times New Roman" w:hAnsi="Times New Roman" w:cs="Times New Roman"/>
                <w:noProof/>
                <w:sz w:val="24"/>
                <w:szCs w:val="24"/>
              </w:rPr>
              <w:t>Motor cars / vehicles principally designed for the transport of &lt;10 persons (…)</w:t>
            </w:r>
          </w:p>
        </w:tc>
        <w:tc>
          <w:tcPr>
            <w:tcW w:w="1148" w:type="dxa"/>
          </w:tcPr>
          <w:p>
            <w:pPr>
              <w:rPr>
                <w:noProof/>
              </w:rPr>
            </w:pPr>
            <w:r>
              <w:rPr>
                <w:rStyle w:val="Bodytext29pt"/>
                <w:rFonts w:ascii="Times New Roman" w:hAnsi="Times New Roman" w:cs="Times New Roman"/>
                <w:noProof/>
                <w:sz w:val="24"/>
                <w:szCs w:val="24"/>
              </w:rPr>
              <w:t>33,419,018</w:t>
            </w:r>
          </w:p>
        </w:tc>
        <w:tc>
          <w:tcPr>
            <w:tcW w:w="824" w:type="dxa"/>
          </w:tcPr>
          <w:p>
            <w:pPr>
              <w:rPr>
                <w:noProof/>
              </w:rPr>
            </w:pPr>
            <w:r>
              <w:rPr>
                <w:rStyle w:val="Bodytext29pt"/>
                <w:rFonts w:ascii="Times New Roman" w:hAnsi="Times New Roman" w:cs="Times New Roman"/>
                <w:noProof/>
                <w:sz w:val="24"/>
                <w:szCs w:val="24"/>
                <w:lang w:val="bg-BG" w:eastAsia="bg-BG" w:bidi="bg-BG"/>
              </w:rPr>
              <w:t xml:space="preserve">2.1 </w:t>
            </w:r>
            <w:r>
              <w:rPr>
                <w:rStyle w:val="Bodytext29pt"/>
                <w:rFonts w:ascii="Times New Roman" w:hAnsi="Times New Roman" w:cs="Times New Roman"/>
                <w:noProof/>
                <w:sz w:val="24"/>
                <w:szCs w:val="24"/>
              </w:rPr>
              <w:t>%</w:t>
            </w:r>
          </w:p>
        </w:tc>
      </w:tr>
      <w:tr>
        <w:trPr>
          <w:trHeight w:val="559"/>
        </w:trPr>
        <w:tc>
          <w:tcPr>
            <w:tcW w:w="831" w:type="dxa"/>
          </w:tcPr>
          <w:p>
            <w:pPr>
              <w:rPr>
                <w:noProof/>
              </w:rPr>
            </w:pPr>
            <w:r>
              <w:rPr>
                <w:rStyle w:val="Bodytext29pt"/>
                <w:rFonts w:ascii="Times New Roman" w:hAnsi="Times New Roman" w:cs="Times New Roman"/>
                <w:noProof/>
                <w:sz w:val="24"/>
                <w:szCs w:val="24"/>
              </w:rPr>
              <w:t>440727</w:t>
            </w:r>
          </w:p>
        </w:tc>
        <w:tc>
          <w:tcPr>
            <w:tcW w:w="1992" w:type="dxa"/>
          </w:tcPr>
          <w:p>
            <w:pPr>
              <w:rPr>
                <w:noProof/>
              </w:rPr>
            </w:pPr>
            <w:r>
              <w:rPr>
                <w:rStyle w:val="Bodytext29pt"/>
                <w:rFonts w:ascii="Times New Roman" w:hAnsi="Times New Roman" w:cs="Times New Roman"/>
                <w:noProof/>
                <w:sz w:val="24"/>
                <w:szCs w:val="24"/>
              </w:rPr>
              <w:t>Sapelli, sawn or chipped lengthwise, sliced or peeled (…)</w:t>
            </w:r>
          </w:p>
        </w:tc>
        <w:tc>
          <w:tcPr>
            <w:tcW w:w="1251" w:type="dxa"/>
          </w:tcPr>
          <w:p>
            <w:pPr>
              <w:rPr>
                <w:noProof/>
              </w:rPr>
            </w:pPr>
            <w:r>
              <w:rPr>
                <w:rStyle w:val="Bodytext29pt"/>
                <w:rFonts w:ascii="Times New Roman" w:hAnsi="Times New Roman" w:cs="Times New Roman"/>
                <w:noProof/>
                <w:sz w:val="24"/>
                <w:szCs w:val="24"/>
              </w:rPr>
              <w:t>53,178,607</w:t>
            </w:r>
          </w:p>
        </w:tc>
        <w:tc>
          <w:tcPr>
            <w:tcW w:w="758" w:type="dxa"/>
            <w:tcBorders>
              <w:right w:val="double" w:sz="4" w:space="0" w:color="auto"/>
            </w:tcBorders>
          </w:tcPr>
          <w:p>
            <w:pPr>
              <w:rPr>
                <w:noProof/>
              </w:rPr>
            </w:pPr>
            <w:r>
              <w:rPr>
                <w:rStyle w:val="Bodytext29pt"/>
                <w:rFonts w:ascii="Times New Roman" w:hAnsi="Times New Roman" w:cs="Times New Roman"/>
                <w:noProof/>
                <w:sz w:val="24"/>
                <w:szCs w:val="24"/>
              </w:rPr>
              <w:t>3 %</w:t>
            </w:r>
          </w:p>
        </w:tc>
        <w:tc>
          <w:tcPr>
            <w:tcW w:w="869" w:type="dxa"/>
            <w:tcBorders>
              <w:left w:val="double" w:sz="4" w:space="0" w:color="auto"/>
            </w:tcBorders>
          </w:tcPr>
          <w:p>
            <w:pPr>
              <w:rPr>
                <w:noProof/>
              </w:rPr>
            </w:pPr>
            <w:r>
              <w:rPr>
                <w:rStyle w:val="Bodytext29pt"/>
                <w:rFonts w:ascii="Times New Roman" w:hAnsi="Times New Roman" w:cs="Times New Roman"/>
                <w:noProof/>
                <w:sz w:val="24"/>
                <w:szCs w:val="24"/>
              </w:rPr>
              <w:t>870422</w:t>
            </w:r>
          </w:p>
        </w:tc>
        <w:tc>
          <w:tcPr>
            <w:tcW w:w="2062" w:type="dxa"/>
          </w:tcPr>
          <w:p>
            <w:pPr>
              <w:rPr>
                <w:noProof/>
              </w:rPr>
            </w:pPr>
            <w:r>
              <w:rPr>
                <w:rStyle w:val="Bodytext29pt"/>
                <w:rFonts w:ascii="Times New Roman" w:hAnsi="Times New Roman" w:cs="Times New Roman"/>
                <w:noProof/>
                <w:sz w:val="24"/>
                <w:szCs w:val="24"/>
              </w:rPr>
              <w:t>Motor vehicles for the transport of goods (…)</w:t>
            </w:r>
          </w:p>
        </w:tc>
        <w:tc>
          <w:tcPr>
            <w:tcW w:w="1148" w:type="dxa"/>
          </w:tcPr>
          <w:p>
            <w:pPr>
              <w:rPr>
                <w:noProof/>
              </w:rPr>
            </w:pPr>
            <w:r>
              <w:rPr>
                <w:rStyle w:val="Bodytext29pt"/>
                <w:rFonts w:ascii="Times New Roman" w:hAnsi="Times New Roman" w:cs="Times New Roman"/>
                <w:noProof/>
                <w:sz w:val="24"/>
                <w:szCs w:val="24"/>
              </w:rPr>
              <w:t>30,543,146</w:t>
            </w:r>
          </w:p>
        </w:tc>
        <w:tc>
          <w:tcPr>
            <w:tcW w:w="824" w:type="dxa"/>
          </w:tcPr>
          <w:p>
            <w:pPr>
              <w:rPr>
                <w:noProof/>
              </w:rPr>
            </w:pPr>
            <w:r>
              <w:rPr>
                <w:rStyle w:val="Bodytext29pt"/>
                <w:rFonts w:ascii="Times New Roman" w:hAnsi="Times New Roman" w:cs="Times New Roman"/>
                <w:noProof/>
                <w:sz w:val="24"/>
                <w:szCs w:val="24"/>
                <w:lang w:val="bg-BG" w:eastAsia="bg-BG" w:bidi="bg-BG"/>
              </w:rPr>
              <w:t xml:space="preserve">1.9 </w:t>
            </w:r>
            <w:r>
              <w:rPr>
                <w:rStyle w:val="Bodytext29pt"/>
                <w:rFonts w:ascii="Times New Roman" w:hAnsi="Times New Roman" w:cs="Times New Roman"/>
                <w:noProof/>
                <w:sz w:val="24"/>
                <w:szCs w:val="24"/>
              </w:rPr>
              <w:t>%</w:t>
            </w:r>
          </w:p>
        </w:tc>
      </w:tr>
      <w:tr>
        <w:trPr>
          <w:trHeight w:val="540"/>
        </w:trPr>
        <w:tc>
          <w:tcPr>
            <w:tcW w:w="831" w:type="dxa"/>
          </w:tcPr>
          <w:p>
            <w:pPr>
              <w:rPr>
                <w:noProof/>
              </w:rPr>
            </w:pPr>
            <w:r>
              <w:rPr>
                <w:rStyle w:val="Bodytext29pt"/>
                <w:rFonts w:ascii="Times New Roman" w:hAnsi="Times New Roman" w:cs="Times New Roman"/>
                <w:noProof/>
                <w:sz w:val="24"/>
                <w:szCs w:val="24"/>
              </w:rPr>
              <w:t>271111</w:t>
            </w:r>
          </w:p>
        </w:tc>
        <w:tc>
          <w:tcPr>
            <w:tcW w:w="1992" w:type="dxa"/>
          </w:tcPr>
          <w:p>
            <w:pPr>
              <w:rPr>
                <w:noProof/>
              </w:rPr>
            </w:pPr>
            <w:r>
              <w:rPr>
                <w:rStyle w:val="Bodytext29pt"/>
                <w:rFonts w:ascii="Times New Roman" w:hAnsi="Times New Roman" w:cs="Times New Roman"/>
                <w:noProof/>
                <w:sz w:val="24"/>
                <w:szCs w:val="24"/>
              </w:rPr>
              <w:t>Natural gas, liquefied</w:t>
            </w:r>
          </w:p>
        </w:tc>
        <w:tc>
          <w:tcPr>
            <w:tcW w:w="1251" w:type="dxa"/>
          </w:tcPr>
          <w:p>
            <w:pPr>
              <w:rPr>
                <w:noProof/>
              </w:rPr>
            </w:pPr>
            <w:r>
              <w:rPr>
                <w:rStyle w:val="Bodytext29pt"/>
                <w:rFonts w:ascii="Times New Roman" w:hAnsi="Times New Roman" w:cs="Times New Roman"/>
                <w:noProof/>
                <w:sz w:val="24"/>
                <w:szCs w:val="24"/>
              </w:rPr>
              <w:t>40,177,738</w:t>
            </w:r>
          </w:p>
        </w:tc>
        <w:tc>
          <w:tcPr>
            <w:tcW w:w="758" w:type="dxa"/>
            <w:tcBorders>
              <w:right w:val="double" w:sz="4" w:space="0" w:color="auto"/>
            </w:tcBorders>
          </w:tcPr>
          <w:p>
            <w:pPr>
              <w:rPr>
                <w:noProof/>
              </w:rPr>
            </w:pPr>
            <w:r>
              <w:rPr>
                <w:rStyle w:val="Bodytext29pt"/>
                <w:rFonts w:ascii="Times New Roman" w:hAnsi="Times New Roman" w:cs="Times New Roman"/>
                <w:noProof/>
                <w:sz w:val="24"/>
                <w:szCs w:val="24"/>
              </w:rPr>
              <w:t>2.3 %</w:t>
            </w:r>
          </w:p>
        </w:tc>
        <w:tc>
          <w:tcPr>
            <w:tcW w:w="869" w:type="dxa"/>
            <w:tcBorders>
              <w:left w:val="double" w:sz="4" w:space="0" w:color="auto"/>
            </w:tcBorders>
          </w:tcPr>
          <w:p>
            <w:pPr>
              <w:rPr>
                <w:noProof/>
              </w:rPr>
            </w:pPr>
            <w:r>
              <w:rPr>
                <w:rStyle w:val="Bodytext29pt"/>
                <w:rFonts w:ascii="Times New Roman" w:hAnsi="Times New Roman" w:cs="Times New Roman"/>
                <w:noProof/>
                <w:sz w:val="24"/>
                <w:szCs w:val="24"/>
              </w:rPr>
              <w:t>330210</w:t>
            </w:r>
          </w:p>
        </w:tc>
        <w:tc>
          <w:tcPr>
            <w:tcW w:w="2062" w:type="dxa"/>
          </w:tcPr>
          <w:p>
            <w:pPr>
              <w:pStyle w:val="Bodytext21"/>
              <w:shd w:val="clear" w:color="auto" w:fill="auto"/>
              <w:spacing w:before="0" w:after="0" w:line="240" w:lineRule="auto"/>
              <w:rPr>
                <w:rFonts w:ascii="Times New Roman" w:hAnsi="Times New Roman" w:cs="Times New Roman"/>
                <w:noProof/>
                <w:sz w:val="24"/>
                <w:szCs w:val="24"/>
              </w:rPr>
            </w:pPr>
            <w:r>
              <w:rPr>
                <w:rStyle w:val="Bodytext29pt"/>
                <w:rFonts w:ascii="Times New Roman" w:hAnsi="Times New Roman" w:cs="Times New Roman"/>
                <w:noProof/>
                <w:sz w:val="24"/>
                <w:szCs w:val="24"/>
              </w:rPr>
              <w:t>Mixtures of odoriferous substances and mixtures (…)</w:t>
            </w:r>
          </w:p>
        </w:tc>
        <w:tc>
          <w:tcPr>
            <w:tcW w:w="1148" w:type="dxa"/>
          </w:tcPr>
          <w:p>
            <w:pPr>
              <w:rPr>
                <w:noProof/>
              </w:rPr>
            </w:pPr>
            <w:r>
              <w:rPr>
                <w:rStyle w:val="Bodytext29pt"/>
                <w:rFonts w:ascii="Times New Roman" w:hAnsi="Times New Roman" w:cs="Times New Roman"/>
                <w:noProof/>
                <w:sz w:val="24"/>
                <w:szCs w:val="24"/>
              </w:rPr>
              <w:t>27,430,209</w:t>
            </w:r>
          </w:p>
        </w:tc>
        <w:tc>
          <w:tcPr>
            <w:tcW w:w="824" w:type="dxa"/>
          </w:tcPr>
          <w:p>
            <w:pPr>
              <w:rPr>
                <w:noProof/>
              </w:rPr>
            </w:pPr>
            <w:r>
              <w:rPr>
                <w:rStyle w:val="Bodytext29pt"/>
                <w:rFonts w:ascii="Times New Roman" w:hAnsi="Times New Roman" w:cs="Times New Roman"/>
                <w:noProof/>
                <w:sz w:val="24"/>
                <w:szCs w:val="24"/>
                <w:lang w:val="bg-BG" w:eastAsia="bg-BG" w:bidi="bg-BG"/>
              </w:rPr>
              <w:t xml:space="preserve">1.7 </w:t>
            </w:r>
            <w:r>
              <w:rPr>
                <w:rStyle w:val="Bodytext29pt"/>
                <w:rFonts w:ascii="Times New Roman" w:hAnsi="Times New Roman" w:cs="Times New Roman"/>
                <w:noProof/>
                <w:sz w:val="24"/>
                <w:szCs w:val="24"/>
              </w:rPr>
              <w:t>%</w:t>
            </w:r>
          </w:p>
        </w:tc>
      </w:tr>
      <w:tr>
        <w:trPr>
          <w:trHeight w:val="365"/>
        </w:trPr>
        <w:tc>
          <w:tcPr>
            <w:tcW w:w="831" w:type="dxa"/>
          </w:tcPr>
          <w:p>
            <w:pPr>
              <w:rPr>
                <w:noProof/>
              </w:rPr>
            </w:pPr>
            <w:r>
              <w:rPr>
                <w:rStyle w:val="Bodytext29pt"/>
                <w:rFonts w:ascii="Times New Roman" w:hAnsi="Times New Roman" w:cs="Times New Roman"/>
                <w:noProof/>
                <w:sz w:val="24"/>
                <w:szCs w:val="24"/>
              </w:rPr>
              <w:t>440728</w:t>
            </w:r>
          </w:p>
        </w:tc>
        <w:tc>
          <w:tcPr>
            <w:tcW w:w="1992" w:type="dxa"/>
          </w:tcPr>
          <w:p>
            <w:pPr>
              <w:rPr>
                <w:noProof/>
              </w:rPr>
            </w:pPr>
            <w:r>
              <w:rPr>
                <w:rStyle w:val="Bodytext29pt"/>
                <w:rFonts w:ascii="Times New Roman" w:hAnsi="Times New Roman" w:cs="Times New Roman"/>
                <w:noProof/>
                <w:sz w:val="24"/>
                <w:szCs w:val="24"/>
                <w:lang w:val="en-GB" w:eastAsia="de-DE" w:bidi="de-DE"/>
              </w:rPr>
              <w:t xml:space="preserve">Iroko, </w:t>
            </w:r>
            <w:r>
              <w:rPr>
                <w:rStyle w:val="Bodytext29pt"/>
                <w:rFonts w:ascii="Times New Roman" w:hAnsi="Times New Roman" w:cs="Times New Roman"/>
                <w:noProof/>
                <w:sz w:val="24"/>
                <w:szCs w:val="24"/>
              </w:rPr>
              <w:t>sawn or chipped lengthwise, sliced or peeled (…)</w:t>
            </w:r>
          </w:p>
        </w:tc>
        <w:tc>
          <w:tcPr>
            <w:tcW w:w="1251" w:type="dxa"/>
          </w:tcPr>
          <w:p>
            <w:pPr>
              <w:rPr>
                <w:noProof/>
              </w:rPr>
            </w:pPr>
            <w:r>
              <w:rPr>
                <w:rStyle w:val="Bodytext29pt"/>
                <w:rFonts w:ascii="Times New Roman" w:hAnsi="Times New Roman" w:cs="Times New Roman"/>
                <w:noProof/>
                <w:sz w:val="24"/>
                <w:szCs w:val="24"/>
              </w:rPr>
              <w:t>37,204,358</w:t>
            </w:r>
          </w:p>
        </w:tc>
        <w:tc>
          <w:tcPr>
            <w:tcW w:w="758" w:type="dxa"/>
            <w:tcBorders>
              <w:right w:val="double" w:sz="4" w:space="0" w:color="auto"/>
            </w:tcBorders>
          </w:tcPr>
          <w:p>
            <w:pPr>
              <w:rPr>
                <w:noProof/>
              </w:rPr>
            </w:pPr>
            <w:r>
              <w:rPr>
                <w:rStyle w:val="Bodytext29pt"/>
                <w:rFonts w:ascii="Times New Roman" w:hAnsi="Times New Roman" w:cs="Times New Roman"/>
                <w:noProof/>
                <w:sz w:val="24"/>
                <w:szCs w:val="24"/>
              </w:rPr>
              <w:t>2.1 %</w:t>
            </w:r>
          </w:p>
        </w:tc>
        <w:tc>
          <w:tcPr>
            <w:tcW w:w="869" w:type="dxa"/>
            <w:tcBorders>
              <w:left w:val="double" w:sz="4" w:space="0" w:color="auto"/>
            </w:tcBorders>
          </w:tcPr>
          <w:p>
            <w:pPr>
              <w:rPr>
                <w:noProof/>
              </w:rPr>
            </w:pPr>
            <w:r>
              <w:rPr>
                <w:rStyle w:val="Bodytext29pt"/>
                <w:rFonts w:ascii="Times New Roman" w:hAnsi="Times New Roman" w:cs="Times New Roman"/>
                <w:noProof/>
                <w:sz w:val="24"/>
                <w:szCs w:val="24"/>
              </w:rPr>
              <w:t>110710</w:t>
            </w:r>
          </w:p>
        </w:tc>
        <w:tc>
          <w:tcPr>
            <w:tcW w:w="2062" w:type="dxa"/>
          </w:tcPr>
          <w:p>
            <w:pPr>
              <w:rPr>
                <w:noProof/>
              </w:rPr>
            </w:pPr>
            <w:r>
              <w:rPr>
                <w:rStyle w:val="Bodytext29pt"/>
                <w:rFonts w:ascii="Times New Roman" w:hAnsi="Times New Roman" w:cs="Times New Roman"/>
                <w:noProof/>
                <w:sz w:val="24"/>
                <w:szCs w:val="24"/>
              </w:rPr>
              <w:t>Malt (excl. roasted)</w:t>
            </w:r>
          </w:p>
        </w:tc>
        <w:tc>
          <w:tcPr>
            <w:tcW w:w="1148" w:type="dxa"/>
          </w:tcPr>
          <w:p>
            <w:pPr>
              <w:rPr>
                <w:noProof/>
              </w:rPr>
            </w:pPr>
            <w:r>
              <w:rPr>
                <w:rStyle w:val="Bodytext29pt"/>
                <w:rFonts w:ascii="Times New Roman" w:hAnsi="Times New Roman" w:cs="Times New Roman"/>
                <w:noProof/>
                <w:sz w:val="24"/>
                <w:szCs w:val="24"/>
              </w:rPr>
              <w:t>24,295,260</w:t>
            </w:r>
          </w:p>
        </w:tc>
        <w:tc>
          <w:tcPr>
            <w:tcW w:w="824" w:type="dxa"/>
          </w:tcPr>
          <w:p>
            <w:pPr>
              <w:rPr>
                <w:noProof/>
              </w:rPr>
            </w:pPr>
            <w:r>
              <w:rPr>
                <w:rStyle w:val="Bodytext29pt"/>
                <w:rFonts w:ascii="Times New Roman" w:hAnsi="Times New Roman" w:cs="Times New Roman"/>
                <w:noProof/>
                <w:sz w:val="24"/>
                <w:szCs w:val="24"/>
              </w:rPr>
              <w:t>1.5 %</w:t>
            </w:r>
          </w:p>
        </w:tc>
      </w:tr>
      <w:tr>
        <w:trPr>
          <w:trHeight w:val="146"/>
        </w:trPr>
        <w:tc>
          <w:tcPr>
            <w:tcW w:w="831" w:type="dxa"/>
          </w:tcPr>
          <w:p>
            <w:pPr>
              <w:rPr>
                <w:noProof/>
              </w:rPr>
            </w:pPr>
            <w:r>
              <w:rPr>
                <w:rStyle w:val="Bodytext29pt"/>
                <w:rFonts w:ascii="Times New Roman" w:hAnsi="Times New Roman" w:cs="Times New Roman"/>
                <w:noProof/>
                <w:sz w:val="24"/>
                <w:szCs w:val="24"/>
              </w:rPr>
              <w:t>090111</w:t>
            </w:r>
          </w:p>
        </w:tc>
        <w:tc>
          <w:tcPr>
            <w:tcW w:w="1992" w:type="dxa"/>
          </w:tcPr>
          <w:p>
            <w:pPr>
              <w:rPr>
                <w:noProof/>
              </w:rPr>
            </w:pPr>
            <w:r>
              <w:rPr>
                <w:rStyle w:val="Bodytext29pt"/>
                <w:rFonts w:ascii="Times New Roman" w:hAnsi="Times New Roman" w:cs="Times New Roman"/>
                <w:noProof/>
                <w:sz w:val="24"/>
                <w:szCs w:val="24"/>
              </w:rPr>
              <w:t>Coffee (…)</w:t>
            </w:r>
          </w:p>
        </w:tc>
        <w:tc>
          <w:tcPr>
            <w:tcW w:w="1251" w:type="dxa"/>
          </w:tcPr>
          <w:p>
            <w:pPr>
              <w:rPr>
                <w:noProof/>
              </w:rPr>
            </w:pPr>
            <w:r>
              <w:rPr>
                <w:rStyle w:val="Bodytext29pt"/>
                <w:rFonts w:ascii="Times New Roman" w:hAnsi="Times New Roman" w:cs="Times New Roman"/>
                <w:noProof/>
                <w:sz w:val="24"/>
                <w:szCs w:val="24"/>
              </w:rPr>
              <w:t>25,010,253</w:t>
            </w:r>
          </w:p>
        </w:tc>
        <w:tc>
          <w:tcPr>
            <w:tcW w:w="758" w:type="dxa"/>
            <w:tcBorders>
              <w:right w:val="double" w:sz="4" w:space="0" w:color="auto"/>
            </w:tcBorders>
          </w:tcPr>
          <w:p>
            <w:pPr>
              <w:rPr>
                <w:noProof/>
              </w:rPr>
            </w:pPr>
            <w:r>
              <w:rPr>
                <w:rStyle w:val="Bodytext29pt"/>
                <w:rFonts w:ascii="Times New Roman" w:hAnsi="Times New Roman" w:cs="Times New Roman"/>
                <w:noProof/>
                <w:sz w:val="24"/>
                <w:szCs w:val="24"/>
              </w:rPr>
              <w:t>1.4 %</w:t>
            </w:r>
          </w:p>
        </w:tc>
        <w:tc>
          <w:tcPr>
            <w:tcW w:w="869" w:type="dxa"/>
            <w:tcBorders>
              <w:left w:val="double" w:sz="4" w:space="0" w:color="auto"/>
            </w:tcBorders>
          </w:tcPr>
          <w:p>
            <w:pPr>
              <w:rPr>
                <w:noProof/>
              </w:rPr>
            </w:pPr>
            <w:r>
              <w:rPr>
                <w:rStyle w:val="Bodytext29pt"/>
                <w:rFonts w:ascii="Times New Roman" w:hAnsi="Times New Roman" w:cs="Times New Roman"/>
                <w:noProof/>
                <w:sz w:val="24"/>
                <w:szCs w:val="24"/>
              </w:rPr>
              <w:t>100199</w:t>
            </w:r>
          </w:p>
        </w:tc>
        <w:tc>
          <w:tcPr>
            <w:tcW w:w="2062" w:type="dxa"/>
          </w:tcPr>
          <w:p>
            <w:pPr>
              <w:rPr>
                <w:noProof/>
              </w:rPr>
            </w:pPr>
            <w:r>
              <w:rPr>
                <w:rStyle w:val="Bodytext29pt"/>
                <w:rFonts w:ascii="Times New Roman" w:hAnsi="Times New Roman" w:cs="Times New Roman"/>
                <w:noProof/>
                <w:sz w:val="24"/>
                <w:szCs w:val="24"/>
              </w:rPr>
              <w:t>Wheat and meslin (…)</w:t>
            </w:r>
          </w:p>
        </w:tc>
        <w:tc>
          <w:tcPr>
            <w:tcW w:w="1148" w:type="dxa"/>
          </w:tcPr>
          <w:p>
            <w:pPr>
              <w:rPr>
                <w:noProof/>
              </w:rPr>
            </w:pPr>
            <w:r>
              <w:rPr>
                <w:rStyle w:val="Bodytext29pt"/>
                <w:rFonts w:ascii="Times New Roman" w:hAnsi="Times New Roman" w:cs="Times New Roman"/>
                <w:noProof/>
                <w:sz w:val="24"/>
                <w:szCs w:val="24"/>
              </w:rPr>
              <w:t>23,176,612</w:t>
            </w:r>
          </w:p>
        </w:tc>
        <w:tc>
          <w:tcPr>
            <w:tcW w:w="824" w:type="dxa"/>
          </w:tcPr>
          <w:p>
            <w:pPr>
              <w:rPr>
                <w:noProof/>
              </w:rPr>
            </w:pPr>
            <w:r>
              <w:rPr>
                <w:rStyle w:val="Bodytext29pt"/>
                <w:rFonts w:ascii="Times New Roman" w:hAnsi="Times New Roman" w:cs="Times New Roman"/>
                <w:noProof/>
                <w:sz w:val="24"/>
                <w:szCs w:val="24"/>
              </w:rPr>
              <w:t>1.5 %</w:t>
            </w:r>
          </w:p>
        </w:tc>
      </w:tr>
      <w:tr>
        <w:trPr>
          <w:trHeight w:val="365"/>
        </w:trPr>
        <w:tc>
          <w:tcPr>
            <w:tcW w:w="831" w:type="dxa"/>
          </w:tcPr>
          <w:p>
            <w:pPr>
              <w:rPr>
                <w:noProof/>
              </w:rPr>
            </w:pPr>
          </w:p>
        </w:tc>
        <w:tc>
          <w:tcPr>
            <w:tcW w:w="1992" w:type="dxa"/>
          </w:tcPr>
          <w:p>
            <w:pPr>
              <w:rPr>
                <w:b/>
                <w:noProof/>
              </w:rPr>
            </w:pPr>
            <w:r>
              <w:rPr>
                <w:rStyle w:val="Bodytext29pt"/>
                <w:rFonts w:ascii="Times New Roman" w:hAnsi="Times New Roman" w:cs="Times New Roman"/>
                <w:b/>
                <w:noProof/>
                <w:sz w:val="24"/>
                <w:szCs w:val="24"/>
              </w:rPr>
              <w:t>Total top 10 products</w:t>
            </w:r>
          </w:p>
        </w:tc>
        <w:tc>
          <w:tcPr>
            <w:tcW w:w="1251" w:type="dxa"/>
          </w:tcPr>
          <w:p>
            <w:pPr>
              <w:rPr>
                <w:b/>
                <w:noProof/>
              </w:rPr>
            </w:pPr>
            <w:r>
              <w:rPr>
                <w:rStyle w:val="Bodytext29pt"/>
                <w:rFonts w:ascii="Times New Roman" w:hAnsi="Times New Roman" w:cs="Times New Roman"/>
                <w:b/>
                <w:noProof/>
                <w:sz w:val="24"/>
                <w:szCs w:val="24"/>
              </w:rPr>
              <w:t>1,624,820,608</w:t>
            </w:r>
          </w:p>
        </w:tc>
        <w:tc>
          <w:tcPr>
            <w:tcW w:w="758" w:type="dxa"/>
            <w:tcBorders>
              <w:right w:val="double" w:sz="4" w:space="0" w:color="auto"/>
            </w:tcBorders>
          </w:tcPr>
          <w:p>
            <w:pPr>
              <w:rPr>
                <w:b/>
                <w:noProof/>
              </w:rPr>
            </w:pPr>
            <w:r>
              <w:rPr>
                <w:rStyle w:val="Bodytext29pt"/>
                <w:rFonts w:ascii="Times New Roman" w:hAnsi="Times New Roman" w:cs="Times New Roman"/>
                <w:b/>
                <w:noProof/>
                <w:sz w:val="24"/>
                <w:szCs w:val="24"/>
              </w:rPr>
              <w:t>91.4 %</w:t>
            </w:r>
          </w:p>
        </w:tc>
        <w:tc>
          <w:tcPr>
            <w:tcW w:w="869" w:type="dxa"/>
            <w:tcBorders>
              <w:left w:val="double" w:sz="4" w:space="0" w:color="auto"/>
            </w:tcBorders>
          </w:tcPr>
          <w:p>
            <w:pPr>
              <w:rPr>
                <w:b/>
                <w:noProof/>
              </w:rPr>
            </w:pPr>
          </w:p>
        </w:tc>
        <w:tc>
          <w:tcPr>
            <w:tcW w:w="2062" w:type="dxa"/>
          </w:tcPr>
          <w:p>
            <w:pPr>
              <w:rPr>
                <w:b/>
                <w:noProof/>
              </w:rPr>
            </w:pPr>
            <w:r>
              <w:rPr>
                <w:rStyle w:val="Bodytext29pt"/>
                <w:rFonts w:ascii="Times New Roman" w:hAnsi="Times New Roman" w:cs="Times New Roman"/>
                <w:b/>
                <w:noProof/>
                <w:sz w:val="24"/>
                <w:szCs w:val="24"/>
              </w:rPr>
              <w:t>Total top 10 products</w:t>
            </w:r>
          </w:p>
        </w:tc>
        <w:tc>
          <w:tcPr>
            <w:tcW w:w="1148" w:type="dxa"/>
          </w:tcPr>
          <w:p>
            <w:pPr>
              <w:rPr>
                <w:b/>
                <w:noProof/>
              </w:rPr>
            </w:pPr>
            <w:r>
              <w:rPr>
                <w:rStyle w:val="Bodytext29pt"/>
                <w:rFonts w:ascii="Times New Roman" w:hAnsi="Times New Roman" w:cs="Times New Roman"/>
                <w:b/>
                <w:noProof/>
                <w:sz w:val="24"/>
                <w:szCs w:val="24"/>
              </w:rPr>
              <w:t>420,615,040</w:t>
            </w:r>
          </w:p>
        </w:tc>
        <w:tc>
          <w:tcPr>
            <w:tcW w:w="824" w:type="dxa"/>
          </w:tcPr>
          <w:p>
            <w:pPr>
              <w:rPr>
                <w:b/>
                <w:noProof/>
              </w:rPr>
            </w:pPr>
            <w:r>
              <w:rPr>
                <w:rStyle w:val="Bodytext29pt"/>
                <w:rFonts w:ascii="Times New Roman" w:hAnsi="Times New Roman" w:cs="Times New Roman"/>
                <w:b/>
                <w:noProof/>
                <w:sz w:val="24"/>
                <w:szCs w:val="24"/>
              </w:rPr>
              <w:t>26.6 %</w:t>
            </w:r>
          </w:p>
        </w:tc>
      </w:tr>
    </w:tbl>
    <w:p>
      <w:pPr>
        <w:jc w:val="both"/>
        <w:rPr>
          <w:noProof/>
          <w:sz w:val="20"/>
          <w:szCs w:val="20"/>
        </w:rPr>
      </w:pPr>
      <w:r>
        <w:rPr>
          <w:noProof/>
          <w:sz w:val="18"/>
          <w:szCs w:val="18"/>
        </w:rPr>
        <w:t>Source: Eurostat (product names partly shortened)</w:t>
      </w:r>
    </w:p>
    <w:p>
      <w:pPr>
        <w:jc w:val="both"/>
        <w:rPr>
          <w:noProof/>
          <w:sz w:val="20"/>
          <w:szCs w:val="20"/>
        </w:rPr>
      </w:pPr>
    </w:p>
    <w:p>
      <w:pPr>
        <w:jc w:val="both"/>
        <w:rPr>
          <w:noProof/>
        </w:rPr>
      </w:pPr>
      <w:r>
        <w:rPr>
          <w:noProof/>
        </w:rPr>
        <w:t xml:space="preserve">Considering the high share of raw materials in Cameroon’s exports, most of Cameroon's exports to the EU are free of duty on an MFN basis. The remainder, mainly bananas but also aluminium, processed cocoa and wood are exported under EPA preferences. Preference utilisation rates are high, at 98% in 2018. </w:t>
      </w:r>
    </w:p>
    <w:p>
      <w:pPr>
        <w:jc w:val="both"/>
        <w:rPr>
          <w:noProof/>
        </w:rPr>
      </w:pPr>
    </w:p>
    <w:p>
      <w:pPr>
        <w:jc w:val="both"/>
        <w:rPr>
          <w:noProof/>
        </w:rPr>
      </w:pPr>
      <w:r>
        <w:rPr>
          <w:noProof/>
        </w:rPr>
        <w:t xml:space="preserve">The increase in </w:t>
      </w:r>
      <w:r>
        <w:rPr>
          <w:b/>
          <w:noProof/>
        </w:rPr>
        <w:t>EU exports to Cameroon</w:t>
      </w:r>
      <w:r>
        <w:rPr>
          <w:noProof/>
        </w:rPr>
        <w:t xml:space="preserve"> in 2018 can be attributed to an increase in exports of iron and steel (+€59 million or 166%), mineral fuels (+€51 million or 142%) and motor vehicles (+€30 million or 22.5%). Exports of cement increased from €3 million to €18 million (+494%) in 2018, while exports of cement clinkers decreased by €12 million or 26%. Exports of machinery and mechanical appliances decreased by €30 million or 12%. </w:t>
      </w:r>
    </w:p>
    <w:p>
      <w:pPr>
        <w:jc w:val="both"/>
        <w:rPr>
          <w:noProof/>
        </w:rPr>
      </w:pPr>
    </w:p>
    <w:p>
      <w:pPr>
        <w:jc w:val="both"/>
        <w:rPr>
          <w:noProof/>
        </w:rPr>
      </w:pPr>
      <w:r>
        <w:rPr>
          <w:noProof/>
        </w:rPr>
        <w:t xml:space="preserve">The EPA foresees that Cameroon </w:t>
      </w:r>
      <w:r>
        <w:rPr>
          <w:b/>
          <w:noProof/>
        </w:rPr>
        <w:t>successively liberalizes 80% of imports</w:t>
      </w:r>
      <w:r>
        <w:rPr>
          <w:noProof/>
        </w:rPr>
        <w:t xml:space="preserve"> </w:t>
      </w:r>
      <w:r>
        <w:rPr>
          <w:b/>
          <w:noProof/>
        </w:rPr>
        <w:t>from the EU</w:t>
      </w:r>
      <w:r>
        <w:rPr>
          <w:noProof/>
        </w:rPr>
        <w:t>. Effective liberalization started on 4 August 2016 for 1</w:t>
      </w:r>
      <w:r>
        <w:rPr>
          <w:noProof/>
          <w:vertAlign w:val="superscript"/>
        </w:rPr>
        <w:t>st</w:t>
      </w:r>
      <w:r>
        <w:rPr>
          <w:noProof/>
        </w:rPr>
        <w:t xml:space="preserve"> category products (1727 tariff lines) and on 4 August 2017 for 2</w:t>
      </w:r>
      <w:r>
        <w:rPr>
          <w:noProof/>
          <w:vertAlign w:val="superscript"/>
        </w:rPr>
        <w:t>nd</w:t>
      </w:r>
      <w:r>
        <w:rPr>
          <w:noProof/>
        </w:rPr>
        <w:t xml:space="preserve"> category products (985 tariff lines). The two first categories consist mainly of necessities, industrial and agricultural inputs, machines, chemicals, vehicles and spare parts, computers, papers, consumer products for households.</w:t>
      </w:r>
    </w:p>
    <w:p>
      <w:pPr>
        <w:jc w:val="both"/>
        <w:rPr>
          <w:noProof/>
        </w:rPr>
      </w:pPr>
    </w:p>
    <w:p>
      <w:pPr>
        <w:jc w:val="both"/>
        <w:rPr>
          <w:noProof/>
        </w:rPr>
      </w:pPr>
      <w:r>
        <w:rPr>
          <w:noProof/>
        </w:rPr>
        <w:t xml:space="preserve">The </w:t>
      </w:r>
      <w:r>
        <w:rPr>
          <w:b/>
          <w:noProof/>
        </w:rPr>
        <w:t>total value of goods imported into Cameroon under EPA preferences</w:t>
      </w:r>
      <w:r>
        <w:rPr>
          <w:noProof/>
        </w:rPr>
        <w:t xml:space="preserve"> from August 2016 to January 2019 is estimated at €335 million (Source: Cameroon customs). The main products imported under EPA preferences according to Cameroon customs were clinker (28% of total value of imports under EPA preferences), chemical industries (24%), electrical machinery and equipment (17%), vehicles and transport equipment (16%), paper and cardboard (7,5%), fertilizers (5%). Over the period August 2016 – January 2019, the total value of forgone customs revenue due to liberalisation of tariff rates under the EPA was €10.68 million.</w:t>
      </w:r>
      <w:r>
        <w:rPr>
          <w:rStyle w:val="FootnoteReference"/>
          <w:noProof/>
        </w:rPr>
        <w:footnoteReference w:id="126"/>
      </w:r>
      <w:r>
        <w:rPr>
          <w:noProof/>
        </w:rPr>
        <w:t xml:space="preserve"> (Source: Cameroon Customs).</w:t>
      </w:r>
    </w:p>
    <w:p>
      <w:pPr>
        <w:jc w:val="both"/>
        <w:rPr>
          <w:noProof/>
        </w:rPr>
      </w:pPr>
    </w:p>
    <w:p>
      <w:pPr>
        <w:jc w:val="both"/>
        <w:rPr>
          <w:noProof/>
        </w:rPr>
      </w:pPr>
      <w:r>
        <w:rPr>
          <w:noProof/>
        </w:rPr>
        <w:t xml:space="preserve">For </w:t>
      </w:r>
      <w:r>
        <w:rPr>
          <w:b/>
          <w:noProof/>
        </w:rPr>
        <w:t>agri-food trade</w:t>
      </w:r>
      <w:r>
        <w:rPr>
          <w:noProof/>
        </w:rPr>
        <w:t xml:space="preserve">, Cameroon continued enjoying a surplus (€330 million) with the EU in 2018, albeit smaller than in previous years. While the exports by Cameroon (€590 million) are heavily concentrated in cocoa products and tropical fruits, EU exports (€260 million) are much more diversified with malt (see below the case of brewery), wheat, milk powder and whey, infant food and other cereals, starch and milk preparation, and wines on top of the list. </w:t>
      </w:r>
    </w:p>
    <w:p>
      <w:pPr>
        <w:pStyle w:val="Heading2"/>
        <w:ind w:left="0" w:firstLine="0"/>
      </w:pPr>
      <w:bookmarkStart w:id="4626" w:name="_Toc8833844"/>
      <w:bookmarkStart w:id="4627" w:name="_Toc8835671"/>
      <w:bookmarkStart w:id="4628" w:name="_Toc8834302"/>
      <w:bookmarkStart w:id="4629" w:name="_Toc8910975"/>
      <w:bookmarkStart w:id="4630" w:name="_Toc8912012"/>
      <w:bookmarkStart w:id="4631" w:name="_Toc8974833"/>
      <w:bookmarkStart w:id="4632" w:name="_Toc9008486"/>
      <w:bookmarkStart w:id="4633" w:name="_Toc9008889"/>
      <w:bookmarkStart w:id="4634" w:name="_Toc9348885"/>
      <w:bookmarkStart w:id="4635" w:name="_Toc9608353"/>
      <w:bookmarkStart w:id="4636" w:name="_Toc16000908"/>
      <w:r>
        <w:t xml:space="preserve">2.2 </w:t>
      </w:r>
      <w:bookmarkStart w:id="4637" w:name="_Toc8909763"/>
      <w:r>
        <w:t>Trade in services</w:t>
      </w:r>
      <w:bookmarkEnd w:id="4626"/>
      <w:bookmarkEnd w:id="4627"/>
      <w:bookmarkEnd w:id="4628"/>
      <w:bookmarkEnd w:id="4629"/>
      <w:bookmarkEnd w:id="4630"/>
      <w:bookmarkEnd w:id="4631"/>
      <w:bookmarkEnd w:id="4632"/>
      <w:bookmarkEnd w:id="4633"/>
      <w:bookmarkEnd w:id="4634"/>
      <w:bookmarkEnd w:id="4635"/>
      <w:bookmarkEnd w:id="4637"/>
      <w:bookmarkEnd w:id="4636"/>
    </w:p>
    <w:p>
      <w:pPr>
        <w:jc w:val="both"/>
        <w:rPr>
          <w:noProof/>
        </w:rPr>
      </w:pPr>
      <w:r>
        <w:rPr>
          <w:noProof/>
        </w:rPr>
        <w:t xml:space="preserve">The EPA does not include provisions on trade in services. Trade in services between the EU and Cameroon shows little variation over the last years. EU services imports from Cameroon decreased slightly in 2017 to €312 million, while EU services exports to Cameroon increased to €661 million. The trade balance in services is positive for the EU. </w:t>
      </w:r>
    </w:p>
    <w:p>
      <w:pPr>
        <w:pStyle w:val="Heading2"/>
        <w:ind w:left="0" w:firstLine="0"/>
      </w:pPr>
      <w:bookmarkStart w:id="4638" w:name="_Toc8833845"/>
      <w:bookmarkStart w:id="4639" w:name="_Toc8835672"/>
      <w:bookmarkStart w:id="4640" w:name="_Toc8834303"/>
      <w:bookmarkStart w:id="4641" w:name="_Toc8910976"/>
      <w:bookmarkStart w:id="4642" w:name="_Toc8912013"/>
      <w:bookmarkStart w:id="4643" w:name="_Toc8974834"/>
      <w:bookmarkStart w:id="4644" w:name="_Toc9008487"/>
      <w:bookmarkStart w:id="4645" w:name="_Toc9008890"/>
      <w:bookmarkStart w:id="4646" w:name="_Toc9348886"/>
      <w:bookmarkStart w:id="4647" w:name="_Toc9608354"/>
      <w:bookmarkStart w:id="4648" w:name="_Toc16000909"/>
      <w:r>
        <w:t xml:space="preserve">2.3 </w:t>
      </w:r>
      <w:bookmarkStart w:id="4649" w:name="_Toc8909764"/>
      <w:r>
        <w:t>Foreign Direct investment (FDI)</w:t>
      </w:r>
      <w:bookmarkEnd w:id="4638"/>
      <w:bookmarkEnd w:id="4639"/>
      <w:bookmarkEnd w:id="4640"/>
      <w:bookmarkEnd w:id="4641"/>
      <w:bookmarkEnd w:id="4642"/>
      <w:bookmarkEnd w:id="4643"/>
      <w:bookmarkEnd w:id="4644"/>
      <w:bookmarkEnd w:id="4645"/>
      <w:bookmarkEnd w:id="4646"/>
      <w:bookmarkEnd w:id="4647"/>
      <w:bookmarkEnd w:id="4649"/>
      <w:bookmarkEnd w:id="4648"/>
    </w:p>
    <w:p>
      <w:pPr>
        <w:jc w:val="both"/>
        <w:rPr>
          <w:noProof/>
        </w:rPr>
      </w:pPr>
      <w:r>
        <w:rPr>
          <w:noProof/>
        </w:rPr>
        <w:t xml:space="preserve">The investment stock has been stable over the last four years, it currently stands at €1.3 billion. Inflows in 2017 have been lower than in previous years, at €2 million according to Eurostat statistics. The EU investment stock remains largely tied in extractive industries, although recent EU investments in Cameroon are diversified across various sectors such as infrastructure (transport, energy), agriculture (bananas, sugar), communication and distribution. The main investor is France with about 300 companies established that are estimated to contribute to about 30% of the government's corporate tax revenue. </w:t>
      </w:r>
    </w:p>
    <w:p>
      <w:pPr>
        <w:jc w:val="both"/>
        <w:rPr>
          <w:noProof/>
        </w:rPr>
      </w:pPr>
    </w:p>
    <w:p>
      <w:pPr>
        <w:jc w:val="both"/>
        <w:rPr>
          <w:noProof/>
        </w:rPr>
      </w:pPr>
      <w:r>
        <w:rPr>
          <w:noProof/>
        </w:rPr>
        <w:t xml:space="preserve">In 2018, the French Development Fund, the World Bank’s IFC, the European Investment Bank and the Cameroon government signed the final and binding agreements for the construction of the Nachtigal Hydroelectric plant. The €1.2 billion project consists of designing, constructing and operating a dam and a 420MW power plant. The plant will cover 30% of the country’s energy needs. The project is expected to create up to 1,500 direct jobs, 65% of the local. Construction has started in 2019 and operation is foreseen in 2023. </w:t>
      </w:r>
    </w:p>
    <w:p>
      <w:pPr>
        <w:jc w:val="both"/>
        <w:rPr>
          <w:noProof/>
        </w:rPr>
      </w:pPr>
    </w:p>
    <w:p>
      <w:pPr>
        <w:jc w:val="both"/>
        <w:rPr>
          <w:noProof/>
        </w:rPr>
      </w:pPr>
      <w:r>
        <w:rPr>
          <w:noProof/>
        </w:rPr>
        <w:t>Also in 2018, French retail company Carrefour announced its intention to construct its second supermarket in the country, representing a €46 million investment; however, there seem to be some difficulties related to the land ownership title for the allocated lot. Together, the existing supermarket in Douala and the new one in Yaoundé together would employ about 500 people. Cimencam (controlled by a Franco-Swiss-Moroccan consortium) opened its second cement factory in the country, an investment of €35 million. Brasserie du Cameroun, part of the French Castel group, invested in new bottling chains at three of its production locations, an investment estimated at €15 million (more below).</w:t>
      </w:r>
    </w:p>
    <w:p>
      <w:pPr>
        <w:jc w:val="both"/>
        <w:rPr>
          <w:noProof/>
        </w:rPr>
      </w:pPr>
    </w:p>
    <w:tbl>
      <w:tblPr>
        <w:tblStyle w:val="TableGrid"/>
        <w:tblW w:w="0" w:type="auto"/>
        <w:tblInd w:w="250" w:type="dxa"/>
        <w:tblLook w:val="04A0" w:firstRow="1" w:lastRow="0" w:firstColumn="1" w:lastColumn="0" w:noHBand="0" w:noVBand="1"/>
      </w:tblPr>
      <w:tblGrid>
        <w:gridCol w:w="8647"/>
      </w:tblGrid>
      <w:tr>
        <w:tc>
          <w:tcPr>
            <w:tcW w:w="8647" w:type="dxa"/>
            <w:tcBorders>
              <w:top w:val="single" w:sz="4" w:space="0" w:color="auto"/>
              <w:left w:val="single" w:sz="4" w:space="0" w:color="auto"/>
              <w:bottom w:val="single" w:sz="4" w:space="0" w:color="auto"/>
              <w:right w:val="single" w:sz="4" w:space="0" w:color="auto"/>
            </w:tcBorders>
          </w:tcPr>
          <w:p>
            <w:pPr>
              <w:jc w:val="both"/>
              <w:rPr>
                <w:b/>
                <w:noProof/>
                <w:sz w:val="22"/>
                <w:szCs w:val="22"/>
              </w:rPr>
            </w:pPr>
            <w:r>
              <w:rPr>
                <w:b/>
                <w:noProof/>
                <w:sz w:val="22"/>
                <w:szCs w:val="22"/>
              </w:rPr>
              <w:t xml:space="preserve">Cheaper inputs boosting local production and employment </w:t>
            </w:r>
          </w:p>
          <w:p>
            <w:pPr>
              <w:jc w:val="both"/>
              <w:rPr>
                <w:noProof/>
                <w:sz w:val="22"/>
                <w:szCs w:val="22"/>
              </w:rPr>
            </w:pPr>
          </w:p>
          <w:p>
            <w:pPr>
              <w:jc w:val="both"/>
              <w:rPr>
                <w:noProof/>
                <w:sz w:val="22"/>
                <w:szCs w:val="22"/>
              </w:rPr>
            </w:pPr>
            <w:r>
              <w:rPr>
                <w:noProof/>
                <w:sz w:val="22"/>
                <w:szCs w:val="22"/>
              </w:rPr>
              <w:t xml:space="preserve">La Société Anonyme des Brasseries du Cameroun (SABC), part of the French Castel group, is a brewing company in Cameroun. It is the largest private sector employer in the country, employing about 10,000 people across the group and its subsidiaries. Brasseries du Cameroun holds a 75% share of the Cameroonian market for beer and soft drinks. </w:t>
            </w:r>
          </w:p>
          <w:p>
            <w:pPr>
              <w:jc w:val="both"/>
              <w:rPr>
                <w:noProof/>
                <w:sz w:val="22"/>
                <w:szCs w:val="22"/>
              </w:rPr>
            </w:pPr>
          </w:p>
          <w:p>
            <w:pPr>
              <w:jc w:val="both"/>
              <w:rPr>
                <w:noProof/>
                <w:sz w:val="22"/>
                <w:szCs w:val="22"/>
              </w:rPr>
            </w:pPr>
            <w:r>
              <w:rPr>
                <w:noProof/>
                <w:sz w:val="22"/>
                <w:szCs w:val="22"/>
              </w:rPr>
              <w:t>SABC is to date the single biggest beneficiary of EPA preferences, accounting for one eight of the total fiscal gain of Cameroonian companies due to lower import tariffs. It imports a range of products from the EU, e.g. larger machinery used to bottle its beverages, as well as ingredients such as yeast, hop, aromas or colorants used it their production.</w:t>
            </w:r>
          </w:p>
          <w:p>
            <w:pPr>
              <w:jc w:val="both"/>
              <w:rPr>
                <w:noProof/>
                <w:sz w:val="22"/>
                <w:szCs w:val="22"/>
              </w:rPr>
            </w:pPr>
          </w:p>
          <w:p>
            <w:pPr>
              <w:jc w:val="both"/>
              <w:rPr>
                <w:noProof/>
                <w:sz w:val="22"/>
                <w:szCs w:val="22"/>
              </w:rPr>
            </w:pPr>
            <w:r>
              <w:rPr>
                <w:noProof/>
                <w:sz w:val="22"/>
                <w:szCs w:val="22"/>
              </w:rPr>
              <w:t xml:space="preserve">While benefiting from EPA preferences, SABC is also increasingly trying to source locally. The company has a local subsidiary producing bottles and is also buying 100% of Maïscam’s (one of the large agro-industrial companies of the country) production of corn every year (10.000 tons). </w:t>
            </w:r>
          </w:p>
          <w:p>
            <w:pPr>
              <w:jc w:val="both"/>
              <w:rPr>
                <w:noProof/>
                <w:sz w:val="22"/>
                <w:szCs w:val="22"/>
              </w:rPr>
            </w:pPr>
          </w:p>
        </w:tc>
      </w:tr>
    </w:tbl>
    <w:p>
      <w:pPr>
        <w:rPr>
          <w:noProof/>
          <w:lang w:eastAsia="en-GB"/>
        </w:rPr>
      </w:pPr>
    </w:p>
    <w:p>
      <w:pPr>
        <w:pStyle w:val="ManualHeading1"/>
      </w:pPr>
      <w:bookmarkStart w:id="4650" w:name="_Toc8833846"/>
      <w:bookmarkStart w:id="4651" w:name="_Toc8835673"/>
      <w:bookmarkStart w:id="4652" w:name="_Toc8834304"/>
      <w:bookmarkStart w:id="4653" w:name="_Toc8909765"/>
      <w:bookmarkStart w:id="4654" w:name="_Toc8910977"/>
      <w:bookmarkStart w:id="4655" w:name="_Toc8912014"/>
      <w:bookmarkStart w:id="4656" w:name="_Toc8974835"/>
      <w:bookmarkStart w:id="4657" w:name="_Toc9008488"/>
      <w:bookmarkStart w:id="4658" w:name="_Toc9008891"/>
      <w:bookmarkStart w:id="4659" w:name="_Toc9348887"/>
      <w:bookmarkStart w:id="4660" w:name="_Toc9608355"/>
      <w:bookmarkStart w:id="4661" w:name="_Toc16000910"/>
      <w:r>
        <w:t>3.</w:t>
      </w:r>
      <w:r>
        <w:tab/>
        <w:t>Issues addressed in the annual EPA Committee meeting</w:t>
      </w:r>
      <w:bookmarkEnd w:id="4650"/>
      <w:bookmarkEnd w:id="4651"/>
      <w:bookmarkEnd w:id="4652"/>
      <w:bookmarkEnd w:id="4653"/>
      <w:bookmarkEnd w:id="4654"/>
      <w:bookmarkEnd w:id="4655"/>
      <w:bookmarkEnd w:id="4656"/>
      <w:bookmarkEnd w:id="4657"/>
      <w:bookmarkEnd w:id="4658"/>
      <w:bookmarkEnd w:id="4659"/>
      <w:bookmarkEnd w:id="4660"/>
      <w:bookmarkEnd w:id="4661"/>
    </w:p>
    <w:p>
      <w:pPr>
        <w:jc w:val="both"/>
        <w:rPr>
          <w:noProof/>
        </w:rPr>
      </w:pPr>
      <w:r>
        <w:rPr>
          <w:noProof/>
        </w:rPr>
        <w:t xml:space="preserve">The fourth </w:t>
      </w:r>
      <w:r>
        <w:rPr>
          <w:b/>
          <w:noProof/>
        </w:rPr>
        <w:t>EPA Committee meeting</w:t>
      </w:r>
      <w:r>
        <w:rPr>
          <w:noProof/>
        </w:rPr>
        <w:t xml:space="preserve"> between Cameroon and the EU took place in February 2019 in Yaoundé. During this meeting, the parties signed a Decision on the accession of Croatia to the EU and initialled two draft decisions on dispute settlement (procedures and list of arbitrators). These signatures and initials marked the end of the negotiations of the corresponding files. </w:t>
      </w:r>
    </w:p>
    <w:p>
      <w:pPr>
        <w:jc w:val="both"/>
        <w:rPr>
          <w:noProof/>
        </w:rPr>
      </w:pPr>
    </w:p>
    <w:p>
      <w:pPr>
        <w:jc w:val="both"/>
        <w:rPr>
          <w:noProof/>
        </w:rPr>
      </w:pPr>
      <w:r>
        <w:rPr>
          <w:noProof/>
        </w:rPr>
        <w:t xml:space="preserve">Since the beginning of provisional application, an important issue consisted in adjusting the </w:t>
      </w:r>
      <w:r>
        <w:rPr>
          <w:b/>
          <w:noProof/>
        </w:rPr>
        <w:t>liberalization timetable</w:t>
      </w:r>
      <w:r>
        <w:rPr>
          <w:noProof/>
        </w:rPr>
        <w:t xml:space="preserve"> (2008-2023) of the EU products to the delay in implementation resulting from Cameroon's EPA ratification in 2014. During the last EPA Committee, the parties reached an agreement on the implementation of the liberalisation schedule until 2029. This new schedule takes into account current Cameroon security and economic constraints. Cameroon official commitment to the schedule will provide predictability for parties and particularly for economic operators.</w:t>
      </w:r>
    </w:p>
    <w:p>
      <w:pPr>
        <w:jc w:val="both"/>
        <w:rPr>
          <w:noProof/>
        </w:rPr>
      </w:pPr>
    </w:p>
    <w:p>
      <w:pPr>
        <w:jc w:val="both"/>
        <w:rPr>
          <w:noProof/>
        </w:rPr>
      </w:pPr>
      <w:r>
        <w:rPr>
          <w:noProof/>
        </w:rPr>
        <w:t>One of the main points of discussion was the assessment of the tariff dismantling process monitored by the Cameroon Customs and its impact in terms of products concerned and customs revenue losses (see 2.1 Trade in goods). However, we are still at the beginning of the process and the real impact of the liberalisation, the final beneficiaries and the effects on the economy remain to be identified.</w:t>
      </w:r>
    </w:p>
    <w:p>
      <w:pPr>
        <w:jc w:val="both"/>
        <w:rPr>
          <w:noProof/>
        </w:rPr>
      </w:pPr>
    </w:p>
    <w:p>
      <w:pPr>
        <w:jc w:val="both"/>
        <w:rPr>
          <w:noProof/>
        </w:rPr>
      </w:pPr>
      <w:r>
        <w:rPr>
          <w:noProof/>
        </w:rPr>
        <w:t xml:space="preserve">Two projects currently in progress are the elaboration of an </w:t>
      </w:r>
      <w:r>
        <w:rPr>
          <w:b/>
          <w:noProof/>
        </w:rPr>
        <w:t>EPA Implementation Plan</w:t>
      </w:r>
      <w:r>
        <w:rPr>
          <w:noProof/>
        </w:rPr>
        <w:t xml:space="preserve"> and a </w:t>
      </w:r>
      <w:r>
        <w:rPr>
          <w:b/>
          <w:noProof/>
        </w:rPr>
        <w:t>study on overall fiscal impact</w:t>
      </w:r>
      <w:r>
        <w:rPr>
          <w:noProof/>
        </w:rPr>
        <w:t xml:space="preserve">, both to be concluded during the second half of 2019. The EPA Implementation Plan aims to identify accompanying measures, particularly in terms of development cooperation and domestic reforms, to ensure that the country reaps full benefits from the EPA. The study on fiscal impact will help to define priority actions in the field of fiscal transition, to diversify revenue away from tariff duty collection. </w:t>
      </w:r>
    </w:p>
    <w:p>
      <w:pPr>
        <w:jc w:val="both"/>
        <w:rPr>
          <w:noProof/>
        </w:rPr>
      </w:pPr>
    </w:p>
    <w:p>
      <w:pPr>
        <w:jc w:val="both"/>
        <w:rPr>
          <w:noProof/>
        </w:rPr>
      </w:pPr>
      <w:r>
        <w:rPr>
          <w:noProof/>
        </w:rPr>
        <w:t xml:space="preserve">A common </w:t>
      </w:r>
      <w:r>
        <w:rPr>
          <w:b/>
          <w:noProof/>
        </w:rPr>
        <w:t>protocol of rules of origin</w:t>
      </w:r>
      <w:r>
        <w:rPr>
          <w:noProof/>
        </w:rPr>
        <w:t xml:space="preserve"> was not included in the EPA at the time the parties concluded the negotiations of the agreement in 2007. Negotiations of a protocol started end 2016 and are still ongoing. After conclusion of the negotiations, the parties will annex the protocol to the agreement. In the meantime, Cameroon benefits from the general EPA rules of origin included in EU Market Access Regulation 2016/1076. Before starting liberalization, Cameroon published a decree on rules of origin applicable to products imported from the EU (Decree 2016/367, 3 August 2016). </w:t>
      </w:r>
    </w:p>
    <w:p>
      <w:pPr>
        <w:jc w:val="both"/>
        <w:rPr>
          <w:noProof/>
        </w:rPr>
      </w:pPr>
    </w:p>
    <w:p>
      <w:pPr>
        <w:jc w:val="both"/>
        <w:rPr>
          <w:noProof/>
        </w:rPr>
      </w:pPr>
      <w:r>
        <w:rPr>
          <w:noProof/>
        </w:rPr>
        <w:t xml:space="preserve">During the last EPA committee meeting, the parties took stock of the current negotiations on the protocol on Rules of Origin. The negotiations between experts should resume soon and a conclusion is foreseen before the next EPA Committee. </w:t>
      </w:r>
    </w:p>
    <w:p>
      <w:pPr>
        <w:jc w:val="both"/>
        <w:rPr>
          <w:noProof/>
        </w:rPr>
      </w:pPr>
    </w:p>
    <w:p>
      <w:pPr>
        <w:tabs>
          <w:tab w:val="left" w:pos="2127"/>
        </w:tabs>
        <w:jc w:val="both"/>
        <w:rPr>
          <w:noProof/>
        </w:rPr>
      </w:pPr>
      <w:r>
        <w:rPr>
          <w:noProof/>
        </w:rPr>
        <w:t xml:space="preserve">The parties agreed to develop a </w:t>
      </w:r>
      <w:r>
        <w:rPr>
          <w:b/>
          <w:noProof/>
        </w:rPr>
        <w:t>monitoring system</w:t>
      </w:r>
      <w:r>
        <w:rPr>
          <w:noProof/>
        </w:rPr>
        <w:t xml:space="preserve"> for the agreement. This monitoring will make it possible to monitor the implementation of the agreement, identify its impacts on Cameroon value chains and consumers, and will contribute to the identification of political correction or incentive measures.</w:t>
      </w:r>
    </w:p>
    <w:p>
      <w:pPr>
        <w:tabs>
          <w:tab w:val="left" w:pos="2127"/>
        </w:tabs>
        <w:jc w:val="both"/>
        <w:rPr>
          <w:noProof/>
        </w:rPr>
      </w:pPr>
    </w:p>
    <w:p>
      <w:pPr>
        <w:jc w:val="both"/>
        <w:rPr>
          <w:noProof/>
        </w:rPr>
      </w:pPr>
      <w:r>
        <w:rPr>
          <w:noProof/>
        </w:rPr>
        <w:t>The parties also discussed trade barriers, Cameroonian export taxes and internal taxes/levies on imports.</w:t>
      </w:r>
    </w:p>
    <w:p>
      <w:pPr>
        <w:pStyle w:val="ManualHeading1"/>
      </w:pPr>
      <w:bookmarkStart w:id="4662" w:name="_Toc8833847"/>
      <w:bookmarkStart w:id="4663" w:name="_Toc8835674"/>
      <w:bookmarkStart w:id="4664" w:name="_Toc8834305"/>
      <w:bookmarkStart w:id="4665" w:name="_Toc8909766"/>
      <w:bookmarkStart w:id="4666" w:name="_Toc8910978"/>
      <w:bookmarkStart w:id="4667" w:name="_Toc8912015"/>
      <w:bookmarkStart w:id="4668" w:name="_Toc8974836"/>
      <w:bookmarkStart w:id="4669" w:name="_Toc9008489"/>
      <w:bookmarkStart w:id="4670" w:name="_Toc9008892"/>
      <w:bookmarkStart w:id="4671" w:name="_Toc9348888"/>
      <w:bookmarkStart w:id="4672" w:name="_Toc9608356"/>
      <w:bookmarkStart w:id="4673" w:name="_Toc16000911"/>
      <w:r>
        <w:t>4.</w:t>
      </w:r>
      <w:r>
        <w:tab/>
        <w:t>Development Cooperation</w:t>
      </w:r>
      <w:bookmarkEnd w:id="4662"/>
      <w:bookmarkEnd w:id="4663"/>
      <w:bookmarkEnd w:id="4664"/>
      <w:bookmarkEnd w:id="4665"/>
      <w:bookmarkEnd w:id="4666"/>
      <w:bookmarkEnd w:id="4667"/>
      <w:bookmarkEnd w:id="4668"/>
      <w:bookmarkEnd w:id="4669"/>
      <w:bookmarkEnd w:id="4670"/>
      <w:bookmarkEnd w:id="4671"/>
      <w:bookmarkEnd w:id="4672"/>
      <w:bookmarkEnd w:id="4673"/>
    </w:p>
    <w:p>
      <w:pPr>
        <w:jc w:val="both"/>
        <w:rPr>
          <w:noProof/>
        </w:rPr>
      </w:pPr>
      <w:r>
        <w:rPr>
          <w:noProof/>
        </w:rPr>
        <w:t xml:space="preserve">In 2018, the EU supported Cameroun in elaborating a National EPA Implementation Strategy that will guide future EPA-related support. The EU also facilitated a study on evaluating the net fiscal impact of the EPA, thereby strengthening the economic modelling competences of principal government actors and supporting the identification of possible compensation and absorption measures. Both projects will be completed in 2019. </w:t>
      </w:r>
    </w:p>
    <w:p>
      <w:pPr>
        <w:jc w:val="both"/>
        <w:rPr>
          <w:noProof/>
        </w:rPr>
      </w:pPr>
    </w:p>
    <w:p>
      <w:pPr>
        <w:jc w:val="both"/>
        <w:rPr>
          <w:noProof/>
        </w:rPr>
      </w:pPr>
      <w:r>
        <w:rPr>
          <w:noProof/>
        </w:rPr>
        <w:t xml:space="preserve">Development assistance from the EU in recent years focussed particularly on strengthening productivity and competitiveness. In 2018, the programme </w:t>
      </w:r>
      <w:r>
        <w:rPr>
          <w:b/>
          <w:bCs/>
          <w:noProof/>
        </w:rPr>
        <w:t>Programme d'appui à l'amélioration de la compétitivité de l'économie camerounaise (PACOM)</w:t>
      </w:r>
      <w:r>
        <w:rPr>
          <w:b/>
          <w:bCs/>
          <w:i/>
          <w:iCs/>
          <w:noProof/>
        </w:rPr>
        <w:t xml:space="preserve"> </w:t>
      </w:r>
      <w:r>
        <w:rPr>
          <w:b/>
          <w:bCs/>
          <w:noProof/>
        </w:rPr>
        <w:t xml:space="preserve">(€10 million 2014-2018), </w:t>
      </w:r>
      <w:r>
        <w:rPr>
          <w:noProof/>
        </w:rPr>
        <w:t xml:space="preserve">which supported Cameroonian firms in upgrading their productive equipment and production processes and in acquiring international quality certifications (ISO, OHSAS), as well as improving the overall business environment, came to an end. Some results achieved by the end of the programme include: </w:t>
      </w:r>
    </w:p>
    <w:p>
      <w:pPr>
        <w:pStyle w:val="ListParagraph"/>
        <w:numPr>
          <w:ilvl w:val="0"/>
          <w:numId w:val="36"/>
        </w:num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creation of an e-registration portal for companies (mybusiness.cm);</w:t>
      </w:r>
    </w:p>
    <w:p>
      <w:pPr>
        <w:pStyle w:val="ListParagraph"/>
        <w:numPr>
          <w:ilvl w:val="0"/>
          <w:numId w:val="36"/>
        </w:num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establishment and operationalization of the Centre technique agro-alimentaire du Cameroun (</w:t>
      </w:r>
      <w:hyperlink r:id="rId55">
        <w:r>
          <w:rPr>
            <w:rStyle w:val="Hyperlink"/>
            <w:rFonts w:ascii="Times New Roman" w:hAnsi="Times New Roman" w:cs="Times New Roman"/>
            <w:noProof/>
          </w:rPr>
          <w:t>http://cta-cameroun.org/</w:t>
        </w:r>
      </w:hyperlink>
      <w:r>
        <w:rPr>
          <w:rFonts w:ascii="Times New Roman" w:hAnsi="Times New Roman" w:cs="Times New Roman"/>
          <w:noProof/>
          <w:sz w:val="24"/>
          <w:szCs w:val="24"/>
        </w:rPr>
        <w:t xml:space="preserve">), including training of staff, purchasing of equipment and international standardization; </w:t>
      </w:r>
    </w:p>
    <w:p>
      <w:pPr>
        <w:pStyle w:val="ListParagraph"/>
        <w:numPr>
          <w:ilvl w:val="0"/>
          <w:numId w:val="36"/>
        </w:num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Capacity building for the National Standards Agency (ANOR), resulting in 30 companies accompanied in the process for achieving ISO certification, 8 companies ISO-certified, over 30 information session organised, and an increase in the number of international norms transposed in Cameroun from 850 in 2013 to 2,600 in 2018.</w:t>
      </w:r>
    </w:p>
    <w:p>
      <w:pPr>
        <w:jc w:val="both"/>
        <w:rPr>
          <w:noProof/>
        </w:rPr>
      </w:pPr>
      <w:r>
        <w:rPr>
          <w:noProof/>
        </w:rPr>
        <w:t xml:space="preserve">As a follow up, </w:t>
      </w:r>
      <w:r>
        <w:rPr>
          <w:b/>
          <w:bCs/>
          <w:noProof/>
        </w:rPr>
        <w:t>Dispositif d'appui à la compétitivité du Cameroun</w:t>
      </w:r>
      <w:r>
        <w:rPr>
          <w:b/>
          <w:bCs/>
          <w:i/>
          <w:iCs/>
          <w:noProof/>
        </w:rPr>
        <w:t xml:space="preserve"> </w:t>
      </w:r>
      <w:r>
        <w:rPr>
          <w:b/>
          <w:bCs/>
          <w:noProof/>
        </w:rPr>
        <w:t>(DACC),</w:t>
      </w:r>
      <w:r>
        <w:rPr>
          <w:noProof/>
        </w:rPr>
        <w:t xml:space="preserve"> a €10 million programme under the 11</w:t>
      </w:r>
      <w:r>
        <w:rPr>
          <w:noProof/>
          <w:vertAlign w:val="superscript"/>
        </w:rPr>
        <w:t>th</w:t>
      </w:r>
      <w:r>
        <w:rPr>
          <w:noProof/>
        </w:rPr>
        <w:t xml:space="preserve"> European Development Fund (EDF), has been launched mid-2018. It will provide direct support to companies, start-ups and intermediary organizations and will improve the provision of business services. </w:t>
      </w:r>
    </w:p>
    <w:p>
      <w:pPr>
        <w:jc w:val="both"/>
        <w:rPr>
          <w:noProof/>
        </w:rPr>
      </w:pPr>
    </w:p>
    <w:p>
      <w:pPr>
        <w:jc w:val="both"/>
        <w:rPr>
          <w:noProof/>
          <w:lang w:val="en-IE"/>
        </w:rPr>
      </w:pPr>
      <w:r>
        <w:rPr>
          <w:noProof/>
        </w:rPr>
        <w:t xml:space="preserve">In the agricultural sector, the EU provides </w:t>
      </w:r>
      <w:r>
        <w:rPr>
          <w:b/>
          <w:bCs/>
          <w:noProof/>
        </w:rPr>
        <w:t>budget support (</w:t>
      </w:r>
      <w:r>
        <w:rPr>
          <w:b/>
          <w:bCs/>
          <w:noProof/>
          <w:lang w:val="en-IE"/>
        </w:rPr>
        <w:t>€24 million in 2018</w:t>
      </w:r>
      <w:r>
        <w:rPr>
          <w:noProof/>
          <w:lang w:val="en-IE"/>
        </w:rPr>
        <w:t xml:space="preserve">, out of a total €100 million for the period 2017-2019) to improve the distribution and access to seeds and fertilizers, to improve agricultural productivity and competitiveness. </w:t>
      </w:r>
      <w:r>
        <w:rPr>
          <w:b/>
          <w:bCs/>
          <w:noProof/>
          <w:lang w:val="en-IE"/>
        </w:rPr>
        <w:t>Support measures for the banana sector</w:t>
      </w:r>
      <w:r>
        <w:rPr>
          <w:noProof/>
          <w:lang w:val="en-IE"/>
        </w:rPr>
        <w:t xml:space="preserve"> are also still in place (€48 million, 2015-2020). EU Member States provide support to individual value chains (e.g. beef, chicken) and France in particular started in 2018 a €30 million project (TRANSFAGRI), combining budget support and technical assistance to strengthen financial and non-financial services to SMEs in the agri-food sector. </w:t>
      </w:r>
    </w:p>
    <w:p>
      <w:pPr>
        <w:jc w:val="both"/>
        <w:rPr>
          <w:noProof/>
        </w:rPr>
      </w:pPr>
      <w:r>
        <w:rPr>
          <w:noProof/>
        </w:rPr>
        <w:t xml:space="preserve">In 2018, preparations started for the regional project </w:t>
      </w:r>
      <w:r>
        <w:rPr>
          <w:i/>
          <w:iCs/>
          <w:noProof/>
        </w:rPr>
        <w:t>Programme d’Appui à l’Intégration Régionale et à l’Investissement en Afrique Centrale (PAIRIAC)</w:t>
      </w:r>
      <w:r>
        <w:rPr>
          <w:noProof/>
        </w:rPr>
        <w:t xml:space="preserve"> (€19 million) which will include support to EPA implementation and outreach in Cameroun, along with for example capacity development on the implementation and monitoring of SPS and private standards such as GlobalGAP. </w:t>
      </w:r>
    </w:p>
    <w:p>
      <w:pPr>
        <w:jc w:val="both"/>
        <w:rPr>
          <w:noProof/>
        </w:rPr>
      </w:pPr>
    </w:p>
    <w:p>
      <w:pPr>
        <w:jc w:val="both"/>
        <w:rPr>
          <w:noProof/>
        </w:rPr>
      </w:pPr>
      <w:r>
        <w:rPr>
          <w:noProof/>
        </w:rPr>
        <w:t xml:space="preserve">Finally, throughout 2018, the Cameroonian Administration and the EU Delegation to Cameroon organized various outreach and awareness raising events on the EPA with civil society, media, academia and private sector representatives. </w:t>
      </w:r>
    </w:p>
    <w:p>
      <w:pPr>
        <w:pStyle w:val="ManualHeading1"/>
      </w:pPr>
      <w:bookmarkStart w:id="4674" w:name="_Toc8833848"/>
      <w:bookmarkStart w:id="4675" w:name="_Toc8835675"/>
      <w:bookmarkStart w:id="4676" w:name="_Toc8834306"/>
      <w:bookmarkStart w:id="4677" w:name="_Toc8909767"/>
      <w:bookmarkStart w:id="4678" w:name="_Toc8910979"/>
      <w:bookmarkStart w:id="4679" w:name="_Toc8912016"/>
      <w:bookmarkStart w:id="4680" w:name="_Toc8974837"/>
      <w:bookmarkStart w:id="4681" w:name="_Toc9008490"/>
      <w:bookmarkStart w:id="4682" w:name="_Toc9008893"/>
      <w:bookmarkStart w:id="4683" w:name="_Toc9348889"/>
      <w:bookmarkStart w:id="4684" w:name="_Toc9608357"/>
      <w:bookmarkStart w:id="4685" w:name="_Toc16000912"/>
      <w:r>
        <w:t>5.</w:t>
      </w:r>
      <w:r>
        <w:tab/>
        <w:t>Main open issues and follow-up actions</w:t>
      </w:r>
      <w:bookmarkEnd w:id="4674"/>
      <w:bookmarkEnd w:id="4675"/>
      <w:bookmarkEnd w:id="4676"/>
      <w:bookmarkEnd w:id="4677"/>
      <w:bookmarkEnd w:id="4678"/>
      <w:bookmarkEnd w:id="4679"/>
      <w:bookmarkEnd w:id="4680"/>
      <w:bookmarkEnd w:id="4681"/>
      <w:bookmarkEnd w:id="4682"/>
      <w:bookmarkEnd w:id="4683"/>
      <w:bookmarkEnd w:id="4684"/>
      <w:bookmarkEnd w:id="4685"/>
    </w:p>
    <w:p>
      <w:pPr>
        <w:jc w:val="both"/>
        <w:rPr>
          <w:noProof/>
        </w:rPr>
      </w:pPr>
      <w:r>
        <w:rPr>
          <w:noProof/>
        </w:rPr>
        <w:t>The main important ongoing files are:</w:t>
      </w:r>
    </w:p>
    <w:p>
      <w:pPr>
        <w:pStyle w:val="ListParagraph"/>
        <w:numPr>
          <w:ilvl w:val="0"/>
          <w:numId w:val="38"/>
        </w:numPr>
        <w:jc w:val="both"/>
        <w:rPr>
          <w:rFonts w:ascii="Times New Roman" w:hAnsi="Times New Roman" w:cs="Times New Roman"/>
          <w:noProof/>
          <w:sz w:val="24"/>
          <w:szCs w:val="24"/>
        </w:rPr>
      </w:pPr>
      <w:r>
        <w:rPr>
          <w:rFonts w:ascii="Times New Roman" w:hAnsi="Times New Roman" w:cs="Times New Roman"/>
          <w:noProof/>
          <w:sz w:val="24"/>
          <w:szCs w:val="24"/>
        </w:rPr>
        <w:t>Rules of origin: A conclusion on a common protocol is foreseen before the next EPA Committee;</w:t>
      </w:r>
    </w:p>
    <w:p>
      <w:pPr>
        <w:pStyle w:val="ListParagraph"/>
        <w:numPr>
          <w:ilvl w:val="0"/>
          <w:numId w:val="38"/>
        </w:numPr>
        <w:jc w:val="both"/>
        <w:rPr>
          <w:rFonts w:ascii="Times New Roman" w:hAnsi="Times New Roman" w:cs="Times New Roman"/>
          <w:noProof/>
          <w:sz w:val="24"/>
          <w:szCs w:val="24"/>
        </w:rPr>
      </w:pPr>
      <w:r>
        <w:rPr>
          <w:rFonts w:ascii="Times New Roman" w:hAnsi="Times New Roman" w:cs="Times New Roman"/>
          <w:noProof/>
          <w:sz w:val="24"/>
          <w:szCs w:val="24"/>
        </w:rPr>
        <w:t xml:space="preserve">Monitoring of the Agreement: Parties are planning to intensify discussion on the development of a monitoring system; </w:t>
      </w:r>
    </w:p>
    <w:p>
      <w:pPr>
        <w:pStyle w:val="ListParagraph"/>
        <w:numPr>
          <w:ilvl w:val="0"/>
          <w:numId w:val="38"/>
        </w:numPr>
        <w:jc w:val="both"/>
        <w:rPr>
          <w:rFonts w:ascii="Times New Roman" w:hAnsi="Times New Roman" w:cs="Times New Roman"/>
          <w:noProof/>
          <w:sz w:val="24"/>
          <w:szCs w:val="24"/>
        </w:rPr>
      </w:pPr>
      <w:r>
        <w:rPr>
          <w:rFonts w:ascii="Times New Roman" w:hAnsi="Times New Roman" w:cs="Times New Roman"/>
          <w:noProof/>
          <w:sz w:val="24"/>
          <w:szCs w:val="24"/>
        </w:rPr>
        <w:t>Accompanying measures: On the basis of the ongoing studies and in the post-Cotonou perspective, the parties will reflect on accompanying measures, including development cooperation and reforms;</w:t>
      </w:r>
    </w:p>
    <w:p>
      <w:pPr>
        <w:pStyle w:val="ListParagraph"/>
        <w:numPr>
          <w:ilvl w:val="0"/>
          <w:numId w:val="38"/>
        </w:numPr>
        <w:jc w:val="both"/>
        <w:rPr>
          <w:rFonts w:ascii="Times New Roman" w:hAnsi="Times New Roman" w:cs="Times New Roman"/>
          <w:noProof/>
          <w:sz w:val="24"/>
          <w:szCs w:val="24"/>
        </w:rPr>
      </w:pPr>
      <w:r>
        <w:rPr>
          <w:rFonts w:ascii="Times New Roman" w:hAnsi="Times New Roman" w:cs="Times New Roman"/>
          <w:noProof/>
          <w:sz w:val="24"/>
          <w:szCs w:val="24"/>
        </w:rPr>
        <w:t>Two decisions of the EPA Committee on Dispute Settlement will be signed during the next EPA Committee foreseen in December 2019.</w:t>
      </w:r>
    </w:p>
    <w:p>
      <w:pPr>
        <w:jc w:val="both"/>
        <w:rPr>
          <w:noProof/>
        </w:rPr>
      </w:pPr>
      <w:r>
        <w:rPr>
          <w:noProof/>
        </w:rPr>
        <w:t>In March 2017, the ministers in charge of EPA of the Central African region declared the availability of their countries to study their possible accession to the stepping stone agreement. Contacts are open between the regional organisations and the EU on accession by other Central Africa States to this EPA.</w:t>
      </w:r>
    </w:p>
    <w:p>
      <w:pPr>
        <w:pStyle w:val="ManualHeading1"/>
      </w:pPr>
      <w:bookmarkStart w:id="4686" w:name="_Toc8833849"/>
      <w:bookmarkStart w:id="4687" w:name="_Toc8835676"/>
      <w:bookmarkStart w:id="4688" w:name="_Toc8834307"/>
      <w:bookmarkStart w:id="4689" w:name="_Toc8909768"/>
      <w:bookmarkStart w:id="4690" w:name="_Toc8910980"/>
      <w:bookmarkStart w:id="4691" w:name="_Toc8912017"/>
      <w:bookmarkStart w:id="4692" w:name="_Toc8974838"/>
      <w:bookmarkStart w:id="4693" w:name="_Toc9008491"/>
      <w:bookmarkStart w:id="4694" w:name="_Toc9008894"/>
      <w:bookmarkStart w:id="4695" w:name="_Toc9348890"/>
      <w:bookmarkStart w:id="4696" w:name="_Toc9608358"/>
      <w:bookmarkStart w:id="4697" w:name="_Toc16000913"/>
      <w:r>
        <w:t>6.</w:t>
      </w:r>
      <w:r>
        <w:tab/>
        <w:t>Conclusions and outlook</w:t>
      </w:r>
      <w:bookmarkEnd w:id="4686"/>
      <w:bookmarkEnd w:id="4687"/>
      <w:bookmarkEnd w:id="4688"/>
      <w:bookmarkEnd w:id="4689"/>
      <w:bookmarkEnd w:id="4690"/>
      <w:bookmarkEnd w:id="4691"/>
      <w:bookmarkEnd w:id="4692"/>
      <w:bookmarkEnd w:id="4693"/>
      <w:bookmarkEnd w:id="4694"/>
      <w:bookmarkEnd w:id="4695"/>
      <w:bookmarkEnd w:id="4696"/>
      <w:bookmarkEnd w:id="4697"/>
    </w:p>
    <w:p>
      <w:pPr>
        <w:jc w:val="both"/>
        <w:rPr>
          <w:noProof/>
        </w:rPr>
      </w:pPr>
      <w:r>
        <w:rPr>
          <w:noProof/>
        </w:rPr>
        <w:t xml:space="preserve">In 2018, Cameroon took again important steps in implementing its commitments, culminating in significant tariff cuts. While it is too early to discern any impact on trade and investment flows in 2018, there was a clear increase in the number of import declarations from the EU in Cameroon, without major additional revenue losses. </w:t>
      </w:r>
    </w:p>
    <w:p>
      <w:pPr>
        <w:jc w:val="both"/>
        <w:rPr>
          <w:noProof/>
        </w:rPr>
      </w:pPr>
    </w:p>
    <w:p>
      <w:pPr>
        <w:jc w:val="both"/>
        <w:rPr>
          <w:noProof/>
        </w:rPr>
      </w:pPr>
      <w:r>
        <w:rPr>
          <w:noProof/>
        </w:rPr>
        <w:t>The implementation of the agreement is now in its cruising phase. Several cases have been completed recently (Croatia accession, liberalisation schedule, dispute settlement) and others are expected to be launched soon (accompanying measures, monitoring). The discussion on rules of origin should be concluded by the end of 2019.</w:t>
      </w:r>
    </w:p>
    <w:p>
      <w:pPr>
        <w:jc w:val="both"/>
        <w:rPr>
          <w:noProof/>
        </w:rPr>
      </w:pPr>
    </w:p>
    <w:p>
      <w:pPr>
        <w:jc w:val="both"/>
        <w:rPr>
          <w:noProof/>
        </w:rPr>
      </w:pPr>
      <w:r>
        <w:rPr>
          <w:noProof/>
        </w:rPr>
        <w:t>Uncertainty remains as to the effective resumption of negotiations and the possibility of extending the agreement to other Central Africa countries.</w:t>
      </w:r>
    </w:p>
    <w:p>
      <w:pPr>
        <w:jc w:val="both"/>
        <w:rPr>
          <w:noProof/>
        </w:rPr>
      </w:pPr>
    </w:p>
    <w:p>
      <w:pPr>
        <w:pStyle w:val="ManualHeading1"/>
      </w:pPr>
      <w:bookmarkStart w:id="4698" w:name="_Toc8833850"/>
      <w:bookmarkStart w:id="4699" w:name="_Toc8835677"/>
      <w:bookmarkStart w:id="4700" w:name="_Toc8834308"/>
      <w:bookmarkStart w:id="4701" w:name="_Toc8909769"/>
      <w:bookmarkStart w:id="4702" w:name="_Toc8910981"/>
      <w:bookmarkStart w:id="4703" w:name="_Toc8912018"/>
      <w:bookmarkStart w:id="4704" w:name="_Toc8974839"/>
      <w:bookmarkStart w:id="4705" w:name="_Toc9008492"/>
      <w:bookmarkStart w:id="4706" w:name="_Toc9008895"/>
      <w:bookmarkStart w:id="4707" w:name="_Toc9348891"/>
      <w:bookmarkStart w:id="4708" w:name="_Toc9608359"/>
      <w:bookmarkStart w:id="4709" w:name="_Toc16000914"/>
      <w:r>
        <w:t>7.</w:t>
      </w:r>
      <w:r>
        <w:tab/>
        <w:t>Statistics</w:t>
      </w:r>
      <w:bookmarkEnd w:id="4698"/>
      <w:bookmarkEnd w:id="4699"/>
      <w:bookmarkEnd w:id="4700"/>
      <w:bookmarkEnd w:id="4701"/>
      <w:bookmarkEnd w:id="4702"/>
      <w:bookmarkEnd w:id="4703"/>
      <w:bookmarkEnd w:id="4704"/>
      <w:bookmarkEnd w:id="4705"/>
      <w:bookmarkEnd w:id="4706"/>
      <w:bookmarkEnd w:id="4707"/>
      <w:bookmarkEnd w:id="4708"/>
      <w:bookmarkEnd w:id="4709"/>
    </w:p>
    <w:tbl>
      <w:tblPr>
        <w:tblW w:w="8199" w:type="dxa"/>
        <w:tblInd w:w="108" w:type="dxa"/>
        <w:tblLook w:val="04A0" w:firstRow="1" w:lastRow="0" w:firstColumn="1" w:lastColumn="0" w:noHBand="0" w:noVBand="1"/>
      </w:tblPr>
      <w:tblGrid>
        <w:gridCol w:w="3839"/>
        <w:gridCol w:w="856"/>
        <w:gridCol w:w="856"/>
        <w:gridCol w:w="936"/>
        <w:gridCol w:w="856"/>
        <w:gridCol w:w="856"/>
      </w:tblGrid>
      <w:tr>
        <w:trPr>
          <w:trHeight w:val="210"/>
        </w:trPr>
        <w:tc>
          <w:tcPr>
            <w:tcW w:w="3839" w:type="dxa"/>
            <w:tcBorders>
              <w:top w:val="nil"/>
              <w:left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936" w:type="dxa"/>
            <w:tcBorders>
              <w:top w:val="nil"/>
              <w:left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10"/>
        </w:trPr>
        <w:tc>
          <w:tcPr>
            <w:tcW w:w="8199" w:type="dxa"/>
            <w:gridSpan w:val="6"/>
            <w:tcBorders>
              <w:left w:val="nil"/>
              <w:bottom w:val="nil"/>
              <w:right w:val="nil"/>
            </w:tcBorders>
            <w:shd w:val="clear" w:color="000000" w:fill="FFFFFF"/>
            <w:noWrap/>
            <w:vAlign w:val="center"/>
            <w:hideMark/>
          </w:tcPr>
          <w:p>
            <w:pPr>
              <w:jc w:val="center"/>
              <w:rPr>
                <w:rFonts w:eastAsia="Times New Roman"/>
                <w:b/>
                <w:noProof/>
                <w:sz w:val="16"/>
                <w:szCs w:val="16"/>
                <w:lang w:val="en-IE" w:eastAsia="en-IE"/>
              </w:rPr>
            </w:pPr>
            <w:r>
              <w:rPr>
                <w:rFonts w:eastAsia="Times New Roman"/>
                <w:b/>
                <w:noProof/>
                <w:sz w:val="16"/>
                <w:szCs w:val="16"/>
                <w:lang w:val="en-IE" w:eastAsia="en-IE"/>
              </w:rPr>
              <w:t xml:space="preserve">Merchandise trade EU28 </w:t>
            </w:r>
            <w:r>
              <w:rPr>
                <w:rFonts w:eastAsia="Times New Roman"/>
                <w:b/>
                <w:bCs/>
                <w:noProof/>
                <w:sz w:val="16"/>
                <w:szCs w:val="16"/>
                <w:lang w:val="en-IE" w:eastAsia="en-IE"/>
              </w:rPr>
              <w:t xml:space="preserve">with Cameroon </w:t>
            </w:r>
            <w:r>
              <w:rPr>
                <w:rFonts w:eastAsia="Times New Roman"/>
                <w:b/>
                <w:noProof/>
                <w:sz w:val="16"/>
                <w:szCs w:val="16"/>
                <w:lang w:val="en-IE" w:eastAsia="en-IE"/>
              </w:rPr>
              <w:t>2014-2018</w:t>
            </w:r>
          </w:p>
        </w:tc>
      </w:tr>
      <w:tr>
        <w:trPr>
          <w:trHeight w:val="210"/>
        </w:trPr>
        <w:tc>
          <w:tcPr>
            <w:tcW w:w="3839" w:type="dxa"/>
            <w:tcBorders>
              <w:top w:val="single" w:sz="4" w:space="0" w:color="auto"/>
              <w:left w:val="nil"/>
              <w:bottom w:val="single" w:sz="4" w:space="0" w:color="auto"/>
              <w:right w:val="nil"/>
            </w:tcBorders>
            <w:shd w:val="clear" w:color="000000" w:fill="FFFFFF"/>
            <w:noWrap/>
            <w:vAlign w:val="bottom"/>
            <w:hideMark/>
          </w:tcPr>
          <w:p>
            <w:pPr>
              <w:rPr>
                <w:rFonts w:eastAsia="Times New Roman"/>
                <w:b/>
                <w:noProof/>
                <w:sz w:val="16"/>
                <w:szCs w:val="16"/>
                <w:lang w:val="en-IE" w:eastAsia="en-IE"/>
              </w:rPr>
            </w:pPr>
            <w:r>
              <w:rPr>
                <w:rFonts w:eastAsia="Times New Roman"/>
                <w:b/>
                <w:noProof/>
                <w:sz w:val="16"/>
                <w:szCs w:val="16"/>
                <w:lang w:val="en-IE" w:eastAsia="en-IE"/>
              </w:rPr>
              <w:t> </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noProof/>
                <w:sz w:val="16"/>
                <w:szCs w:val="16"/>
                <w:lang w:val="en-IE" w:eastAsia="en-IE"/>
              </w:rPr>
            </w:pPr>
            <w:r>
              <w:rPr>
                <w:rFonts w:eastAsia="Times New Roman"/>
                <w:b/>
                <w:noProof/>
                <w:sz w:val="16"/>
                <w:szCs w:val="16"/>
                <w:lang w:val="en-IE" w:eastAsia="en-IE"/>
              </w:rPr>
              <w:t>2014</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noProof/>
                <w:sz w:val="16"/>
                <w:szCs w:val="16"/>
                <w:lang w:val="en-IE" w:eastAsia="en-IE"/>
              </w:rPr>
            </w:pPr>
            <w:r>
              <w:rPr>
                <w:rFonts w:eastAsia="Times New Roman"/>
                <w:b/>
                <w:noProof/>
                <w:sz w:val="16"/>
                <w:szCs w:val="16"/>
                <w:lang w:val="en-IE" w:eastAsia="en-IE"/>
              </w:rPr>
              <w:t>2015</w:t>
            </w:r>
          </w:p>
        </w:tc>
        <w:tc>
          <w:tcPr>
            <w:tcW w:w="93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noProof/>
                <w:sz w:val="16"/>
                <w:szCs w:val="16"/>
                <w:lang w:val="en-IE" w:eastAsia="en-IE"/>
              </w:rPr>
            </w:pPr>
            <w:r>
              <w:rPr>
                <w:rFonts w:eastAsia="Times New Roman"/>
                <w:b/>
                <w:noProof/>
                <w:sz w:val="16"/>
                <w:szCs w:val="16"/>
                <w:lang w:val="en-IE" w:eastAsia="en-IE"/>
              </w:rPr>
              <w:t>2016</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noProof/>
                <w:sz w:val="16"/>
                <w:szCs w:val="16"/>
                <w:lang w:val="en-IE" w:eastAsia="en-IE"/>
              </w:rPr>
            </w:pPr>
            <w:r>
              <w:rPr>
                <w:rFonts w:eastAsia="Times New Roman"/>
                <w:b/>
                <w:noProof/>
                <w:sz w:val="16"/>
                <w:szCs w:val="16"/>
                <w:lang w:val="en-IE" w:eastAsia="en-IE"/>
              </w:rPr>
              <w:t>2017</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noProof/>
                <w:sz w:val="16"/>
                <w:szCs w:val="16"/>
                <w:lang w:val="en-IE" w:eastAsia="en-IE"/>
              </w:rPr>
            </w:pPr>
            <w:r>
              <w:rPr>
                <w:rFonts w:eastAsia="Times New Roman"/>
                <w:b/>
                <w:noProof/>
                <w:sz w:val="16"/>
                <w:szCs w:val="16"/>
                <w:lang w:val="en-IE" w:eastAsia="en-IE"/>
              </w:rPr>
              <w:t>2018</w:t>
            </w:r>
          </w:p>
        </w:tc>
      </w:tr>
      <w:tr>
        <w:trPr>
          <w:trHeight w:val="210"/>
        </w:trPr>
        <w:tc>
          <w:tcPr>
            <w:tcW w:w="3839" w:type="dxa"/>
            <w:tcBorders>
              <w:top w:val="nil"/>
              <w:left w:val="nil"/>
              <w:bottom w:val="nil"/>
              <w:right w:val="nil"/>
            </w:tcBorders>
            <w:shd w:val="clear" w:color="000000" w:fill="FFFFFF"/>
            <w:noWrap/>
            <w:vAlign w:val="center"/>
            <w:hideMark/>
          </w:tcPr>
          <w:p>
            <w:pPr>
              <w:rPr>
                <w:rFonts w:eastAsia="Times New Roman"/>
                <w:b/>
                <w:i/>
                <w:noProof/>
                <w:sz w:val="16"/>
                <w:szCs w:val="16"/>
                <w:lang w:val="en-IE" w:eastAsia="en-IE"/>
              </w:rPr>
            </w:pPr>
            <w:r>
              <w:rPr>
                <w:rFonts w:eastAsia="Times New Roman"/>
                <w:b/>
                <w:i/>
                <w:noProof/>
                <w:sz w:val="16"/>
                <w:szCs w:val="16"/>
                <w:lang w:val="en-IE" w:eastAsia="en-IE"/>
              </w:rPr>
              <w:t>EU28 trade with Cameroon (mio €)</w:t>
            </w:r>
          </w:p>
        </w:tc>
        <w:tc>
          <w:tcPr>
            <w:tcW w:w="856" w:type="dxa"/>
            <w:tcBorders>
              <w:top w:val="nil"/>
              <w:left w:val="nil"/>
              <w:bottom w:val="nil"/>
              <w:right w:val="nil"/>
            </w:tcBorders>
            <w:shd w:val="clear" w:color="auto" w:fill="auto"/>
            <w:noWrap/>
            <w:vAlign w:val="center"/>
            <w:hideMark/>
          </w:tcPr>
          <w:p>
            <w:pPr>
              <w:jc w:val="center"/>
              <w:rPr>
                <w:rFonts w:eastAsia="Times New Roman"/>
                <w:b/>
                <w:i/>
                <w:noProof/>
                <w:sz w:val="16"/>
                <w:szCs w:val="16"/>
                <w:lang w:val="en-IE" w:eastAsia="en-IE"/>
              </w:rPr>
            </w:pPr>
          </w:p>
        </w:tc>
        <w:tc>
          <w:tcPr>
            <w:tcW w:w="856" w:type="dxa"/>
            <w:tcBorders>
              <w:top w:val="nil"/>
              <w:left w:val="nil"/>
              <w:bottom w:val="nil"/>
              <w:right w:val="nil"/>
            </w:tcBorders>
            <w:shd w:val="clear" w:color="000000" w:fill="FFFFFF"/>
            <w:noWrap/>
            <w:vAlign w:val="center"/>
            <w:hideMark/>
          </w:tcPr>
          <w:p>
            <w:pPr>
              <w:rPr>
                <w:rFonts w:eastAsia="Times New Roman"/>
                <w:b/>
                <w:i/>
                <w:noProof/>
                <w:sz w:val="16"/>
                <w:szCs w:val="16"/>
                <w:lang w:val="en-IE" w:eastAsia="en-IE"/>
              </w:rPr>
            </w:pPr>
            <w:r>
              <w:rPr>
                <w:rFonts w:eastAsia="Times New Roman"/>
                <w:b/>
                <w:i/>
                <w:noProof/>
                <w:sz w:val="16"/>
                <w:szCs w:val="16"/>
                <w:lang w:val="en-IE" w:eastAsia="en-IE"/>
              </w:rPr>
              <w:t> </w:t>
            </w:r>
          </w:p>
        </w:tc>
        <w:tc>
          <w:tcPr>
            <w:tcW w:w="936" w:type="dxa"/>
            <w:tcBorders>
              <w:top w:val="nil"/>
              <w:left w:val="nil"/>
              <w:bottom w:val="nil"/>
              <w:right w:val="nil"/>
            </w:tcBorders>
            <w:shd w:val="clear" w:color="000000" w:fill="FFFFFF"/>
            <w:noWrap/>
            <w:vAlign w:val="center"/>
            <w:hideMark/>
          </w:tcPr>
          <w:p>
            <w:pPr>
              <w:rPr>
                <w:rFonts w:eastAsia="Times New Roman"/>
                <w:b/>
                <w:i/>
                <w:noProof/>
                <w:sz w:val="16"/>
                <w:szCs w:val="16"/>
                <w:lang w:val="en-IE" w:eastAsia="en-IE"/>
              </w:rPr>
            </w:pPr>
            <w:r>
              <w:rPr>
                <w:rFonts w:eastAsia="Times New Roman"/>
                <w:b/>
                <w:i/>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i/>
                <w:noProof/>
                <w:sz w:val="16"/>
                <w:szCs w:val="16"/>
                <w:lang w:val="en-IE" w:eastAsia="en-IE"/>
              </w:rPr>
            </w:pPr>
            <w:r>
              <w:rPr>
                <w:rFonts w:eastAsia="Times New Roman"/>
                <w:b/>
                <w:i/>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i/>
                <w:noProof/>
                <w:sz w:val="16"/>
                <w:szCs w:val="16"/>
                <w:lang w:val="en-IE" w:eastAsia="en-IE"/>
              </w:rPr>
            </w:pPr>
            <w:r>
              <w:rPr>
                <w:rFonts w:eastAsia="Times New Roman"/>
                <w:b/>
                <w:i/>
                <w:noProof/>
                <w:sz w:val="16"/>
                <w:szCs w:val="16"/>
                <w:lang w:val="en-IE" w:eastAsia="en-IE"/>
              </w:rPr>
              <w:t> </w:t>
            </w:r>
          </w:p>
        </w:tc>
      </w:tr>
      <w:tr>
        <w:trPr>
          <w:trHeight w:val="210"/>
        </w:trPr>
        <w:tc>
          <w:tcPr>
            <w:tcW w:w="383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2.150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1.799</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1.771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1.924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1.778</w:t>
            </w:r>
          </w:p>
        </w:tc>
      </w:tr>
      <w:tr>
        <w:trPr>
          <w:trHeight w:val="210"/>
        </w:trPr>
        <w:tc>
          <w:tcPr>
            <w:tcW w:w="383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1.631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1.581</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1.564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1.471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1.577</w:t>
            </w:r>
          </w:p>
        </w:tc>
      </w:tr>
      <w:tr>
        <w:trPr>
          <w:trHeight w:val="210"/>
        </w:trPr>
        <w:tc>
          <w:tcPr>
            <w:tcW w:w="383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-520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-218</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-452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-201</w:t>
            </w:r>
          </w:p>
        </w:tc>
      </w:tr>
      <w:tr>
        <w:trPr>
          <w:trHeight w:val="210"/>
        </w:trPr>
        <w:tc>
          <w:tcPr>
            <w:tcW w:w="5551" w:type="dxa"/>
            <w:gridSpan w:val="3"/>
            <w:tcBorders>
              <w:top w:val="nil"/>
              <w:left w:val="nil"/>
              <w:bottom w:val="nil"/>
              <w:right w:val="nil"/>
            </w:tcBorders>
            <w:shd w:val="clear" w:color="000000" w:fill="FFFFFF"/>
            <w:noWrap/>
            <w:vAlign w:val="center"/>
            <w:hideMark/>
          </w:tcPr>
          <w:p>
            <w:pPr>
              <w:rPr>
                <w:rFonts w:eastAsia="Times New Roman"/>
                <w:b/>
                <w:i/>
                <w:noProof/>
                <w:sz w:val="16"/>
                <w:szCs w:val="16"/>
                <w:lang w:val="en-IE" w:eastAsia="en-IE"/>
              </w:rPr>
            </w:pPr>
            <w:r>
              <w:rPr>
                <w:rFonts w:eastAsia="Times New Roman"/>
                <w:b/>
                <w:bCs/>
                <w:i/>
                <w:iCs/>
                <w:noProof/>
                <w:sz w:val="16"/>
                <w:szCs w:val="16"/>
                <w:lang w:val="en-IE" w:eastAsia="en-IE"/>
              </w:rPr>
              <w:t>Share Cameroon in EU28 trade with Extra-EU28</w:t>
            </w:r>
          </w:p>
        </w:tc>
        <w:tc>
          <w:tcPr>
            <w:tcW w:w="936" w:type="dxa"/>
            <w:tcBorders>
              <w:top w:val="nil"/>
              <w:left w:val="nil"/>
              <w:bottom w:val="nil"/>
              <w:right w:val="nil"/>
            </w:tcBorders>
            <w:shd w:val="clear" w:color="000000" w:fill="FFFFFF"/>
            <w:noWrap/>
            <w:vAlign w:val="center"/>
            <w:hideMark/>
          </w:tcPr>
          <w:p>
            <w:pPr>
              <w:rPr>
                <w:rFonts w:eastAsia="Times New Roman"/>
                <w:b/>
                <w:i/>
                <w:noProof/>
                <w:sz w:val="16"/>
                <w:szCs w:val="16"/>
                <w:lang w:val="en-IE" w:eastAsia="en-IE"/>
              </w:rPr>
            </w:pPr>
            <w:r>
              <w:rPr>
                <w:rFonts w:eastAsia="Times New Roman"/>
                <w:b/>
                <w:i/>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i/>
                <w:noProof/>
                <w:sz w:val="16"/>
                <w:szCs w:val="16"/>
                <w:lang w:val="en-IE" w:eastAsia="en-IE"/>
              </w:rPr>
            </w:pPr>
            <w:r>
              <w:rPr>
                <w:rFonts w:eastAsia="Times New Roman"/>
                <w:b/>
                <w:i/>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i/>
                <w:noProof/>
                <w:sz w:val="16"/>
                <w:szCs w:val="16"/>
                <w:lang w:val="en-IE" w:eastAsia="en-IE"/>
              </w:rPr>
            </w:pPr>
            <w:r>
              <w:rPr>
                <w:rFonts w:eastAsia="Times New Roman"/>
                <w:b/>
                <w:i/>
                <w:noProof/>
                <w:sz w:val="16"/>
                <w:szCs w:val="16"/>
                <w:lang w:val="en-IE" w:eastAsia="en-IE"/>
              </w:rPr>
              <w:t> </w:t>
            </w:r>
          </w:p>
        </w:tc>
      </w:tr>
      <w:tr>
        <w:trPr>
          <w:trHeight w:val="210"/>
        </w:trPr>
        <w:tc>
          <w:tcPr>
            <w:tcW w:w="383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r>
      <w:tr>
        <w:trPr>
          <w:trHeight w:val="210"/>
        </w:trPr>
        <w:tc>
          <w:tcPr>
            <w:tcW w:w="383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r>
      <w:tr>
        <w:trPr>
          <w:trHeight w:val="210"/>
        </w:trPr>
        <w:tc>
          <w:tcPr>
            <w:tcW w:w="383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r>
      <w:tr>
        <w:trPr>
          <w:trHeight w:val="210"/>
        </w:trPr>
        <w:tc>
          <w:tcPr>
            <w:tcW w:w="8199" w:type="dxa"/>
            <w:gridSpan w:val="6"/>
            <w:tcBorders>
              <w:top w:val="nil"/>
              <w:left w:val="nil"/>
              <w:bottom w:val="nil"/>
              <w:right w:val="nil"/>
            </w:tcBorders>
            <w:shd w:val="clear" w:color="000000" w:fill="FFFFFF"/>
            <w:noWrap/>
            <w:vAlign w:val="center"/>
            <w:hideMark/>
          </w:tcPr>
          <w:p>
            <w:pPr>
              <w:rPr>
                <w:rFonts w:eastAsia="Times New Roman"/>
                <w:b/>
                <w:i/>
                <w:noProof/>
                <w:sz w:val="16"/>
                <w:szCs w:val="16"/>
                <w:lang w:val="en-IE" w:eastAsia="en-IE"/>
              </w:rPr>
            </w:pPr>
            <w:r>
              <w:rPr>
                <w:rFonts w:eastAsia="Times New Roman"/>
                <w:b/>
                <w:i/>
                <w:noProof/>
                <w:sz w:val="16"/>
                <w:szCs w:val="16"/>
                <w:lang w:val="en-IE" w:eastAsia="en-IE"/>
              </w:rPr>
              <w:t>Share EU28 in trade Cameroon with world</w:t>
            </w:r>
          </w:p>
        </w:tc>
      </w:tr>
      <w:tr>
        <w:trPr>
          <w:trHeight w:val="210"/>
        </w:trPr>
        <w:tc>
          <w:tcPr>
            <w:tcW w:w="383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27,7%</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32,1%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31,9%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32,0%</w:t>
            </w:r>
          </w:p>
        </w:tc>
      </w:tr>
      <w:tr>
        <w:trPr>
          <w:trHeight w:val="210"/>
        </w:trPr>
        <w:tc>
          <w:tcPr>
            <w:tcW w:w="383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51,8%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47,6%</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53,6%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54,8%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48,3%</w:t>
            </w:r>
          </w:p>
        </w:tc>
      </w:tr>
      <w:tr>
        <w:trPr>
          <w:trHeight w:val="210"/>
        </w:trPr>
        <w:tc>
          <w:tcPr>
            <w:tcW w:w="383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36,9%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35,7%</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38,7%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40,7%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38,6%</w:t>
            </w:r>
          </w:p>
        </w:tc>
      </w:tr>
      <w:tr>
        <w:trPr>
          <w:trHeight w:val="225"/>
        </w:trPr>
        <w:tc>
          <w:tcPr>
            <w:tcW w:w="8199" w:type="dxa"/>
            <w:gridSpan w:val="6"/>
            <w:tcBorders>
              <w:top w:val="single" w:sz="4" w:space="0" w:color="auto"/>
              <w:left w:val="nil"/>
              <w:bottom w:val="nil"/>
              <w:right w:val="nil"/>
            </w:tcBorders>
            <w:shd w:val="clear" w:color="000000" w:fill="FFFFFF"/>
            <w:noWrap/>
            <w:vAlign w:val="bottom"/>
            <w:hideMark/>
          </w:tcPr>
          <w:p>
            <w:pPr>
              <w:rPr>
                <w:rFonts w:eastAsia="Times New Roman"/>
                <w:noProof/>
                <w:sz w:val="12"/>
                <w:szCs w:val="12"/>
                <w:lang w:val="en-IE" w:eastAsia="en-IE"/>
              </w:rPr>
            </w:pPr>
            <w:r>
              <w:rPr>
                <w:rFonts w:eastAsia="Times New Roman"/>
                <w:noProof/>
                <w:sz w:val="12"/>
                <w:szCs w:val="12"/>
                <w:lang w:val="en-IE" w:eastAsia="en-IE"/>
              </w:rPr>
              <w:t>Source Trade G2 Statistics/ISDB                                                                                                                                                                    25-mars-19</w:t>
            </w:r>
          </w:p>
        </w:tc>
      </w:tr>
      <w:tr>
        <w:trPr>
          <w:trHeight w:val="210"/>
        </w:trPr>
        <w:tc>
          <w:tcPr>
            <w:tcW w:w="6487" w:type="dxa"/>
            <w:gridSpan w:val="4"/>
            <w:tcBorders>
              <w:top w:val="nil"/>
              <w:left w:val="nil"/>
              <w:bottom w:val="nil"/>
              <w:right w:val="nil"/>
            </w:tcBorders>
            <w:shd w:val="clear" w:color="000000" w:fill="FFFFFF"/>
            <w:noWrap/>
            <w:hideMark/>
          </w:tcPr>
          <w:p>
            <w:pPr>
              <w:rPr>
                <w:rFonts w:eastAsia="Times New Roman"/>
                <w:noProof/>
                <w:color w:val="000000"/>
                <w:sz w:val="12"/>
                <w:szCs w:val="12"/>
                <w:lang w:val="en-IE" w:eastAsia="en-IE"/>
              </w:rPr>
            </w:pPr>
            <w:r>
              <w:rPr>
                <w:rFonts w:eastAsia="Times New Roman"/>
                <w:noProof/>
                <w:color w:val="000000"/>
                <w:sz w:val="12"/>
                <w:szCs w:val="12"/>
                <w:lang w:val="en-IE" w:eastAsia="en-IE"/>
              </w:rPr>
              <w:t>Trade EU28: Eurostat COMEXT;  Trade Cameroon: IMF Dots</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10"/>
        </w:trPr>
        <w:tc>
          <w:tcPr>
            <w:tcW w:w="3839"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93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25"/>
        </w:trPr>
        <w:tc>
          <w:tcPr>
            <w:tcW w:w="8199"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 of merchandise trade EU28 with Cameroon (mio €)</w:t>
            </w:r>
          </w:p>
        </w:tc>
      </w:tr>
      <w:tr>
        <w:trPr>
          <w:trHeight w:val="225"/>
        </w:trPr>
        <w:tc>
          <w:tcPr>
            <w:tcW w:w="4695"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Cameroon</w:t>
            </w:r>
          </w:p>
        </w:tc>
        <w:tc>
          <w:tcPr>
            <w:tcW w:w="85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93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71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695"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93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tcBorders>
              <w:top w:val="nil"/>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83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1.924</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1.778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-7,6%</w:t>
            </w:r>
          </w:p>
        </w:tc>
      </w:tr>
      <w:tr>
        <w:trPr>
          <w:trHeight w:val="225"/>
        </w:trPr>
        <w:tc>
          <w:tcPr>
            <w:tcW w:w="383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1.471</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1.577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7,2%</w:t>
            </w:r>
          </w:p>
        </w:tc>
      </w:tr>
      <w:tr>
        <w:trPr>
          <w:trHeight w:val="225"/>
        </w:trPr>
        <w:tc>
          <w:tcPr>
            <w:tcW w:w="383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-452</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251</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839"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3.395</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3.355</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-40</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w:t>
            </w:r>
          </w:p>
        </w:tc>
      </w:tr>
      <w:tr>
        <w:trPr>
          <w:trHeight w:val="240"/>
        </w:trPr>
        <w:tc>
          <w:tcPr>
            <w:tcW w:w="6487"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8199"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Agri-food trade EU28 with Cameroon (mio €)</w:t>
            </w:r>
          </w:p>
        </w:tc>
      </w:tr>
      <w:tr>
        <w:trPr>
          <w:trHeight w:val="255"/>
        </w:trPr>
        <w:tc>
          <w:tcPr>
            <w:tcW w:w="4695"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Cameroon</w:t>
            </w:r>
          </w:p>
        </w:tc>
        <w:tc>
          <w:tcPr>
            <w:tcW w:w="85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93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71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190"/>
        </w:trPr>
        <w:tc>
          <w:tcPr>
            <w:tcW w:w="4695" w:type="dxa"/>
            <w:gridSpan w:val="2"/>
            <w:vMerge/>
            <w:tcBorders>
              <w:top w:val="single" w:sz="4" w:space="0" w:color="auto"/>
              <w:left w:val="nil"/>
              <w:bottom w:val="single" w:sz="4" w:space="0" w:color="000000"/>
              <w:right w:val="nil"/>
            </w:tcBorders>
            <w:vAlign w:val="center"/>
            <w:hideMark/>
          </w:tcPr>
          <w:p>
            <w:pPr>
              <w:jc w:val="center"/>
              <w:rPr>
                <w:rFonts w:eastAsia="Times New Roman"/>
                <w:b/>
                <w:bCs/>
                <w:noProof/>
                <w:sz w:val="16"/>
                <w:szCs w:val="16"/>
                <w:lang w:val="en-IE" w:eastAsia="en-IE"/>
              </w:rPr>
            </w:pPr>
          </w:p>
        </w:tc>
        <w:tc>
          <w:tcPr>
            <w:tcW w:w="856" w:type="dxa"/>
            <w:vMerge/>
            <w:tcBorders>
              <w:top w:val="single" w:sz="4" w:space="0" w:color="auto"/>
              <w:left w:val="nil"/>
              <w:bottom w:val="single" w:sz="4" w:space="0" w:color="000000"/>
              <w:right w:val="nil"/>
            </w:tcBorders>
            <w:vAlign w:val="center"/>
            <w:hideMark/>
          </w:tcPr>
          <w:p>
            <w:pPr>
              <w:jc w:val="center"/>
              <w:rPr>
                <w:rFonts w:eastAsia="Times New Roman"/>
                <w:b/>
                <w:bCs/>
                <w:noProof/>
                <w:sz w:val="16"/>
                <w:szCs w:val="16"/>
                <w:lang w:val="en-IE" w:eastAsia="en-IE"/>
              </w:rPr>
            </w:pPr>
          </w:p>
        </w:tc>
        <w:tc>
          <w:tcPr>
            <w:tcW w:w="936" w:type="dxa"/>
            <w:vMerge/>
            <w:tcBorders>
              <w:top w:val="single" w:sz="4" w:space="0" w:color="auto"/>
              <w:left w:val="nil"/>
              <w:bottom w:val="single" w:sz="4" w:space="0" w:color="000000"/>
              <w:right w:val="nil"/>
            </w:tcBorders>
            <w:vAlign w:val="center"/>
            <w:hideMark/>
          </w:tcPr>
          <w:p>
            <w:pPr>
              <w:jc w:val="center"/>
              <w:rPr>
                <w:rFonts w:eastAsia="Times New Roman"/>
                <w:b/>
                <w:bCs/>
                <w:noProof/>
                <w:sz w:val="16"/>
                <w:szCs w:val="16"/>
                <w:lang w:val="en-IE" w:eastAsia="en-IE"/>
              </w:rPr>
            </w:pPr>
          </w:p>
        </w:tc>
        <w:tc>
          <w:tcPr>
            <w:tcW w:w="856" w:type="dxa"/>
            <w:tcBorders>
              <w:top w:val="nil"/>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83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674</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590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-12,5%</w:t>
            </w:r>
          </w:p>
        </w:tc>
      </w:tr>
      <w:tr>
        <w:trPr>
          <w:trHeight w:val="225"/>
        </w:trPr>
        <w:tc>
          <w:tcPr>
            <w:tcW w:w="383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267</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w:t>
            </w:r>
          </w:p>
        </w:tc>
      </w:tr>
      <w:tr>
        <w:trPr>
          <w:trHeight w:val="225"/>
        </w:trPr>
        <w:tc>
          <w:tcPr>
            <w:tcW w:w="383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-407</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-330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77</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839"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941</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850</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-91</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-9,7%</w:t>
            </w:r>
          </w:p>
        </w:tc>
      </w:tr>
      <w:tr>
        <w:trPr>
          <w:trHeight w:val="240"/>
        </w:trPr>
        <w:tc>
          <w:tcPr>
            <w:tcW w:w="6487"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8199"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NAMA trade EU28 with Cameroon (mio €)</w:t>
            </w:r>
          </w:p>
        </w:tc>
      </w:tr>
      <w:tr>
        <w:trPr>
          <w:trHeight w:val="225"/>
        </w:trPr>
        <w:tc>
          <w:tcPr>
            <w:tcW w:w="4695"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Cameroon</w:t>
            </w:r>
          </w:p>
        </w:tc>
        <w:tc>
          <w:tcPr>
            <w:tcW w:w="85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936"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71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695"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936"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4695"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imports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1.250</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1.188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-4,9%</w:t>
            </w:r>
          </w:p>
        </w:tc>
      </w:tr>
      <w:tr>
        <w:trPr>
          <w:trHeight w:val="225"/>
        </w:trPr>
        <w:tc>
          <w:tcPr>
            <w:tcW w:w="4695"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exports</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1.204</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1.317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9,4%</w:t>
            </w:r>
          </w:p>
        </w:tc>
      </w:tr>
      <w:tr>
        <w:trPr>
          <w:trHeight w:val="225"/>
        </w:trPr>
        <w:tc>
          <w:tcPr>
            <w:tcW w:w="383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-45</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174</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83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2.454</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2.505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52</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w:t>
            </w:r>
          </w:p>
        </w:tc>
      </w:tr>
      <w:tr>
        <w:trPr>
          <w:trHeight w:val="240"/>
        </w:trPr>
        <w:tc>
          <w:tcPr>
            <w:tcW w:w="6487"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856" w:type="dxa"/>
            <w:tcBorders>
              <w:top w:val="single" w:sz="4" w:space="0" w:color="auto"/>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8199" w:type="dxa"/>
            <w:gridSpan w:val="6"/>
            <w:tcBorders>
              <w:top w:val="nil"/>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Services trade EU28 with Cameroon (mio €)</w:t>
            </w:r>
          </w:p>
        </w:tc>
      </w:tr>
      <w:tr>
        <w:trPr>
          <w:trHeight w:val="225"/>
        </w:trPr>
        <w:tc>
          <w:tcPr>
            <w:tcW w:w="4695"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Cameroon</w:t>
            </w:r>
          </w:p>
        </w:tc>
        <w:tc>
          <w:tcPr>
            <w:tcW w:w="856"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936" w:type="dxa"/>
            <w:vMerge w:val="restart"/>
            <w:tcBorders>
              <w:top w:val="nil"/>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1712"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4695"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936" w:type="dxa"/>
            <w:vMerge/>
            <w:tcBorders>
              <w:top w:val="nil"/>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383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349</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312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-10,7%</w:t>
            </w:r>
          </w:p>
        </w:tc>
      </w:tr>
      <w:tr>
        <w:trPr>
          <w:trHeight w:val="225"/>
        </w:trPr>
        <w:tc>
          <w:tcPr>
            <w:tcW w:w="383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641</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661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3,1%</w:t>
            </w:r>
          </w:p>
        </w:tc>
      </w:tr>
      <w:tr>
        <w:trPr>
          <w:trHeight w:val="225"/>
        </w:trPr>
        <w:tc>
          <w:tcPr>
            <w:tcW w:w="383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292</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349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57</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3839"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990</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972</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w:t>
            </w:r>
          </w:p>
        </w:tc>
      </w:tr>
      <w:tr>
        <w:trPr>
          <w:trHeight w:val="240"/>
        </w:trPr>
        <w:tc>
          <w:tcPr>
            <w:tcW w:w="7343" w:type="dxa"/>
            <w:gridSpan w:val="5"/>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40"/>
        </w:trPr>
        <w:tc>
          <w:tcPr>
            <w:tcW w:w="8199"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Services trade EU28 with Cameroon (mio €)</w:t>
            </w:r>
          </w:p>
        </w:tc>
      </w:tr>
      <w:tr>
        <w:trPr>
          <w:trHeight w:val="225"/>
        </w:trPr>
        <w:tc>
          <w:tcPr>
            <w:tcW w:w="3839"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93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3839" w:type="dxa"/>
            <w:tcBorders>
              <w:top w:val="single" w:sz="4" w:space="0" w:color="auto"/>
              <w:lef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tcBorders>
              <w:top w:val="single" w:sz="4" w:space="0" w:color="auto"/>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459</w:t>
            </w:r>
          </w:p>
        </w:tc>
        <w:tc>
          <w:tcPr>
            <w:tcW w:w="856" w:type="dxa"/>
            <w:tcBorders>
              <w:top w:val="single" w:sz="4" w:space="0" w:color="auto"/>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399</w:t>
            </w:r>
          </w:p>
        </w:tc>
        <w:tc>
          <w:tcPr>
            <w:tcW w:w="936" w:type="dxa"/>
            <w:tcBorders>
              <w:top w:val="single" w:sz="4" w:space="0" w:color="auto"/>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425</w:t>
            </w:r>
          </w:p>
        </w:tc>
        <w:tc>
          <w:tcPr>
            <w:tcW w:w="856" w:type="dxa"/>
            <w:tcBorders>
              <w:top w:val="single" w:sz="4" w:space="0" w:color="auto"/>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349</w:t>
            </w:r>
          </w:p>
        </w:tc>
        <w:tc>
          <w:tcPr>
            <w:tcW w:w="856" w:type="dxa"/>
            <w:tcBorders>
              <w:top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312</w:t>
            </w:r>
          </w:p>
        </w:tc>
      </w:tr>
      <w:tr>
        <w:trPr>
          <w:trHeight w:val="225"/>
        </w:trPr>
        <w:tc>
          <w:tcPr>
            <w:tcW w:w="3839" w:type="dxa"/>
            <w:tcBorders>
              <w:lef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677</w:t>
            </w:r>
          </w:p>
        </w:tc>
        <w:tc>
          <w:tcPr>
            <w:tcW w:w="856" w:type="dxa"/>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931</w:t>
            </w:r>
          </w:p>
        </w:tc>
        <w:tc>
          <w:tcPr>
            <w:tcW w:w="936" w:type="dxa"/>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643</w:t>
            </w:r>
          </w:p>
        </w:tc>
        <w:tc>
          <w:tcPr>
            <w:tcW w:w="856" w:type="dxa"/>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641</w:t>
            </w:r>
          </w:p>
        </w:tc>
        <w:tc>
          <w:tcPr>
            <w:tcW w:w="856" w:type="dxa"/>
            <w:tcBorders>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661</w:t>
            </w:r>
          </w:p>
        </w:tc>
      </w:tr>
      <w:tr>
        <w:trPr>
          <w:trHeight w:val="225"/>
        </w:trPr>
        <w:tc>
          <w:tcPr>
            <w:tcW w:w="3839" w:type="dxa"/>
            <w:tcBorders>
              <w:lef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218</w:t>
            </w:r>
          </w:p>
        </w:tc>
        <w:tc>
          <w:tcPr>
            <w:tcW w:w="856" w:type="dxa"/>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532</w:t>
            </w:r>
          </w:p>
        </w:tc>
        <w:tc>
          <w:tcPr>
            <w:tcW w:w="936" w:type="dxa"/>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218</w:t>
            </w:r>
          </w:p>
        </w:tc>
        <w:tc>
          <w:tcPr>
            <w:tcW w:w="856" w:type="dxa"/>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292</w:t>
            </w:r>
          </w:p>
        </w:tc>
        <w:tc>
          <w:tcPr>
            <w:tcW w:w="856" w:type="dxa"/>
            <w:tcBorders>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349</w:t>
            </w:r>
          </w:p>
        </w:tc>
      </w:tr>
      <w:tr>
        <w:trPr>
          <w:trHeight w:val="225"/>
        </w:trPr>
        <w:tc>
          <w:tcPr>
            <w:tcW w:w="3839" w:type="dxa"/>
            <w:tcBorders>
              <w:left w:val="nil"/>
              <w:bottom w:val="single" w:sz="4" w:space="0" w:color="auto"/>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tcBorders>
              <w:bottom w:val="single" w:sz="4" w:space="0" w:color="auto"/>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1.136</w:t>
            </w:r>
          </w:p>
        </w:tc>
        <w:tc>
          <w:tcPr>
            <w:tcW w:w="856" w:type="dxa"/>
            <w:tcBorders>
              <w:bottom w:val="single" w:sz="4" w:space="0" w:color="auto"/>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1.331</w:t>
            </w:r>
          </w:p>
        </w:tc>
        <w:tc>
          <w:tcPr>
            <w:tcW w:w="936" w:type="dxa"/>
            <w:tcBorders>
              <w:bottom w:val="single" w:sz="4" w:space="0" w:color="auto"/>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1.068</w:t>
            </w:r>
          </w:p>
        </w:tc>
        <w:tc>
          <w:tcPr>
            <w:tcW w:w="856" w:type="dxa"/>
            <w:tcBorders>
              <w:bottom w:val="single" w:sz="4" w:space="0" w:color="auto"/>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990</w:t>
            </w:r>
          </w:p>
        </w:tc>
        <w:tc>
          <w:tcPr>
            <w:tcW w:w="856" w:type="dxa"/>
            <w:tcBorders>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972</w:t>
            </w:r>
          </w:p>
        </w:tc>
      </w:tr>
      <w:tr>
        <w:trPr>
          <w:trHeight w:val="225"/>
        </w:trPr>
        <w:tc>
          <w:tcPr>
            <w:tcW w:w="3839"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856"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93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8199"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Foreign Direct Investment (FDI) EU28 with Cameroon (mio €)</w:t>
            </w:r>
          </w:p>
        </w:tc>
      </w:tr>
      <w:tr>
        <w:trPr>
          <w:trHeight w:val="225"/>
        </w:trPr>
        <w:tc>
          <w:tcPr>
            <w:tcW w:w="3839" w:type="dxa"/>
            <w:tcBorders>
              <w:top w:val="single" w:sz="4" w:space="0" w:color="auto"/>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2013</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93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856" w:type="dxa"/>
            <w:tcBorders>
              <w:top w:val="single" w:sz="4" w:space="0" w:color="auto"/>
              <w:left w:val="nil"/>
              <w:bottom w:val="single" w:sz="4" w:space="0" w:color="auto"/>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r>
      <w:tr>
        <w:trPr>
          <w:trHeight w:val="225"/>
        </w:trPr>
        <w:tc>
          <w:tcPr>
            <w:tcW w:w="8199"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Stocks</w:t>
            </w:r>
          </w:p>
        </w:tc>
      </w:tr>
      <w:tr>
        <w:trPr>
          <w:trHeight w:val="225"/>
        </w:trPr>
        <w:tc>
          <w:tcPr>
            <w:tcW w:w="383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43</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40</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46</w:t>
            </w:r>
          </w:p>
        </w:tc>
      </w:tr>
      <w:tr>
        <w:trPr>
          <w:trHeight w:val="225"/>
        </w:trPr>
        <w:tc>
          <w:tcPr>
            <w:tcW w:w="383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1.353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1.281</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1.134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1.281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1.316</w:t>
            </w:r>
          </w:p>
        </w:tc>
      </w:tr>
      <w:tr>
        <w:trPr>
          <w:trHeight w:val="225"/>
        </w:trPr>
        <w:tc>
          <w:tcPr>
            <w:tcW w:w="8199" w:type="dxa"/>
            <w:gridSpan w:val="6"/>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FDI Flows</w:t>
            </w:r>
          </w:p>
        </w:tc>
      </w:tr>
      <w:tr>
        <w:trPr>
          <w:trHeight w:val="225"/>
        </w:trPr>
        <w:tc>
          <w:tcPr>
            <w:tcW w:w="383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Inward</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105</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w:t>
            </w:r>
          </w:p>
        </w:tc>
        <w:tc>
          <w:tcPr>
            <w:tcW w:w="93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w:t>
            </w:r>
          </w:p>
        </w:tc>
      </w:tr>
      <w:tr>
        <w:trPr>
          <w:trHeight w:val="225"/>
        </w:trPr>
        <w:tc>
          <w:tcPr>
            <w:tcW w:w="3839"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Outward</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100</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44</w:t>
            </w:r>
          </w:p>
        </w:tc>
        <w:tc>
          <w:tcPr>
            <w:tcW w:w="93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42</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67</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w:t>
            </w:r>
          </w:p>
        </w:tc>
      </w:tr>
      <w:tr>
        <w:trPr>
          <w:trHeight w:val="70"/>
        </w:trPr>
        <w:tc>
          <w:tcPr>
            <w:tcW w:w="3839" w:type="dxa"/>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BOP statistics</w:t>
            </w:r>
          </w:p>
        </w:tc>
        <w:tc>
          <w:tcPr>
            <w:tcW w:w="856" w:type="dxa"/>
            <w:tcBorders>
              <w:top w:val="nil"/>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93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bl>
    <w:p>
      <w:pPr>
        <w:rPr>
          <w:noProof/>
        </w:rPr>
      </w:pPr>
    </w:p>
    <w:p>
      <w:pPr>
        <w:spacing w:after="200" w:line="276" w:lineRule="auto"/>
        <w:rPr>
          <w:noProof/>
        </w:rPr>
      </w:pPr>
      <w:r>
        <w:rPr>
          <w:noProof/>
        </w:rPr>
        <w:br w:type="page"/>
      </w:r>
    </w:p>
    <w:p>
      <w:pPr>
        <w:pStyle w:val="ChapterHead"/>
        <w:jc w:val="both"/>
        <w:rPr>
          <w:b/>
          <w:noProof/>
        </w:rPr>
      </w:pPr>
      <w:bookmarkStart w:id="4710" w:name="_Toc8833851"/>
      <w:bookmarkStart w:id="4711" w:name="_Toc8835678"/>
      <w:bookmarkStart w:id="4712" w:name="_Toc8834309"/>
      <w:bookmarkStart w:id="4713" w:name="_Toc8909770"/>
      <w:bookmarkStart w:id="4714" w:name="_Toc8910982"/>
      <w:bookmarkStart w:id="4715" w:name="_Toc8912019"/>
      <w:bookmarkStart w:id="4716" w:name="_Toc8974840"/>
      <w:bookmarkStart w:id="4717" w:name="_Toc9008493"/>
      <w:bookmarkStart w:id="4718" w:name="_Toc9008896"/>
      <w:bookmarkStart w:id="4719" w:name="_Toc9348892"/>
      <w:bookmarkStart w:id="4720" w:name="_Toc9608360"/>
      <w:bookmarkStart w:id="4721" w:name="_Toc16000915"/>
      <w:r>
        <w:rPr>
          <w:b/>
          <w:noProof/>
        </w:rPr>
        <w:t>ANNUAL INFO SHEET ON THE IMPLEMENTATION OF THE ECONOMIC PARTNERSHIP AGREEMENT (EPA) BETWEEN THE EU AND CARIFORUM</w:t>
      </w:r>
      <w:bookmarkEnd w:id="4710"/>
      <w:bookmarkEnd w:id="4711"/>
      <w:bookmarkEnd w:id="4712"/>
      <w:bookmarkEnd w:id="4713"/>
      <w:bookmarkEnd w:id="4714"/>
      <w:bookmarkEnd w:id="4715"/>
      <w:bookmarkEnd w:id="4716"/>
      <w:bookmarkEnd w:id="4717"/>
      <w:bookmarkEnd w:id="4718"/>
      <w:bookmarkEnd w:id="4719"/>
      <w:bookmarkEnd w:id="4720"/>
      <w:bookmarkEnd w:id="4721"/>
    </w:p>
    <w:p>
      <w:pPr>
        <w:pStyle w:val="ManualHeading1"/>
      </w:pPr>
      <w:bookmarkStart w:id="4722" w:name="_Toc8833852"/>
      <w:bookmarkStart w:id="4723" w:name="_Toc8835679"/>
      <w:bookmarkStart w:id="4724" w:name="_Toc8834310"/>
      <w:bookmarkStart w:id="4725" w:name="_Toc8909771"/>
      <w:bookmarkStart w:id="4726" w:name="_Toc8910983"/>
      <w:bookmarkStart w:id="4727" w:name="_Toc8912020"/>
      <w:bookmarkStart w:id="4728" w:name="_Toc8974841"/>
      <w:bookmarkStart w:id="4729" w:name="_Toc9008494"/>
      <w:bookmarkStart w:id="4730" w:name="_Toc9008897"/>
      <w:bookmarkStart w:id="4731" w:name="_Toc9348893"/>
      <w:bookmarkStart w:id="4732" w:name="_Toc9608361"/>
      <w:bookmarkStart w:id="4733" w:name="_Toc16000916"/>
      <w:r>
        <w:t>1.</w:t>
      </w:r>
      <w:r>
        <w:tab/>
        <w:t>Introduction</w:t>
      </w:r>
      <w:bookmarkEnd w:id="4722"/>
      <w:bookmarkEnd w:id="4723"/>
      <w:bookmarkEnd w:id="4724"/>
      <w:bookmarkEnd w:id="4725"/>
      <w:bookmarkEnd w:id="4726"/>
      <w:bookmarkEnd w:id="4727"/>
      <w:bookmarkEnd w:id="4728"/>
      <w:bookmarkEnd w:id="4729"/>
      <w:bookmarkEnd w:id="4730"/>
      <w:bookmarkEnd w:id="4731"/>
      <w:bookmarkEnd w:id="4732"/>
      <w:bookmarkEnd w:id="4733"/>
    </w:p>
    <w:p>
      <w:pPr>
        <w:jc w:val="both"/>
        <w:rPr>
          <w:noProof/>
        </w:rPr>
      </w:pPr>
      <w:r>
        <w:rPr>
          <w:noProof/>
        </w:rPr>
        <w:t>The EU-CARIFORUM EPA is a regional agreement between the EU and its Member States and 15 Caribbean countries. The negotiations were concluded in December 2007. The agreement was signed in October 2008 and it entered into provisional application on 29 December 2008. In 2018, this agreement was provisionally applied by the EU and its Member States and by 14 Caribbean States.</w:t>
      </w:r>
      <w:r>
        <w:rPr>
          <w:rStyle w:val="FootnoteReference"/>
          <w:noProof/>
        </w:rPr>
        <w:footnoteReference w:id="127"/>
      </w:r>
      <w:r>
        <w:rPr>
          <w:noProof/>
        </w:rPr>
        <w:t xml:space="preserve"> Haiti still needs to ratify the agreement in parliament before applying it. By the end of 2018, 23 EU Member States and 10 Caribbean States had ratified the EPA. </w:t>
      </w:r>
    </w:p>
    <w:p>
      <w:pPr>
        <w:jc w:val="both"/>
        <w:rPr>
          <w:noProof/>
        </w:rPr>
      </w:pPr>
    </w:p>
    <w:p>
      <w:pPr>
        <w:jc w:val="both"/>
        <w:rPr>
          <w:noProof/>
        </w:rPr>
      </w:pPr>
      <w:r>
        <w:rPr>
          <w:noProof/>
        </w:rPr>
        <w:t xml:space="preserve">The EU-CARIFRUM EPA is ‘comprehensive’ both in the geographic and thematic sense, covering the whole region and including not only provisions on trade in goods, but also trade in services and provisions on trade-related issues (including competition, innovation and intellectual property, transparency in public procurement and trade and sustainable development). Furthermore, like all EPAs, the EU-CARIFORUM EPA is a development-oriented trade agreement, geared towards fostering long-term sustainable economic growth in the Caribbean. </w:t>
      </w:r>
    </w:p>
    <w:p>
      <w:pPr>
        <w:jc w:val="both"/>
        <w:rPr>
          <w:noProof/>
        </w:rPr>
      </w:pPr>
    </w:p>
    <w:p>
      <w:pPr>
        <w:jc w:val="both"/>
        <w:rPr>
          <w:noProof/>
        </w:rPr>
      </w:pPr>
      <w:r>
        <w:rPr>
          <w:noProof/>
        </w:rPr>
        <w:t>This means market liberalisation is asymmetric: while the EU provides immediate duty free quota free access for Caribbean exporters (all products except arms and ammunition), Caribbean states have up to 25 years (until 2033) to cut import tariffs. They have excluded from these cuts around 17% of goods and services, which they consider sensitive.</w:t>
      </w:r>
      <w:r>
        <w:rPr>
          <w:rStyle w:val="FootnoteReference"/>
          <w:noProof/>
        </w:rPr>
        <w:footnoteReference w:id="128"/>
      </w:r>
      <w:r>
        <w:rPr>
          <w:noProof/>
        </w:rPr>
        <w:t xml:space="preserve"> The exclusion list includes fresh fruit and vegetables, most alcoholic beverages, some garments, a number of processed agricultural products, fish, chemicals and furniture. In general, 75% of CARIFORUM's agricultural and fisheries products have been excluded from liberalisation under EPA.</w:t>
      </w:r>
    </w:p>
    <w:p>
      <w:pPr>
        <w:pStyle w:val="ManualHeading1"/>
      </w:pPr>
      <w:bookmarkStart w:id="4734" w:name="_Toc8833853"/>
      <w:bookmarkStart w:id="4735" w:name="_Toc8835680"/>
      <w:bookmarkStart w:id="4736" w:name="_Toc8834311"/>
      <w:bookmarkStart w:id="4737" w:name="_Toc8909772"/>
      <w:bookmarkStart w:id="4738" w:name="_Toc8910984"/>
      <w:bookmarkStart w:id="4739" w:name="_Toc8912021"/>
      <w:bookmarkStart w:id="4740" w:name="_Toc8974842"/>
      <w:bookmarkStart w:id="4741" w:name="_Toc9008495"/>
      <w:bookmarkStart w:id="4742" w:name="_Toc9008898"/>
      <w:bookmarkStart w:id="4743" w:name="_Toc9348894"/>
      <w:bookmarkStart w:id="4744" w:name="_Toc9608362"/>
      <w:bookmarkStart w:id="4745" w:name="_Toc16000917"/>
      <w:r>
        <w:t>2.</w:t>
      </w:r>
      <w:r>
        <w:tab/>
        <w:t>Evolution of trade</w:t>
      </w:r>
      <w:bookmarkEnd w:id="4734"/>
      <w:bookmarkEnd w:id="4735"/>
      <w:bookmarkEnd w:id="4736"/>
      <w:bookmarkEnd w:id="4737"/>
      <w:bookmarkEnd w:id="4738"/>
      <w:bookmarkEnd w:id="4739"/>
      <w:bookmarkEnd w:id="4740"/>
      <w:bookmarkEnd w:id="4741"/>
      <w:bookmarkEnd w:id="4742"/>
      <w:bookmarkEnd w:id="4743"/>
      <w:bookmarkEnd w:id="4744"/>
      <w:bookmarkEnd w:id="4745"/>
    </w:p>
    <w:p>
      <w:pPr>
        <w:pStyle w:val="Heading2"/>
        <w:ind w:left="0" w:firstLine="0"/>
      </w:pPr>
      <w:bookmarkStart w:id="4746" w:name="_Toc8833854"/>
      <w:bookmarkStart w:id="4747" w:name="_Toc8835681"/>
      <w:bookmarkStart w:id="4748" w:name="_Toc8834312"/>
      <w:bookmarkStart w:id="4749" w:name="_Toc8909773"/>
      <w:bookmarkStart w:id="4750" w:name="_Toc8910985"/>
      <w:bookmarkStart w:id="4751" w:name="_Toc8912022"/>
      <w:bookmarkStart w:id="4752" w:name="_Toc8974843"/>
      <w:bookmarkStart w:id="4753" w:name="_Toc9008496"/>
      <w:bookmarkStart w:id="4754" w:name="_Toc9008899"/>
      <w:bookmarkStart w:id="4755" w:name="_Toc9348895"/>
      <w:bookmarkStart w:id="4756" w:name="_Toc9608363"/>
      <w:bookmarkStart w:id="4757" w:name="_Toc16000918"/>
      <w:r>
        <w:t>2.1 Trade in goods</w:t>
      </w:r>
      <w:bookmarkEnd w:id="4746"/>
      <w:bookmarkEnd w:id="4747"/>
      <w:bookmarkEnd w:id="4748"/>
      <w:bookmarkEnd w:id="4749"/>
      <w:bookmarkEnd w:id="4750"/>
      <w:bookmarkEnd w:id="4751"/>
      <w:bookmarkEnd w:id="4752"/>
      <w:bookmarkEnd w:id="4753"/>
      <w:bookmarkEnd w:id="4754"/>
      <w:bookmarkEnd w:id="4755"/>
      <w:bookmarkEnd w:id="4756"/>
      <w:bookmarkEnd w:id="4757"/>
    </w:p>
    <w:p>
      <w:pPr>
        <w:jc w:val="both"/>
        <w:rPr>
          <w:rFonts w:eastAsia="Calibri"/>
          <w:noProof/>
        </w:rPr>
      </w:pPr>
      <w:r>
        <w:rPr>
          <w:rFonts w:eastAsia="Calibri"/>
          <w:noProof/>
        </w:rPr>
        <w:t>The EU is the third largest importer of Caribbean goods, accounting for 8.5% of total Caribbean exports (after the U.S. (28%) and Uruguay (9%)). EU exports, in turn, account for 10% of Caribbean imports, making the EU the second largest exporter to the region after the U.S. (41%), followed by China (9.7%).</w:t>
      </w:r>
      <w:r>
        <w:rPr>
          <w:rFonts w:eastAsia="Calibri"/>
          <w:noProof/>
          <w:lang w:eastAsia="en-GB"/>
        </w:rPr>
        <w:t xml:space="preserve"> </w:t>
      </w:r>
      <w:r>
        <w:rPr>
          <w:rFonts w:eastAsia="Calibri"/>
          <w:noProof/>
        </w:rPr>
        <w:t xml:space="preserve">Intra-regional trade between the Caribbean countries is low: only 7% of the region’s imports originate from another Caribbean state. Similarly, only 5.5% of Caribbean exports go to the region. </w:t>
      </w:r>
    </w:p>
    <w:p>
      <w:pPr>
        <w:jc w:val="both"/>
        <w:rPr>
          <w:rFonts w:eastAsia="Calibri"/>
          <w:noProof/>
        </w:rPr>
      </w:pPr>
    </w:p>
    <w:p>
      <w:pPr>
        <w:jc w:val="both"/>
        <w:rPr>
          <w:rFonts w:eastAsia="Calibri"/>
          <w:noProof/>
          <w:lang w:eastAsia="en-GB"/>
        </w:rPr>
      </w:pPr>
      <w:r>
        <w:rPr>
          <w:rFonts w:eastAsia="Calibri"/>
          <w:noProof/>
          <w:lang w:eastAsia="en-GB"/>
        </w:rPr>
        <w:t xml:space="preserve">Total trade between the EU and </w:t>
      </w:r>
      <w:r>
        <w:rPr>
          <w:rFonts w:eastAsia="Calibri"/>
          <w:noProof/>
        </w:rPr>
        <w:t>the CARIFORUM increased</w:t>
      </w:r>
      <w:r>
        <w:rPr>
          <w:rFonts w:eastAsia="Calibri"/>
          <w:noProof/>
          <w:lang w:eastAsia="en-GB"/>
        </w:rPr>
        <w:t xml:space="preserve"> by </w:t>
      </w:r>
      <w:r>
        <w:rPr>
          <w:rFonts w:eastAsia="Calibri"/>
          <w:noProof/>
          <w:lang w:val="en-IE"/>
        </w:rPr>
        <w:t>€</w:t>
      </w:r>
      <w:r>
        <w:rPr>
          <w:rFonts w:eastAsia="Calibri"/>
          <w:noProof/>
          <w:lang w:eastAsia="en-GB"/>
        </w:rPr>
        <w:t>614 million or 7.3% in 2018, to €9 billion. Importantly, in 2018 the EU imported €3.9 billion worth of goods from the Caribbean region, a €387 million (11%) increase compared to 2017. EU exports to the CARIFORUM states rose by €227 million (4.6%) to €5.1 billion. The overall trade balance is positive for CARIFORUM for agricultural goods but negative for non-agricultural goods.</w:t>
      </w:r>
    </w:p>
    <w:p>
      <w:pPr>
        <w:jc w:val="both"/>
        <w:rPr>
          <w:rFonts w:eastAsia="Calibri"/>
          <w:noProof/>
          <w:lang w:eastAsia="en-GB"/>
        </w:rPr>
      </w:pPr>
    </w:p>
    <w:p>
      <w:pPr>
        <w:jc w:val="both"/>
        <w:rPr>
          <w:rFonts w:eastAsia="Calibri"/>
          <w:noProof/>
          <w:lang w:eastAsia="en-GB"/>
        </w:rPr>
      </w:pPr>
      <w:r>
        <w:rPr>
          <w:rFonts w:eastAsia="Calibri"/>
          <w:noProof/>
        </w:rPr>
        <w:t>The largest EU trade partner in the Caribbean is the Dominican Republic (total trade of €2.9 billion), followed by Trinidad and Tobago (€2.1 billion), Bahamas (€1.45 billion) and Jamaica (€727 million).</w:t>
      </w:r>
    </w:p>
    <w:p>
      <w:pPr>
        <w:jc w:val="both"/>
        <w:rPr>
          <w:rFonts w:eastAsia="Calibri"/>
          <w:noProof/>
        </w:rPr>
      </w:pPr>
      <w:r>
        <w:rPr>
          <w:noProof/>
          <w:lang w:eastAsia="en-GB"/>
        </w:rPr>
        <w:drawing>
          <wp:inline distT="0" distB="0" distL="0" distR="0">
            <wp:extent cx="5731510" cy="325945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3259455"/>
                    </a:xfrm>
                    <a:prstGeom prst="rect">
                      <a:avLst/>
                    </a:prstGeom>
                  </pic:spPr>
                </pic:pic>
              </a:graphicData>
            </a:graphic>
          </wp:inline>
        </w:drawing>
      </w:r>
    </w:p>
    <w:p>
      <w:pPr>
        <w:jc w:val="both"/>
        <w:rPr>
          <w:rFonts w:eastAsia="Calibri"/>
          <w:noProof/>
        </w:rPr>
      </w:pPr>
    </w:p>
    <w:p>
      <w:pPr>
        <w:jc w:val="both"/>
        <w:rPr>
          <w:rFonts w:eastAsia="Calibri"/>
          <w:noProof/>
        </w:rPr>
      </w:pPr>
      <w:r>
        <w:rPr>
          <w:rFonts w:eastAsia="Calibri"/>
          <w:noProof/>
        </w:rPr>
        <w:t xml:space="preserve">Main </w:t>
      </w:r>
      <w:r>
        <w:rPr>
          <w:rFonts w:eastAsia="Calibri"/>
          <w:b/>
          <w:noProof/>
        </w:rPr>
        <w:t>EU imports</w:t>
      </w:r>
      <w:r>
        <w:rPr>
          <w:rFonts w:eastAsia="Calibri"/>
          <w:noProof/>
        </w:rPr>
        <w:t xml:space="preserve"> </w:t>
      </w:r>
      <w:r>
        <w:rPr>
          <w:rFonts w:eastAsia="Calibri"/>
          <w:b/>
          <w:noProof/>
        </w:rPr>
        <w:t>from CARIFORUM countries</w:t>
      </w:r>
      <w:r>
        <w:rPr>
          <w:rFonts w:eastAsia="Calibri"/>
          <w:noProof/>
        </w:rPr>
        <w:t xml:space="preserve"> in 2018 were mineral fuels (€792 million), organic chemicals (€569 million, most of it methanol), ships, boats and floating structures (€483 million), edible fruits and nuts (€333 million, most of it bananas), and inorganic chemicals (€296 million, most of it aluminium oxide and ammonia). </w:t>
      </w:r>
    </w:p>
    <w:p>
      <w:pPr>
        <w:jc w:val="both"/>
        <w:rPr>
          <w:rFonts w:eastAsia="Calibri"/>
          <w:noProof/>
        </w:rPr>
      </w:pPr>
    </w:p>
    <w:p>
      <w:pPr>
        <w:jc w:val="both"/>
        <w:rPr>
          <w:rFonts w:eastAsia="Calibri"/>
          <w:noProof/>
        </w:rPr>
      </w:pPr>
      <w:r>
        <w:rPr>
          <w:rFonts w:eastAsia="Calibri"/>
          <w:noProof/>
        </w:rPr>
        <w:t>Rising EU imports from CARIFORUM countries were caused by increases in mineral fuels imports (+</w:t>
      </w:r>
      <w:r>
        <w:rPr>
          <w:rFonts w:eastAsia="Calibri"/>
          <w:noProof/>
          <w:lang w:val="en-IE"/>
        </w:rPr>
        <w:t>71%</w:t>
      </w:r>
      <w:r>
        <w:rPr>
          <w:rFonts w:eastAsia="Calibri"/>
          <w:noProof/>
        </w:rPr>
        <w:t>), organic chemicals (+80%), inorganic chemicals (+32%), as well as increases in certain agri-food imports from the Caribbean: fish and crustaceans (+€13 million or 18%), tobacco (+€12 million or 25%) and beverages and spirits (+€9 million or 6%). Imports decreased for sugar (-</w:t>
      </w:r>
      <w:r>
        <w:rPr>
          <w:rFonts w:eastAsia="Calibri"/>
          <w:noProof/>
          <w:lang w:val="en-IE"/>
        </w:rPr>
        <w:t>€54 million or -44%</w:t>
      </w:r>
      <w:r>
        <w:rPr>
          <w:rFonts w:eastAsia="Calibri"/>
          <w:noProof/>
        </w:rPr>
        <w:t>), gold (-</w:t>
      </w:r>
      <w:r>
        <w:rPr>
          <w:rFonts w:eastAsia="Calibri"/>
          <w:noProof/>
          <w:lang w:val="en-IE"/>
        </w:rPr>
        <w:t>€48 million or -23%</w:t>
      </w:r>
      <w:r>
        <w:rPr>
          <w:rFonts w:eastAsia="Calibri"/>
          <w:noProof/>
        </w:rPr>
        <w:t>) and bananas (-</w:t>
      </w:r>
      <w:r>
        <w:rPr>
          <w:rFonts w:eastAsia="Calibri"/>
          <w:noProof/>
          <w:lang w:val="en-IE"/>
        </w:rPr>
        <w:t>€47 million or -12%</w:t>
      </w:r>
      <w:r>
        <w:rPr>
          <w:rFonts w:eastAsia="Calibri"/>
          <w:noProof/>
        </w:rPr>
        <w:t>). The preference utilisation rates of the CARIFORUM EPA averaged 86% in 2018, down from 91% in 2017.</w:t>
      </w:r>
    </w:p>
    <w:p>
      <w:pPr>
        <w:jc w:val="both"/>
        <w:rPr>
          <w:rFonts w:eastAsia="Calibri"/>
          <w:noProof/>
        </w:rPr>
      </w:pPr>
    </w:p>
    <w:p>
      <w:pPr>
        <w:jc w:val="both"/>
        <w:rPr>
          <w:rFonts w:eastAsia="Calibri"/>
          <w:noProof/>
          <w:lang w:val="en-IE"/>
        </w:rPr>
      </w:pPr>
      <w:r>
        <w:rPr>
          <w:rFonts w:eastAsia="Calibri"/>
          <w:noProof/>
        </w:rPr>
        <w:t xml:space="preserve">CARIFORUM countries exports to the EU show little </w:t>
      </w:r>
      <w:r>
        <w:rPr>
          <w:rFonts w:eastAsia="Calibri"/>
          <w:b/>
          <w:noProof/>
        </w:rPr>
        <w:t>diversification</w:t>
      </w:r>
      <w:r>
        <w:rPr>
          <w:rFonts w:eastAsia="Calibri"/>
          <w:noProof/>
        </w:rPr>
        <w:t xml:space="preserve">. </w:t>
      </w:r>
      <w:r>
        <w:rPr>
          <w:rFonts w:eastAsia="Calibri"/>
          <w:noProof/>
          <w:lang w:val="en-IE"/>
        </w:rPr>
        <w:t xml:space="preserve">The share of top ten products in total exports is above 90% for most States, with exports concentrated in very few commodities. Trinidad and Tobago exports mostly natural gas, rum, and ammonia. For Jamaica, it is largely aluminium oxide (70% of its exports), followed by rum. For the Bahamas and Barbados, the dominant export are boats and ships (re-exports/sales, not local production) and rum. Guyana and Suriname export predominantly gold (accounting for 23% and 42% of their exports in 2018, respectively); Guyana also exports aluminium ores and brown rice, while Suriname exports mainly bananas and frozen shrimps and prawns. </w:t>
      </w:r>
    </w:p>
    <w:p>
      <w:pPr>
        <w:jc w:val="both"/>
        <w:rPr>
          <w:rFonts w:eastAsia="Calibri"/>
          <w:noProof/>
          <w:lang w:val="en-IE"/>
        </w:rPr>
      </w:pPr>
    </w:p>
    <w:p>
      <w:pPr>
        <w:jc w:val="both"/>
        <w:rPr>
          <w:rFonts w:eastAsia="Calibri"/>
          <w:noProof/>
          <w:lang w:val="en-IE"/>
        </w:rPr>
      </w:pPr>
      <w:r>
        <w:rPr>
          <w:rFonts w:eastAsia="Calibri"/>
          <w:noProof/>
          <w:lang w:val="en-IE"/>
        </w:rPr>
        <w:t xml:space="preserve">The Dominican Republic represents an exception, where the share of top 10 products is 70.4% and exports are diversified beyond natural resources to include certain manufacturing goods. Top 10 products exported by the Dominican Republic to the EU are bananas, cocoa beans, medical, surgical and veterinary instruments, rum and other spirits based on sugar cane, ferro-nickel, appliances for ostomy use (i.e. medical products), electro-diagnostic apparatus (i.e. medical instruments), cigars, tobacco, and fresh or dried guavas, mangoes and mangosteens. </w:t>
      </w:r>
      <w:r>
        <w:rPr>
          <w:rFonts w:eastAsia="Calibri"/>
          <w:noProof/>
        </w:rPr>
        <w:t>T</w:t>
      </w:r>
      <w:r>
        <w:rPr>
          <w:rFonts w:eastAsia="Calibri"/>
          <w:noProof/>
          <w:lang w:val="en-IE"/>
        </w:rPr>
        <w:t xml:space="preserve">he total number of products imported from Dominican Republic (at HS 6-digit level) with a value of more than €1 million grew from 53 in 2008 to 62 in 2018 (i.e. a 17% increase). </w:t>
      </w:r>
    </w:p>
    <w:p>
      <w:pPr>
        <w:jc w:val="both"/>
        <w:rPr>
          <w:rFonts w:eastAsia="Calibri"/>
          <w:noProof/>
          <w:lang w:eastAsia="en-GB"/>
        </w:rPr>
      </w:pPr>
    </w:p>
    <w:p>
      <w:pPr>
        <w:jc w:val="both"/>
        <w:rPr>
          <w:rFonts w:eastAsia="Calibri"/>
          <w:noProof/>
        </w:rPr>
      </w:pPr>
      <w:r>
        <w:rPr>
          <w:rFonts w:eastAsia="Calibri"/>
          <w:noProof/>
        </w:rPr>
        <w:t xml:space="preserve">Main </w:t>
      </w:r>
      <w:r>
        <w:rPr>
          <w:rFonts w:eastAsia="Calibri"/>
          <w:b/>
          <w:noProof/>
        </w:rPr>
        <w:t>EU exports</w:t>
      </w:r>
      <w:r>
        <w:rPr>
          <w:rFonts w:eastAsia="Calibri"/>
          <w:noProof/>
        </w:rPr>
        <w:t xml:space="preserve"> </w:t>
      </w:r>
      <w:r>
        <w:rPr>
          <w:rFonts w:eastAsia="Calibri"/>
          <w:b/>
          <w:noProof/>
        </w:rPr>
        <w:t>to Cariforum</w:t>
      </w:r>
      <w:r>
        <w:rPr>
          <w:rFonts w:eastAsia="Calibri"/>
          <w:noProof/>
        </w:rPr>
        <w:t xml:space="preserve"> in 2018 were machinery and mechanical appliances (€730 million, +9%), mineral fuels (€672 million, +57%), ships and boats (€520 million, -30%), electrical machinery and equipment (€316 million, +30%) and motor vehicles (€221 million, +1%). Railway equipment exports saw a spike in 2018 (€42 million, +560%), as well as art exports (€14 million, +660%).</w:t>
      </w:r>
    </w:p>
    <w:p>
      <w:pPr>
        <w:jc w:val="both"/>
        <w:rPr>
          <w:rFonts w:eastAsia="Calibri"/>
          <w:noProof/>
        </w:rPr>
      </w:pPr>
    </w:p>
    <w:p>
      <w:pPr>
        <w:jc w:val="both"/>
        <w:rPr>
          <w:rFonts w:eastAsia="Calibri"/>
          <w:noProof/>
        </w:rPr>
      </w:pPr>
      <w:r>
        <w:rPr>
          <w:rFonts w:eastAsia="Calibri"/>
          <w:noProof/>
        </w:rPr>
        <w:t xml:space="preserve">In the agri-food trade, the EU negative balance of the previous years turned into a small surplus (€12 million) in 2018. Main EU export products to the CARIFORUM EPA states were beverages and spirits and liqueurs (€189 million, -2%), diary produce (mostly milk powder) (€181 million, +8%), preparations of cereals, flour and starch (€70 million, +2%) and preparations of vegetables, fruits, nuts and plants (€65 million, -8%). </w:t>
      </w:r>
    </w:p>
    <w:p>
      <w:pPr>
        <w:pStyle w:val="Heading2"/>
        <w:ind w:left="0" w:firstLine="0"/>
      </w:pPr>
      <w:bookmarkStart w:id="4758" w:name="_Toc8833855"/>
      <w:bookmarkStart w:id="4759" w:name="_Toc8835682"/>
      <w:bookmarkStart w:id="4760" w:name="_Toc8834313"/>
      <w:bookmarkStart w:id="4761" w:name="_Toc8909774"/>
      <w:bookmarkStart w:id="4762" w:name="_Toc8910986"/>
      <w:bookmarkStart w:id="4763" w:name="_Toc8912023"/>
      <w:bookmarkStart w:id="4764" w:name="_Toc8974844"/>
      <w:bookmarkStart w:id="4765" w:name="_Toc9008497"/>
      <w:bookmarkStart w:id="4766" w:name="_Toc9008900"/>
      <w:bookmarkStart w:id="4767" w:name="_Toc9348896"/>
      <w:bookmarkStart w:id="4768" w:name="_Toc9608364"/>
      <w:bookmarkStart w:id="4769" w:name="_Toc16000919"/>
      <w:r>
        <w:t>2.2 Trade in services</w:t>
      </w:r>
      <w:bookmarkEnd w:id="4758"/>
      <w:bookmarkEnd w:id="4759"/>
      <w:bookmarkEnd w:id="4760"/>
      <w:bookmarkEnd w:id="4761"/>
      <w:bookmarkEnd w:id="4762"/>
      <w:bookmarkEnd w:id="4763"/>
      <w:bookmarkEnd w:id="4764"/>
      <w:bookmarkEnd w:id="4765"/>
      <w:bookmarkEnd w:id="4766"/>
      <w:bookmarkEnd w:id="4767"/>
      <w:bookmarkEnd w:id="4768"/>
      <w:bookmarkEnd w:id="4769"/>
    </w:p>
    <w:p>
      <w:pPr>
        <w:jc w:val="both"/>
        <w:rPr>
          <w:rFonts w:eastAsia="Calibri"/>
          <w:noProof/>
          <w:lang w:eastAsia="en-GB"/>
        </w:rPr>
      </w:pPr>
      <w:r>
        <w:rPr>
          <w:rFonts w:eastAsia="Calibri"/>
          <w:noProof/>
          <w:lang w:eastAsia="en-GB"/>
        </w:rPr>
        <w:t xml:space="preserve">The CARIFORUM EPA provides for services liberalisation. In 2017, total trade in services decreased slightly by </w:t>
      </w:r>
      <w:r>
        <w:rPr>
          <w:rFonts w:eastAsia="Calibri"/>
          <w:noProof/>
          <w:lang w:val="en-IE"/>
        </w:rPr>
        <w:t>€</w:t>
      </w:r>
      <w:r>
        <w:rPr>
          <w:rFonts w:eastAsia="Calibri"/>
          <w:noProof/>
          <w:lang w:eastAsia="en-GB"/>
        </w:rPr>
        <w:t xml:space="preserve">147 million (-3%) to </w:t>
      </w:r>
      <w:r>
        <w:rPr>
          <w:rFonts w:eastAsia="Calibri"/>
          <w:noProof/>
          <w:lang w:val="en-IE"/>
        </w:rPr>
        <w:t>€</w:t>
      </w:r>
      <w:r>
        <w:rPr>
          <w:rFonts w:eastAsia="Calibri"/>
          <w:noProof/>
          <w:lang w:eastAsia="en-GB"/>
        </w:rPr>
        <w:t xml:space="preserve">4.7 billion in 2017. EU services exports to the CARIFORUM countries grew by </w:t>
      </w:r>
      <w:r>
        <w:rPr>
          <w:rFonts w:eastAsia="Calibri"/>
          <w:noProof/>
          <w:lang w:val="en-IE"/>
        </w:rPr>
        <w:t>€</w:t>
      </w:r>
      <w:r>
        <w:rPr>
          <w:rFonts w:eastAsia="Calibri"/>
          <w:noProof/>
          <w:lang w:eastAsia="en-GB"/>
        </w:rPr>
        <w:t xml:space="preserve">42 million (+2%), whereas imports of services from the Caribbean region dropped by </w:t>
      </w:r>
      <w:r>
        <w:rPr>
          <w:rFonts w:eastAsia="Calibri"/>
          <w:noProof/>
          <w:lang w:val="en-IE"/>
        </w:rPr>
        <w:t>€</w:t>
      </w:r>
      <w:r>
        <w:rPr>
          <w:rFonts w:eastAsia="Calibri"/>
          <w:noProof/>
          <w:lang w:eastAsia="en-GB"/>
        </w:rPr>
        <w:t>189 million (-7.1%).</w:t>
      </w:r>
    </w:p>
    <w:p>
      <w:pPr>
        <w:jc w:val="both"/>
        <w:rPr>
          <w:rFonts w:eastAsia="Calibri"/>
          <w:noProof/>
          <w:lang w:eastAsia="en-GB"/>
        </w:rPr>
      </w:pPr>
    </w:p>
    <w:p>
      <w:pPr>
        <w:jc w:val="both"/>
        <w:rPr>
          <w:noProof/>
          <w:lang w:eastAsia="en-GB"/>
        </w:rPr>
      </w:pPr>
      <w:r>
        <w:rPr>
          <w:rFonts w:eastAsia="Calibri"/>
          <w:noProof/>
          <w:lang w:eastAsia="en-GB"/>
        </w:rPr>
        <w:t xml:space="preserve">Total value of trade in services with Dominican Republic grew by </w:t>
      </w:r>
      <w:r>
        <w:rPr>
          <w:rFonts w:eastAsia="Calibri"/>
          <w:noProof/>
          <w:lang w:val="en-IE"/>
        </w:rPr>
        <w:t>€</w:t>
      </w:r>
      <w:r>
        <w:rPr>
          <w:rFonts w:eastAsia="Calibri"/>
          <w:noProof/>
          <w:lang w:eastAsia="en-GB"/>
        </w:rPr>
        <w:t xml:space="preserve">34 million (2%) to </w:t>
      </w:r>
      <w:r>
        <w:rPr>
          <w:rFonts w:eastAsia="Calibri"/>
          <w:noProof/>
          <w:lang w:val="en-IE"/>
        </w:rPr>
        <w:t>€</w:t>
      </w:r>
      <w:r>
        <w:rPr>
          <w:rFonts w:eastAsia="Calibri"/>
          <w:noProof/>
          <w:lang w:eastAsia="en-GB"/>
        </w:rPr>
        <w:t xml:space="preserve">1.7 billion in 2017, with imports increasing by </w:t>
      </w:r>
      <w:r>
        <w:rPr>
          <w:rFonts w:eastAsia="Calibri"/>
          <w:noProof/>
          <w:lang w:val="en-IE"/>
        </w:rPr>
        <w:t>€</w:t>
      </w:r>
      <w:r>
        <w:rPr>
          <w:rFonts w:eastAsia="Calibri"/>
          <w:noProof/>
          <w:lang w:eastAsia="en-GB"/>
        </w:rPr>
        <w:t xml:space="preserve">57 million (6%) and exports falling by </w:t>
      </w:r>
      <w:r>
        <w:rPr>
          <w:rFonts w:eastAsia="Calibri"/>
          <w:noProof/>
          <w:lang w:val="en-IE"/>
        </w:rPr>
        <w:t>€</w:t>
      </w:r>
      <w:r>
        <w:rPr>
          <w:rFonts w:eastAsia="Calibri"/>
          <w:noProof/>
          <w:lang w:eastAsia="en-GB"/>
        </w:rPr>
        <w:t>23 million (-4%).</w:t>
      </w:r>
    </w:p>
    <w:p>
      <w:pPr>
        <w:pStyle w:val="Heading2"/>
        <w:ind w:left="0" w:firstLine="0"/>
      </w:pPr>
      <w:bookmarkStart w:id="4770" w:name="_Toc8833856"/>
      <w:bookmarkStart w:id="4771" w:name="_Toc8835683"/>
      <w:bookmarkStart w:id="4772" w:name="_Toc8834314"/>
      <w:bookmarkStart w:id="4773" w:name="_Toc8909775"/>
      <w:bookmarkStart w:id="4774" w:name="_Toc8910987"/>
      <w:bookmarkStart w:id="4775" w:name="_Toc8912024"/>
      <w:bookmarkStart w:id="4776" w:name="_Toc8974845"/>
      <w:bookmarkStart w:id="4777" w:name="_Toc9008498"/>
      <w:bookmarkStart w:id="4778" w:name="_Toc9008901"/>
      <w:bookmarkStart w:id="4779" w:name="_Toc9348897"/>
      <w:bookmarkStart w:id="4780" w:name="_Toc9608365"/>
      <w:bookmarkStart w:id="4781" w:name="_Toc16000920"/>
      <w:r>
        <w:t>2.3 Foreign Direct investment (FDI)</w:t>
      </w:r>
      <w:bookmarkEnd w:id="4770"/>
      <w:bookmarkEnd w:id="4771"/>
      <w:bookmarkEnd w:id="4772"/>
      <w:bookmarkEnd w:id="4773"/>
      <w:bookmarkEnd w:id="4774"/>
      <w:bookmarkEnd w:id="4775"/>
      <w:bookmarkEnd w:id="4776"/>
      <w:bookmarkEnd w:id="4777"/>
      <w:bookmarkEnd w:id="4778"/>
      <w:bookmarkEnd w:id="4779"/>
      <w:bookmarkEnd w:id="4780"/>
      <w:bookmarkEnd w:id="4781"/>
    </w:p>
    <w:p>
      <w:pPr>
        <w:jc w:val="both"/>
        <w:rPr>
          <w:rFonts w:eastAsia="Calibri"/>
          <w:noProof/>
          <w:lang w:eastAsia="en-GB"/>
        </w:rPr>
      </w:pPr>
      <w:r>
        <w:rPr>
          <w:rFonts w:eastAsia="Calibri"/>
          <w:noProof/>
          <w:lang w:eastAsia="en-GB"/>
        </w:rPr>
        <w:t xml:space="preserve">The CARIFORUM EPA contains provisions on investment liberalisation. EU FDI stocks in the Caribbean region stood at </w:t>
      </w:r>
      <w:r>
        <w:rPr>
          <w:rFonts w:eastAsia="Calibri"/>
          <w:noProof/>
          <w:lang w:val="en-IE"/>
        </w:rPr>
        <w:t>€</w:t>
      </w:r>
      <w:r>
        <w:rPr>
          <w:rFonts w:eastAsia="Calibri"/>
          <w:noProof/>
          <w:lang w:eastAsia="en-GB"/>
        </w:rPr>
        <w:t xml:space="preserve">112 billion in 2017, up from </w:t>
      </w:r>
      <w:r>
        <w:rPr>
          <w:rFonts w:eastAsia="Calibri"/>
          <w:noProof/>
          <w:lang w:val="en-IE"/>
        </w:rPr>
        <w:t>€</w:t>
      </w:r>
      <w:r>
        <w:rPr>
          <w:rFonts w:eastAsia="Calibri"/>
          <w:noProof/>
          <w:lang w:eastAsia="en-GB"/>
        </w:rPr>
        <w:t>85 billion in 2016 (+32%). The lion’s share of these stocks are held in Bahamas (</w:t>
      </w:r>
      <w:r>
        <w:rPr>
          <w:rFonts w:eastAsia="Calibri"/>
          <w:noProof/>
          <w:lang w:val="en-IE"/>
        </w:rPr>
        <w:t>€</w:t>
      </w:r>
      <w:r>
        <w:rPr>
          <w:rFonts w:eastAsia="Calibri"/>
          <w:noProof/>
          <w:lang w:eastAsia="en-GB"/>
        </w:rPr>
        <w:t>54.5 billion) and Barbados (</w:t>
      </w:r>
      <w:r>
        <w:rPr>
          <w:rFonts w:eastAsia="Calibri"/>
          <w:noProof/>
          <w:lang w:val="en-IE"/>
        </w:rPr>
        <w:t>€</w:t>
      </w:r>
      <w:r>
        <w:rPr>
          <w:rFonts w:eastAsia="Calibri"/>
          <w:noProof/>
          <w:lang w:eastAsia="en-GB"/>
        </w:rPr>
        <w:t>41 billion), which have large financial sectors, followed by Trinidad and Tobago (</w:t>
      </w:r>
      <w:r>
        <w:rPr>
          <w:rFonts w:eastAsia="Calibri"/>
          <w:noProof/>
          <w:lang w:val="en-IE"/>
        </w:rPr>
        <w:t>€</w:t>
      </w:r>
      <w:r>
        <w:rPr>
          <w:rFonts w:eastAsia="Calibri"/>
          <w:noProof/>
          <w:lang w:eastAsia="en-GB"/>
        </w:rPr>
        <w:t>7.2 billion) and Dominican Republic (</w:t>
      </w:r>
      <w:r>
        <w:rPr>
          <w:rFonts w:eastAsia="Calibri"/>
          <w:noProof/>
          <w:lang w:val="en-IE"/>
        </w:rPr>
        <w:t>€6.</w:t>
      </w:r>
      <w:r>
        <w:rPr>
          <w:rFonts w:eastAsia="Calibri"/>
          <w:noProof/>
          <w:lang w:eastAsia="en-GB"/>
        </w:rPr>
        <w:t>5 billion). New EU FDI flows to CARIFORUM amounted to €38.5 billion in 2017, with most investments going to Barbados (</w:t>
      </w:r>
      <w:r>
        <w:rPr>
          <w:rFonts w:eastAsia="Calibri"/>
          <w:noProof/>
          <w:lang w:val="en-IE"/>
        </w:rPr>
        <w:t>€</w:t>
      </w:r>
      <w:r>
        <w:rPr>
          <w:rFonts w:eastAsia="Calibri"/>
          <w:noProof/>
          <w:lang w:eastAsia="en-GB"/>
        </w:rPr>
        <w:t>38.5 billion) and Trinidad and Tobago (</w:t>
      </w:r>
      <w:r>
        <w:rPr>
          <w:rFonts w:eastAsia="Calibri"/>
          <w:noProof/>
          <w:lang w:val="en-IE"/>
        </w:rPr>
        <w:t>€1.4 billion</w:t>
      </w:r>
      <w:r>
        <w:rPr>
          <w:rFonts w:eastAsia="Calibri"/>
          <w:noProof/>
          <w:lang w:eastAsia="en-GB"/>
        </w:rPr>
        <w:t xml:space="preserve">). </w:t>
      </w:r>
    </w:p>
    <w:p>
      <w:pPr>
        <w:jc w:val="both"/>
        <w:rPr>
          <w:rFonts w:eastAsia="Calibri"/>
          <w:noProof/>
          <w:lang w:eastAsia="en-GB"/>
        </w:rPr>
      </w:pPr>
    </w:p>
    <w:p>
      <w:pPr>
        <w:jc w:val="both"/>
        <w:rPr>
          <w:rFonts w:eastAsia="Calibri"/>
          <w:noProof/>
          <w:lang w:eastAsia="en-GB"/>
        </w:rPr>
      </w:pPr>
      <w:r>
        <w:rPr>
          <w:rFonts w:eastAsia="Calibri"/>
          <w:noProof/>
          <w:lang w:eastAsia="en-GB"/>
        </w:rPr>
        <w:t xml:space="preserve">Outside the financial sector, EU investment is found in fuel import and distribution (e.g. French company RUBIS), and in the rum industry, e.g. with Gruppo Campari (Italian) recently acquiring the Jamaican rum maker Lascelles de Mercado, whose brands include Appleton Estate and Wray and Nephew. Rum production of Appleton Estate has increased to over 2 million bottles a year and 500 new jobs have been added.  </w:t>
      </w:r>
    </w:p>
    <w:p>
      <w:pPr>
        <w:jc w:val="both"/>
        <w:rPr>
          <w:rFonts w:eastAsia="Calibri"/>
          <w:noProof/>
          <w:lang w:eastAsia="en-GB"/>
        </w:rPr>
      </w:pPr>
    </w:p>
    <w:p>
      <w:pPr>
        <w:jc w:val="both"/>
        <w:rPr>
          <w:rFonts w:eastAsia="Calibri"/>
          <w:noProof/>
          <w:lang w:eastAsia="en-GB"/>
        </w:rPr>
      </w:pPr>
      <w:r>
        <w:rPr>
          <w:rFonts w:eastAsia="Calibri"/>
          <w:noProof/>
          <w:lang w:eastAsia="en-GB"/>
        </w:rPr>
        <w:t>In the Dominican Republic, according to data presented by the Central Bank, the EU is the fourth largest investor for the period 2010-2018, after the US, Canada and Brazil, accounting for about 10% of FDI or €2 billion. The largest EU investor is Spain, accounting for around 6% of total FDI in the Dominican Republic between 2010 and 2018.</w:t>
      </w:r>
      <w:r>
        <w:rPr>
          <w:rStyle w:val="FootnoteReference"/>
          <w:rFonts w:eastAsia="Calibri"/>
          <w:noProof/>
          <w:lang w:eastAsia="en-GB"/>
        </w:rPr>
        <w:footnoteReference w:id="129"/>
      </w:r>
      <w:r>
        <w:rPr>
          <w:rFonts w:eastAsia="Calibri"/>
          <w:noProof/>
          <w:lang w:val="en-IE"/>
        </w:rPr>
        <w:t xml:space="preserve"> According to the Dominican Republic Central Bank, there are currently around 70 EU companies present in the country, </w:t>
      </w:r>
      <w:r>
        <w:rPr>
          <w:rFonts w:eastAsia="Calibri"/>
          <w:noProof/>
          <w:lang w:eastAsia="en-GB"/>
        </w:rPr>
        <w:t xml:space="preserve">including from Germany (18), Italy (13), the Netherlands (10), Spain (7) and UK (7). EU investment in the Dominican Republic is mostly in tourism and manufacturing and services for exports (so called free zones, </w:t>
      </w:r>
      <w:r>
        <w:rPr>
          <w:rFonts w:eastAsia="Calibri"/>
          <w:i/>
          <w:noProof/>
          <w:lang w:eastAsia="en-GB"/>
        </w:rPr>
        <w:t>zonas francas</w:t>
      </w:r>
      <w:r>
        <w:rPr>
          <w:rFonts w:eastAsia="Calibri"/>
          <w:noProof/>
          <w:lang w:eastAsia="en-GB"/>
        </w:rPr>
        <w:t xml:space="preserve">). Examples for recent investments include: </w:t>
      </w:r>
    </w:p>
    <w:p>
      <w:pPr>
        <w:jc w:val="both"/>
        <w:rPr>
          <w:rFonts w:eastAsia="Calibri"/>
          <w:noProof/>
          <w:lang w:eastAsia="en-GB"/>
        </w:rPr>
      </w:pPr>
    </w:p>
    <w:p>
      <w:pPr>
        <w:pStyle w:val="ListParagraph"/>
        <w:numPr>
          <w:ilvl w:val="0"/>
          <w:numId w:val="40"/>
        </w:numPr>
        <w:spacing w:after="240" w:line="240" w:lineRule="auto"/>
        <w:ind w:left="1077" w:hanging="357"/>
        <w:contextualSpacing w:val="0"/>
        <w:jc w:val="both"/>
        <w:rPr>
          <w:rFonts w:ascii="Times New Roman" w:eastAsia="Calibri" w:hAnsi="Times New Roman" w:cs="Times New Roman"/>
          <w:noProof/>
          <w:sz w:val="24"/>
          <w:szCs w:val="24"/>
          <w:lang w:eastAsia="en-GB"/>
        </w:rPr>
      </w:pPr>
      <w:r>
        <w:rPr>
          <w:rFonts w:ascii="Times New Roman" w:eastAsia="Calibri" w:hAnsi="Times New Roman" w:cs="Times New Roman"/>
          <w:noProof/>
          <w:sz w:val="24"/>
          <w:szCs w:val="24"/>
          <w:lang w:eastAsia="en-GB"/>
        </w:rPr>
        <w:t>Increasing European investment in renewable energy: for example, French Akuo Energy is building a windfarm with an installed capacity of 50MW in Monte Cristi; operations are expected to start in 2019. There is also Spanish investment in a wind park (Dominicana Renovables INVERAVANTE) with 37MW capacity in Matafongo, Bani province, with operations starting in June 2019.</w:t>
      </w:r>
    </w:p>
    <w:p>
      <w:pPr>
        <w:pStyle w:val="ListParagraph"/>
        <w:numPr>
          <w:ilvl w:val="0"/>
          <w:numId w:val="40"/>
        </w:numPr>
        <w:spacing w:after="240" w:line="240" w:lineRule="auto"/>
        <w:ind w:left="1077" w:hanging="357"/>
        <w:contextualSpacing w:val="0"/>
        <w:jc w:val="both"/>
        <w:rPr>
          <w:rFonts w:ascii="Times New Roman" w:eastAsia="Calibri" w:hAnsi="Times New Roman" w:cs="Times New Roman"/>
          <w:noProof/>
          <w:sz w:val="24"/>
          <w:szCs w:val="24"/>
          <w:lang w:eastAsia="en-GB"/>
        </w:rPr>
      </w:pPr>
      <w:r>
        <w:rPr>
          <w:rFonts w:ascii="Times New Roman" w:eastAsia="Calibri" w:hAnsi="Times New Roman" w:cs="Times New Roman"/>
          <w:noProof/>
          <w:sz w:val="24"/>
          <w:szCs w:val="24"/>
          <w:lang w:eastAsia="en-GB"/>
        </w:rPr>
        <w:t xml:space="preserve">Vinci Airports (French) acquired, for approximately USD 500 million, 100% of Aerodom, holder of a concession until 2030 for the operation of 6 of the 9 airports in the country (around 40% of air traffic), including the Las Americas Airport in the capital city of Santo Domingo. Vinci is now planning an extension of the concession in exchange for an investment plan of approximately USD 400 million. </w:t>
      </w:r>
    </w:p>
    <w:p>
      <w:pPr>
        <w:pStyle w:val="ManualHeading1"/>
      </w:pPr>
      <w:bookmarkStart w:id="4782" w:name="_Toc8833857"/>
      <w:bookmarkStart w:id="4783" w:name="_Toc8835684"/>
      <w:bookmarkStart w:id="4784" w:name="_Toc8834315"/>
      <w:bookmarkStart w:id="4785" w:name="_Toc8909776"/>
      <w:bookmarkStart w:id="4786" w:name="_Toc8910988"/>
      <w:bookmarkStart w:id="4787" w:name="_Toc8912025"/>
      <w:bookmarkStart w:id="4788" w:name="_Toc8974846"/>
      <w:bookmarkStart w:id="4789" w:name="_Toc9008499"/>
      <w:bookmarkStart w:id="4790" w:name="_Toc9008902"/>
      <w:bookmarkStart w:id="4791" w:name="_Toc9348898"/>
      <w:bookmarkStart w:id="4792" w:name="_Toc9608366"/>
      <w:bookmarkStart w:id="4793" w:name="_Toc16000921"/>
      <w:r>
        <w:t>3.</w:t>
      </w:r>
      <w:r>
        <w:tab/>
        <w:t>Issues addressed in the EPA Committee meetings</w:t>
      </w:r>
      <w:bookmarkEnd w:id="4782"/>
      <w:bookmarkEnd w:id="4783"/>
      <w:bookmarkEnd w:id="4784"/>
      <w:bookmarkEnd w:id="4785"/>
      <w:bookmarkEnd w:id="4786"/>
      <w:bookmarkEnd w:id="4787"/>
      <w:bookmarkEnd w:id="4788"/>
      <w:bookmarkEnd w:id="4789"/>
      <w:bookmarkEnd w:id="4790"/>
      <w:bookmarkEnd w:id="4791"/>
      <w:bookmarkEnd w:id="4792"/>
      <w:bookmarkEnd w:id="4793"/>
    </w:p>
    <w:p>
      <w:pPr>
        <w:jc w:val="both"/>
        <w:rPr>
          <w:noProof/>
        </w:rPr>
      </w:pPr>
      <w:r>
        <w:rPr>
          <w:noProof/>
        </w:rPr>
        <w:t xml:space="preserve">The EPA establishes a full institutional structure to manage the implementation of the agreement, including the Joint Council (Ministerial level), the Trade and Development Committee (Senior Officials), the Parliamentary Committee (Parliamentarians from the European Parliament and the Caribbean state’s parliaments), the Consultative Committee (civil society representatives from the EU and the Caribbean); and Special Committees on Agriculture and Fisheries and </w:t>
      </w:r>
      <w:r>
        <w:rPr>
          <w:rFonts w:eastAsia="Calibri"/>
          <w:noProof/>
        </w:rPr>
        <w:t>Customs Cooperation and Trade Facilitation,</w:t>
      </w:r>
      <w:r>
        <w:rPr>
          <w:rFonts w:eastAsia="Calibri"/>
          <w:noProof/>
          <w:sz w:val="20"/>
          <w:szCs w:val="20"/>
        </w:rPr>
        <w:t xml:space="preserve"> </w:t>
      </w:r>
      <w:r>
        <w:rPr>
          <w:noProof/>
        </w:rPr>
        <w:t xml:space="preserve">which meet on an ad hoc basis. </w:t>
      </w:r>
    </w:p>
    <w:p>
      <w:pPr>
        <w:jc w:val="both"/>
        <w:rPr>
          <w:noProof/>
        </w:rPr>
      </w:pPr>
    </w:p>
    <w:p>
      <w:pPr>
        <w:jc w:val="both"/>
        <w:rPr>
          <w:rFonts w:eastAsia="Calibri"/>
          <w:noProof/>
        </w:rPr>
      </w:pPr>
      <w:r>
        <w:rPr>
          <w:rFonts w:eastAsia="Calibri"/>
          <w:noProof/>
        </w:rPr>
        <w:t xml:space="preserve">The </w:t>
      </w:r>
      <w:r>
        <w:rPr>
          <w:rFonts w:eastAsia="Calibri"/>
          <w:b/>
          <w:noProof/>
        </w:rPr>
        <w:t>8</w:t>
      </w:r>
      <w:r>
        <w:rPr>
          <w:rFonts w:eastAsia="Calibri"/>
          <w:b/>
          <w:noProof/>
          <w:vertAlign w:val="superscript"/>
        </w:rPr>
        <w:t>th</w:t>
      </w:r>
      <w:r>
        <w:rPr>
          <w:rFonts w:eastAsia="Calibri"/>
          <w:b/>
          <w:noProof/>
        </w:rPr>
        <w:t xml:space="preserve"> meeting of the</w:t>
      </w:r>
      <w:r>
        <w:rPr>
          <w:rFonts w:eastAsia="Calibri"/>
          <w:noProof/>
        </w:rPr>
        <w:t xml:space="preserve"> </w:t>
      </w:r>
      <w:r>
        <w:rPr>
          <w:rFonts w:eastAsia="Calibri"/>
          <w:b/>
          <w:noProof/>
        </w:rPr>
        <w:t>Trade and Development Committee (TDC)</w:t>
      </w:r>
      <w:r>
        <w:rPr>
          <w:rFonts w:eastAsia="Calibri"/>
          <w:noProof/>
        </w:rPr>
        <w:t xml:space="preserve"> </w:t>
      </w:r>
      <w:r>
        <w:rPr>
          <w:noProof/>
        </w:rPr>
        <w:t xml:space="preserve">took place in Saint Lucia in December 2018. </w:t>
      </w:r>
      <w:r>
        <w:rPr>
          <w:rFonts w:eastAsia="Calibri"/>
          <w:noProof/>
        </w:rPr>
        <w:t xml:space="preserve">The parties discussed, among other, the implementation of the CARIFORUM's tariff liberalisation schedule, transposition of the harmonised Commodity Coding Systems by CARIFORUM countries, participation of CARIFORUM countries in EU framework programmes, activation of the provisions on the technology transfer, as well as the Protocol on the cultural cooperation. The Parties also discussed the establishment of the joint monitoring system under the EPA and the way forward for development cooperation. It was agreed to establish a special committee on Trade in Services and the draft decision to establish the committee was exchanged prior to the meeting for discussion. The TDC also decided on the establishment of a joint EU-CARIFORUM Task Force for the next 5 years review of EPA, due in 2020. On Agriculture, the Parties referred to the progress achieved in the negotiations for the CARIFORUM-EU Geographical Indications Agreement. </w:t>
      </w:r>
    </w:p>
    <w:p>
      <w:pPr>
        <w:jc w:val="both"/>
        <w:rPr>
          <w:rFonts w:eastAsia="Calibri"/>
          <w:noProof/>
        </w:rPr>
      </w:pPr>
    </w:p>
    <w:p>
      <w:pPr>
        <w:jc w:val="both"/>
        <w:rPr>
          <w:rFonts w:eastAsia="Times New Roman"/>
          <w:noProof/>
        </w:rPr>
      </w:pPr>
      <w:r>
        <w:rPr>
          <w:rFonts w:eastAsia="Times New Roman"/>
          <w:noProof/>
        </w:rPr>
        <w:t xml:space="preserve">The </w:t>
      </w:r>
      <w:r>
        <w:rPr>
          <w:rFonts w:eastAsia="Times New Roman"/>
          <w:b/>
          <w:noProof/>
        </w:rPr>
        <w:t>4</w:t>
      </w:r>
      <w:r>
        <w:rPr>
          <w:rFonts w:eastAsia="Times New Roman"/>
          <w:b/>
          <w:noProof/>
          <w:vertAlign w:val="superscript"/>
        </w:rPr>
        <w:t>th</w:t>
      </w:r>
      <w:r>
        <w:rPr>
          <w:rFonts w:eastAsia="Times New Roman"/>
          <w:b/>
          <w:noProof/>
        </w:rPr>
        <w:t xml:space="preserve"> meeting of the</w:t>
      </w:r>
      <w:r>
        <w:rPr>
          <w:rFonts w:eastAsia="Times New Roman"/>
          <w:noProof/>
        </w:rPr>
        <w:t xml:space="preserve"> </w:t>
      </w:r>
      <w:r>
        <w:rPr>
          <w:rFonts w:eastAsia="Times New Roman"/>
          <w:b/>
          <w:noProof/>
        </w:rPr>
        <w:t>Consultative Committee</w:t>
      </w:r>
      <w:r>
        <w:rPr>
          <w:rFonts w:eastAsia="Times New Roman"/>
          <w:noProof/>
        </w:rPr>
        <w:t xml:space="preserve"> took place in December 2018 in Saint Lucia, and its recommendations and conclusions were presented to the TDC meeting. The recommendations include the need to increase visibility and awareness of EPA and the need to analyse further any social and environmental implications of the implementation of the EPA. The committee stated its readiness to contribute to the 2020 review of the EPA. The Consultative Committee also expressed concern about the lack of implementation of the regional preference clause under the EPA, as well as the adverse effects of the application of the ‘Octroi de Mer’ in EU outermost regions. The committee also called for the timely adoption of a monitoring mechanism. </w:t>
      </w:r>
    </w:p>
    <w:p>
      <w:pPr>
        <w:jc w:val="both"/>
        <w:rPr>
          <w:rFonts w:eastAsia="Times New Roman"/>
          <w:noProof/>
        </w:rPr>
      </w:pPr>
    </w:p>
    <w:p>
      <w:pPr>
        <w:jc w:val="both"/>
        <w:rPr>
          <w:noProof/>
        </w:rPr>
      </w:pPr>
      <w:r>
        <w:rPr>
          <w:noProof/>
        </w:rPr>
        <w:t xml:space="preserve">The </w:t>
      </w:r>
      <w:r>
        <w:rPr>
          <w:b/>
          <w:noProof/>
        </w:rPr>
        <w:t>5</w:t>
      </w:r>
      <w:r>
        <w:rPr>
          <w:b/>
          <w:noProof/>
          <w:vertAlign w:val="superscript"/>
        </w:rPr>
        <w:t>th</w:t>
      </w:r>
      <w:r>
        <w:rPr>
          <w:b/>
          <w:noProof/>
        </w:rPr>
        <w:t xml:space="preserve"> meeting of the Special Committee on Customs Cooperation and Trade Facilitation (SCCCTF)</w:t>
      </w:r>
      <w:r>
        <w:rPr>
          <w:noProof/>
        </w:rPr>
        <w:t xml:space="preserve"> took place in March 2018 in the Dominican Republic. The SCCCTF agreed that the Parties should establish a working group to carry out a comprehensive review of Protocol I on Rules of Origin to Annex III at triggered by CARIFORUM with the objective to simplify the some concepts and methods. In November 2018, the 2</w:t>
      </w:r>
      <w:r>
        <w:rPr>
          <w:noProof/>
          <w:vertAlign w:val="superscript"/>
        </w:rPr>
        <w:t>nd</w:t>
      </w:r>
      <w:r>
        <w:rPr>
          <w:noProof/>
        </w:rPr>
        <w:t xml:space="preserve"> Meeting </w:t>
      </w:r>
      <w:r>
        <w:rPr>
          <w:noProof/>
          <w:lang w:val="en-US"/>
        </w:rPr>
        <w:t>of the Special Committee on Agriculture and Fisheries (SCAF) was held in Barbados, together with the 3rd round of GI negotiations.</w:t>
      </w:r>
    </w:p>
    <w:p>
      <w:pPr>
        <w:pStyle w:val="ManualHeading1"/>
      </w:pPr>
      <w:bookmarkStart w:id="4794" w:name="_Toc8833858"/>
      <w:bookmarkStart w:id="4795" w:name="_Toc8835685"/>
      <w:bookmarkStart w:id="4796" w:name="_Toc8834316"/>
      <w:bookmarkStart w:id="4797" w:name="_Toc8909777"/>
      <w:bookmarkStart w:id="4798" w:name="_Toc8910989"/>
      <w:bookmarkStart w:id="4799" w:name="_Toc8912026"/>
      <w:bookmarkStart w:id="4800" w:name="_Toc8974847"/>
      <w:bookmarkStart w:id="4801" w:name="_Toc9008500"/>
      <w:bookmarkStart w:id="4802" w:name="_Toc9008903"/>
      <w:bookmarkStart w:id="4803" w:name="_Toc9348899"/>
      <w:bookmarkStart w:id="4804" w:name="_Toc9608367"/>
      <w:bookmarkStart w:id="4805" w:name="_Toc16000922"/>
      <w:r>
        <w:t>4.</w:t>
      </w:r>
      <w:r>
        <w:tab/>
        <w:t>Specific areas of importance</w:t>
      </w:r>
      <w:bookmarkEnd w:id="4794"/>
      <w:bookmarkEnd w:id="4795"/>
      <w:bookmarkEnd w:id="4796"/>
      <w:bookmarkEnd w:id="4797"/>
      <w:bookmarkEnd w:id="4798"/>
      <w:bookmarkEnd w:id="4799"/>
      <w:bookmarkEnd w:id="4800"/>
      <w:bookmarkEnd w:id="4801"/>
      <w:bookmarkEnd w:id="4802"/>
      <w:bookmarkEnd w:id="4803"/>
      <w:bookmarkEnd w:id="4804"/>
      <w:bookmarkEnd w:id="4805"/>
    </w:p>
    <w:p>
      <w:pPr>
        <w:shd w:val="clear" w:color="auto" w:fill="FFFFFF" w:themeFill="background1"/>
        <w:jc w:val="both"/>
        <w:rPr>
          <w:noProof/>
          <w:lang w:val="en-US"/>
        </w:rPr>
      </w:pPr>
      <w:r>
        <w:rPr>
          <w:rFonts w:eastAsia="Calibri"/>
          <w:b/>
          <w:bCs/>
          <w:i/>
          <w:iCs/>
          <w:noProof/>
        </w:rPr>
        <w:t>Agriculture</w:t>
      </w:r>
      <w:r>
        <w:rPr>
          <w:rFonts w:eastAsia="Calibri"/>
          <w:noProof/>
        </w:rPr>
        <w:t xml:space="preserve">: Parties are intensifying their cooperation on agricultural trade and development. The Special Committee on Agriculture and Fisheries held its second meeting in </w:t>
      </w:r>
      <w:r>
        <w:rPr>
          <w:noProof/>
          <w:lang w:val="en-US"/>
        </w:rPr>
        <w:t>Barbados</w:t>
      </w:r>
      <w:r>
        <w:rPr>
          <w:rFonts w:eastAsia="Calibri"/>
          <w:noProof/>
        </w:rPr>
        <w:t xml:space="preserve"> in November 2018. </w:t>
      </w:r>
      <w:r>
        <w:rPr>
          <w:rFonts w:eastAsiaTheme="minorEastAsia"/>
          <w:noProof/>
          <w:lang w:eastAsia="zh-CN"/>
        </w:rPr>
        <w:t xml:space="preserve">The meeting had a substantive agenda, discussing </w:t>
      </w:r>
      <w:r>
        <w:rPr>
          <w:noProof/>
          <w:lang w:val="en-US"/>
        </w:rPr>
        <w:t xml:space="preserve">cooperation in agricultural research, use of new technologies in agriculture, food and nutrition security, creation of value addition in agri-food and rural employment, as well as the sustainable use of natural resources. CARIFORUM stressed its concerns with two specific matters, namely the rules of cumulation for sugar-based products (Annex X to Protocol I) and the revision of the EU spirits definition, which includes the proposed restriction on the use of the word “agricultural” (e.g. agricultural rum). Both regions underlined the expectations for the agricultural partnership to work more closely on policy issues of relevance for the development of the agricultural sector. </w:t>
      </w:r>
    </w:p>
    <w:p>
      <w:pPr>
        <w:shd w:val="clear" w:color="auto" w:fill="FFFFFF" w:themeFill="background1"/>
        <w:jc w:val="both"/>
        <w:rPr>
          <w:noProof/>
          <w:lang w:val="en-US"/>
        </w:rPr>
      </w:pPr>
    </w:p>
    <w:p>
      <w:pPr>
        <w:shd w:val="clear" w:color="auto" w:fill="FFFFFF" w:themeFill="background1"/>
        <w:jc w:val="both"/>
        <w:rPr>
          <w:noProof/>
          <w:lang w:val="en-US"/>
        </w:rPr>
      </w:pPr>
      <w:r>
        <w:rPr>
          <w:b/>
          <w:bCs/>
          <w:i/>
          <w:iCs/>
          <w:noProof/>
        </w:rPr>
        <w:t>Geographical indications:</w:t>
      </w:r>
      <w:r>
        <w:rPr>
          <w:noProof/>
        </w:rPr>
        <w:t xml:space="preserve"> A negotiation directive to negotiate an agreement on Geographical Indications (GI) under the CARIFORUM EPA was adopted by the Council of the EU in November 2017 and the </w:t>
      </w:r>
      <w:r>
        <w:rPr>
          <w:noProof/>
          <w:lang w:val="en-US"/>
        </w:rPr>
        <w:t xml:space="preserve">3rd round of GI negotiations took place in November 2018. The parties progressed on establishing a list of GIs to be protected under the EPA. Currently the Parties are exchanging information at technical level to clarify the outstanding issues. </w:t>
      </w:r>
      <w:r>
        <w:rPr>
          <w:noProof/>
        </w:rPr>
        <w:t>In parallel, the EU delegations in the region are actively promoting awareness on geographical indications through tailor-made events and workshops with business community, producer groups and other</w:t>
      </w:r>
      <w:r>
        <w:rPr>
          <w:noProof/>
          <w:lang w:val="en-US"/>
        </w:rPr>
        <w:t xml:space="preserve"> farmers' organizations.</w:t>
      </w:r>
    </w:p>
    <w:p>
      <w:pPr>
        <w:shd w:val="clear" w:color="auto" w:fill="FFFFFF" w:themeFill="background1"/>
        <w:jc w:val="both"/>
        <w:rPr>
          <w:noProof/>
          <w:lang w:val="en-US"/>
        </w:rPr>
      </w:pPr>
    </w:p>
    <w:p>
      <w:pPr>
        <w:jc w:val="both"/>
        <w:rPr>
          <w:noProof/>
          <w:lang w:val="en-US"/>
        </w:rPr>
      </w:pPr>
      <w:r>
        <w:rPr>
          <w:b/>
          <w:bCs/>
          <w:i/>
          <w:iCs/>
          <w:noProof/>
          <w:lang w:val="en-US"/>
        </w:rPr>
        <w:t>Services:</w:t>
      </w:r>
      <w:r>
        <w:rPr>
          <w:noProof/>
          <w:lang w:val="en-US"/>
        </w:rPr>
        <w:t xml:space="preserve"> The Services chapter, and in particular Mode 4 (movement of natural persons for business purposes), is considered one of the key elements of the EPA and of particular interest for CARIFORUM countries. Going beyond the remit of the EPA, t</w:t>
      </w:r>
      <w:r>
        <w:rPr>
          <w:noProof/>
          <w:lang w:val="en-IE"/>
        </w:rPr>
        <w:t xml:space="preserve">he Commission is preparing to extend the </w:t>
      </w:r>
      <w:hyperlink r:id="rId57">
        <w:r>
          <w:rPr>
            <w:rStyle w:val="Hyperlink"/>
            <w:noProof/>
            <w:lang w:val="en-IE"/>
          </w:rPr>
          <w:t>EU Immigration Portal</w:t>
        </w:r>
      </w:hyperlink>
      <w:r>
        <w:rPr>
          <w:noProof/>
          <w:lang w:val="en-IE"/>
        </w:rPr>
        <w:t xml:space="preserve"> to cover all categories of Mode 4 service suppliers. When completed, this will provide additional transparency as regards applicable rules.</w:t>
      </w:r>
      <w:r>
        <w:rPr>
          <w:noProof/>
          <w:lang w:val="en-US"/>
        </w:rPr>
        <w:t xml:space="preserve"> With regard to the institutional set up, both Parties agreed in 2017 to establish a Special Committee on Services. In 2018, the Parties further progressed with the legal work to establish the committee, with the aim to concluding the necessary decision in 2019. </w:t>
      </w:r>
    </w:p>
    <w:p>
      <w:pPr>
        <w:jc w:val="both"/>
        <w:rPr>
          <w:b/>
          <w:bCs/>
          <w:noProof/>
          <w:lang w:val="en-US"/>
        </w:rPr>
      </w:pPr>
    </w:p>
    <w:p>
      <w:pPr>
        <w:jc w:val="both"/>
        <w:rPr>
          <w:rFonts w:eastAsia="Times New Roman"/>
          <w:noProof/>
        </w:rPr>
      </w:pPr>
      <w:r>
        <w:rPr>
          <w:rFonts w:eastAsia="Calibri"/>
          <w:b/>
          <w:bCs/>
          <w:i/>
          <w:iCs/>
          <w:noProof/>
        </w:rPr>
        <w:t>Monitoring</w:t>
      </w:r>
      <w:r>
        <w:rPr>
          <w:rFonts w:eastAsia="Calibri"/>
          <w:noProof/>
        </w:rPr>
        <w:t xml:space="preserve">: Both Parties continued working on the establishment of a </w:t>
      </w:r>
      <w:r>
        <w:rPr>
          <w:rFonts w:eastAsia="Times New Roman"/>
          <w:noProof/>
        </w:rPr>
        <w:t xml:space="preserve">monitoring mechanism for the EPA, exchanging documents and suggestions about the type of monitoring mechanism to be put in place. As a result of this work, a joint monitoring mechanism seems achievable.  </w:t>
      </w:r>
    </w:p>
    <w:p>
      <w:pPr>
        <w:jc w:val="both"/>
        <w:rPr>
          <w:rFonts w:eastAsia="Times New Roman"/>
          <w:noProof/>
        </w:rPr>
      </w:pPr>
    </w:p>
    <w:p>
      <w:pPr>
        <w:jc w:val="both"/>
        <w:rPr>
          <w:noProof/>
          <w:color w:val="000000" w:themeColor="text1"/>
        </w:rPr>
      </w:pPr>
      <w:r>
        <w:rPr>
          <w:rFonts w:eastAsia="Times New Roman"/>
          <w:b/>
          <w:bCs/>
          <w:i/>
          <w:iCs/>
          <w:noProof/>
        </w:rPr>
        <w:t>Launching of an ex-post evaluation, 10 years after the agreement entered into force</w:t>
      </w:r>
      <w:r>
        <w:rPr>
          <w:rFonts w:eastAsia="Times New Roman"/>
          <w:b/>
          <w:bCs/>
          <w:noProof/>
        </w:rPr>
        <w:t xml:space="preserve">: </w:t>
      </w:r>
      <w:r>
        <w:rPr>
          <w:noProof/>
          <w:color w:val="000000" w:themeColor="text1"/>
        </w:rPr>
        <w:t>In February 2019, the Commission launched an ex-post evaluation to evaluate the level of implementation and the impact on sustainable development, 10 years after entering into force of the agreement. Consultations are on-going throughout 2019. Results are expected in 2020 and will feed into the Joint Review, as well as the next EU-CARIFORUM Joint Council, both foreseen for 2020.</w:t>
      </w:r>
    </w:p>
    <w:p>
      <w:pPr>
        <w:jc w:val="both"/>
        <w:rPr>
          <w:noProof/>
          <w:color w:val="000000" w:themeColor="text1"/>
        </w:rPr>
      </w:pPr>
    </w:p>
    <w:p>
      <w:pPr>
        <w:jc w:val="both"/>
        <w:rPr>
          <w:noProof/>
          <w:lang w:val="en-US"/>
        </w:rPr>
      </w:pPr>
      <w:r>
        <w:rPr>
          <w:b/>
          <w:bCs/>
          <w:i/>
          <w:iCs/>
          <w:noProof/>
        </w:rPr>
        <w:t xml:space="preserve">Development cooperation: </w:t>
      </w:r>
      <w:r>
        <w:rPr>
          <w:noProof/>
          <w:lang w:val="en-IE"/>
        </w:rPr>
        <w:t>The EPA is a genuinely pro-development agreement and the EU provides considerable support to CARIFORUM and Caribbean governments for EPA implementation and export development. Under the</w:t>
      </w:r>
      <w:r>
        <w:rPr>
          <w:noProof/>
          <w:lang w:val="en-US"/>
        </w:rPr>
        <w:t xml:space="preserve"> 11</w:t>
      </w:r>
      <w:r>
        <w:rPr>
          <w:noProof/>
          <w:vertAlign w:val="superscript"/>
          <w:lang w:val="en-US"/>
        </w:rPr>
        <w:t>th</w:t>
      </w:r>
      <w:r>
        <w:rPr>
          <w:noProof/>
          <w:lang w:val="en-US"/>
        </w:rPr>
        <w:t xml:space="preserve"> European Development Fund (EDF) (2014-2020), the total allocation for the Caribbean region is approximately €1 billion, of which €326 million is allocated to the Regional Programme. Under this envelope, the EU supports Regional Economic Cooperation and Integration in the Caribbean, including EPA implementation, trade-related capacity building and private sector development, with €102 million (33% of total allocations to the region). </w:t>
      </w:r>
    </w:p>
    <w:p>
      <w:pPr>
        <w:jc w:val="both"/>
        <w:rPr>
          <w:b/>
          <w:bCs/>
          <w:noProof/>
          <w:lang w:val="en-US"/>
        </w:rPr>
      </w:pPr>
    </w:p>
    <w:p>
      <w:pPr>
        <w:jc w:val="both"/>
        <w:rPr>
          <w:noProof/>
          <w:lang w:val="en-US" w:eastAsia="en-GB"/>
        </w:rPr>
      </w:pPr>
      <w:r>
        <w:rPr>
          <w:noProof/>
          <w:lang w:val="en-US" w:eastAsia="en-GB"/>
        </w:rPr>
        <w:t xml:space="preserve">Out of the €102 million, the </w:t>
      </w:r>
      <w:r>
        <w:rPr>
          <w:b/>
          <w:bCs/>
          <w:noProof/>
          <w:lang w:val="en-US" w:eastAsia="en-GB"/>
        </w:rPr>
        <w:t>Caribbean Export Development Agency (CEDA)</w:t>
      </w:r>
      <w:r>
        <w:rPr>
          <w:noProof/>
          <w:lang w:val="en-US" w:eastAsia="en-GB"/>
        </w:rPr>
        <w:t xml:space="preserve"> currently implements a </w:t>
      </w:r>
      <w:r>
        <w:rPr>
          <w:b/>
          <w:bCs/>
          <w:noProof/>
          <w:lang w:val="en-US" w:eastAsia="en-GB"/>
        </w:rPr>
        <w:t>Regional Private Sector Development Programme (RPSDP)</w:t>
      </w:r>
      <w:r>
        <w:rPr>
          <w:noProof/>
          <w:lang w:val="en-US" w:eastAsia="en-GB"/>
        </w:rPr>
        <w:t xml:space="preserve"> </w:t>
      </w:r>
      <w:r>
        <w:rPr>
          <w:b/>
          <w:bCs/>
          <w:noProof/>
          <w:lang w:val="en-US" w:eastAsia="en-GB"/>
        </w:rPr>
        <w:t>(</w:t>
      </w:r>
      <w:r>
        <w:rPr>
          <w:b/>
          <w:bCs/>
          <w:noProof/>
          <w:lang w:val="en-US"/>
        </w:rPr>
        <w:t>€</w:t>
      </w:r>
      <w:r>
        <w:rPr>
          <w:b/>
          <w:bCs/>
          <w:noProof/>
          <w:lang w:val="en-US" w:eastAsia="en-GB"/>
        </w:rPr>
        <w:t>27.2 million, 2017-2022).</w:t>
      </w:r>
      <w:r>
        <w:rPr>
          <w:noProof/>
          <w:lang w:val="en-US" w:eastAsia="en-GB"/>
        </w:rPr>
        <w:t xml:space="preserve"> In 2018, CEDA awarded mini-grants to 53 SMEs across all CARIFORUM countries to help firms get ready to export or expand their exports; a number of firms were also invited to attend business fairs in Europe which resulted in new business contracts. In addition, 20 women-owned businesses benefitted from specific coaching on growing their business and attracting angel investment. 2018 also saw the launch of the Caribbean Export Intelligence portal of Caribbean Export, which should become an important provider of data in support of business decisions and for business support organizations in the delivery of their services.</w:t>
      </w:r>
    </w:p>
    <w:p>
      <w:pPr>
        <w:jc w:val="both"/>
        <w:rPr>
          <w:noProof/>
          <w:lang w:val="en-US" w:eastAsia="en-GB"/>
        </w:rPr>
      </w:pPr>
    </w:p>
    <w:p>
      <w:pPr>
        <w:jc w:val="both"/>
        <w:rPr>
          <w:noProof/>
          <w:lang w:val="en-US" w:eastAsia="en-GB"/>
        </w:rPr>
      </w:pPr>
      <w:r>
        <w:rPr>
          <w:noProof/>
          <w:lang w:val="en-US" w:eastAsia="en-GB"/>
        </w:rPr>
        <w:t>Other projects under the 11</w:t>
      </w:r>
      <w:r>
        <w:rPr>
          <w:noProof/>
          <w:vertAlign w:val="superscript"/>
          <w:lang w:val="en-US" w:eastAsia="en-GB"/>
        </w:rPr>
        <w:t>th</w:t>
      </w:r>
      <w:r>
        <w:rPr>
          <w:noProof/>
          <w:lang w:val="en-US" w:eastAsia="en-GB"/>
        </w:rPr>
        <w:t xml:space="preserve"> EDF are currently under preparation (€</w:t>
      </w:r>
      <w:r>
        <w:rPr>
          <w:noProof/>
          <w:lang w:val="en-US"/>
        </w:rPr>
        <w:t>21 million)</w:t>
      </w:r>
      <w:r>
        <w:rPr>
          <w:noProof/>
          <w:lang w:val="en-US" w:eastAsia="en-GB"/>
        </w:rPr>
        <w:t xml:space="preserve"> and will include capacity building in the area of innovation and Intellectual Property Rights, technical barriers to trade, sanitary and phyto-sanitary measures, as well as competition, public procurement, customs and trade facilitation. The projects will build on the results achieved in these areas under the 10</w:t>
      </w:r>
      <w:r>
        <w:rPr>
          <w:noProof/>
          <w:vertAlign w:val="superscript"/>
          <w:lang w:val="en-US" w:eastAsia="en-GB"/>
        </w:rPr>
        <w:t>th</w:t>
      </w:r>
      <w:r>
        <w:rPr>
          <w:noProof/>
          <w:lang w:val="en-US" w:eastAsia="en-GB"/>
        </w:rPr>
        <w:t xml:space="preserve"> EDF, which included, for example, improved ability of national and regional regulatory bodies and the private sector to comply with the EU’s Sanitary and Phytosanitary (SPS) measures, as well as improved capacity for developing regionally harmonized SPS measures. </w:t>
      </w:r>
    </w:p>
    <w:p>
      <w:pPr>
        <w:jc w:val="both"/>
        <w:rPr>
          <w:noProof/>
          <w:lang w:val="en-US" w:eastAsia="en-GB"/>
        </w:rPr>
      </w:pPr>
    </w:p>
    <w:p>
      <w:pPr>
        <w:jc w:val="both"/>
        <w:rPr>
          <w:noProof/>
          <w:lang w:val="en-US"/>
        </w:rPr>
      </w:pPr>
      <w:r>
        <w:rPr>
          <w:noProof/>
          <w:lang w:val="en-US" w:eastAsia="en-GB"/>
        </w:rPr>
        <w:t>Under the 11</w:t>
      </w:r>
      <w:r>
        <w:rPr>
          <w:noProof/>
          <w:vertAlign w:val="superscript"/>
          <w:lang w:val="en-US" w:eastAsia="en-GB"/>
        </w:rPr>
        <w:t>th</w:t>
      </w:r>
      <w:r>
        <w:rPr>
          <w:noProof/>
          <w:lang w:val="en-US" w:eastAsia="en-GB"/>
        </w:rPr>
        <w:t xml:space="preserve"> EDF, the EU is also </w:t>
      </w:r>
      <w:r>
        <w:rPr>
          <w:b/>
          <w:noProof/>
          <w:lang w:val="en-US" w:eastAsia="en-GB"/>
        </w:rPr>
        <w:t>directly supporting the CARIFORUM Directorate (€</w:t>
      </w:r>
      <w:r>
        <w:rPr>
          <w:b/>
          <w:noProof/>
          <w:lang w:val="en-US"/>
        </w:rPr>
        <w:t xml:space="preserve">6.2 million) </w:t>
      </w:r>
      <w:r>
        <w:rPr>
          <w:noProof/>
          <w:lang w:val="en-US"/>
        </w:rPr>
        <w:t xml:space="preserve">to fulfill its role in coordinating and facilitating EPA implementation in CARIFORUM Member States. </w:t>
      </w:r>
    </w:p>
    <w:p>
      <w:pPr>
        <w:jc w:val="both"/>
        <w:rPr>
          <w:noProof/>
          <w:lang w:val="en-US"/>
        </w:rPr>
      </w:pPr>
    </w:p>
    <w:tbl>
      <w:tblPr>
        <w:tblStyle w:val="TableGrid"/>
        <w:tblW w:w="0" w:type="auto"/>
        <w:tblInd w:w="392" w:type="dxa"/>
        <w:tblLook w:val="04A0" w:firstRow="1" w:lastRow="0" w:firstColumn="1" w:lastColumn="0" w:noHBand="0" w:noVBand="1"/>
      </w:tblPr>
      <w:tblGrid>
        <w:gridCol w:w="8221"/>
      </w:tblGrid>
      <w:tr>
        <w:tc>
          <w:tcPr>
            <w:tcW w:w="8221" w:type="dxa"/>
            <w:vAlign w:val="center"/>
          </w:tcPr>
          <w:p>
            <w:pPr>
              <w:jc w:val="center"/>
              <w:rPr>
                <w:b/>
                <w:noProof/>
                <w:sz w:val="22"/>
                <w:szCs w:val="22"/>
                <w:lang w:val="en-US"/>
              </w:rPr>
            </w:pPr>
            <w:r>
              <w:rPr>
                <w:b/>
                <w:noProof/>
                <w:sz w:val="22"/>
                <w:szCs w:val="22"/>
                <w:lang w:val="en-US"/>
              </w:rPr>
              <w:t>Caribbean swimwear – soon available in Europe</w:t>
            </w:r>
          </w:p>
          <w:p>
            <w:pPr>
              <w:jc w:val="center"/>
              <w:rPr>
                <w:b/>
                <w:noProof/>
                <w:sz w:val="22"/>
                <w:szCs w:val="22"/>
                <w:lang w:val="en-US"/>
              </w:rPr>
            </w:pPr>
          </w:p>
          <w:p>
            <w:pPr>
              <w:jc w:val="both"/>
              <w:rPr>
                <w:noProof/>
                <w:sz w:val="22"/>
                <w:szCs w:val="22"/>
                <w:lang w:val="en-US"/>
              </w:rPr>
            </w:pPr>
            <w:r>
              <w:rPr>
                <w:noProof/>
                <w:sz w:val="22"/>
                <w:szCs w:val="22"/>
                <w:lang w:val="en-US"/>
              </w:rPr>
              <w:t>Vincentian-born, Trinidadian-raised and a citizen of the Caribbean, Kimya Glasgow, the CEO and head designer of her self-named clothing and lifestyle brand, aims to bring a modern version of classic Caribbean style to the world.</w:t>
            </w:r>
          </w:p>
          <w:p>
            <w:pPr>
              <w:jc w:val="both"/>
              <w:rPr>
                <w:noProof/>
                <w:sz w:val="22"/>
                <w:szCs w:val="22"/>
                <w:lang w:val="en-US"/>
              </w:rPr>
            </w:pPr>
          </w:p>
          <w:p>
            <w:pPr>
              <w:jc w:val="both"/>
              <w:rPr>
                <w:noProof/>
                <w:sz w:val="22"/>
                <w:szCs w:val="22"/>
                <w:lang w:val="en-US"/>
              </w:rPr>
            </w:pPr>
            <w:r>
              <w:rPr>
                <w:noProof/>
                <w:sz w:val="22"/>
                <w:szCs w:val="22"/>
                <w:lang w:val="en-US"/>
              </w:rPr>
              <w:t>Her high-quality resort and swimwear pieces are currently delivered to Caribbean-based customers via LIAT Quick Pack or couriered by willing travelers. But she’s focused on building a sustainable production model to gain a foothold in overseas markets such as EU and UK, as well as the US and Dubai, where she has captured the attention of buyers.</w:t>
            </w:r>
          </w:p>
          <w:p>
            <w:pPr>
              <w:jc w:val="both"/>
              <w:rPr>
                <w:noProof/>
                <w:sz w:val="22"/>
                <w:szCs w:val="22"/>
                <w:lang w:val="en-US"/>
              </w:rPr>
            </w:pPr>
            <w:r>
              <w:rPr>
                <w:noProof/>
                <w:sz w:val="22"/>
                <w:szCs w:val="22"/>
                <w:lang w:val="en-US"/>
              </w:rPr>
              <w:t>“We have exceptional talent in St. Vincent that often does not go beyond our shores.  So I’m working on raising the capital to enable me to partner with local artisans.” she said.</w:t>
            </w:r>
          </w:p>
          <w:p>
            <w:pPr>
              <w:jc w:val="both"/>
              <w:rPr>
                <w:noProof/>
                <w:sz w:val="22"/>
                <w:szCs w:val="22"/>
                <w:lang w:val="en-US"/>
              </w:rPr>
            </w:pPr>
          </w:p>
          <w:p>
            <w:pPr>
              <w:jc w:val="both"/>
              <w:rPr>
                <w:noProof/>
                <w:sz w:val="22"/>
                <w:szCs w:val="22"/>
                <w:lang w:val="en-US"/>
              </w:rPr>
            </w:pPr>
            <w:r>
              <w:rPr>
                <w:noProof/>
                <w:sz w:val="22"/>
                <w:szCs w:val="22"/>
                <w:lang w:val="en-US"/>
              </w:rPr>
              <w:t xml:space="preserve">Glasgow credits programmes such as </w:t>
            </w:r>
            <w:hyperlink r:id="rId58" w:history="1">
              <w:r>
                <w:rPr>
                  <w:rStyle w:val="Hyperlink"/>
                  <w:noProof/>
                  <w:sz w:val="22"/>
                  <w:szCs w:val="22"/>
                  <w:lang w:val="en-US"/>
                </w:rPr>
                <w:t>Women Empowered through Export (WE-Xport)</w:t>
              </w:r>
            </w:hyperlink>
            <w:r>
              <w:rPr>
                <w:noProof/>
                <w:sz w:val="22"/>
                <w:szCs w:val="22"/>
                <w:lang w:val="en-US"/>
              </w:rPr>
              <w:t xml:space="preserve"> with creating a space where women can access the mentorship, technical and financial support needed to grow their businesses. Through the programme, she successfully scaled up her business and is getting export ready. The programme is part of the EU’s trade-related development assistance provided under the EU-CARIFORUM Economic Partnership Agreement. </w:t>
            </w:r>
          </w:p>
          <w:p>
            <w:pPr>
              <w:jc w:val="both"/>
              <w:rPr>
                <w:noProof/>
                <w:sz w:val="22"/>
                <w:szCs w:val="22"/>
                <w:lang w:val="en-US"/>
              </w:rPr>
            </w:pPr>
          </w:p>
          <w:p>
            <w:pPr>
              <w:jc w:val="both"/>
              <w:rPr>
                <w:noProof/>
                <w:sz w:val="22"/>
                <w:szCs w:val="22"/>
                <w:lang w:val="en-US"/>
              </w:rPr>
            </w:pPr>
            <w:r>
              <w:rPr>
                <w:noProof/>
                <w:sz w:val="22"/>
                <w:szCs w:val="22"/>
                <w:lang w:val="en-US"/>
              </w:rPr>
              <w:t>The 2009 Caribbean Fashion Awards winner has shown at fashion weeks in Miami, Jamaica, Trinidad &amp; Tobago, Barbados, St. Kitts and St. Vincent.  Mustique, Bequia, Grenada and New York have also featured her collections.  As she gears up for more meaningful export in 2019, the Kimya Glasgow brand is shaping up to be one to watch.</w:t>
            </w:r>
          </w:p>
          <w:p>
            <w:pPr>
              <w:jc w:val="both"/>
              <w:rPr>
                <w:noProof/>
                <w:sz w:val="22"/>
                <w:szCs w:val="22"/>
                <w:lang w:val="en-US"/>
              </w:rPr>
            </w:pPr>
          </w:p>
        </w:tc>
      </w:tr>
    </w:tbl>
    <w:p>
      <w:pPr>
        <w:jc w:val="both"/>
        <w:rPr>
          <w:noProof/>
          <w:lang w:val="en-US"/>
        </w:rPr>
      </w:pPr>
    </w:p>
    <w:p>
      <w:pPr>
        <w:jc w:val="both"/>
        <w:rPr>
          <w:noProof/>
        </w:rPr>
      </w:pPr>
      <w:r>
        <w:rPr>
          <w:noProof/>
          <w:lang w:val="en-US"/>
        </w:rPr>
        <w:t xml:space="preserve">In the Dominican Republic, the EU currently supports a project on </w:t>
      </w:r>
      <w:r>
        <w:rPr>
          <w:b/>
          <w:bCs/>
          <w:noProof/>
          <w:lang w:val="en-US"/>
        </w:rPr>
        <w:t>Quality Strengthening for Micro, Small and Medium-sized Enterprises(MSMEs) Development (€11 million, 2014-2019),</w:t>
      </w:r>
      <w:r>
        <w:rPr>
          <w:noProof/>
          <w:lang w:val="en-US"/>
        </w:rPr>
        <w:t xml:space="preserve"> to strengthen the national quality system and improve quality orientation of MSMEs in order to access national, regional and international markets. </w:t>
      </w:r>
      <w:r>
        <w:rPr>
          <w:noProof/>
        </w:rPr>
        <w:t>Under the project, the EU supported the creation of a “chemical metrology and laboratories network” which will allow exporters and producers to benefit from local analysis and testing, as well as reducing costs of chemical calibration. Furthermore, more than 300 enterprises were selected to participate in a comprehensive initiative for implementing standards and quality assurance systems such as ISO/9001, ISO/27001, ISO/22000), as well as good practices and food safety measures. The results are expected by late 2019.</w:t>
      </w:r>
      <w:r>
        <w:rPr>
          <w:noProof/>
          <w:lang w:val="en-IE"/>
        </w:rPr>
        <w:t xml:space="preserve"> </w:t>
      </w:r>
      <w:r>
        <w:rPr>
          <w:noProof/>
        </w:rPr>
        <w:t>In 2018, around 25 MSME dairy producers were supported to achieve conformity with the national normative RTD 53 related to labelling. This measure allowed such producers to access public procurement under the national programme for “school breakfast”.</w:t>
      </w:r>
    </w:p>
    <w:p>
      <w:pPr>
        <w:jc w:val="both"/>
        <w:rPr>
          <w:noProof/>
        </w:rPr>
      </w:pPr>
    </w:p>
    <w:p>
      <w:pPr>
        <w:jc w:val="both"/>
        <w:rPr>
          <w:noProof/>
          <w:lang w:val="en-US"/>
        </w:rPr>
      </w:pPr>
      <w:r>
        <w:rPr>
          <w:noProof/>
        </w:rPr>
        <w:t xml:space="preserve">The EU financed </w:t>
      </w:r>
      <w:r>
        <w:rPr>
          <w:b/>
          <w:bCs/>
          <w:noProof/>
        </w:rPr>
        <w:t>Banana Accompanying Measures for the Dominican Republic (€19.3 million</w:t>
      </w:r>
      <w:r>
        <w:rPr>
          <w:b/>
          <w:bCs/>
          <w:noProof/>
          <w:lang w:val="en-US"/>
        </w:rPr>
        <w:t xml:space="preserve">, 2013-2018) </w:t>
      </w:r>
      <w:r>
        <w:rPr>
          <w:noProof/>
          <w:lang w:val="en-US"/>
        </w:rPr>
        <w:t xml:space="preserve">ended last year with some impressive results. Around 2,000 banana producers in Dominican Republic sustain the livelihood of around 300,000 people directly or indirectly, including nearly 25,000 Haitian immigrant workers. The sector exports around 300,000 tonnes annually (80% organic). 95% of organic banana export goes to Europe, meaning around 50% or the organic banana in Europe is from Dominican Republic. The project trained 4,600 producers and technicians and 6,000 workers on environmental management, sustainable production and quality management. It also trained 1,000 producers on organic and fair trade certification, labour rights and social security to improve the working conditions of banana workers. 1,500 farm development plans were designed and implemented. The use of pesticides and fungicides decreased by 80% over the project duration. A credit revolving fund operated by a local microcredit bank was operationalised to improve access to finance for banana small and medium farmers. 2,500 people completed literacy courses and 15,800 Haitian workers were supported in their application for national regularization. </w:t>
      </w:r>
    </w:p>
    <w:p>
      <w:pPr>
        <w:pStyle w:val="ManualHeading1"/>
      </w:pPr>
      <w:bookmarkStart w:id="4806" w:name="_Toc8833859"/>
      <w:bookmarkStart w:id="4807" w:name="_Toc8835686"/>
      <w:bookmarkStart w:id="4808" w:name="_Toc8834317"/>
      <w:bookmarkStart w:id="4809" w:name="_Toc8909778"/>
      <w:bookmarkStart w:id="4810" w:name="_Toc8910990"/>
      <w:bookmarkStart w:id="4811" w:name="_Toc8912027"/>
      <w:bookmarkStart w:id="4812" w:name="_Toc8974848"/>
      <w:bookmarkStart w:id="4813" w:name="_Toc9008501"/>
      <w:bookmarkStart w:id="4814" w:name="_Toc9008904"/>
      <w:bookmarkStart w:id="4815" w:name="_Toc9348900"/>
      <w:bookmarkStart w:id="4816" w:name="_Toc9608368"/>
      <w:bookmarkStart w:id="4817" w:name="_Toc16000923"/>
      <w:r>
        <w:t>5.</w:t>
      </w:r>
      <w:r>
        <w:tab/>
        <w:t>Progress made, main open issues and follow-up actions</w:t>
      </w:r>
      <w:bookmarkEnd w:id="4806"/>
      <w:bookmarkEnd w:id="4807"/>
      <w:bookmarkEnd w:id="4808"/>
      <w:bookmarkEnd w:id="4809"/>
      <w:bookmarkEnd w:id="4810"/>
      <w:bookmarkEnd w:id="4811"/>
      <w:bookmarkEnd w:id="4812"/>
      <w:bookmarkEnd w:id="4813"/>
      <w:bookmarkEnd w:id="4814"/>
      <w:bookmarkEnd w:id="4815"/>
      <w:bookmarkEnd w:id="4816"/>
      <w:bookmarkEnd w:id="4817"/>
    </w:p>
    <w:p>
      <w:pPr>
        <w:jc w:val="both"/>
        <w:rPr>
          <w:noProof/>
        </w:rPr>
      </w:pPr>
      <w:r>
        <w:rPr>
          <w:noProof/>
        </w:rPr>
        <w:t xml:space="preserve">Discussions are ongoing on the monitoring system that needs to be agreed by CARIFORUM countries and established according to the EPA. Negotiations on geographical indications are ongoing. Parties also need to achieve progress on effective implementation of all tariff and regulatory provisions and making use of the Services chapter under EPA. </w:t>
      </w:r>
    </w:p>
    <w:p>
      <w:pPr>
        <w:pStyle w:val="ManualHeading1"/>
      </w:pPr>
      <w:bookmarkStart w:id="4818" w:name="_Toc8833860"/>
      <w:bookmarkStart w:id="4819" w:name="_Toc8835687"/>
      <w:bookmarkStart w:id="4820" w:name="_Toc8834318"/>
      <w:bookmarkStart w:id="4821" w:name="_Toc8909779"/>
      <w:bookmarkStart w:id="4822" w:name="_Toc8910991"/>
      <w:bookmarkStart w:id="4823" w:name="_Toc8912028"/>
      <w:bookmarkStart w:id="4824" w:name="_Toc8974849"/>
      <w:bookmarkStart w:id="4825" w:name="_Toc9008502"/>
      <w:bookmarkStart w:id="4826" w:name="_Toc9008905"/>
      <w:bookmarkStart w:id="4827" w:name="_Toc9348901"/>
      <w:bookmarkStart w:id="4828" w:name="_Toc9608369"/>
      <w:bookmarkStart w:id="4829" w:name="_Toc16000924"/>
      <w:r>
        <w:t>6.</w:t>
      </w:r>
      <w:r>
        <w:tab/>
        <w:t>Conclusions and outlook</w:t>
      </w:r>
      <w:bookmarkEnd w:id="4818"/>
      <w:bookmarkEnd w:id="4819"/>
      <w:bookmarkEnd w:id="4820"/>
      <w:bookmarkEnd w:id="4821"/>
      <w:bookmarkEnd w:id="4822"/>
      <w:bookmarkEnd w:id="4823"/>
      <w:bookmarkEnd w:id="4824"/>
      <w:bookmarkEnd w:id="4825"/>
      <w:bookmarkEnd w:id="4826"/>
      <w:bookmarkEnd w:id="4827"/>
      <w:bookmarkEnd w:id="4828"/>
      <w:bookmarkEnd w:id="4829"/>
    </w:p>
    <w:p>
      <w:pPr>
        <w:jc w:val="both"/>
        <w:rPr>
          <w:noProof/>
        </w:rPr>
      </w:pPr>
      <w:r>
        <w:rPr>
          <w:noProof/>
        </w:rPr>
        <w:t xml:space="preserve">In 2018, progress was achieved in the implementation of the agreement, including notably on agriculture issues including geographical indications and progress on setting up the Services Committee and further work on customs cooperation and facilitation. Productive meetings of all EPA bodies took place. Continuous effort of all partners will be needed to ensure that benefits of the agreement fully materialize and in particular to raise awareness among EU companies to make a full use the agreement and business opportunities with this region. </w:t>
      </w:r>
    </w:p>
    <w:p>
      <w:pPr>
        <w:pStyle w:val="ManualHeading1"/>
      </w:pPr>
      <w:bookmarkStart w:id="4830" w:name="_Toc8833861"/>
      <w:bookmarkStart w:id="4831" w:name="_Toc8835688"/>
      <w:bookmarkStart w:id="4832" w:name="_Toc8834319"/>
      <w:bookmarkStart w:id="4833" w:name="_Toc8909780"/>
      <w:bookmarkStart w:id="4834" w:name="_Toc8910992"/>
      <w:bookmarkStart w:id="4835" w:name="_Toc8912029"/>
      <w:bookmarkStart w:id="4836" w:name="_Toc8974850"/>
      <w:bookmarkStart w:id="4837" w:name="_Toc9008503"/>
      <w:bookmarkStart w:id="4838" w:name="_Toc9008906"/>
      <w:bookmarkStart w:id="4839" w:name="_Toc9348902"/>
      <w:bookmarkStart w:id="4840" w:name="_Toc9608370"/>
      <w:bookmarkStart w:id="4841" w:name="_Toc16000925"/>
      <w:r>
        <w:t>7.</w:t>
      </w:r>
      <w:r>
        <w:tab/>
        <w:t>Statistics</w:t>
      </w:r>
      <w:bookmarkEnd w:id="4830"/>
      <w:bookmarkEnd w:id="4831"/>
      <w:bookmarkEnd w:id="4832"/>
      <w:bookmarkEnd w:id="4833"/>
      <w:bookmarkEnd w:id="4834"/>
      <w:bookmarkEnd w:id="4835"/>
      <w:bookmarkEnd w:id="4836"/>
      <w:bookmarkEnd w:id="4837"/>
      <w:bookmarkEnd w:id="4838"/>
      <w:bookmarkEnd w:id="4839"/>
      <w:bookmarkEnd w:id="4840"/>
      <w:bookmarkEnd w:id="4841"/>
    </w:p>
    <w:tbl>
      <w:tblPr>
        <w:tblW w:w="8666" w:type="dxa"/>
        <w:tblLook w:val="04A0" w:firstRow="1" w:lastRow="0" w:firstColumn="1" w:lastColumn="0" w:noHBand="0" w:noVBand="1"/>
      </w:tblPr>
      <w:tblGrid>
        <w:gridCol w:w="108"/>
        <w:gridCol w:w="3785"/>
        <w:gridCol w:w="399"/>
        <w:gridCol w:w="438"/>
        <w:gridCol w:w="418"/>
        <w:gridCol w:w="528"/>
        <w:gridCol w:w="328"/>
        <w:gridCol w:w="631"/>
        <w:gridCol w:w="305"/>
        <w:gridCol w:w="711"/>
        <w:gridCol w:w="145"/>
        <w:gridCol w:w="856"/>
        <w:gridCol w:w="14"/>
      </w:tblGrid>
      <w:tr>
        <w:trPr>
          <w:gridBefore w:val="1"/>
          <w:gridAfter w:val="1"/>
          <w:wBefore w:w="108" w:type="dxa"/>
          <w:wAfter w:w="14" w:type="dxa"/>
          <w:trHeight w:val="210"/>
        </w:trPr>
        <w:tc>
          <w:tcPr>
            <w:tcW w:w="8544" w:type="dxa"/>
            <w:gridSpan w:val="11"/>
            <w:tcBorders>
              <w:top w:val="nil"/>
              <w:left w:val="nil"/>
              <w:bottom w:val="nil"/>
              <w:right w:val="nil"/>
            </w:tcBorders>
            <w:shd w:val="clear" w:color="000000" w:fill="FFFFFF"/>
            <w:noWrap/>
            <w:vAlign w:val="center"/>
            <w:hideMark/>
          </w:tcPr>
          <w:p>
            <w:pPr>
              <w:jc w:val="center"/>
              <w:rPr>
                <w:rFonts w:eastAsia="Times New Roman"/>
                <w:b/>
                <w:noProof/>
                <w:sz w:val="16"/>
                <w:szCs w:val="16"/>
                <w:lang w:val="en-IE" w:eastAsia="en-IE"/>
              </w:rPr>
            </w:pPr>
            <w:r>
              <w:rPr>
                <w:rFonts w:eastAsia="Times New Roman"/>
                <w:b/>
                <w:noProof/>
                <w:sz w:val="16"/>
                <w:szCs w:val="16"/>
                <w:lang w:val="en-IE" w:eastAsia="en-IE"/>
              </w:rPr>
              <w:t xml:space="preserve">Merchandise trade EU28 </w:t>
            </w:r>
            <w:r>
              <w:rPr>
                <w:rFonts w:eastAsia="Times New Roman"/>
                <w:b/>
                <w:bCs/>
                <w:noProof/>
                <w:sz w:val="16"/>
                <w:szCs w:val="16"/>
                <w:lang w:val="en-IE" w:eastAsia="en-IE"/>
              </w:rPr>
              <w:t xml:space="preserve">and CARIFORUM EPA States, </w:t>
            </w:r>
            <w:r>
              <w:rPr>
                <w:rFonts w:eastAsia="Times New Roman"/>
                <w:b/>
                <w:noProof/>
                <w:sz w:val="16"/>
                <w:szCs w:val="16"/>
                <w:lang w:val="en-IE" w:eastAsia="en-IE"/>
              </w:rPr>
              <w:t>2014-2018</w:t>
            </w:r>
          </w:p>
        </w:tc>
      </w:tr>
      <w:tr>
        <w:trPr>
          <w:gridBefore w:val="1"/>
          <w:gridAfter w:val="1"/>
          <w:wBefore w:w="108" w:type="dxa"/>
          <w:wAfter w:w="14" w:type="dxa"/>
          <w:trHeight w:val="210"/>
        </w:trPr>
        <w:tc>
          <w:tcPr>
            <w:tcW w:w="4184" w:type="dxa"/>
            <w:gridSpan w:val="2"/>
            <w:tcBorders>
              <w:top w:val="single" w:sz="4" w:space="0" w:color="auto"/>
              <w:left w:val="nil"/>
              <w:bottom w:val="single" w:sz="4" w:space="0" w:color="auto"/>
              <w:right w:val="nil"/>
            </w:tcBorders>
            <w:shd w:val="clear" w:color="000000" w:fill="FFFFFF"/>
            <w:noWrap/>
            <w:vAlign w:val="bottom"/>
            <w:hideMark/>
          </w:tcPr>
          <w:p>
            <w:pPr>
              <w:rPr>
                <w:rFonts w:eastAsia="Times New Roman"/>
                <w:b/>
                <w:noProof/>
                <w:sz w:val="16"/>
                <w:szCs w:val="16"/>
                <w:lang w:val="en-IE" w:eastAsia="en-IE"/>
              </w:rPr>
            </w:pPr>
            <w:r>
              <w:rPr>
                <w:rFonts w:eastAsia="Times New Roman"/>
                <w:b/>
                <w:noProof/>
                <w:sz w:val="16"/>
                <w:szCs w:val="16"/>
                <w:lang w:val="en-IE" w:eastAsia="en-IE"/>
              </w:rPr>
              <w:t> </w:t>
            </w:r>
          </w:p>
        </w:tc>
        <w:tc>
          <w:tcPr>
            <w:tcW w:w="856" w:type="dxa"/>
            <w:gridSpan w:val="2"/>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noProof/>
                <w:sz w:val="16"/>
                <w:szCs w:val="16"/>
                <w:lang w:val="en-IE" w:eastAsia="en-IE"/>
              </w:rPr>
            </w:pPr>
            <w:r>
              <w:rPr>
                <w:rFonts w:eastAsia="Times New Roman"/>
                <w:b/>
                <w:noProof/>
                <w:sz w:val="16"/>
                <w:szCs w:val="16"/>
                <w:lang w:val="en-IE" w:eastAsia="en-IE"/>
              </w:rPr>
              <w:t>2014</w:t>
            </w:r>
          </w:p>
        </w:tc>
        <w:tc>
          <w:tcPr>
            <w:tcW w:w="856" w:type="dxa"/>
            <w:gridSpan w:val="2"/>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noProof/>
                <w:sz w:val="16"/>
                <w:szCs w:val="16"/>
                <w:lang w:val="en-IE" w:eastAsia="en-IE"/>
              </w:rPr>
            </w:pPr>
            <w:r>
              <w:rPr>
                <w:rFonts w:eastAsia="Times New Roman"/>
                <w:b/>
                <w:noProof/>
                <w:sz w:val="16"/>
                <w:szCs w:val="16"/>
                <w:lang w:val="en-IE" w:eastAsia="en-IE"/>
              </w:rPr>
              <w:t>2015</w:t>
            </w:r>
          </w:p>
        </w:tc>
        <w:tc>
          <w:tcPr>
            <w:tcW w:w="936" w:type="dxa"/>
            <w:gridSpan w:val="2"/>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noProof/>
                <w:sz w:val="16"/>
                <w:szCs w:val="16"/>
                <w:lang w:val="en-IE" w:eastAsia="en-IE"/>
              </w:rPr>
            </w:pPr>
            <w:r>
              <w:rPr>
                <w:rFonts w:eastAsia="Times New Roman"/>
                <w:b/>
                <w:noProof/>
                <w:sz w:val="16"/>
                <w:szCs w:val="16"/>
                <w:lang w:val="en-IE" w:eastAsia="en-IE"/>
              </w:rPr>
              <w:t>2016</w:t>
            </w:r>
          </w:p>
        </w:tc>
        <w:tc>
          <w:tcPr>
            <w:tcW w:w="856" w:type="dxa"/>
            <w:gridSpan w:val="2"/>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noProof/>
                <w:sz w:val="16"/>
                <w:szCs w:val="16"/>
                <w:lang w:val="en-IE" w:eastAsia="en-IE"/>
              </w:rPr>
            </w:pPr>
            <w:r>
              <w:rPr>
                <w:rFonts w:eastAsia="Times New Roman"/>
                <w:b/>
                <w:noProof/>
                <w:sz w:val="16"/>
                <w:szCs w:val="16"/>
                <w:lang w:val="en-IE" w:eastAsia="en-IE"/>
              </w:rPr>
              <w:t>2017</w:t>
            </w:r>
          </w:p>
        </w:tc>
        <w:tc>
          <w:tcPr>
            <w:tcW w:w="856"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noProof/>
                <w:sz w:val="16"/>
                <w:szCs w:val="16"/>
                <w:lang w:val="en-IE" w:eastAsia="en-IE"/>
              </w:rPr>
            </w:pPr>
            <w:r>
              <w:rPr>
                <w:rFonts w:eastAsia="Times New Roman"/>
                <w:b/>
                <w:noProof/>
                <w:sz w:val="16"/>
                <w:szCs w:val="16"/>
                <w:lang w:val="en-IE" w:eastAsia="en-IE"/>
              </w:rPr>
              <w:t>2018</w:t>
            </w:r>
          </w:p>
        </w:tc>
      </w:tr>
      <w:tr>
        <w:trPr>
          <w:gridBefore w:val="1"/>
          <w:gridAfter w:val="1"/>
          <w:wBefore w:w="108" w:type="dxa"/>
          <w:wAfter w:w="14" w:type="dxa"/>
          <w:trHeight w:val="210"/>
        </w:trPr>
        <w:tc>
          <w:tcPr>
            <w:tcW w:w="4184" w:type="dxa"/>
            <w:gridSpan w:val="2"/>
            <w:tcBorders>
              <w:top w:val="nil"/>
              <w:left w:val="nil"/>
              <w:bottom w:val="nil"/>
              <w:right w:val="nil"/>
            </w:tcBorders>
            <w:shd w:val="clear" w:color="000000" w:fill="FFFFFF"/>
            <w:noWrap/>
            <w:vAlign w:val="center"/>
            <w:hideMark/>
          </w:tcPr>
          <w:p>
            <w:pPr>
              <w:rPr>
                <w:rFonts w:eastAsia="Times New Roman"/>
                <w:b/>
                <w:i/>
                <w:noProof/>
                <w:sz w:val="16"/>
                <w:szCs w:val="16"/>
                <w:lang w:eastAsia="en-IE"/>
              </w:rPr>
            </w:pPr>
            <w:r>
              <w:rPr>
                <w:rFonts w:eastAsia="Times New Roman"/>
                <w:b/>
                <w:i/>
                <w:noProof/>
                <w:sz w:val="16"/>
                <w:szCs w:val="16"/>
                <w:lang w:eastAsia="en-IE"/>
              </w:rPr>
              <w:t>EU28 trade with CARIFORUM EPA States (mio €)</w:t>
            </w:r>
          </w:p>
        </w:tc>
        <w:tc>
          <w:tcPr>
            <w:tcW w:w="856" w:type="dxa"/>
            <w:gridSpan w:val="2"/>
            <w:tcBorders>
              <w:top w:val="nil"/>
              <w:left w:val="nil"/>
              <w:bottom w:val="nil"/>
              <w:right w:val="nil"/>
            </w:tcBorders>
            <w:shd w:val="clear" w:color="auto" w:fill="auto"/>
            <w:noWrap/>
            <w:vAlign w:val="center"/>
            <w:hideMark/>
          </w:tcPr>
          <w:p>
            <w:pPr>
              <w:jc w:val="center"/>
              <w:rPr>
                <w:rFonts w:eastAsia="Times New Roman"/>
                <w:b/>
                <w:i/>
                <w:noProof/>
                <w:sz w:val="16"/>
                <w:szCs w:val="16"/>
                <w:lang w:eastAsia="en-IE"/>
              </w:rPr>
            </w:pPr>
          </w:p>
        </w:tc>
        <w:tc>
          <w:tcPr>
            <w:tcW w:w="856" w:type="dxa"/>
            <w:gridSpan w:val="2"/>
            <w:tcBorders>
              <w:top w:val="nil"/>
              <w:left w:val="nil"/>
              <w:bottom w:val="nil"/>
              <w:right w:val="nil"/>
            </w:tcBorders>
            <w:shd w:val="clear" w:color="000000" w:fill="FFFFFF"/>
            <w:noWrap/>
            <w:vAlign w:val="center"/>
            <w:hideMark/>
          </w:tcPr>
          <w:p>
            <w:pPr>
              <w:rPr>
                <w:rFonts w:eastAsia="Times New Roman"/>
                <w:b/>
                <w:i/>
                <w:noProof/>
                <w:sz w:val="16"/>
                <w:szCs w:val="16"/>
                <w:lang w:eastAsia="en-IE"/>
              </w:rPr>
            </w:pPr>
            <w:r>
              <w:rPr>
                <w:rFonts w:eastAsia="Times New Roman"/>
                <w:b/>
                <w:i/>
                <w:noProof/>
                <w:sz w:val="16"/>
                <w:szCs w:val="16"/>
                <w:lang w:eastAsia="en-IE"/>
              </w:rPr>
              <w:t> </w:t>
            </w:r>
          </w:p>
        </w:tc>
        <w:tc>
          <w:tcPr>
            <w:tcW w:w="936" w:type="dxa"/>
            <w:gridSpan w:val="2"/>
            <w:tcBorders>
              <w:top w:val="nil"/>
              <w:left w:val="nil"/>
              <w:bottom w:val="nil"/>
              <w:right w:val="nil"/>
            </w:tcBorders>
            <w:shd w:val="clear" w:color="000000" w:fill="FFFFFF"/>
            <w:noWrap/>
            <w:vAlign w:val="center"/>
            <w:hideMark/>
          </w:tcPr>
          <w:p>
            <w:pPr>
              <w:rPr>
                <w:rFonts w:eastAsia="Times New Roman"/>
                <w:b/>
                <w:i/>
                <w:noProof/>
                <w:sz w:val="16"/>
                <w:szCs w:val="16"/>
                <w:lang w:eastAsia="en-IE"/>
              </w:rPr>
            </w:pPr>
            <w:r>
              <w:rPr>
                <w:rFonts w:eastAsia="Times New Roman"/>
                <w:b/>
                <w:i/>
                <w:noProof/>
                <w:sz w:val="16"/>
                <w:szCs w:val="16"/>
                <w:lang w:eastAsia="en-IE"/>
              </w:rPr>
              <w:t> </w:t>
            </w:r>
          </w:p>
        </w:tc>
        <w:tc>
          <w:tcPr>
            <w:tcW w:w="856" w:type="dxa"/>
            <w:gridSpan w:val="2"/>
            <w:tcBorders>
              <w:top w:val="nil"/>
              <w:left w:val="nil"/>
              <w:bottom w:val="nil"/>
              <w:right w:val="nil"/>
            </w:tcBorders>
            <w:shd w:val="clear" w:color="000000" w:fill="FFFFFF"/>
            <w:noWrap/>
            <w:vAlign w:val="center"/>
            <w:hideMark/>
          </w:tcPr>
          <w:p>
            <w:pPr>
              <w:rPr>
                <w:rFonts w:eastAsia="Times New Roman"/>
                <w:b/>
                <w:i/>
                <w:noProof/>
                <w:sz w:val="16"/>
                <w:szCs w:val="16"/>
                <w:lang w:eastAsia="en-IE"/>
              </w:rPr>
            </w:pPr>
            <w:r>
              <w:rPr>
                <w:rFonts w:eastAsia="Times New Roman"/>
                <w:b/>
                <w:i/>
                <w:noProof/>
                <w:sz w:val="16"/>
                <w:szCs w:val="16"/>
                <w:lang w:eastAsia="en-IE"/>
              </w:rPr>
              <w:t> </w:t>
            </w:r>
          </w:p>
        </w:tc>
        <w:tc>
          <w:tcPr>
            <w:tcW w:w="856" w:type="dxa"/>
            <w:tcBorders>
              <w:top w:val="nil"/>
              <w:left w:val="nil"/>
              <w:bottom w:val="nil"/>
              <w:right w:val="nil"/>
            </w:tcBorders>
            <w:shd w:val="clear" w:color="000000" w:fill="FFFFFF"/>
            <w:noWrap/>
            <w:vAlign w:val="center"/>
            <w:hideMark/>
          </w:tcPr>
          <w:p>
            <w:pPr>
              <w:rPr>
                <w:rFonts w:eastAsia="Times New Roman"/>
                <w:b/>
                <w:i/>
                <w:noProof/>
                <w:sz w:val="16"/>
                <w:szCs w:val="16"/>
                <w:lang w:eastAsia="en-IE"/>
              </w:rPr>
            </w:pPr>
            <w:r>
              <w:rPr>
                <w:rFonts w:eastAsia="Times New Roman"/>
                <w:b/>
                <w:i/>
                <w:noProof/>
                <w:sz w:val="16"/>
                <w:szCs w:val="16"/>
                <w:lang w:eastAsia="en-IE"/>
              </w:rPr>
              <w:t> </w:t>
            </w:r>
          </w:p>
        </w:tc>
      </w:tr>
      <w:tr>
        <w:trPr>
          <w:gridBefore w:val="1"/>
          <w:gridAfter w:val="1"/>
          <w:wBefore w:w="108" w:type="dxa"/>
          <w:wAfter w:w="14" w:type="dxa"/>
          <w:trHeight w:val="210"/>
        </w:trPr>
        <w:tc>
          <w:tcPr>
            <w:tcW w:w="4184"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gridSpan w:val="2"/>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4.025</w:t>
            </w:r>
          </w:p>
        </w:tc>
        <w:tc>
          <w:tcPr>
            <w:tcW w:w="856" w:type="dxa"/>
            <w:gridSpan w:val="2"/>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4.009</w:t>
            </w:r>
          </w:p>
        </w:tc>
        <w:tc>
          <w:tcPr>
            <w:tcW w:w="936" w:type="dxa"/>
            <w:gridSpan w:val="2"/>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3.194</w:t>
            </w:r>
          </w:p>
        </w:tc>
        <w:tc>
          <w:tcPr>
            <w:tcW w:w="856" w:type="dxa"/>
            <w:gridSpan w:val="2"/>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3.522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3.909</w:t>
            </w:r>
          </w:p>
        </w:tc>
      </w:tr>
      <w:tr>
        <w:trPr>
          <w:gridBefore w:val="1"/>
          <w:gridAfter w:val="1"/>
          <w:wBefore w:w="108" w:type="dxa"/>
          <w:wAfter w:w="14" w:type="dxa"/>
          <w:trHeight w:val="210"/>
        </w:trPr>
        <w:tc>
          <w:tcPr>
            <w:tcW w:w="4184"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gridSpan w:val="2"/>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3.970</w:t>
            </w:r>
          </w:p>
        </w:tc>
        <w:tc>
          <w:tcPr>
            <w:tcW w:w="856" w:type="dxa"/>
            <w:gridSpan w:val="2"/>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5.084</w:t>
            </w:r>
          </w:p>
        </w:tc>
        <w:tc>
          <w:tcPr>
            <w:tcW w:w="936" w:type="dxa"/>
            <w:gridSpan w:val="2"/>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4.750</w:t>
            </w:r>
          </w:p>
        </w:tc>
        <w:tc>
          <w:tcPr>
            <w:tcW w:w="856" w:type="dxa"/>
            <w:gridSpan w:val="2"/>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4.896</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5.123</w:t>
            </w:r>
          </w:p>
        </w:tc>
      </w:tr>
      <w:tr>
        <w:trPr>
          <w:gridBefore w:val="1"/>
          <w:gridAfter w:val="1"/>
          <w:wBefore w:w="108" w:type="dxa"/>
          <w:wAfter w:w="14" w:type="dxa"/>
          <w:trHeight w:val="210"/>
        </w:trPr>
        <w:tc>
          <w:tcPr>
            <w:tcW w:w="4184"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gridSpan w:val="2"/>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-56</w:t>
            </w:r>
          </w:p>
        </w:tc>
        <w:tc>
          <w:tcPr>
            <w:tcW w:w="856" w:type="dxa"/>
            <w:gridSpan w:val="2"/>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1.075</w:t>
            </w:r>
          </w:p>
        </w:tc>
        <w:tc>
          <w:tcPr>
            <w:tcW w:w="936" w:type="dxa"/>
            <w:gridSpan w:val="2"/>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1.555</w:t>
            </w:r>
          </w:p>
        </w:tc>
        <w:tc>
          <w:tcPr>
            <w:tcW w:w="856" w:type="dxa"/>
            <w:gridSpan w:val="2"/>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1.374</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1.213</w:t>
            </w:r>
          </w:p>
        </w:tc>
      </w:tr>
      <w:tr>
        <w:trPr>
          <w:gridBefore w:val="1"/>
          <w:gridAfter w:val="1"/>
          <w:wBefore w:w="108" w:type="dxa"/>
          <w:wAfter w:w="14" w:type="dxa"/>
          <w:trHeight w:val="210"/>
        </w:trPr>
        <w:tc>
          <w:tcPr>
            <w:tcW w:w="6832" w:type="dxa"/>
            <w:gridSpan w:val="8"/>
            <w:tcBorders>
              <w:top w:val="nil"/>
              <w:left w:val="nil"/>
              <w:bottom w:val="nil"/>
              <w:right w:val="nil"/>
            </w:tcBorders>
            <w:shd w:val="clear" w:color="000000" w:fill="FFFFFF"/>
            <w:noWrap/>
            <w:vAlign w:val="center"/>
            <w:hideMark/>
          </w:tcPr>
          <w:p>
            <w:pPr>
              <w:rPr>
                <w:rFonts w:eastAsia="Times New Roman"/>
                <w:b/>
                <w:i/>
                <w:noProof/>
                <w:sz w:val="16"/>
                <w:szCs w:val="16"/>
                <w:lang w:val="en-IE" w:eastAsia="en-IE"/>
              </w:rPr>
            </w:pPr>
            <w:r>
              <w:rPr>
                <w:rFonts w:eastAsia="Times New Roman"/>
                <w:b/>
                <w:bCs/>
                <w:i/>
                <w:iCs/>
                <w:noProof/>
                <w:sz w:val="16"/>
                <w:szCs w:val="16"/>
                <w:lang w:val="en-IE" w:eastAsia="en-IE"/>
              </w:rPr>
              <w:t xml:space="preserve">Share </w:t>
            </w:r>
            <w:r>
              <w:rPr>
                <w:rFonts w:eastAsia="Times New Roman"/>
                <w:b/>
                <w:i/>
                <w:noProof/>
                <w:sz w:val="16"/>
                <w:szCs w:val="16"/>
                <w:lang w:eastAsia="en-IE"/>
              </w:rPr>
              <w:t xml:space="preserve">CARIFORUM EPA States </w:t>
            </w:r>
            <w:r>
              <w:rPr>
                <w:rFonts w:eastAsia="Times New Roman"/>
                <w:b/>
                <w:bCs/>
                <w:i/>
                <w:iCs/>
                <w:noProof/>
                <w:sz w:val="16"/>
                <w:szCs w:val="16"/>
                <w:lang w:val="en-IE" w:eastAsia="en-IE"/>
              </w:rPr>
              <w:t>in EU28 trade with Extra-EU28 </w:t>
            </w:r>
          </w:p>
        </w:tc>
        <w:tc>
          <w:tcPr>
            <w:tcW w:w="856" w:type="dxa"/>
            <w:gridSpan w:val="2"/>
            <w:tcBorders>
              <w:top w:val="nil"/>
              <w:left w:val="nil"/>
              <w:bottom w:val="nil"/>
              <w:right w:val="nil"/>
            </w:tcBorders>
            <w:shd w:val="clear" w:color="000000" w:fill="FFFFFF"/>
            <w:noWrap/>
            <w:vAlign w:val="center"/>
            <w:hideMark/>
          </w:tcPr>
          <w:p>
            <w:pPr>
              <w:rPr>
                <w:rFonts w:eastAsia="Times New Roman"/>
                <w:b/>
                <w:i/>
                <w:noProof/>
                <w:sz w:val="16"/>
                <w:szCs w:val="16"/>
                <w:lang w:val="en-IE" w:eastAsia="en-IE"/>
              </w:rPr>
            </w:pPr>
            <w:r>
              <w:rPr>
                <w:rFonts w:eastAsia="Times New Roman"/>
                <w:b/>
                <w:i/>
                <w:noProof/>
                <w:sz w:val="16"/>
                <w:szCs w:val="16"/>
                <w:lang w:val="en-IE" w:eastAsia="en-IE"/>
              </w:rPr>
              <w:t> </w:t>
            </w:r>
          </w:p>
        </w:tc>
        <w:tc>
          <w:tcPr>
            <w:tcW w:w="856" w:type="dxa"/>
            <w:tcBorders>
              <w:top w:val="nil"/>
              <w:left w:val="nil"/>
              <w:bottom w:val="nil"/>
              <w:right w:val="nil"/>
            </w:tcBorders>
            <w:shd w:val="clear" w:color="000000" w:fill="FFFFFF"/>
            <w:noWrap/>
            <w:vAlign w:val="center"/>
            <w:hideMark/>
          </w:tcPr>
          <w:p>
            <w:pPr>
              <w:rPr>
                <w:rFonts w:eastAsia="Times New Roman"/>
                <w:b/>
                <w:i/>
                <w:noProof/>
                <w:sz w:val="16"/>
                <w:szCs w:val="16"/>
                <w:lang w:val="en-IE" w:eastAsia="en-IE"/>
              </w:rPr>
            </w:pPr>
            <w:r>
              <w:rPr>
                <w:rFonts w:eastAsia="Times New Roman"/>
                <w:b/>
                <w:i/>
                <w:noProof/>
                <w:sz w:val="16"/>
                <w:szCs w:val="16"/>
                <w:lang w:val="en-IE" w:eastAsia="en-IE"/>
              </w:rPr>
              <w:t> </w:t>
            </w:r>
          </w:p>
        </w:tc>
      </w:tr>
      <w:tr>
        <w:trPr>
          <w:gridBefore w:val="1"/>
          <w:gridAfter w:val="1"/>
          <w:wBefore w:w="108" w:type="dxa"/>
          <w:wAfter w:w="14" w:type="dxa"/>
          <w:trHeight w:val="210"/>
        </w:trPr>
        <w:tc>
          <w:tcPr>
            <w:tcW w:w="4184"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gridSpan w:val="2"/>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c>
          <w:tcPr>
            <w:tcW w:w="856" w:type="dxa"/>
            <w:gridSpan w:val="2"/>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c>
          <w:tcPr>
            <w:tcW w:w="936" w:type="dxa"/>
            <w:gridSpan w:val="2"/>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c>
          <w:tcPr>
            <w:tcW w:w="856" w:type="dxa"/>
            <w:gridSpan w:val="2"/>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r>
      <w:tr>
        <w:trPr>
          <w:gridBefore w:val="1"/>
          <w:gridAfter w:val="1"/>
          <w:wBefore w:w="108" w:type="dxa"/>
          <w:wAfter w:w="14" w:type="dxa"/>
          <w:trHeight w:val="210"/>
        </w:trPr>
        <w:tc>
          <w:tcPr>
            <w:tcW w:w="4184"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gridSpan w:val="2"/>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c>
          <w:tcPr>
            <w:tcW w:w="856" w:type="dxa"/>
            <w:gridSpan w:val="2"/>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0,3%</w:t>
            </w:r>
          </w:p>
        </w:tc>
        <w:tc>
          <w:tcPr>
            <w:tcW w:w="936" w:type="dxa"/>
            <w:gridSpan w:val="2"/>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0,3%</w:t>
            </w:r>
          </w:p>
        </w:tc>
        <w:tc>
          <w:tcPr>
            <w:tcW w:w="856" w:type="dxa"/>
            <w:gridSpan w:val="2"/>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0,3%</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0,3%</w:t>
            </w:r>
          </w:p>
        </w:tc>
      </w:tr>
      <w:tr>
        <w:trPr>
          <w:gridBefore w:val="1"/>
          <w:gridAfter w:val="1"/>
          <w:wBefore w:w="108" w:type="dxa"/>
          <w:wAfter w:w="14" w:type="dxa"/>
          <w:trHeight w:val="210"/>
        </w:trPr>
        <w:tc>
          <w:tcPr>
            <w:tcW w:w="4184"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856" w:type="dxa"/>
            <w:gridSpan w:val="2"/>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c>
          <w:tcPr>
            <w:tcW w:w="856" w:type="dxa"/>
            <w:gridSpan w:val="2"/>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0,3%</w:t>
            </w:r>
          </w:p>
        </w:tc>
        <w:tc>
          <w:tcPr>
            <w:tcW w:w="936" w:type="dxa"/>
            <w:gridSpan w:val="2"/>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c>
          <w:tcPr>
            <w:tcW w:w="856" w:type="dxa"/>
            <w:gridSpan w:val="2"/>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0,2%</w:t>
            </w:r>
          </w:p>
        </w:tc>
      </w:tr>
      <w:tr>
        <w:trPr>
          <w:gridBefore w:val="1"/>
          <w:gridAfter w:val="1"/>
          <w:wBefore w:w="108" w:type="dxa"/>
          <w:wAfter w:w="14" w:type="dxa"/>
          <w:trHeight w:val="225"/>
        </w:trPr>
        <w:tc>
          <w:tcPr>
            <w:tcW w:w="5896" w:type="dxa"/>
            <w:gridSpan w:val="6"/>
            <w:tcBorders>
              <w:top w:val="single" w:sz="4" w:space="0" w:color="auto"/>
              <w:left w:val="nil"/>
              <w:bottom w:val="nil"/>
              <w:right w:val="nil"/>
            </w:tcBorders>
            <w:shd w:val="clear" w:color="000000" w:fill="FFFFFF"/>
            <w:noWrap/>
            <w:vAlign w:val="bottom"/>
            <w:hideMark/>
          </w:tcPr>
          <w:p>
            <w:pPr>
              <w:rPr>
                <w:rFonts w:eastAsia="Times New Roman"/>
                <w:noProof/>
                <w:sz w:val="12"/>
                <w:szCs w:val="12"/>
                <w:lang w:val="en-IE" w:eastAsia="en-IE"/>
              </w:rPr>
            </w:pPr>
            <w:r>
              <w:rPr>
                <w:rFonts w:eastAsia="Times New Roman"/>
                <w:noProof/>
                <w:sz w:val="12"/>
                <w:szCs w:val="12"/>
                <w:lang w:val="en-IE" w:eastAsia="en-IE"/>
              </w:rPr>
              <w:t xml:space="preserve">Source Trade G2 Statistics/ISDB </w:t>
            </w:r>
          </w:p>
        </w:tc>
        <w:tc>
          <w:tcPr>
            <w:tcW w:w="936" w:type="dxa"/>
            <w:gridSpan w:val="2"/>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856" w:type="dxa"/>
            <w:gridSpan w:val="2"/>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single" w:sz="4" w:space="0" w:color="auto"/>
              <w:left w:val="nil"/>
              <w:bottom w:val="nil"/>
              <w:right w:val="nil"/>
            </w:tcBorders>
            <w:shd w:val="clear" w:color="000000" w:fill="FFFFFF"/>
            <w:noWrap/>
            <w:hideMark/>
          </w:tcPr>
          <w:p>
            <w:pPr>
              <w:jc w:val="right"/>
              <w:rPr>
                <w:rFonts w:eastAsia="Times New Roman"/>
                <w:noProof/>
                <w:sz w:val="12"/>
                <w:szCs w:val="12"/>
                <w:lang w:val="en-IE" w:eastAsia="en-IE"/>
              </w:rPr>
            </w:pPr>
            <w:r>
              <w:rPr>
                <w:rFonts w:eastAsia="Times New Roman"/>
                <w:noProof/>
                <w:sz w:val="12"/>
                <w:szCs w:val="12"/>
                <w:lang w:val="en-IE" w:eastAsia="en-IE"/>
              </w:rPr>
              <w:t>25-mars-19</w:t>
            </w:r>
          </w:p>
        </w:tc>
      </w:tr>
      <w:tr>
        <w:trPr>
          <w:gridBefore w:val="1"/>
          <w:gridAfter w:val="1"/>
          <w:wBefore w:w="108" w:type="dxa"/>
          <w:wAfter w:w="14" w:type="dxa"/>
          <w:trHeight w:val="210"/>
        </w:trPr>
        <w:tc>
          <w:tcPr>
            <w:tcW w:w="7688" w:type="dxa"/>
            <w:gridSpan w:val="10"/>
            <w:tcBorders>
              <w:top w:val="nil"/>
              <w:left w:val="nil"/>
              <w:bottom w:val="nil"/>
              <w:right w:val="nil"/>
            </w:tcBorders>
            <w:shd w:val="clear" w:color="000000" w:fill="FFFFFF"/>
            <w:noWrap/>
            <w:hideMark/>
          </w:tcPr>
          <w:p>
            <w:pPr>
              <w:rPr>
                <w:rFonts w:eastAsia="Times New Roman"/>
                <w:noProof/>
                <w:color w:val="000000"/>
                <w:sz w:val="12"/>
                <w:szCs w:val="12"/>
                <w:lang w:val="en-IE" w:eastAsia="en-IE"/>
              </w:rPr>
            </w:pPr>
            <w:r>
              <w:rPr>
                <w:rFonts w:eastAsia="Times New Roman"/>
                <w:noProof/>
                <w:color w:val="000000"/>
                <w:sz w:val="12"/>
                <w:szCs w:val="12"/>
                <w:lang w:val="en-IE" w:eastAsia="en-IE"/>
              </w:rPr>
              <w:t>Trade EU28: Eurostat COMEXT;  Trade EPA Cariforum: IMF Dots</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gridBefore w:val="1"/>
          <w:gridAfter w:val="1"/>
          <w:wBefore w:w="108" w:type="dxa"/>
          <w:wAfter w:w="14" w:type="dxa"/>
          <w:trHeight w:val="210"/>
        </w:trPr>
        <w:tc>
          <w:tcPr>
            <w:tcW w:w="4184" w:type="dxa"/>
            <w:gridSpan w:val="2"/>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gridSpan w:val="2"/>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gridSpan w:val="2"/>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936" w:type="dxa"/>
            <w:gridSpan w:val="2"/>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gridSpan w:val="2"/>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gridBefore w:val="1"/>
          <w:gridAfter w:val="1"/>
          <w:wBefore w:w="108" w:type="dxa"/>
          <w:wAfter w:w="14" w:type="dxa"/>
          <w:trHeight w:val="225"/>
        </w:trPr>
        <w:tc>
          <w:tcPr>
            <w:tcW w:w="8544" w:type="dxa"/>
            <w:gridSpan w:val="11"/>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 xml:space="preserve">Growth of merchandise trade EU28 with </w:t>
            </w:r>
            <w:r>
              <w:rPr>
                <w:rFonts w:eastAsia="Times New Roman"/>
                <w:b/>
                <w:noProof/>
                <w:sz w:val="16"/>
                <w:szCs w:val="16"/>
                <w:lang w:eastAsia="en-IE"/>
              </w:rPr>
              <w:t>CARIFORUM EPA States</w:t>
            </w:r>
            <w:r>
              <w:rPr>
                <w:rFonts w:eastAsia="Times New Roman"/>
                <w:b/>
                <w:i/>
                <w:noProof/>
                <w:sz w:val="16"/>
                <w:szCs w:val="16"/>
                <w:lang w:eastAsia="en-IE"/>
              </w:rPr>
              <w:t xml:space="preserve">  </w:t>
            </w:r>
            <w:r>
              <w:rPr>
                <w:rFonts w:eastAsia="Times New Roman"/>
                <w:b/>
                <w:bCs/>
                <w:noProof/>
                <w:sz w:val="16"/>
                <w:szCs w:val="16"/>
                <w:lang w:val="en-IE" w:eastAsia="en-IE"/>
              </w:rPr>
              <w:t>(mio €)</w:t>
            </w:r>
          </w:p>
        </w:tc>
      </w:tr>
      <w:tr>
        <w:trPr>
          <w:gridBefore w:val="1"/>
          <w:gridAfter w:val="1"/>
          <w:wBefore w:w="108" w:type="dxa"/>
          <w:wAfter w:w="14" w:type="dxa"/>
          <w:trHeight w:val="225"/>
        </w:trPr>
        <w:tc>
          <w:tcPr>
            <w:tcW w:w="5040" w:type="dxa"/>
            <w:gridSpan w:val="4"/>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EPA Cariforum</w:t>
            </w:r>
          </w:p>
        </w:tc>
        <w:tc>
          <w:tcPr>
            <w:tcW w:w="856" w:type="dxa"/>
            <w:gridSpan w:val="2"/>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936" w:type="dxa"/>
            <w:gridSpan w:val="2"/>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712" w:type="dxa"/>
            <w:gridSpan w:val="3"/>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gridBefore w:val="1"/>
          <w:gridAfter w:val="1"/>
          <w:wBefore w:w="108" w:type="dxa"/>
          <w:wAfter w:w="14" w:type="dxa"/>
          <w:trHeight w:val="225"/>
        </w:trPr>
        <w:tc>
          <w:tcPr>
            <w:tcW w:w="5040" w:type="dxa"/>
            <w:gridSpan w:val="4"/>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936"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gridSpan w:val="2"/>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gridBefore w:val="1"/>
          <w:gridAfter w:val="1"/>
          <w:wBefore w:w="108" w:type="dxa"/>
          <w:wAfter w:w="14" w:type="dxa"/>
          <w:trHeight w:val="225"/>
        </w:trPr>
        <w:tc>
          <w:tcPr>
            <w:tcW w:w="4184"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gridSpan w:val="2"/>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3.522</w:t>
            </w:r>
          </w:p>
        </w:tc>
        <w:tc>
          <w:tcPr>
            <w:tcW w:w="936" w:type="dxa"/>
            <w:gridSpan w:val="2"/>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3.909</w:t>
            </w:r>
          </w:p>
        </w:tc>
        <w:tc>
          <w:tcPr>
            <w:tcW w:w="856" w:type="dxa"/>
            <w:gridSpan w:val="2"/>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387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11,0%</w:t>
            </w:r>
          </w:p>
        </w:tc>
      </w:tr>
      <w:tr>
        <w:trPr>
          <w:gridBefore w:val="1"/>
          <w:gridAfter w:val="1"/>
          <w:wBefore w:w="108" w:type="dxa"/>
          <w:wAfter w:w="14" w:type="dxa"/>
          <w:trHeight w:val="225"/>
        </w:trPr>
        <w:tc>
          <w:tcPr>
            <w:tcW w:w="4184"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gridSpan w:val="2"/>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4.896</w:t>
            </w:r>
          </w:p>
        </w:tc>
        <w:tc>
          <w:tcPr>
            <w:tcW w:w="936" w:type="dxa"/>
            <w:gridSpan w:val="2"/>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5.123</w:t>
            </w:r>
          </w:p>
        </w:tc>
        <w:tc>
          <w:tcPr>
            <w:tcW w:w="856" w:type="dxa"/>
            <w:gridSpan w:val="2"/>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4,6%</w:t>
            </w:r>
          </w:p>
        </w:tc>
      </w:tr>
      <w:tr>
        <w:trPr>
          <w:gridBefore w:val="1"/>
          <w:gridAfter w:val="1"/>
          <w:wBefore w:w="108" w:type="dxa"/>
          <w:wAfter w:w="14" w:type="dxa"/>
          <w:trHeight w:val="225"/>
        </w:trPr>
        <w:tc>
          <w:tcPr>
            <w:tcW w:w="4184"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gridSpan w:val="2"/>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1.374</w:t>
            </w:r>
          </w:p>
        </w:tc>
        <w:tc>
          <w:tcPr>
            <w:tcW w:w="936" w:type="dxa"/>
            <w:gridSpan w:val="2"/>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1.213</w:t>
            </w:r>
          </w:p>
        </w:tc>
        <w:tc>
          <w:tcPr>
            <w:tcW w:w="856" w:type="dxa"/>
            <w:gridSpan w:val="2"/>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-161</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gridBefore w:val="1"/>
          <w:gridAfter w:val="1"/>
          <w:wBefore w:w="108" w:type="dxa"/>
          <w:wAfter w:w="14" w:type="dxa"/>
          <w:trHeight w:val="225"/>
        </w:trPr>
        <w:tc>
          <w:tcPr>
            <w:tcW w:w="4184" w:type="dxa"/>
            <w:gridSpan w:val="2"/>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gridSpan w:val="2"/>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gridSpan w:val="2"/>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8.418</w:t>
            </w:r>
          </w:p>
        </w:tc>
        <w:tc>
          <w:tcPr>
            <w:tcW w:w="936" w:type="dxa"/>
            <w:gridSpan w:val="2"/>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9.032</w:t>
            </w:r>
          </w:p>
        </w:tc>
        <w:tc>
          <w:tcPr>
            <w:tcW w:w="856" w:type="dxa"/>
            <w:gridSpan w:val="2"/>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614</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7,3%</w:t>
            </w:r>
          </w:p>
        </w:tc>
      </w:tr>
      <w:tr>
        <w:trPr>
          <w:gridBefore w:val="1"/>
          <w:gridAfter w:val="1"/>
          <w:wBefore w:w="108" w:type="dxa"/>
          <w:wAfter w:w="14" w:type="dxa"/>
          <w:trHeight w:val="240"/>
        </w:trPr>
        <w:tc>
          <w:tcPr>
            <w:tcW w:w="6832" w:type="dxa"/>
            <w:gridSpan w:val="8"/>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856" w:type="dxa"/>
            <w:gridSpan w:val="2"/>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gridBefore w:val="1"/>
          <w:gridAfter w:val="1"/>
          <w:wBefore w:w="108" w:type="dxa"/>
          <w:wAfter w:w="14" w:type="dxa"/>
          <w:trHeight w:val="225"/>
        </w:trPr>
        <w:tc>
          <w:tcPr>
            <w:tcW w:w="8544" w:type="dxa"/>
            <w:gridSpan w:val="11"/>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Agrifood trade EU28 with CARIFORUM EPA States (mio €)</w:t>
            </w:r>
          </w:p>
        </w:tc>
      </w:tr>
      <w:tr>
        <w:trPr>
          <w:gridBefore w:val="1"/>
          <w:gridAfter w:val="1"/>
          <w:wBefore w:w="108" w:type="dxa"/>
          <w:wAfter w:w="14" w:type="dxa"/>
          <w:trHeight w:val="255"/>
        </w:trPr>
        <w:tc>
          <w:tcPr>
            <w:tcW w:w="5040" w:type="dxa"/>
            <w:gridSpan w:val="4"/>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EPA Cariforum</w:t>
            </w:r>
          </w:p>
        </w:tc>
        <w:tc>
          <w:tcPr>
            <w:tcW w:w="856" w:type="dxa"/>
            <w:gridSpan w:val="2"/>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936" w:type="dxa"/>
            <w:gridSpan w:val="2"/>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712" w:type="dxa"/>
            <w:gridSpan w:val="3"/>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gridBefore w:val="1"/>
          <w:gridAfter w:val="1"/>
          <w:wBefore w:w="108" w:type="dxa"/>
          <w:wAfter w:w="14" w:type="dxa"/>
          <w:trHeight w:val="225"/>
        </w:trPr>
        <w:tc>
          <w:tcPr>
            <w:tcW w:w="5040" w:type="dxa"/>
            <w:gridSpan w:val="4"/>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936"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gridSpan w:val="2"/>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gridBefore w:val="1"/>
          <w:gridAfter w:val="1"/>
          <w:wBefore w:w="108" w:type="dxa"/>
          <w:wAfter w:w="14" w:type="dxa"/>
          <w:trHeight w:val="225"/>
        </w:trPr>
        <w:tc>
          <w:tcPr>
            <w:tcW w:w="4184"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856"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gridSpan w:val="2"/>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910</w:t>
            </w:r>
          </w:p>
        </w:tc>
        <w:tc>
          <w:tcPr>
            <w:tcW w:w="936" w:type="dxa"/>
            <w:gridSpan w:val="2"/>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839</w:t>
            </w:r>
          </w:p>
        </w:tc>
        <w:tc>
          <w:tcPr>
            <w:tcW w:w="856" w:type="dxa"/>
            <w:gridSpan w:val="2"/>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-71</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-7,8%</w:t>
            </w:r>
          </w:p>
        </w:tc>
      </w:tr>
      <w:tr>
        <w:trPr>
          <w:gridBefore w:val="1"/>
          <w:gridAfter w:val="1"/>
          <w:wBefore w:w="108" w:type="dxa"/>
          <w:wAfter w:w="14" w:type="dxa"/>
          <w:trHeight w:val="225"/>
        </w:trPr>
        <w:tc>
          <w:tcPr>
            <w:tcW w:w="4184"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856"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gridSpan w:val="2"/>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784</w:t>
            </w:r>
          </w:p>
        </w:tc>
        <w:tc>
          <w:tcPr>
            <w:tcW w:w="936" w:type="dxa"/>
            <w:gridSpan w:val="2"/>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811</w:t>
            </w:r>
          </w:p>
        </w:tc>
        <w:tc>
          <w:tcPr>
            <w:tcW w:w="856" w:type="dxa"/>
            <w:gridSpan w:val="2"/>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3,5%</w:t>
            </w:r>
          </w:p>
        </w:tc>
      </w:tr>
      <w:tr>
        <w:trPr>
          <w:gridBefore w:val="1"/>
          <w:gridAfter w:val="1"/>
          <w:wBefore w:w="108" w:type="dxa"/>
          <w:wAfter w:w="14" w:type="dxa"/>
          <w:trHeight w:val="225"/>
        </w:trPr>
        <w:tc>
          <w:tcPr>
            <w:tcW w:w="4184"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gridSpan w:val="2"/>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-126</w:t>
            </w:r>
          </w:p>
        </w:tc>
        <w:tc>
          <w:tcPr>
            <w:tcW w:w="936" w:type="dxa"/>
            <w:gridSpan w:val="2"/>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-28</w:t>
            </w:r>
          </w:p>
        </w:tc>
        <w:tc>
          <w:tcPr>
            <w:tcW w:w="856" w:type="dxa"/>
            <w:gridSpan w:val="2"/>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98</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gridBefore w:val="1"/>
          <w:gridAfter w:val="1"/>
          <w:wBefore w:w="108" w:type="dxa"/>
          <w:wAfter w:w="14" w:type="dxa"/>
          <w:trHeight w:val="225"/>
        </w:trPr>
        <w:tc>
          <w:tcPr>
            <w:tcW w:w="4184" w:type="dxa"/>
            <w:gridSpan w:val="2"/>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gridSpan w:val="2"/>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1.694</w:t>
            </w:r>
          </w:p>
        </w:tc>
        <w:tc>
          <w:tcPr>
            <w:tcW w:w="936" w:type="dxa"/>
            <w:gridSpan w:val="2"/>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1.651</w:t>
            </w:r>
          </w:p>
        </w:tc>
        <w:tc>
          <w:tcPr>
            <w:tcW w:w="856" w:type="dxa"/>
            <w:gridSpan w:val="2"/>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-44</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w:t>
            </w:r>
          </w:p>
        </w:tc>
      </w:tr>
      <w:tr>
        <w:trPr>
          <w:gridBefore w:val="1"/>
          <w:gridAfter w:val="1"/>
          <w:wBefore w:w="108" w:type="dxa"/>
          <w:wAfter w:w="14" w:type="dxa"/>
          <w:trHeight w:val="240"/>
        </w:trPr>
        <w:tc>
          <w:tcPr>
            <w:tcW w:w="6832" w:type="dxa"/>
            <w:gridSpan w:val="8"/>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856" w:type="dxa"/>
            <w:gridSpan w:val="2"/>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gridBefore w:val="1"/>
          <w:gridAfter w:val="1"/>
          <w:wBefore w:w="108" w:type="dxa"/>
          <w:wAfter w:w="14" w:type="dxa"/>
          <w:trHeight w:val="225"/>
        </w:trPr>
        <w:tc>
          <w:tcPr>
            <w:tcW w:w="8544" w:type="dxa"/>
            <w:gridSpan w:val="11"/>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NAMA trade EU28 with CARIFORUM EPA States (mio €)</w:t>
            </w:r>
          </w:p>
        </w:tc>
      </w:tr>
      <w:tr>
        <w:trPr>
          <w:gridBefore w:val="1"/>
          <w:gridAfter w:val="1"/>
          <w:wBefore w:w="108" w:type="dxa"/>
          <w:wAfter w:w="14" w:type="dxa"/>
          <w:trHeight w:val="225"/>
        </w:trPr>
        <w:tc>
          <w:tcPr>
            <w:tcW w:w="5040" w:type="dxa"/>
            <w:gridSpan w:val="4"/>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EPA Cariforum</w:t>
            </w:r>
          </w:p>
        </w:tc>
        <w:tc>
          <w:tcPr>
            <w:tcW w:w="856" w:type="dxa"/>
            <w:gridSpan w:val="2"/>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936" w:type="dxa"/>
            <w:gridSpan w:val="2"/>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712" w:type="dxa"/>
            <w:gridSpan w:val="3"/>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gridBefore w:val="1"/>
          <w:gridAfter w:val="1"/>
          <w:wBefore w:w="108" w:type="dxa"/>
          <w:wAfter w:w="14" w:type="dxa"/>
          <w:trHeight w:val="225"/>
        </w:trPr>
        <w:tc>
          <w:tcPr>
            <w:tcW w:w="5040" w:type="dxa"/>
            <w:gridSpan w:val="4"/>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936"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856" w:type="dxa"/>
            <w:gridSpan w:val="2"/>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856"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gridBefore w:val="1"/>
          <w:gridAfter w:val="1"/>
          <w:wBefore w:w="108" w:type="dxa"/>
          <w:wAfter w:w="14" w:type="dxa"/>
          <w:trHeight w:val="225"/>
        </w:trPr>
        <w:tc>
          <w:tcPr>
            <w:tcW w:w="5040" w:type="dxa"/>
            <w:gridSpan w:val="4"/>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imports</w:t>
            </w:r>
          </w:p>
        </w:tc>
        <w:tc>
          <w:tcPr>
            <w:tcW w:w="856" w:type="dxa"/>
            <w:gridSpan w:val="2"/>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2.612</w:t>
            </w:r>
          </w:p>
        </w:tc>
        <w:tc>
          <w:tcPr>
            <w:tcW w:w="936" w:type="dxa"/>
            <w:gridSpan w:val="2"/>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3.070</w:t>
            </w:r>
          </w:p>
        </w:tc>
        <w:tc>
          <w:tcPr>
            <w:tcW w:w="856" w:type="dxa"/>
            <w:gridSpan w:val="2"/>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458</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17,5%</w:t>
            </w:r>
          </w:p>
        </w:tc>
      </w:tr>
      <w:tr>
        <w:trPr>
          <w:gridBefore w:val="1"/>
          <w:gridAfter w:val="1"/>
          <w:wBefore w:w="108" w:type="dxa"/>
          <w:wAfter w:w="14" w:type="dxa"/>
          <w:trHeight w:val="225"/>
        </w:trPr>
        <w:tc>
          <w:tcPr>
            <w:tcW w:w="5040" w:type="dxa"/>
            <w:gridSpan w:val="4"/>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exports</w:t>
            </w:r>
          </w:p>
        </w:tc>
        <w:tc>
          <w:tcPr>
            <w:tcW w:w="856" w:type="dxa"/>
            <w:gridSpan w:val="2"/>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4.112</w:t>
            </w:r>
          </w:p>
        </w:tc>
        <w:tc>
          <w:tcPr>
            <w:tcW w:w="936" w:type="dxa"/>
            <w:gridSpan w:val="2"/>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4.311</w:t>
            </w:r>
          </w:p>
        </w:tc>
        <w:tc>
          <w:tcPr>
            <w:tcW w:w="856" w:type="dxa"/>
            <w:gridSpan w:val="2"/>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199</w:t>
            </w:r>
          </w:p>
        </w:tc>
        <w:tc>
          <w:tcPr>
            <w:tcW w:w="856"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4,8%</w:t>
            </w:r>
          </w:p>
        </w:tc>
      </w:tr>
      <w:tr>
        <w:trPr>
          <w:gridBefore w:val="1"/>
          <w:gridAfter w:val="1"/>
          <w:wBefore w:w="108" w:type="dxa"/>
          <w:wAfter w:w="14" w:type="dxa"/>
          <w:trHeight w:val="225"/>
        </w:trPr>
        <w:tc>
          <w:tcPr>
            <w:tcW w:w="4184"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856"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gridSpan w:val="2"/>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1.500</w:t>
            </w:r>
          </w:p>
        </w:tc>
        <w:tc>
          <w:tcPr>
            <w:tcW w:w="936" w:type="dxa"/>
            <w:gridSpan w:val="2"/>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1.241</w:t>
            </w:r>
          </w:p>
        </w:tc>
        <w:tc>
          <w:tcPr>
            <w:tcW w:w="856" w:type="dxa"/>
            <w:gridSpan w:val="2"/>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-259</w:t>
            </w:r>
          </w:p>
        </w:tc>
        <w:tc>
          <w:tcPr>
            <w:tcW w:w="856"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gridBefore w:val="1"/>
          <w:gridAfter w:val="1"/>
          <w:wBefore w:w="108" w:type="dxa"/>
          <w:wAfter w:w="14" w:type="dxa"/>
          <w:trHeight w:val="225"/>
        </w:trPr>
        <w:tc>
          <w:tcPr>
            <w:tcW w:w="4184"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856"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856" w:type="dxa"/>
            <w:gridSpan w:val="2"/>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6.724</w:t>
            </w:r>
          </w:p>
        </w:tc>
        <w:tc>
          <w:tcPr>
            <w:tcW w:w="936" w:type="dxa"/>
            <w:gridSpan w:val="2"/>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7.381</w:t>
            </w:r>
          </w:p>
        </w:tc>
        <w:tc>
          <w:tcPr>
            <w:tcW w:w="856" w:type="dxa"/>
            <w:gridSpan w:val="2"/>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657</w:t>
            </w:r>
          </w:p>
        </w:tc>
        <w:tc>
          <w:tcPr>
            <w:tcW w:w="856"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9,8%</w:t>
            </w:r>
          </w:p>
        </w:tc>
      </w:tr>
      <w:tr>
        <w:trPr>
          <w:gridBefore w:val="1"/>
          <w:gridAfter w:val="1"/>
          <w:wBefore w:w="108" w:type="dxa"/>
          <w:wAfter w:w="14" w:type="dxa"/>
          <w:trHeight w:val="240"/>
        </w:trPr>
        <w:tc>
          <w:tcPr>
            <w:tcW w:w="6832" w:type="dxa"/>
            <w:gridSpan w:val="8"/>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856" w:type="dxa"/>
            <w:gridSpan w:val="2"/>
            <w:tcBorders>
              <w:top w:val="single" w:sz="4" w:space="0" w:color="auto"/>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856"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blPrEx>
          <w:tblCellMar>
            <w:left w:w="0" w:type="dxa"/>
            <w:right w:w="0" w:type="dxa"/>
          </w:tblCellMar>
        </w:tblPrEx>
        <w:trPr>
          <w:trHeight w:val="246"/>
        </w:trPr>
        <w:tc>
          <w:tcPr>
            <w:tcW w:w="8666" w:type="dxa"/>
            <w:gridSpan w:val="13"/>
            <w:tcBorders>
              <w:top w:val="nil"/>
              <w:left w:val="nil"/>
              <w:bottom w:val="single" w:sz="8" w:space="0" w:color="auto"/>
            </w:tcBorders>
            <w:shd w:val="clear" w:color="auto" w:fill="FFFFFF"/>
            <w:noWrap/>
            <w:tcMar>
              <w:top w:w="0" w:type="dxa"/>
              <w:left w:w="108" w:type="dxa"/>
              <w:bottom w:w="0" w:type="dxa"/>
              <w:right w:w="108" w:type="dxa"/>
            </w:tcMar>
            <w:vAlign w:val="center"/>
            <w:hideMark/>
          </w:tcPr>
          <w:p>
            <w:pPr>
              <w:jc w:val="center"/>
              <w:rPr>
                <w:rFonts w:eastAsia="Calibri"/>
                <w:b/>
                <w:bCs/>
                <w:noProof/>
                <w:sz w:val="16"/>
                <w:szCs w:val="16"/>
                <w:lang w:eastAsia="en-GB"/>
              </w:rPr>
            </w:pPr>
            <w:bookmarkStart w:id="4842" w:name="_Toc8833862"/>
            <w:bookmarkStart w:id="4843" w:name="_Toc8835689"/>
            <w:bookmarkStart w:id="4844" w:name="_Toc8834320"/>
            <w:bookmarkStart w:id="4845" w:name="_Toc8909781"/>
            <w:bookmarkStart w:id="4846" w:name="_Toc8910993"/>
            <w:bookmarkStart w:id="4847" w:name="_Toc8912030"/>
            <w:bookmarkStart w:id="4848" w:name="_Toc8974851"/>
            <w:bookmarkStart w:id="4849" w:name="_Toc9008504"/>
            <w:bookmarkStart w:id="4850" w:name="_Toc9008907"/>
            <w:bookmarkStart w:id="4851" w:name="_Toc9348903"/>
            <w:r>
              <w:rPr>
                <w:rFonts w:eastAsia="Calibri"/>
                <w:b/>
                <w:bCs/>
                <w:noProof/>
                <w:sz w:val="16"/>
                <w:szCs w:val="16"/>
                <w:lang w:eastAsia="en-GB"/>
              </w:rPr>
              <w:t xml:space="preserve">Growth in Services trade EU28 with </w:t>
            </w:r>
            <w:r>
              <w:rPr>
                <w:rFonts w:eastAsia="Times New Roman"/>
                <w:b/>
                <w:bCs/>
                <w:noProof/>
                <w:sz w:val="16"/>
                <w:szCs w:val="16"/>
                <w:lang w:val="en-IE" w:eastAsia="en-IE"/>
              </w:rPr>
              <w:t xml:space="preserve">CARIFORUM EPA States </w:t>
            </w:r>
            <w:r>
              <w:rPr>
                <w:rFonts w:eastAsia="Calibri"/>
                <w:b/>
                <w:bCs/>
                <w:noProof/>
                <w:sz w:val="16"/>
                <w:szCs w:val="16"/>
                <w:lang w:eastAsia="en-GB"/>
              </w:rPr>
              <w:t>(mio €)</w:t>
            </w:r>
          </w:p>
        </w:tc>
      </w:tr>
      <w:tr>
        <w:tblPrEx>
          <w:tblCellMar>
            <w:left w:w="0" w:type="dxa"/>
            <w:right w:w="0" w:type="dxa"/>
          </w:tblCellMar>
        </w:tblPrEx>
        <w:trPr>
          <w:trHeight w:val="246"/>
        </w:trPr>
        <w:tc>
          <w:tcPr>
            <w:tcW w:w="4730" w:type="dxa"/>
            <w:gridSpan w:val="4"/>
            <w:vMerge w:val="restart"/>
            <w:tcBorders>
              <w:top w:val="nil"/>
              <w:left w:val="nil"/>
              <w:bottom w:val="single" w:sz="8" w:space="0" w:color="000000"/>
              <w:right w:val="nil"/>
            </w:tcBorders>
            <w:shd w:val="clear" w:color="auto" w:fill="FFFFFF"/>
            <w:tcMar>
              <w:top w:w="0" w:type="dxa"/>
              <w:left w:w="108" w:type="dxa"/>
              <w:bottom w:w="0" w:type="dxa"/>
              <w:right w:w="108" w:type="dxa"/>
            </w:tcMar>
            <w:vAlign w:val="center"/>
            <w:hideMark/>
          </w:tcPr>
          <w:p>
            <w:pPr>
              <w:jc w:val="center"/>
              <w:rPr>
                <w:rFonts w:eastAsia="Calibri"/>
                <w:b/>
                <w:bCs/>
                <w:noProof/>
                <w:sz w:val="16"/>
                <w:szCs w:val="16"/>
                <w:lang w:eastAsia="en-GB"/>
              </w:rPr>
            </w:pPr>
            <w:r>
              <w:rPr>
                <w:rFonts w:eastAsia="Calibri"/>
                <w:b/>
                <w:bCs/>
                <w:noProof/>
                <w:sz w:val="16"/>
                <w:szCs w:val="16"/>
                <w:lang w:eastAsia="en-GB"/>
              </w:rPr>
              <w:t>CF14</w:t>
            </w:r>
          </w:p>
        </w:tc>
        <w:tc>
          <w:tcPr>
            <w:tcW w:w="946" w:type="dxa"/>
            <w:gridSpan w:val="2"/>
            <w:vMerge w:val="restart"/>
            <w:tcBorders>
              <w:top w:val="nil"/>
              <w:left w:val="nil"/>
              <w:bottom w:val="single" w:sz="8" w:space="0" w:color="000000"/>
              <w:right w:val="nil"/>
            </w:tcBorders>
            <w:shd w:val="clear" w:color="auto" w:fill="FFFFFF"/>
            <w:noWrap/>
            <w:tcMar>
              <w:top w:w="0" w:type="dxa"/>
              <w:left w:w="108" w:type="dxa"/>
              <w:bottom w:w="0" w:type="dxa"/>
              <w:right w:w="108" w:type="dxa"/>
            </w:tcMar>
            <w:vAlign w:val="center"/>
            <w:hideMark/>
          </w:tcPr>
          <w:p>
            <w:pPr>
              <w:jc w:val="center"/>
              <w:rPr>
                <w:rFonts w:eastAsia="Calibri"/>
                <w:b/>
                <w:bCs/>
                <w:noProof/>
                <w:sz w:val="16"/>
                <w:szCs w:val="16"/>
                <w:lang w:eastAsia="en-GB"/>
              </w:rPr>
            </w:pPr>
            <w:r>
              <w:rPr>
                <w:rFonts w:eastAsia="Calibri"/>
                <w:b/>
                <w:bCs/>
                <w:noProof/>
                <w:sz w:val="16"/>
                <w:szCs w:val="16"/>
                <w:lang w:eastAsia="en-GB"/>
              </w:rPr>
              <w:t>2016</w:t>
            </w:r>
          </w:p>
        </w:tc>
        <w:tc>
          <w:tcPr>
            <w:tcW w:w="959" w:type="dxa"/>
            <w:gridSpan w:val="2"/>
            <w:vMerge w:val="restart"/>
            <w:tcBorders>
              <w:top w:val="nil"/>
              <w:left w:val="nil"/>
              <w:bottom w:val="single" w:sz="8" w:space="0" w:color="000000"/>
              <w:right w:val="nil"/>
            </w:tcBorders>
            <w:shd w:val="clear" w:color="auto" w:fill="FFFFFF"/>
            <w:noWrap/>
            <w:tcMar>
              <w:top w:w="0" w:type="dxa"/>
              <w:left w:w="108" w:type="dxa"/>
              <w:bottom w:w="0" w:type="dxa"/>
              <w:right w:w="108" w:type="dxa"/>
            </w:tcMar>
            <w:vAlign w:val="center"/>
            <w:hideMark/>
          </w:tcPr>
          <w:p>
            <w:pPr>
              <w:jc w:val="center"/>
              <w:rPr>
                <w:rFonts w:eastAsia="Calibri"/>
                <w:b/>
                <w:bCs/>
                <w:noProof/>
                <w:sz w:val="16"/>
                <w:szCs w:val="16"/>
                <w:lang w:eastAsia="en-GB"/>
              </w:rPr>
            </w:pPr>
            <w:r>
              <w:rPr>
                <w:rFonts w:eastAsia="Calibri"/>
                <w:b/>
                <w:bCs/>
                <w:noProof/>
                <w:sz w:val="16"/>
                <w:szCs w:val="16"/>
                <w:lang w:eastAsia="en-GB"/>
              </w:rPr>
              <w:t>2017</w:t>
            </w:r>
          </w:p>
        </w:tc>
        <w:tc>
          <w:tcPr>
            <w:tcW w:w="2031" w:type="dxa"/>
            <w:gridSpan w:val="5"/>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pPr>
              <w:jc w:val="center"/>
              <w:rPr>
                <w:rFonts w:eastAsia="Calibri"/>
                <w:b/>
                <w:bCs/>
                <w:noProof/>
                <w:sz w:val="16"/>
                <w:szCs w:val="16"/>
                <w:lang w:eastAsia="en-GB"/>
              </w:rPr>
            </w:pPr>
            <w:r>
              <w:rPr>
                <w:rFonts w:eastAsia="Calibri"/>
                <w:b/>
                <w:bCs/>
                <w:noProof/>
                <w:sz w:val="16"/>
                <w:szCs w:val="16"/>
                <w:lang w:eastAsia="en-GB"/>
              </w:rPr>
              <w:t>Growth</w:t>
            </w:r>
          </w:p>
        </w:tc>
      </w:tr>
      <w:tr>
        <w:tblPrEx>
          <w:tblCellMar>
            <w:left w:w="0" w:type="dxa"/>
            <w:right w:w="0" w:type="dxa"/>
          </w:tblCellMar>
        </w:tblPrEx>
        <w:trPr>
          <w:trHeight w:val="246"/>
        </w:trPr>
        <w:tc>
          <w:tcPr>
            <w:tcW w:w="4730" w:type="dxa"/>
            <w:gridSpan w:val="4"/>
            <w:vMerge/>
            <w:tcBorders>
              <w:top w:val="nil"/>
              <w:left w:val="nil"/>
              <w:bottom w:val="single" w:sz="8" w:space="0" w:color="000000"/>
              <w:right w:val="nil"/>
            </w:tcBorders>
            <w:vAlign w:val="center"/>
            <w:hideMark/>
          </w:tcPr>
          <w:p>
            <w:pPr>
              <w:rPr>
                <w:rFonts w:eastAsia="Calibri"/>
                <w:b/>
                <w:bCs/>
                <w:noProof/>
                <w:sz w:val="16"/>
                <w:szCs w:val="16"/>
                <w:lang w:eastAsia="en-GB"/>
              </w:rPr>
            </w:pPr>
          </w:p>
        </w:tc>
        <w:tc>
          <w:tcPr>
            <w:tcW w:w="946" w:type="dxa"/>
            <w:gridSpan w:val="2"/>
            <w:vMerge/>
            <w:tcBorders>
              <w:top w:val="nil"/>
              <w:left w:val="nil"/>
              <w:bottom w:val="single" w:sz="8" w:space="0" w:color="000000"/>
              <w:right w:val="nil"/>
            </w:tcBorders>
            <w:vAlign w:val="center"/>
            <w:hideMark/>
          </w:tcPr>
          <w:p>
            <w:pPr>
              <w:rPr>
                <w:rFonts w:eastAsia="Calibri"/>
                <w:b/>
                <w:bCs/>
                <w:noProof/>
                <w:sz w:val="16"/>
                <w:szCs w:val="16"/>
                <w:lang w:eastAsia="en-GB"/>
              </w:rPr>
            </w:pPr>
          </w:p>
        </w:tc>
        <w:tc>
          <w:tcPr>
            <w:tcW w:w="959" w:type="dxa"/>
            <w:gridSpan w:val="2"/>
            <w:vMerge/>
            <w:tcBorders>
              <w:top w:val="nil"/>
              <w:left w:val="nil"/>
              <w:bottom w:val="single" w:sz="8" w:space="0" w:color="000000"/>
              <w:right w:val="nil"/>
            </w:tcBorders>
            <w:vAlign w:val="center"/>
            <w:hideMark/>
          </w:tcPr>
          <w:p>
            <w:pPr>
              <w:rPr>
                <w:rFonts w:eastAsia="Calibri"/>
                <w:b/>
                <w:bCs/>
                <w:noProof/>
                <w:sz w:val="16"/>
                <w:szCs w:val="16"/>
                <w:lang w:eastAsia="en-GB"/>
              </w:rPr>
            </w:pPr>
          </w:p>
        </w:tc>
        <w:tc>
          <w:tcPr>
            <w:tcW w:w="1016" w:type="dxa"/>
            <w:gridSpan w:val="2"/>
            <w:tcBorders>
              <w:top w:val="nil"/>
              <w:left w:val="nil"/>
              <w:bottom w:val="single" w:sz="8" w:space="0" w:color="auto"/>
              <w:right w:val="nil"/>
            </w:tcBorders>
            <w:shd w:val="clear" w:color="auto" w:fill="FFFFFF"/>
            <w:noWrap/>
            <w:tcMar>
              <w:top w:w="0" w:type="dxa"/>
              <w:left w:w="108" w:type="dxa"/>
              <w:bottom w:w="0" w:type="dxa"/>
              <w:right w:w="108" w:type="dxa"/>
            </w:tcMar>
            <w:vAlign w:val="bottom"/>
            <w:hideMark/>
          </w:tcPr>
          <w:p>
            <w:pPr>
              <w:jc w:val="center"/>
              <w:rPr>
                <w:rFonts w:eastAsia="Calibri"/>
                <w:b/>
                <w:bCs/>
                <w:noProof/>
                <w:sz w:val="16"/>
                <w:szCs w:val="16"/>
                <w:lang w:eastAsia="en-GB"/>
              </w:rPr>
            </w:pPr>
            <w:r>
              <w:rPr>
                <w:rFonts w:eastAsia="Calibri"/>
                <w:b/>
                <w:bCs/>
                <w:noProof/>
                <w:sz w:val="16"/>
                <w:szCs w:val="16"/>
                <w:lang w:eastAsia="en-GB"/>
              </w:rPr>
              <w:t>mio €</w:t>
            </w:r>
          </w:p>
        </w:tc>
        <w:tc>
          <w:tcPr>
            <w:tcW w:w="1015" w:type="dxa"/>
            <w:gridSpan w:val="3"/>
            <w:tcBorders>
              <w:top w:val="nil"/>
              <w:left w:val="nil"/>
              <w:bottom w:val="single" w:sz="8" w:space="0" w:color="auto"/>
              <w:right w:val="nil"/>
            </w:tcBorders>
            <w:shd w:val="clear" w:color="auto" w:fill="FFFFFF"/>
            <w:noWrap/>
            <w:tcMar>
              <w:top w:w="0" w:type="dxa"/>
              <w:left w:w="108" w:type="dxa"/>
              <w:bottom w:w="0" w:type="dxa"/>
              <w:right w:w="108" w:type="dxa"/>
            </w:tcMar>
            <w:vAlign w:val="bottom"/>
            <w:hideMark/>
          </w:tcPr>
          <w:p>
            <w:pPr>
              <w:jc w:val="center"/>
              <w:rPr>
                <w:rFonts w:eastAsia="Calibri"/>
                <w:b/>
                <w:bCs/>
                <w:noProof/>
                <w:sz w:val="16"/>
                <w:szCs w:val="16"/>
                <w:lang w:eastAsia="en-GB"/>
              </w:rPr>
            </w:pPr>
            <w:r>
              <w:rPr>
                <w:rFonts w:eastAsia="Calibri"/>
                <w:b/>
                <w:bCs/>
                <w:noProof/>
                <w:sz w:val="16"/>
                <w:szCs w:val="16"/>
                <w:lang w:eastAsia="en-GB"/>
              </w:rPr>
              <w:t>annual %</w:t>
            </w:r>
          </w:p>
        </w:tc>
      </w:tr>
      <w:tr>
        <w:tblPrEx>
          <w:tblCellMar>
            <w:left w:w="0" w:type="dxa"/>
            <w:right w:w="0" w:type="dxa"/>
          </w:tblCellMar>
        </w:tblPrEx>
        <w:trPr>
          <w:trHeight w:val="246"/>
        </w:trPr>
        <w:tc>
          <w:tcPr>
            <w:tcW w:w="3893" w:type="dxa"/>
            <w:gridSpan w:val="2"/>
            <w:shd w:val="clear" w:color="auto" w:fill="FFFFFF"/>
            <w:noWrap/>
            <w:tcMar>
              <w:top w:w="0" w:type="dxa"/>
              <w:left w:w="108" w:type="dxa"/>
              <w:bottom w:w="0" w:type="dxa"/>
              <w:right w:w="108" w:type="dxa"/>
            </w:tcMar>
            <w:vAlign w:val="bottom"/>
            <w:hideMark/>
          </w:tcPr>
          <w:p>
            <w:pPr>
              <w:rPr>
                <w:rFonts w:eastAsia="Calibri"/>
                <w:noProof/>
                <w:sz w:val="16"/>
                <w:szCs w:val="16"/>
                <w:lang w:eastAsia="en-GB"/>
              </w:rPr>
            </w:pPr>
            <w:r>
              <w:rPr>
                <w:rFonts w:eastAsia="Calibri"/>
                <w:noProof/>
                <w:sz w:val="16"/>
                <w:szCs w:val="16"/>
                <w:lang w:eastAsia="en-GB"/>
              </w:rPr>
              <w:t>Imports</w:t>
            </w:r>
          </w:p>
        </w:tc>
        <w:tc>
          <w:tcPr>
            <w:tcW w:w="837" w:type="dxa"/>
            <w:gridSpan w:val="2"/>
            <w:shd w:val="clear" w:color="auto" w:fill="FFFFFF"/>
            <w:noWrap/>
            <w:tcMar>
              <w:top w:w="0" w:type="dxa"/>
              <w:left w:w="108" w:type="dxa"/>
              <w:bottom w:w="0" w:type="dxa"/>
              <w:right w:w="108" w:type="dxa"/>
            </w:tcMar>
            <w:vAlign w:val="bottom"/>
            <w:hideMark/>
          </w:tcPr>
          <w:p>
            <w:pPr>
              <w:rPr>
                <w:rFonts w:eastAsia="Calibri"/>
                <w:noProof/>
                <w:sz w:val="16"/>
                <w:szCs w:val="16"/>
                <w:lang w:eastAsia="en-GB"/>
              </w:rPr>
            </w:pPr>
            <w:r>
              <w:rPr>
                <w:rFonts w:eastAsia="Calibri"/>
                <w:noProof/>
                <w:sz w:val="16"/>
                <w:szCs w:val="16"/>
                <w:lang w:eastAsia="en-GB"/>
              </w:rPr>
              <w:t> </w:t>
            </w:r>
          </w:p>
        </w:tc>
        <w:tc>
          <w:tcPr>
            <w:tcW w:w="946" w:type="dxa"/>
            <w:gridSpan w:val="2"/>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18.818</w:t>
            </w:r>
          </w:p>
        </w:tc>
        <w:tc>
          <w:tcPr>
            <w:tcW w:w="959" w:type="dxa"/>
            <w:gridSpan w:val="2"/>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18.000</w:t>
            </w:r>
          </w:p>
        </w:tc>
        <w:tc>
          <w:tcPr>
            <w:tcW w:w="1016" w:type="dxa"/>
            <w:gridSpan w:val="2"/>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-818</w:t>
            </w:r>
          </w:p>
        </w:tc>
        <w:tc>
          <w:tcPr>
            <w:tcW w:w="1015" w:type="dxa"/>
            <w:gridSpan w:val="3"/>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-4,3%</w:t>
            </w:r>
          </w:p>
        </w:tc>
      </w:tr>
      <w:tr>
        <w:tblPrEx>
          <w:tblCellMar>
            <w:left w:w="0" w:type="dxa"/>
            <w:right w:w="0" w:type="dxa"/>
          </w:tblCellMar>
        </w:tblPrEx>
        <w:trPr>
          <w:trHeight w:val="246"/>
        </w:trPr>
        <w:tc>
          <w:tcPr>
            <w:tcW w:w="3893" w:type="dxa"/>
            <w:gridSpan w:val="2"/>
            <w:shd w:val="clear" w:color="auto" w:fill="FFFFFF"/>
            <w:noWrap/>
            <w:tcMar>
              <w:top w:w="0" w:type="dxa"/>
              <w:left w:w="108" w:type="dxa"/>
              <w:bottom w:w="0" w:type="dxa"/>
              <w:right w:w="108" w:type="dxa"/>
            </w:tcMar>
            <w:vAlign w:val="bottom"/>
            <w:hideMark/>
          </w:tcPr>
          <w:p>
            <w:pPr>
              <w:rPr>
                <w:rFonts w:eastAsia="Calibri"/>
                <w:noProof/>
                <w:sz w:val="16"/>
                <w:szCs w:val="16"/>
                <w:lang w:eastAsia="en-GB"/>
              </w:rPr>
            </w:pPr>
            <w:r>
              <w:rPr>
                <w:rFonts w:eastAsia="Calibri"/>
                <w:noProof/>
                <w:sz w:val="16"/>
                <w:szCs w:val="16"/>
                <w:lang w:eastAsia="en-GB"/>
              </w:rPr>
              <w:t>Exports</w:t>
            </w:r>
          </w:p>
        </w:tc>
        <w:tc>
          <w:tcPr>
            <w:tcW w:w="837" w:type="dxa"/>
            <w:gridSpan w:val="2"/>
            <w:shd w:val="clear" w:color="auto" w:fill="FFFFFF"/>
            <w:noWrap/>
            <w:tcMar>
              <w:top w:w="0" w:type="dxa"/>
              <w:left w:w="108" w:type="dxa"/>
              <w:bottom w:w="0" w:type="dxa"/>
              <w:right w:w="108" w:type="dxa"/>
            </w:tcMar>
            <w:vAlign w:val="bottom"/>
            <w:hideMark/>
          </w:tcPr>
          <w:p>
            <w:pPr>
              <w:rPr>
                <w:rFonts w:eastAsia="Calibri"/>
                <w:noProof/>
                <w:sz w:val="16"/>
                <w:szCs w:val="16"/>
                <w:lang w:eastAsia="en-GB"/>
              </w:rPr>
            </w:pPr>
            <w:r>
              <w:rPr>
                <w:rFonts w:eastAsia="Calibri"/>
                <w:noProof/>
                <w:sz w:val="16"/>
                <w:szCs w:val="16"/>
                <w:lang w:eastAsia="en-GB"/>
              </w:rPr>
              <w:t> </w:t>
            </w:r>
          </w:p>
        </w:tc>
        <w:tc>
          <w:tcPr>
            <w:tcW w:w="946" w:type="dxa"/>
            <w:gridSpan w:val="2"/>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3.608</w:t>
            </w:r>
          </w:p>
        </w:tc>
        <w:tc>
          <w:tcPr>
            <w:tcW w:w="959" w:type="dxa"/>
            <w:gridSpan w:val="2"/>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4.220</w:t>
            </w:r>
          </w:p>
        </w:tc>
        <w:tc>
          <w:tcPr>
            <w:tcW w:w="1016" w:type="dxa"/>
            <w:gridSpan w:val="2"/>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612</w:t>
            </w:r>
          </w:p>
        </w:tc>
        <w:tc>
          <w:tcPr>
            <w:tcW w:w="1015" w:type="dxa"/>
            <w:gridSpan w:val="3"/>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17,0%</w:t>
            </w:r>
          </w:p>
        </w:tc>
      </w:tr>
      <w:tr>
        <w:tblPrEx>
          <w:tblCellMar>
            <w:left w:w="0" w:type="dxa"/>
            <w:right w:w="0" w:type="dxa"/>
          </w:tblCellMar>
        </w:tblPrEx>
        <w:trPr>
          <w:trHeight w:val="246"/>
        </w:trPr>
        <w:tc>
          <w:tcPr>
            <w:tcW w:w="3893" w:type="dxa"/>
            <w:gridSpan w:val="2"/>
            <w:shd w:val="clear" w:color="auto" w:fill="FFFFFF"/>
            <w:noWrap/>
            <w:tcMar>
              <w:top w:w="0" w:type="dxa"/>
              <w:left w:w="108" w:type="dxa"/>
              <w:bottom w:w="0" w:type="dxa"/>
              <w:right w:w="108" w:type="dxa"/>
            </w:tcMar>
            <w:vAlign w:val="bottom"/>
            <w:hideMark/>
          </w:tcPr>
          <w:p>
            <w:pPr>
              <w:rPr>
                <w:rFonts w:eastAsia="Calibri"/>
                <w:noProof/>
                <w:sz w:val="16"/>
                <w:szCs w:val="16"/>
                <w:lang w:eastAsia="en-GB"/>
              </w:rPr>
            </w:pPr>
            <w:r>
              <w:rPr>
                <w:rFonts w:eastAsia="Calibri"/>
                <w:noProof/>
                <w:sz w:val="16"/>
                <w:szCs w:val="16"/>
                <w:lang w:eastAsia="en-GB"/>
              </w:rPr>
              <w:t>Balance</w:t>
            </w:r>
          </w:p>
        </w:tc>
        <w:tc>
          <w:tcPr>
            <w:tcW w:w="837" w:type="dxa"/>
            <w:gridSpan w:val="2"/>
            <w:shd w:val="clear" w:color="auto" w:fill="FFFFFF"/>
            <w:noWrap/>
            <w:tcMar>
              <w:top w:w="0" w:type="dxa"/>
              <w:left w:w="108" w:type="dxa"/>
              <w:bottom w:w="0" w:type="dxa"/>
              <w:right w:w="108" w:type="dxa"/>
            </w:tcMar>
            <w:vAlign w:val="bottom"/>
            <w:hideMark/>
          </w:tcPr>
          <w:p>
            <w:pPr>
              <w:rPr>
                <w:rFonts w:eastAsia="Calibri"/>
                <w:noProof/>
                <w:sz w:val="16"/>
                <w:szCs w:val="16"/>
                <w:lang w:eastAsia="en-GB"/>
              </w:rPr>
            </w:pPr>
            <w:r>
              <w:rPr>
                <w:rFonts w:eastAsia="Calibri"/>
                <w:noProof/>
                <w:sz w:val="16"/>
                <w:szCs w:val="16"/>
                <w:lang w:eastAsia="en-GB"/>
              </w:rPr>
              <w:t> </w:t>
            </w:r>
          </w:p>
        </w:tc>
        <w:tc>
          <w:tcPr>
            <w:tcW w:w="946" w:type="dxa"/>
            <w:gridSpan w:val="2"/>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-15.210</w:t>
            </w:r>
          </w:p>
        </w:tc>
        <w:tc>
          <w:tcPr>
            <w:tcW w:w="959" w:type="dxa"/>
            <w:gridSpan w:val="2"/>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-13.780</w:t>
            </w:r>
          </w:p>
        </w:tc>
        <w:tc>
          <w:tcPr>
            <w:tcW w:w="1016" w:type="dxa"/>
            <w:gridSpan w:val="2"/>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1430</w:t>
            </w:r>
          </w:p>
        </w:tc>
        <w:tc>
          <w:tcPr>
            <w:tcW w:w="1015" w:type="dxa"/>
            <w:gridSpan w:val="3"/>
            <w:shd w:val="clear" w:color="auto" w:fill="FFFFFF"/>
            <w:noWrap/>
            <w:tcMar>
              <w:top w:w="0" w:type="dxa"/>
              <w:left w:w="108" w:type="dxa"/>
              <w:bottom w:w="0" w:type="dxa"/>
              <w:right w:w="108" w:type="dxa"/>
            </w:tcMar>
            <w:hideMark/>
          </w:tcPr>
          <w:p>
            <w:pPr>
              <w:jc w:val="right"/>
              <w:rPr>
                <w:rFonts w:eastAsia="Calibri"/>
                <w:noProof/>
                <w:sz w:val="16"/>
                <w:szCs w:val="16"/>
                <w:lang w:eastAsia="en-GB"/>
              </w:rPr>
            </w:pPr>
          </w:p>
        </w:tc>
      </w:tr>
      <w:tr>
        <w:tblPrEx>
          <w:tblCellMar>
            <w:left w:w="0" w:type="dxa"/>
            <w:right w:w="0" w:type="dxa"/>
          </w:tblCellMar>
        </w:tblPrEx>
        <w:trPr>
          <w:trHeight w:val="246"/>
        </w:trPr>
        <w:tc>
          <w:tcPr>
            <w:tcW w:w="3893" w:type="dxa"/>
            <w:gridSpan w:val="2"/>
            <w:tcBorders>
              <w:top w:val="nil"/>
              <w:left w:val="nil"/>
              <w:bottom w:val="single" w:sz="8" w:space="0" w:color="auto"/>
              <w:right w:val="nil"/>
            </w:tcBorders>
            <w:shd w:val="clear" w:color="auto" w:fill="FFFFFF"/>
            <w:noWrap/>
            <w:tcMar>
              <w:top w:w="0" w:type="dxa"/>
              <w:left w:w="108" w:type="dxa"/>
              <w:bottom w:w="0" w:type="dxa"/>
              <w:right w:w="108" w:type="dxa"/>
            </w:tcMar>
            <w:vAlign w:val="bottom"/>
            <w:hideMark/>
          </w:tcPr>
          <w:p>
            <w:pPr>
              <w:rPr>
                <w:rFonts w:eastAsia="Calibri"/>
                <w:noProof/>
                <w:sz w:val="16"/>
                <w:szCs w:val="16"/>
                <w:lang w:eastAsia="en-GB"/>
              </w:rPr>
            </w:pPr>
            <w:r>
              <w:rPr>
                <w:rFonts w:eastAsia="Calibri"/>
                <w:noProof/>
                <w:sz w:val="16"/>
                <w:szCs w:val="16"/>
                <w:lang w:eastAsia="en-GB"/>
              </w:rPr>
              <w:t>Total trade</w:t>
            </w:r>
          </w:p>
        </w:tc>
        <w:tc>
          <w:tcPr>
            <w:tcW w:w="837" w:type="dxa"/>
            <w:gridSpan w:val="2"/>
            <w:tcBorders>
              <w:top w:val="nil"/>
              <w:left w:val="nil"/>
              <w:bottom w:val="single" w:sz="8" w:space="0" w:color="auto"/>
              <w:right w:val="nil"/>
            </w:tcBorders>
            <w:shd w:val="clear" w:color="auto" w:fill="FFFFFF"/>
            <w:noWrap/>
            <w:tcMar>
              <w:top w:w="0" w:type="dxa"/>
              <w:left w:w="108" w:type="dxa"/>
              <w:bottom w:w="0" w:type="dxa"/>
              <w:right w:w="108" w:type="dxa"/>
            </w:tcMar>
            <w:vAlign w:val="bottom"/>
            <w:hideMark/>
          </w:tcPr>
          <w:p>
            <w:pPr>
              <w:rPr>
                <w:rFonts w:eastAsia="Calibri"/>
                <w:noProof/>
                <w:sz w:val="16"/>
                <w:szCs w:val="16"/>
                <w:lang w:eastAsia="en-GB"/>
              </w:rPr>
            </w:pPr>
            <w:r>
              <w:rPr>
                <w:rFonts w:eastAsia="Calibri"/>
                <w:noProof/>
                <w:sz w:val="16"/>
                <w:szCs w:val="16"/>
                <w:lang w:eastAsia="en-GB"/>
              </w:rPr>
              <w:t> </w:t>
            </w:r>
          </w:p>
        </w:tc>
        <w:tc>
          <w:tcPr>
            <w:tcW w:w="946" w:type="dxa"/>
            <w:gridSpan w:val="2"/>
            <w:tcBorders>
              <w:top w:val="nil"/>
              <w:left w:val="nil"/>
              <w:bottom w:val="single" w:sz="8" w:space="0" w:color="auto"/>
              <w:right w:val="nil"/>
            </w:tcBorders>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22.427</w:t>
            </w:r>
          </w:p>
        </w:tc>
        <w:tc>
          <w:tcPr>
            <w:tcW w:w="959" w:type="dxa"/>
            <w:gridSpan w:val="2"/>
            <w:tcBorders>
              <w:top w:val="nil"/>
              <w:left w:val="nil"/>
              <w:bottom w:val="single" w:sz="8" w:space="0" w:color="auto"/>
              <w:right w:val="nil"/>
            </w:tcBorders>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22.220</w:t>
            </w:r>
          </w:p>
        </w:tc>
        <w:tc>
          <w:tcPr>
            <w:tcW w:w="1016" w:type="dxa"/>
            <w:gridSpan w:val="2"/>
            <w:tcBorders>
              <w:top w:val="nil"/>
              <w:left w:val="nil"/>
              <w:bottom w:val="single" w:sz="8" w:space="0" w:color="auto"/>
              <w:right w:val="nil"/>
            </w:tcBorders>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-206</w:t>
            </w:r>
          </w:p>
        </w:tc>
        <w:tc>
          <w:tcPr>
            <w:tcW w:w="1015" w:type="dxa"/>
            <w:gridSpan w:val="3"/>
            <w:tcBorders>
              <w:top w:val="nil"/>
              <w:left w:val="nil"/>
              <w:bottom w:val="single" w:sz="8" w:space="0" w:color="auto"/>
              <w:right w:val="nil"/>
            </w:tcBorders>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-0,9%</w:t>
            </w:r>
          </w:p>
        </w:tc>
      </w:tr>
      <w:tr>
        <w:tblPrEx>
          <w:tblCellMar>
            <w:left w:w="0" w:type="dxa"/>
            <w:right w:w="0" w:type="dxa"/>
          </w:tblCellMar>
        </w:tblPrEx>
        <w:trPr>
          <w:trHeight w:val="262"/>
        </w:trPr>
        <w:tc>
          <w:tcPr>
            <w:tcW w:w="7651" w:type="dxa"/>
            <w:gridSpan w:val="10"/>
            <w:shd w:val="clear" w:color="auto" w:fill="FFFFFF"/>
            <w:noWrap/>
            <w:tcMar>
              <w:top w:w="0" w:type="dxa"/>
              <w:left w:w="108" w:type="dxa"/>
              <w:bottom w:w="0" w:type="dxa"/>
              <w:right w:w="108" w:type="dxa"/>
            </w:tcMar>
            <w:hideMark/>
          </w:tcPr>
          <w:p>
            <w:pPr>
              <w:rPr>
                <w:rFonts w:eastAsia="Calibri"/>
                <w:noProof/>
                <w:sz w:val="12"/>
                <w:szCs w:val="12"/>
                <w:lang w:eastAsia="en-GB"/>
              </w:rPr>
            </w:pPr>
            <w:r>
              <w:rPr>
                <w:rFonts w:eastAsia="Calibri"/>
                <w:noProof/>
                <w:sz w:val="12"/>
                <w:szCs w:val="12"/>
                <w:lang w:eastAsia="en-GB"/>
              </w:rPr>
              <w:t>Source Trade G2 Statistics/ISDB from Eurostat BOP statistics</w:t>
            </w:r>
          </w:p>
        </w:tc>
        <w:tc>
          <w:tcPr>
            <w:tcW w:w="1015" w:type="dxa"/>
            <w:gridSpan w:val="3"/>
            <w:shd w:val="clear" w:color="auto" w:fill="FFFFFF"/>
            <w:noWrap/>
            <w:tcMar>
              <w:top w:w="0" w:type="dxa"/>
              <w:left w:w="108" w:type="dxa"/>
              <w:bottom w:w="0" w:type="dxa"/>
              <w:right w:w="108" w:type="dxa"/>
            </w:tcMar>
            <w:vAlign w:val="bottom"/>
            <w:hideMark/>
          </w:tcPr>
          <w:p>
            <w:pPr>
              <w:rPr>
                <w:rFonts w:eastAsia="Calibri"/>
                <w:noProof/>
                <w:sz w:val="18"/>
                <w:szCs w:val="18"/>
                <w:lang w:eastAsia="en-GB"/>
              </w:rPr>
            </w:pPr>
            <w:r>
              <w:rPr>
                <w:rFonts w:eastAsia="Calibri"/>
                <w:noProof/>
                <w:sz w:val="18"/>
                <w:szCs w:val="18"/>
                <w:lang w:eastAsia="en-GB"/>
              </w:rPr>
              <w:t> </w:t>
            </w:r>
          </w:p>
        </w:tc>
      </w:tr>
      <w:tr>
        <w:tblPrEx>
          <w:tblCellMar>
            <w:left w:w="0" w:type="dxa"/>
            <w:right w:w="0" w:type="dxa"/>
          </w:tblCellMar>
        </w:tblPrEx>
        <w:trPr>
          <w:trHeight w:val="262"/>
        </w:trPr>
        <w:tc>
          <w:tcPr>
            <w:tcW w:w="8666" w:type="dxa"/>
            <w:gridSpan w:val="13"/>
            <w:shd w:val="clear" w:color="auto" w:fill="FFFFFF"/>
            <w:noWrap/>
            <w:tcMar>
              <w:top w:w="0" w:type="dxa"/>
              <w:left w:w="108" w:type="dxa"/>
              <w:bottom w:w="0" w:type="dxa"/>
              <w:right w:w="108" w:type="dxa"/>
            </w:tcMar>
            <w:vAlign w:val="center"/>
            <w:hideMark/>
          </w:tcPr>
          <w:p>
            <w:pPr>
              <w:jc w:val="center"/>
              <w:rPr>
                <w:rFonts w:eastAsia="Calibri"/>
                <w:b/>
                <w:bCs/>
                <w:noProof/>
                <w:sz w:val="16"/>
                <w:szCs w:val="16"/>
                <w:lang w:eastAsia="en-GB"/>
              </w:rPr>
            </w:pPr>
            <w:r>
              <w:rPr>
                <w:rFonts w:eastAsia="Calibri"/>
                <w:b/>
                <w:bCs/>
                <w:noProof/>
                <w:sz w:val="16"/>
                <w:szCs w:val="16"/>
                <w:lang w:eastAsia="en-GB"/>
              </w:rPr>
              <w:t xml:space="preserve">Total Services trade EU28 with </w:t>
            </w:r>
            <w:r>
              <w:rPr>
                <w:rFonts w:eastAsia="Times New Roman"/>
                <w:b/>
                <w:bCs/>
                <w:noProof/>
                <w:sz w:val="16"/>
                <w:szCs w:val="16"/>
                <w:lang w:val="en-IE" w:eastAsia="en-IE"/>
              </w:rPr>
              <w:t xml:space="preserve">CARIFORUM EPA States </w:t>
            </w:r>
            <w:r>
              <w:rPr>
                <w:rFonts w:eastAsia="Calibri"/>
                <w:b/>
                <w:bCs/>
                <w:noProof/>
                <w:sz w:val="16"/>
                <w:szCs w:val="16"/>
                <w:lang w:eastAsia="en-GB"/>
              </w:rPr>
              <w:t>(mio €)</w:t>
            </w:r>
          </w:p>
        </w:tc>
      </w:tr>
      <w:tr>
        <w:tblPrEx>
          <w:tblCellMar>
            <w:left w:w="0" w:type="dxa"/>
            <w:right w:w="0" w:type="dxa"/>
          </w:tblCellMar>
        </w:tblPrEx>
        <w:trPr>
          <w:trHeight w:val="246"/>
        </w:trPr>
        <w:tc>
          <w:tcPr>
            <w:tcW w:w="3893" w:type="dxa"/>
            <w:gridSpan w:val="2"/>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bottom"/>
            <w:hideMark/>
          </w:tcPr>
          <w:p>
            <w:pPr>
              <w:rPr>
                <w:rFonts w:eastAsia="Calibri"/>
                <w:noProof/>
                <w:sz w:val="16"/>
                <w:szCs w:val="16"/>
                <w:lang w:eastAsia="en-GB"/>
              </w:rPr>
            </w:pPr>
            <w:r>
              <w:rPr>
                <w:rFonts w:eastAsia="Calibri"/>
                <w:noProof/>
                <w:sz w:val="16"/>
                <w:szCs w:val="16"/>
                <w:lang w:eastAsia="en-GB"/>
              </w:rPr>
              <w:t> </w:t>
            </w:r>
          </w:p>
        </w:tc>
        <w:tc>
          <w:tcPr>
            <w:tcW w:w="837" w:type="dxa"/>
            <w:gridSpan w:val="2"/>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pPr>
              <w:jc w:val="center"/>
              <w:rPr>
                <w:rFonts w:eastAsia="Calibri"/>
                <w:b/>
                <w:bCs/>
                <w:noProof/>
                <w:sz w:val="16"/>
                <w:szCs w:val="16"/>
                <w:lang w:eastAsia="en-GB"/>
              </w:rPr>
            </w:pPr>
            <w:r>
              <w:rPr>
                <w:rFonts w:eastAsia="Calibri"/>
                <w:b/>
                <w:bCs/>
                <w:noProof/>
                <w:sz w:val="16"/>
                <w:szCs w:val="16"/>
                <w:lang w:eastAsia="en-GB"/>
              </w:rPr>
              <w:t>2013</w:t>
            </w:r>
          </w:p>
        </w:tc>
        <w:tc>
          <w:tcPr>
            <w:tcW w:w="946" w:type="dxa"/>
            <w:gridSpan w:val="2"/>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pPr>
              <w:jc w:val="center"/>
              <w:rPr>
                <w:rFonts w:eastAsia="Calibri"/>
                <w:b/>
                <w:bCs/>
                <w:noProof/>
                <w:sz w:val="16"/>
                <w:szCs w:val="16"/>
                <w:lang w:eastAsia="en-GB"/>
              </w:rPr>
            </w:pPr>
            <w:r>
              <w:rPr>
                <w:rFonts w:eastAsia="Calibri"/>
                <w:b/>
                <w:bCs/>
                <w:noProof/>
                <w:sz w:val="16"/>
                <w:szCs w:val="16"/>
                <w:lang w:eastAsia="en-GB"/>
              </w:rPr>
              <w:t>2014</w:t>
            </w:r>
          </w:p>
        </w:tc>
        <w:tc>
          <w:tcPr>
            <w:tcW w:w="959" w:type="dxa"/>
            <w:gridSpan w:val="2"/>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pPr>
              <w:jc w:val="center"/>
              <w:rPr>
                <w:rFonts w:eastAsia="Calibri"/>
                <w:b/>
                <w:bCs/>
                <w:noProof/>
                <w:sz w:val="16"/>
                <w:szCs w:val="16"/>
                <w:lang w:eastAsia="en-GB"/>
              </w:rPr>
            </w:pPr>
            <w:r>
              <w:rPr>
                <w:rFonts w:eastAsia="Calibri"/>
                <w:b/>
                <w:bCs/>
                <w:noProof/>
                <w:sz w:val="16"/>
                <w:szCs w:val="16"/>
                <w:lang w:eastAsia="en-GB"/>
              </w:rPr>
              <w:t>2015</w:t>
            </w:r>
          </w:p>
        </w:tc>
        <w:tc>
          <w:tcPr>
            <w:tcW w:w="1016" w:type="dxa"/>
            <w:gridSpan w:val="2"/>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pPr>
              <w:jc w:val="center"/>
              <w:rPr>
                <w:rFonts w:eastAsia="Calibri"/>
                <w:b/>
                <w:bCs/>
                <w:noProof/>
                <w:sz w:val="16"/>
                <w:szCs w:val="16"/>
                <w:lang w:eastAsia="en-GB"/>
              </w:rPr>
            </w:pPr>
            <w:r>
              <w:rPr>
                <w:rFonts w:eastAsia="Calibri"/>
                <w:b/>
                <w:bCs/>
                <w:noProof/>
                <w:sz w:val="16"/>
                <w:szCs w:val="16"/>
                <w:lang w:eastAsia="en-GB"/>
              </w:rPr>
              <w:t>2016</w:t>
            </w:r>
          </w:p>
        </w:tc>
        <w:tc>
          <w:tcPr>
            <w:tcW w:w="1015" w:type="dxa"/>
            <w:gridSpan w:val="3"/>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pPr>
              <w:jc w:val="center"/>
              <w:rPr>
                <w:rFonts w:eastAsia="Calibri"/>
                <w:b/>
                <w:bCs/>
                <w:noProof/>
                <w:sz w:val="16"/>
                <w:szCs w:val="16"/>
                <w:lang w:eastAsia="en-GB"/>
              </w:rPr>
            </w:pPr>
            <w:r>
              <w:rPr>
                <w:rFonts w:eastAsia="Calibri"/>
                <w:b/>
                <w:bCs/>
                <w:noProof/>
                <w:sz w:val="16"/>
                <w:szCs w:val="16"/>
                <w:lang w:eastAsia="en-GB"/>
              </w:rPr>
              <w:t>2017</w:t>
            </w:r>
          </w:p>
        </w:tc>
      </w:tr>
      <w:tr>
        <w:tblPrEx>
          <w:tblCellMar>
            <w:left w:w="0" w:type="dxa"/>
            <w:right w:w="0" w:type="dxa"/>
          </w:tblCellMar>
        </w:tblPrEx>
        <w:trPr>
          <w:trHeight w:val="246"/>
        </w:trPr>
        <w:tc>
          <w:tcPr>
            <w:tcW w:w="3893" w:type="dxa"/>
            <w:gridSpan w:val="2"/>
            <w:shd w:val="clear" w:color="auto" w:fill="FFFFFF"/>
            <w:noWrap/>
            <w:tcMar>
              <w:top w:w="0" w:type="dxa"/>
              <w:left w:w="108" w:type="dxa"/>
              <w:bottom w:w="0" w:type="dxa"/>
              <w:right w:w="108" w:type="dxa"/>
            </w:tcMar>
            <w:vAlign w:val="bottom"/>
            <w:hideMark/>
          </w:tcPr>
          <w:p>
            <w:pPr>
              <w:rPr>
                <w:rFonts w:eastAsia="Calibri"/>
                <w:noProof/>
                <w:sz w:val="16"/>
                <w:szCs w:val="16"/>
                <w:lang w:eastAsia="en-GB"/>
              </w:rPr>
            </w:pPr>
            <w:r>
              <w:rPr>
                <w:rFonts w:eastAsia="Calibri"/>
                <w:noProof/>
                <w:sz w:val="16"/>
                <w:szCs w:val="16"/>
                <w:lang w:eastAsia="en-GB"/>
              </w:rPr>
              <w:t>Imports</w:t>
            </w:r>
          </w:p>
        </w:tc>
        <w:tc>
          <w:tcPr>
            <w:tcW w:w="837" w:type="dxa"/>
            <w:gridSpan w:val="2"/>
            <w:shd w:val="clear" w:color="auto" w:fill="FFFFFF"/>
            <w:noWrap/>
            <w:tcMar>
              <w:top w:w="0" w:type="dxa"/>
              <w:left w:w="108" w:type="dxa"/>
              <w:bottom w:w="0" w:type="dxa"/>
              <w:right w:w="108" w:type="dxa"/>
            </w:tcMar>
            <w:hideMark/>
          </w:tcPr>
          <w:p>
            <w:pPr>
              <w:rPr>
                <w:rFonts w:eastAsia="Calibri"/>
                <w:noProof/>
                <w:sz w:val="16"/>
                <w:szCs w:val="16"/>
                <w:lang w:eastAsia="en-GB"/>
              </w:rPr>
            </w:pPr>
            <w:r>
              <w:rPr>
                <w:rFonts w:eastAsia="Calibri"/>
                <w:noProof/>
                <w:sz w:val="16"/>
                <w:szCs w:val="16"/>
                <w:lang w:eastAsia="en-GB"/>
              </w:rPr>
              <w:t>3.365</w:t>
            </w:r>
          </w:p>
        </w:tc>
        <w:tc>
          <w:tcPr>
            <w:tcW w:w="946" w:type="dxa"/>
            <w:gridSpan w:val="2"/>
            <w:shd w:val="clear" w:color="auto" w:fill="FFFFFF"/>
            <w:noWrap/>
            <w:tcMar>
              <w:top w:w="0" w:type="dxa"/>
              <w:left w:w="108" w:type="dxa"/>
              <w:bottom w:w="0" w:type="dxa"/>
              <w:right w:w="108" w:type="dxa"/>
            </w:tcMar>
            <w:hideMark/>
          </w:tcPr>
          <w:p>
            <w:pPr>
              <w:rPr>
                <w:rFonts w:eastAsia="Calibri"/>
                <w:noProof/>
                <w:sz w:val="16"/>
                <w:szCs w:val="16"/>
                <w:lang w:eastAsia="en-GB"/>
              </w:rPr>
            </w:pPr>
            <w:r>
              <w:rPr>
                <w:rFonts w:eastAsia="Calibri"/>
                <w:noProof/>
                <w:sz w:val="16"/>
                <w:szCs w:val="16"/>
                <w:lang w:eastAsia="en-GB"/>
              </w:rPr>
              <w:t>13.529</w:t>
            </w:r>
          </w:p>
        </w:tc>
        <w:tc>
          <w:tcPr>
            <w:tcW w:w="959" w:type="dxa"/>
            <w:gridSpan w:val="2"/>
            <w:shd w:val="clear" w:color="auto" w:fill="FFFFFF"/>
            <w:noWrap/>
            <w:tcMar>
              <w:top w:w="0" w:type="dxa"/>
              <w:left w:w="108" w:type="dxa"/>
              <w:bottom w:w="0" w:type="dxa"/>
              <w:right w:w="108" w:type="dxa"/>
            </w:tcMar>
            <w:hideMark/>
          </w:tcPr>
          <w:p>
            <w:pPr>
              <w:rPr>
                <w:rFonts w:eastAsia="Calibri"/>
                <w:noProof/>
                <w:sz w:val="16"/>
                <w:szCs w:val="16"/>
                <w:lang w:eastAsia="en-GB"/>
              </w:rPr>
            </w:pPr>
            <w:r>
              <w:rPr>
                <w:rFonts w:eastAsia="Calibri"/>
                <w:noProof/>
                <w:sz w:val="16"/>
                <w:szCs w:val="16"/>
                <w:lang w:eastAsia="en-GB"/>
              </w:rPr>
              <w:t>21.150</w:t>
            </w:r>
          </w:p>
        </w:tc>
        <w:tc>
          <w:tcPr>
            <w:tcW w:w="1016" w:type="dxa"/>
            <w:gridSpan w:val="2"/>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18.818</w:t>
            </w:r>
          </w:p>
        </w:tc>
        <w:tc>
          <w:tcPr>
            <w:tcW w:w="1015" w:type="dxa"/>
            <w:gridSpan w:val="3"/>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18.000</w:t>
            </w:r>
          </w:p>
        </w:tc>
      </w:tr>
      <w:tr>
        <w:tblPrEx>
          <w:tblCellMar>
            <w:left w:w="0" w:type="dxa"/>
            <w:right w:w="0" w:type="dxa"/>
          </w:tblCellMar>
        </w:tblPrEx>
        <w:trPr>
          <w:trHeight w:val="246"/>
        </w:trPr>
        <w:tc>
          <w:tcPr>
            <w:tcW w:w="3893" w:type="dxa"/>
            <w:gridSpan w:val="2"/>
            <w:shd w:val="clear" w:color="auto" w:fill="FFFFFF"/>
            <w:noWrap/>
            <w:tcMar>
              <w:top w:w="0" w:type="dxa"/>
              <w:left w:w="108" w:type="dxa"/>
              <w:bottom w:w="0" w:type="dxa"/>
              <w:right w:w="108" w:type="dxa"/>
            </w:tcMar>
            <w:vAlign w:val="bottom"/>
            <w:hideMark/>
          </w:tcPr>
          <w:p>
            <w:pPr>
              <w:rPr>
                <w:rFonts w:eastAsia="Calibri"/>
                <w:noProof/>
                <w:sz w:val="16"/>
                <w:szCs w:val="16"/>
                <w:lang w:eastAsia="en-GB"/>
              </w:rPr>
            </w:pPr>
            <w:r>
              <w:rPr>
                <w:rFonts w:eastAsia="Calibri"/>
                <w:noProof/>
                <w:sz w:val="16"/>
                <w:szCs w:val="16"/>
                <w:lang w:eastAsia="en-GB"/>
              </w:rPr>
              <w:t>Exports</w:t>
            </w:r>
          </w:p>
        </w:tc>
        <w:tc>
          <w:tcPr>
            <w:tcW w:w="837" w:type="dxa"/>
            <w:gridSpan w:val="2"/>
            <w:shd w:val="clear" w:color="auto" w:fill="FFFFFF"/>
            <w:noWrap/>
            <w:tcMar>
              <w:top w:w="0" w:type="dxa"/>
              <w:left w:w="108" w:type="dxa"/>
              <w:bottom w:w="0" w:type="dxa"/>
              <w:right w:w="108" w:type="dxa"/>
            </w:tcMar>
            <w:hideMark/>
          </w:tcPr>
          <w:p>
            <w:pPr>
              <w:rPr>
                <w:rFonts w:eastAsia="Calibri"/>
                <w:noProof/>
                <w:sz w:val="16"/>
                <w:szCs w:val="16"/>
                <w:lang w:eastAsia="en-GB"/>
              </w:rPr>
            </w:pPr>
            <w:r>
              <w:rPr>
                <w:rFonts w:eastAsia="Calibri"/>
                <w:noProof/>
                <w:sz w:val="16"/>
                <w:szCs w:val="16"/>
                <w:lang w:eastAsia="en-GB"/>
              </w:rPr>
              <w:t>3.385</w:t>
            </w:r>
          </w:p>
        </w:tc>
        <w:tc>
          <w:tcPr>
            <w:tcW w:w="946" w:type="dxa"/>
            <w:gridSpan w:val="2"/>
            <w:shd w:val="clear" w:color="auto" w:fill="FFFFFF"/>
            <w:noWrap/>
            <w:tcMar>
              <w:top w:w="0" w:type="dxa"/>
              <w:left w:w="108" w:type="dxa"/>
              <w:bottom w:w="0" w:type="dxa"/>
              <w:right w:w="108" w:type="dxa"/>
            </w:tcMar>
            <w:hideMark/>
          </w:tcPr>
          <w:p>
            <w:pPr>
              <w:rPr>
                <w:rFonts w:eastAsia="Calibri"/>
                <w:noProof/>
                <w:sz w:val="16"/>
                <w:szCs w:val="16"/>
                <w:lang w:eastAsia="en-GB"/>
              </w:rPr>
            </w:pPr>
            <w:r>
              <w:rPr>
                <w:rFonts w:eastAsia="Calibri"/>
                <w:noProof/>
                <w:sz w:val="16"/>
                <w:szCs w:val="16"/>
                <w:lang w:eastAsia="en-GB"/>
              </w:rPr>
              <w:t>3.276</w:t>
            </w:r>
          </w:p>
        </w:tc>
        <w:tc>
          <w:tcPr>
            <w:tcW w:w="959" w:type="dxa"/>
            <w:gridSpan w:val="2"/>
            <w:shd w:val="clear" w:color="auto" w:fill="FFFFFF"/>
            <w:noWrap/>
            <w:tcMar>
              <w:top w:w="0" w:type="dxa"/>
              <w:left w:w="108" w:type="dxa"/>
              <w:bottom w:w="0" w:type="dxa"/>
              <w:right w:w="108" w:type="dxa"/>
            </w:tcMar>
            <w:hideMark/>
          </w:tcPr>
          <w:p>
            <w:pPr>
              <w:rPr>
                <w:rFonts w:eastAsia="Calibri"/>
                <w:noProof/>
                <w:sz w:val="16"/>
                <w:szCs w:val="16"/>
                <w:lang w:eastAsia="en-GB"/>
              </w:rPr>
            </w:pPr>
            <w:r>
              <w:rPr>
                <w:rFonts w:eastAsia="Calibri"/>
                <w:noProof/>
                <w:sz w:val="16"/>
                <w:szCs w:val="16"/>
                <w:lang w:eastAsia="en-GB"/>
              </w:rPr>
              <w:t>3.145</w:t>
            </w:r>
          </w:p>
        </w:tc>
        <w:tc>
          <w:tcPr>
            <w:tcW w:w="1016" w:type="dxa"/>
            <w:gridSpan w:val="2"/>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3.608</w:t>
            </w:r>
          </w:p>
        </w:tc>
        <w:tc>
          <w:tcPr>
            <w:tcW w:w="1015" w:type="dxa"/>
            <w:gridSpan w:val="3"/>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4.220</w:t>
            </w:r>
          </w:p>
        </w:tc>
      </w:tr>
      <w:tr>
        <w:tblPrEx>
          <w:tblCellMar>
            <w:left w:w="0" w:type="dxa"/>
            <w:right w:w="0" w:type="dxa"/>
          </w:tblCellMar>
        </w:tblPrEx>
        <w:trPr>
          <w:trHeight w:val="246"/>
        </w:trPr>
        <w:tc>
          <w:tcPr>
            <w:tcW w:w="3893" w:type="dxa"/>
            <w:gridSpan w:val="2"/>
            <w:shd w:val="clear" w:color="auto" w:fill="FFFFFF"/>
            <w:noWrap/>
            <w:tcMar>
              <w:top w:w="0" w:type="dxa"/>
              <w:left w:w="108" w:type="dxa"/>
              <w:bottom w:w="0" w:type="dxa"/>
              <w:right w:w="108" w:type="dxa"/>
            </w:tcMar>
            <w:vAlign w:val="bottom"/>
            <w:hideMark/>
          </w:tcPr>
          <w:p>
            <w:pPr>
              <w:rPr>
                <w:rFonts w:eastAsia="Calibri"/>
                <w:noProof/>
                <w:sz w:val="16"/>
                <w:szCs w:val="16"/>
                <w:lang w:eastAsia="en-GB"/>
              </w:rPr>
            </w:pPr>
            <w:r>
              <w:rPr>
                <w:rFonts w:eastAsia="Calibri"/>
                <w:noProof/>
                <w:sz w:val="16"/>
                <w:szCs w:val="16"/>
                <w:lang w:eastAsia="en-GB"/>
              </w:rPr>
              <w:t>Balance</w:t>
            </w:r>
          </w:p>
        </w:tc>
        <w:tc>
          <w:tcPr>
            <w:tcW w:w="837" w:type="dxa"/>
            <w:gridSpan w:val="2"/>
            <w:shd w:val="clear" w:color="auto" w:fill="FFFFFF"/>
            <w:noWrap/>
            <w:tcMar>
              <w:top w:w="0" w:type="dxa"/>
              <w:left w:w="108" w:type="dxa"/>
              <w:bottom w:w="0" w:type="dxa"/>
              <w:right w:w="108" w:type="dxa"/>
            </w:tcMar>
            <w:hideMark/>
          </w:tcPr>
          <w:p>
            <w:pPr>
              <w:rPr>
                <w:rFonts w:eastAsia="Calibri"/>
                <w:noProof/>
                <w:sz w:val="16"/>
                <w:szCs w:val="16"/>
                <w:lang w:eastAsia="en-GB"/>
              </w:rPr>
            </w:pPr>
            <w:r>
              <w:rPr>
                <w:rFonts w:eastAsia="Calibri"/>
                <w:noProof/>
                <w:sz w:val="16"/>
                <w:szCs w:val="16"/>
                <w:lang w:eastAsia="en-GB"/>
              </w:rPr>
              <w:t>20</w:t>
            </w:r>
          </w:p>
        </w:tc>
        <w:tc>
          <w:tcPr>
            <w:tcW w:w="946" w:type="dxa"/>
            <w:gridSpan w:val="2"/>
            <w:shd w:val="clear" w:color="auto" w:fill="FFFFFF"/>
            <w:noWrap/>
            <w:tcMar>
              <w:top w:w="0" w:type="dxa"/>
              <w:left w:w="108" w:type="dxa"/>
              <w:bottom w:w="0" w:type="dxa"/>
              <w:right w:w="108" w:type="dxa"/>
            </w:tcMar>
            <w:hideMark/>
          </w:tcPr>
          <w:p>
            <w:pPr>
              <w:rPr>
                <w:rFonts w:eastAsia="Calibri"/>
                <w:noProof/>
                <w:sz w:val="16"/>
                <w:szCs w:val="16"/>
                <w:lang w:eastAsia="en-GB"/>
              </w:rPr>
            </w:pPr>
            <w:r>
              <w:rPr>
                <w:rFonts w:eastAsia="Calibri"/>
                <w:noProof/>
                <w:sz w:val="16"/>
                <w:szCs w:val="16"/>
                <w:lang w:eastAsia="en-GB"/>
              </w:rPr>
              <w:t>-10.253</w:t>
            </w:r>
          </w:p>
        </w:tc>
        <w:tc>
          <w:tcPr>
            <w:tcW w:w="959" w:type="dxa"/>
            <w:gridSpan w:val="2"/>
            <w:shd w:val="clear" w:color="auto" w:fill="FFFFFF"/>
            <w:noWrap/>
            <w:tcMar>
              <w:top w:w="0" w:type="dxa"/>
              <w:left w:w="108" w:type="dxa"/>
              <w:bottom w:w="0" w:type="dxa"/>
              <w:right w:w="108" w:type="dxa"/>
            </w:tcMar>
            <w:hideMark/>
          </w:tcPr>
          <w:p>
            <w:pPr>
              <w:rPr>
                <w:rFonts w:eastAsia="Calibri"/>
                <w:noProof/>
                <w:sz w:val="16"/>
                <w:szCs w:val="16"/>
                <w:lang w:eastAsia="en-GB"/>
              </w:rPr>
            </w:pPr>
            <w:r>
              <w:rPr>
                <w:rFonts w:eastAsia="Calibri"/>
                <w:noProof/>
                <w:sz w:val="16"/>
                <w:szCs w:val="16"/>
                <w:lang w:eastAsia="en-GB"/>
              </w:rPr>
              <w:t>-18.005</w:t>
            </w:r>
          </w:p>
        </w:tc>
        <w:tc>
          <w:tcPr>
            <w:tcW w:w="1016" w:type="dxa"/>
            <w:gridSpan w:val="2"/>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-15.210</w:t>
            </w:r>
          </w:p>
        </w:tc>
        <w:tc>
          <w:tcPr>
            <w:tcW w:w="1015" w:type="dxa"/>
            <w:gridSpan w:val="3"/>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-13.780</w:t>
            </w:r>
          </w:p>
        </w:tc>
      </w:tr>
      <w:tr>
        <w:tblPrEx>
          <w:tblCellMar>
            <w:left w:w="0" w:type="dxa"/>
            <w:right w:w="0" w:type="dxa"/>
          </w:tblCellMar>
        </w:tblPrEx>
        <w:trPr>
          <w:trHeight w:val="246"/>
        </w:trPr>
        <w:tc>
          <w:tcPr>
            <w:tcW w:w="3893" w:type="dxa"/>
            <w:gridSpan w:val="2"/>
            <w:tcBorders>
              <w:top w:val="nil"/>
              <w:left w:val="nil"/>
              <w:bottom w:val="single" w:sz="8" w:space="0" w:color="auto"/>
              <w:right w:val="nil"/>
            </w:tcBorders>
            <w:shd w:val="clear" w:color="auto" w:fill="FFFFFF"/>
            <w:noWrap/>
            <w:tcMar>
              <w:top w:w="0" w:type="dxa"/>
              <w:left w:w="108" w:type="dxa"/>
              <w:bottom w:w="0" w:type="dxa"/>
              <w:right w:w="108" w:type="dxa"/>
            </w:tcMar>
            <w:vAlign w:val="bottom"/>
            <w:hideMark/>
          </w:tcPr>
          <w:p>
            <w:pPr>
              <w:rPr>
                <w:rFonts w:eastAsia="Calibri"/>
                <w:noProof/>
                <w:sz w:val="16"/>
                <w:szCs w:val="16"/>
                <w:lang w:eastAsia="en-GB"/>
              </w:rPr>
            </w:pPr>
            <w:r>
              <w:rPr>
                <w:rFonts w:eastAsia="Calibri"/>
                <w:noProof/>
                <w:sz w:val="16"/>
                <w:szCs w:val="16"/>
                <w:lang w:eastAsia="en-GB"/>
              </w:rPr>
              <w:t>Total trade</w:t>
            </w:r>
          </w:p>
        </w:tc>
        <w:tc>
          <w:tcPr>
            <w:tcW w:w="837" w:type="dxa"/>
            <w:gridSpan w:val="2"/>
            <w:tcBorders>
              <w:top w:val="nil"/>
              <w:left w:val="nil"/>
              <w:bottom w:val="single" w:sz="8" w:space="0" w:color="auto"/>
              <w:right w:val="nil"/>
            </w:tcBorders>
            <w:shd w:val="clear" w:color="auto" w:fill="FFFFFF"/>
            <w:noWrap/>
            <w:tcMar>
              <w:top w:w="0" w:type="dxa"/>
              <w:left w:w="108" w:type="dxa"/>
              <w:bottom w:w="0" w:type="dxa"/>
              <w:right w:w="108" w:type="dxa"/>
            </w:tcMar>
            <w:hideMark/>
          </w:tcPr>
          <w:p>
            <w:pPr>
              <w:rPr>
                <w:rFonts w:eastAsia="Calibri"/>
                <w:noProof/>
                <w:sz w:val="16"/>
                <w:szCs w:val="16"/>
                <w:lang w:eastAsia="en-GB"/>
              </w:rPr>
            </w:pPr>
            <w:r>
              <w:rPr>
                <w:rFonts w:eastAsia="Calibri"/>
                <w:noProof/>
                <w:sz w:val="16"/>
                <w:szCs w:val="16"/>
                <w:lang w:eastAsia="en-GB"/>
              </w:rPr>
              <w:t>6.751</w:t>
            </w:r>
          </w:p>
        </w:tc>
        <w:tc>
          <w:tcPr>
            <w:tcW w:w="946" w:type="dxa"/>
            <w:gridSpan w:val="2"/>
            <w:tcBorders>
              <w:top w:val="nil"/>
              <w:left w:val="nil"/>
              <w:bottom w:val="single" w:sz="8" w:space="0" w:color="auto"/>
              <w:right w:val="nil"/>
            </w:tcBorders>
            <w:shd w:val="clear" w:color="auto" w:fill="FFFFFF"/>
            <w:noWrap/>
            <w:tcMar>
              <w:top w:w="0" w:type="dxa"/>
              <w:left w:w="108" w:type="dxa"/>
              <w:bottom w:w="0" w:type="dxa"/>
              <w:right w:w="108" w:type="dxa"/>
            </w:tcMar>
            <w:hideMark/>
          </w:tcPr>
          <w:p>
            <w:pPr>
              <w:rPr>
                <w:rFonts w:eastAsia="Calibri"/>
                <w:noProof/>
                <w:sz w:val="16"/>
                <w:szCs w:val="16"/>
                <w:lang w:eastAsia="en-GB"/>
              </w:rPr>
            </w:pPr>
            <w:r>
              <w:rPr>
                <w:rFonts w:eastAsia="Calibri"/>
                <w:noProof/>
                <w:sz w:val="16"/>
                <w:szCs w:val="16"/>
                <w:lang w:eastAsia="en-GB"/>
              </w:rPr>
              <w:t>16.805</w:t>
            </w:r>
          </w:p>
        </w:tc>
        <w:tc>
          <w:tcPr>
            <w:tcW w:w="959" w:type="dxa"/>
            <w:gridSpan w:val="2"/>
            <w:tcBorders>
              <w:top w:val="nil"/>
              <w:left w:val="nil"/>
              <w:bottom w:val="single" w:sz="8" w:space="0" w:color="auto"/>
              <w:right w:val="nil"/>
            </w:tcBorders>
            <w:shd w:val="clear" w:color="auto" w:fill="FFFFFF"/>
            <w:noWrap/>
            <w:tcMar>
              <w:top w:w="0" w:type="dxa"/>
              <w:left w:w="108" w:type="dxa"/>
              <w:bottom w:w="0" w:type="dxa"/>
              <w:right w:w="108" w:type="dxa"/>
            </w:tcMar>
            <w:hideMark/>
          </w:tcPr>
          <w:p>
            <w:pPr>
              <w:rPr>
                <w:rFonts w:eastAsia="Calibri"/>
                <w:noProof/>
                <w:sz w:val="16"/>
                <w:szCs w:val="16"/>
                <w:lang w:eastAsia="en-GB"/>
              </w:rPr>
            </w:pPr>
            <w:r>
              <w:rPr>
                <w:rFonts w:eastAsia="Calibri"/>
                <w:noProof/>
                <w:sz w:val="16"/>
                <w:szCs w:val="16"/>
                <w:lang w:eastAsia="en-GB"/>
              </w:rPr>
              <w:t>24.295</w:t>
            </w:r>
          </w:p>
        </w:tc>
        <w:tc>
          <w:tcPr>
            <w:tcW w:w="1016" w:type="dxa"/>
            <w:gridSpan w:val="2"/>
            <w:tcBorders>
              <w:top w:val="nil"/>
              <w:left w:val="nil"/>
              <w:bottom w:val="single" w:sz="8" w:space="0" w:color="auto"/>
              <w:right w:val="nil"/>
            </w:tcBorders>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22.427</w:t>
            </w:r>
          </w:p>
        </w:tc>
        <w:tc>
          <w:tcPr>
            <w:tcW w:w="1015" w:type="dxa"/>
            <w:gridSpan w:val="3"/>
            <w:tcBorders>
              <w:top w:val="nil"/>
              <w:left w:val="nil"/>
              <w:bottom w:val="single" w:sz="8" w:space="0" w:color="auto"/>
              <w:right w:val="nil"/>
            </w:tcBorders>
            <w:shd w:val="clear" w:color="auto" w:fill="FFFFFF"/>
            <w:noWrap/>
            <w:tcMar>
              <w:top w:w="0" w:type="dxa"/>
              <w:left w:w="108" w:type="dxa"/>
              <w:bottom w:w="0" w:type="dxa"/>
              <w:right w:w="108" w:type="dxa"/>
            </w:tcMar>
            <w:hideMark/>
          </w:tcPr>
          <w:p>
            <w:pPr>
              <w:jc w:val="right"/>
              <w:rPr>
                <w:rFonts w:eastAsia="Calibri"/>
                <w:noProof/>
                <w:sz w:val="16"/>
                <w:szCs w:val="16"/>
                <w:lang w:eastAsia="en-GB"/>
              </w:rPr>
            </w:pPr>
            <w:r>
              <w:rPr>
                <w:rFonts w:eastAsia="Calibri"/>
                <w:noProof/>
                <w:sz w:val="16"/>
                <w:szCs w:val="16"/>
                <w:lang w:eastAsia="en-GB"/>
              </w:rPr>
              <w:t>22.220</w:t>
            </w:r>
          </w:p>
        </w:tc>
      </w:tr>
      <w:tr>
        <w:tblPrEx>
          <w:tblCellMar>
            <w:left w:w="0" w:type="dxa"/>
            <w:right w:w="0" w:type="dxa"/>
          </w:tblCellMar>
        </w:tblPrEx>
        <w:trPr>
          <w:trHeight w:val="246"/>
        </w:trPr>
        <w:tc>
          <w:tcPr>
            <w:tcW w:w="3893" w:type="dxa"/>
            <w:gridSpan w:val="2"/>
            <w:shd w:val="clear" w:color="auto" w:fill="FFFFFF"/>
            <w:noWrap/>
            <w:tcMar>
              <w:top w:w="0" w:type="dxa"/>
              <w:left w:w="108" w:type="dxa"/>
              <w:bottom w:w="0" w:type="dxa"/>
              <w:right w:w="108" w:type="dxa"/>
            </w:tcMar>
            <w:hideMark/>
          </w:tcPr>
          <w:p>
            <w:pPr>
              <w:rPr>
                <w:rFonts w:eastAsia="Calibri"/>
                <w:noProof/>
                <w:sz w:val="12"/>
                <w:szCs w:val="12"/>
                <w:lang w:eastAsia="en-GB"/>
              </w:rPr>
            </w:pPr>
            <w:r>
              <w:rPr>
                <w:rFonts w:eastAsia="Calibri"/>
                <w:noProof/>
                <w:sz w:val="12"/>
                <w:szCs w:val="12"/>
                <w:lang w:eastAsia="en-GB"/>
              </w:rPr>
              <w:t>Source Trade G2 Statistics/ISDB from Eurostat BOP statistics</w:t>
            </w:r>
          </w:p>
        </w:tc>
        <w:tc>
          <w:tcPr>
            <w:tcW w:w="837" w:type="dxa"/>
            <w:gridSpan w:val="2"/>
            <w:shd w:val="clear" w:color="auto" w:fill="FFFFFF"/>
            <w:noWrap/>
            <w:tcMar>
              <w:top w:w="0" w:type="dxa"/>
              <w:left w:w="108" w:type="dxa"/>
              <w:bottom w:w="0" w:type="dxa"/>
              <w:right w:w="108" w:type="dxa"/>
            </w:tcMar>
            <w:hideMark/>
          </w:tcPr>
          <w:p>
            <w:pPr>
              <w:rPr>
                <w:rFonts w:eastAsia="Calibri"/>
                <w:noProof/>
                <w:sz w:val="12"/>
                <w:szCs w:val="12"/>
                <w:lang w:eastAsia="en-GB"/>
              </w:rPr>
            </w:pPr>
            <w:r>
              <w:rPr>
                <w:rFonts w:eastAsia="Calibri"/>
                <w:noProof/>
                <w:sz w:val="12"/>
                <w:szCs w:val="12"/>
                <w:lang w:eastAsia="en-GB"/>
              </w:rPr>
              <w:t> </w:t>
            </w:r>
          </w:p>
        </w:tc>
        <w:tc>
          <w:tcPr>
            <w:tcW w:w="946" w:type="dxa"/>
            <w:gridSpan w:val="2"/>
            <w:shd w:val="clear" w:color="auto" w:fill="FFFFFF"/>
            <w:noWrap/>
            <w:tcMar>
              <w:top w:w="0" w:type="dxa"/>
              <w:left w:w="108" w:type="dxa"/>
              <w:bottom w:w="0" w:type="dxa"/>
              <w:right w:w="108" w:type="dxa"/>
            </w:tcMar>
            <w:vAlign w:val="bottom"/>
            <w:hideMark/>
          </w:tcPr>
          <w:p>
            <w:pPr>
              <w:rPr>
                <w:rFonts w:eastAsia="Calibri"/>
                <w:noProof/>
                <w:sz w:val="16"/>
                <w:szCs w:val="16"/>
                <w:lang w:eastAsia="en-GB"/>
              </w:rPr>
            </w:pPr>
            <w:r>
              <w:rPr>
                <w:rFonts w:eastAsia="Calibri"/>
                <w:noProof/>
                <w:sz w:val="16"/>
                <w:szCs w:val="16"/>
                <w:lang w:eastAsia="en-GB"/>
              </w:rPr>
              <w:t> </w:t>
            </w:r>
          </w:p>
        </w:tc>
        <w:tc>
          <w:tcPr>
            <w:tcW w:w="959" w:type="dxa"/>
            <w:gridSpan w:val="2"/>
            <w:shd w:val="clear" w:color="auto" w:fill="FFFFFF"/>
            <w:noWrap/>
            <w:tcMar>
              <w:top w:w="0" w:type="dxa"/>
              <w:left w:w="108" w:type="dxa"/>
              <w:bottom w:w="0" w:type="dxa"/>
              <w:right w:w="108" w:type="dxa"/>
            </w:tcMar>
            <w:vAlign w:val="bottom"/>
            <w:hideMark/>
          </w:tcPr>
          <w:p>
            <w:pPr>
              <w:rPr>
                <w:rFonts w:eastAsia="Calibri"/>
                <w:noProof/>
                <w:sz w:val="16"/>
                <w:szCs w:val="16"/>
                <w:lang w:eastAsia="en-GB"/>
              </w:rPr>
            </w:pPr>
            <w:r>
              <w:rPr>
                <w:rFonts w:eastAsia="Calibri"/>
                <w:noProof/>
                <w:sz w:val="16"/>
                <w:szCs w:val="16"/>
                <w:lang w:eastAsia="en-GB"/>
              </w:rPr>
              <w:t> </w:t>
            </w:r>
          </w:p>
        </w:tc>
        <w:tc>
          <w:tcPr>
            <w:tcW w:w="1016" w:type="dxa"/>
            <w:gridSpan w:val="2"/>
            <w:shd w:val="clear" w:color="auto" w:fill="FFFFFF"/>
            <w:noWrap/>
            <w:tcMar>
              <w:top w:w="0" w:type="dxa"/>
              <w:left w:w="108" w:type="dxa"/>
              <w:bottom w:w="0" w:type="dxa"/>
              <w:right w:w="108" w:type="dxa"/>
            </w:tcMar>
            <w:vAlign w:val="bottom"/>
            <w:hideMark/>
          </w:tcPr>
          <w:p>
            <w:pPr>
              <w:rPr>
                <w:rFonts w:eastAsia="Calibri"/>
                <w:noProof/>
                <w:sz w:val="16"/>
                <w:szCs w:val="16"/>
                <w:lang w:eastAsia="en-GB"/>
              </w:rPr>
            </w:pPr>
            <w:r>
              <w:rPr>
                <w:rFonts w:eastAsia="Calibri"/>
                <w:noProof/>
                <w:sz w:val="16"/>
                <w:szCs w:val="16"/>
                <w:lang w:eastAsia="en-GB"/>
              </w:rPr>
              <w:t> </w:t>
            </w:r>
          </w:p>
        </w:tc>
        <w:tc>
          <w:tcPr>
            <w:tcW w:w="1015" w:type="dxa"/>
            <w:gridSpan w:val="3"/>
            <w:shd w:val="clear" w:color="auto" w:fill="FFFFFF"/>
            <w:noWrap/>
            <w:tcMar>
              <w:top w:w="0" w:type="dxa"/>
              <w:left w:w="108" w:type="dxa"/>
              <w:bottom w:w="0" w:type="dxa"/>
              <w:right w:w="108" w:type="dxa"/>
            </w:tcMar>
            <w:vAlign w:val="bottom"/>
            <w:hideMark/>
          </w:tcPr>
          <w:p>
            <w:pPr>
              <w:rPr>
                <w:rFonts w:eastAsia="Calibri"/>
                <w:noProof/>
                <w:sz w:val="16"/>
                <w:szCs w:val="16"/>
                <w:lang w:eastAsia="en-GB"/>
              </w:rPr>
            </w:pPr>
            <w:r>
              <w:rPr>
                <w:rFonts w:eastAsia="Calibri"/>
                <w:noProof/>
                <w:sz w:val="16"/>
                <w:szCs w:val="16"/>
                <w:lang w:eastAsia="en-GB"/>
              </w:rPr>
              <w:t> </w:t>
            </w:r>
          </w:p>
        </w:tc>
      </w:tr>
      <w:tr>
        <w:tblPrEx>
          <w:tblCellMar>
            <w:left w:w="0" w:type="dxa"/>
            <w:right w:w="0" w:type="dxa"/>
          </w:tblCellMar>
        </w:tblPrEx>
        <w:trPr>
          <w:trHeight w:val="246"/>
        </w:trPr>
        <w:tc>
          <w:tcPr>
            <w:tcW w:w="8666" w:type="dxa"/>
            <w:gridSpan w:val="13"/>
            <w:shd w:val="clear" w:color="auto" w:fill="FFFFFF"/>
            <w:noWrap/>
            <w:tcMar>
              <w:top w:w="0" w:type="dxa"/>
              <w:left w:w="108" w:type="dxa"/>
              <w:bottom w:w="0" w:type="dxa"/>
              <w:right w:w="108" w:type="dxa"/>
            </w:tcMar>
            <w:vAlign w:val="center"/>
            <w:hideMark/>
          </w:tcPr>
          <w:p>
            <w:pPr>
              <w:jc w:val="center"/>
              <w:rPr>
                <w:rFonts w:eastAsia="Calibri"/>
                <w:b/>
                <w:bCs/>
                <w:noProof/>
                <w:sz w:val="16"/>
                <w:szCs w:val="16"/>
                <w:lang w:eastAsia="en-GB"/>
              </w:rPr>
            </w:pPr>
            <w:r>
              <w:rPr>
                <w:rFonts w:eastAsia="Calibri"/>
                <w:b/>
                <w:bCs/>
                <w:noProof/>
                <w:sz w:val="16"/>
                <w:szCs w:val="16"/>
                <w:lang w:eastAsia="en-GB"/>
              </w:rPr>
              <w:t xml:space="preserve">Foreign Direct Investment (FDI) EU28 with </w:t>
            </w:r>
            <w:r>
              <w:rPr>
                <w:rFonts w:eastAsia="Times New Roman"/>
                <w:b/>
                <w:bCs/>
                <w:noProof/>
                <w:sz w:val="16"/>
                <w:szCs w:val="16"/>
                <w:lang w:val="en-IE" w:eastAsia="en-IE"/>
              </w:rPr>
              <w:t xml:space="preserve">CARIFORUM EPA States </w:t>
            </w:r>
            <w:r>
              <w:rPr>
                <w:rFonts w:eastAsia="Calibri"/>
                <w:b/>
                <w:bCs/>
                <w:noProof/>
                <w:sz w:val="16"/>
                <w:szCs w:val="16"/>
                <w:lang w:eastAsia="en-GB"/>
              </w:rPr>
              <w:t>(mio €)</w:t>
            </w:r>
          </w:p>
        </w:tc>
      </w:tr>
      <w:tr>
        <w:tblPrEx>
          <w:tblCellMar>
            <w:left w:w="0" w:type="dxa"/>
            <w:right w:w="0" w:type="dxa"/>
          </w:tblCellMar>
        </w:tblPrEx>
        <w:trPr>
          <w:trHeight w:val="246"/>
        </w:trPr>
        <w:tc>
          <w:tcPr>
            <w:tcW w:w="3893" w:type="dxa"/>
            <w:gridSpan w:val="2"/>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bottom"/>
            <w:hideMark/>
          </w:tcPr>
          <w:p>
            <w:pPr>
              <w:rPr>
                <w:rFonts w:eastAsia="Calibri"/>
                <w:noProof/>
                <w:sz w:val="16"/>
                <w:szCs w:val="16"/>
                <w:lang w:eastAsia="en-GB"/>
              </w:rPr>
            </w:pPr>
            <w:r>
              <w:rPr>
                <w:rFonts w:eastAsia="Calibri"/>
                <w:noProof/>
                <w:sz w:val="16"/>
                <w:szCs w:val="16"/>
                <w:lang w:eastAsia="en-GB"/>
              </w:rPr>
              <w:t> </w:t>
            </w:r>
          </w:p>
        </w:tc>
        <w:tc>
          <w:tcPr>
            <w:tcW w:w="837" w:type="dxa"/>
            <w:gridSpan w:val="2"/>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bottom"/>
            <w:hideMark/>
          </w:tcPr>
          <w:p>
            <w:pPr>
              <w:jc w:val="center"/>
              <w:rPr>
                <w:rFonts w:eastAsia="Calibri"/>
                <w:b/>
                <w:bCs/>
                <w:noProof/>
                <w:sz w:val="16"/>
                <w:szCs w:val="16"/>
                <w:lang w:eastAsia="en-GB"/>
              </w:rPr>
            </w:pPr>
            <w:r>
              <w:rPr>
                <w:rFonts w:eastAsia="Calibri"/>
                <w:b/>
                <w:bCs/>
                <w:noProof/>
                <w:sz w:val="16"/>
                <w:szCs w:val="16"/>
                <w:lang w:eastAsia="en-GB"/>
              </w:rPr>
              <w:t>2013</w:t>
            </w:r>
          </w:p>
        </w:tc>
        <w:tc>
          <w:tcPr>
            <w:tcW w:w="946" w:type="dxa"/>
            <w:gridSpan w:val="2"/>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pPr>
              <w:jc w:val="center"/>
              <w:rPr>
                <w:rFonts w:eastAsia="Calibri"/>
                <w:b/>
                <w:bCs/>
                <w:noProof/>
                <w:sz w:val="16"/>
                <w:szCs w:val="16"/>
                <w:lang w:eastAsia="en-GB"/>
              </w:rPr>
            </w:pPr>
            <w:r>
              <w:rPr>
                <w:rFonts w:eastAsia="Calibri"/>
                <w:b/>
                <w:bCs/>
                <w:noProof/>
                <w:sz w:val="16"/>
                <w:szCs w:val="16"/>
                <w:lang w:eastAsia="en-GB"/>
              </w:rPr>
              <w:t>2014</w:t>
            </w:r>
          </w:p>
        </w:tc>
        <w:tc>
          <w:tcPr>
            <w:tcW w:w="959" w:type="dxa"/>
            <w:gridSpan w:val="2"/>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pPr>
              <w:jc w:val="center"/>
              <w:rPr>
                <w:rFonts w:eastAsia="Calibri"/>
                <w:b/>
                <w:bCs/>
                <w:noProof/>
                <w:sz w:val="16"/>
                <w:szCs w:val="16"/>
                <w:lang w:eastAsia="en-GB"/>
              </w:rPr>
            </w:pPr>
            <w:r>
              <w:rPr>
                <w:rFonts w:eastAsia="Calibri"/>
                <w:b/>
                <w:bCs/>
                <w:noProof/>
                <w:sz w:val="16"/>
                <w:szCs w:val="16"/>
                <w:lang w:eastAsia="en-GB"/>
              </w:rPr>
              <w:t>2015</w:t>
            </w:r>
          </w:p>
        </w:tc>
        <w:tc>
          <w:tcPr>
            <w:tcW w:w="1016" w:type="dxa"/>
            <w:gridSpan w:val="2"/>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pPr>
              <w:jc w:val="center"/>
              <w:rPr>
                <w:rFonts w:eastAsia="Calibri"/>
                <w:b/>
                <w:bCs/>
                <w:noProof/>
                <w:sz w:val="16"/>
                <w:szCs w:val="16"/>
                <w:lang w:eastAsia="en-GB"/>
              </w:rPr>
            </w:pPr>
            <w:r>
              <w:rPr>
                <w:rFonts w:eastAsia="Calibri"/>
                <w:b/>
                <w:bCs/>
                <w:noProof/>
                <w:sz w:val="16"/>
                <w:szCs w:val="16"/>
                <w:lang w:eastAsia="en-GB"/>
              </w:rPr>
              <w:t>2016</w:t>
            </w:r>
          </w:p>
        </w:tc>
        <w:tc>
          <w:tcPr>
            <w:tcW w:w="1015" w:type="dxa"/>
            <w:gridSpan w:val="3"/>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pPr>
              <w:jc w:val="center"/>
              <w:rPr>
                <w:rFonts w:eastAsia="Calibri"/>
                <w:b/>
                <w:bCs/>
                <w:noProof/>
                <w:sz w:val="16"/>
                <w:szCs w:val="16"/>
                <w:lang w:eastAsia="en-GB"/>
              </w:rPr>
            </w:pPr>
            <w:r>
              <w:rPr>
                <w:rFonts w:eastAsia="Calibri"/>
                <w:b/>
                <w:bCs/>
                <w:noProof/>
                <w:sz w:val="16"/>
                <w:szCs w:val="16"/>
                <w:lang w:eastAsia="en-GB"/>
              </w:rPr>
              <w:t>2017</w:t>
            </w:r>
          </w:p>
        </w:tc>
      </w:tr>
      <w:tr>
        <w:tblPrEx>
          <w:tblCellMar>
            <w:left w:w="0" w:type="dxa"/>
            <w:right w:w="0" w:type="dxa"/>
          </w:tblCellMar>
        </w:tblPrEx>
        <w:trPr>
          <w:trHeight w:val="246"/>
        </w:trPr>
        <w:tc>
          <w:tcPr>
            <w:tcW w:w="8666" w:type="dxa"/>
            <w:gridSpan w:val="13"/>
            <w:shd w:val="clear" w:color="auto" w:fill="FFFFFF"/>
            <w:noWrap/>
            <w:tcMar>
              <w:top w:w="0" w:type="dxa"/>
              <w:left w:w="108" w:type="dxa"/>
              <w:bottom w:w="0" w:type="dxa"/>
              <w:right w:w="108" w:type="dxa"/>
            </w:tcMar>
            <w:vAlign w:val="center"/>
            <w:hideMark/>
          </w:tcPr>
          <w:p>
            <w:pPr>
              <w:jc w:val="center"/>
              <w:rPr>
                <w:rFonts w:eastAsia="Calibri"/>
                <w:b/>
                <w:bCs/>
                <w:i/>
                <w:iCs/>
                <w:noProof/>
                <w:sz w:val="16"/>
                <w:szCs w:val="16"/>
                <w:lang w:eastAsia="en-GB"/>
              </w:rPr>
            </w:pPr>
            <w:r>
              <w:rPr>
                <w:rFonts w:eastAsia="Calibri"/>
                <w:b/>
                <w:bCs/>
                <w:i/>
                <w:iCs/>
                <w:noProof/>
                <w:sz w:val="16"/>
                <w:szCs w:val="16"/>
                <w:lang w:eastAsia="en-GB"/>
              </w:rPr>
              <w:t>FDI Stocks</w:t>
            </w:r>
          </w:p>
        </w:tc>
      </w:tr>
      <w:tr>
        <w:tblPrEx>
          <w:tblCellMar>
            <w:left w:w="0" w:type="dxa"/>
            <w:right w:w="0" w:type="dxa"/>
          </w:tblCellMar>
        </w:tblPrEx>
        <w:trPr>
          <w:trHeight w:val="246"/>
        </w:trPr>
        <w:tc>
          <w:tcPr>
            <w:tcW w:w="3893" w:type="dxa"/>
            <w:gridSpan w:val="2"/>
            <w:shd w:val="clear" w:color="auto" w:fill="FFFFFF"/>
            <w:noWrap/>
            <w:tcMar>
              <w:top w:w="0" w:type="dxa"/>
              <w:left w:w="108" w:type="dxa"/>
              <w:bottom w:w="0" w:type="dxa"/>
              <w:right w:w="108" w:type="dxa"/>
            </w:tcMar>
            <w:vAlign w:val="bottom"/>
            <w:hideMark/>
          </w:tcPr>
          <w:p>
            <w:pPr>
              <w:rPr>
                <w:rFonts w:eastAsia="Calibri"/>
                <w:noProof/>
                <w:sz w:val="16"/>
                <w:szCs w:val="16"/>
                <w:lang w:eastAsia="en-GB"/>
              </w:rPr>
            </w:pPr>
            <w:r>
              <w:rPr>
                <w:rFonts w:eastAsia="Calibri"/>
                <w:noProof/>
                <w:sz w:val="16"/>
                <w:szCs w:val="16"/>
                <w:lang w:eastAsia="en-GB"/>
              </w:rPr>
              <w:t>Inward</w:t>
            </w:r>
          </w:p>
        </w:tc>
        <w:tc>
          <w:tcPr>
            <w:tcW w:w="837" w:type="dxa"/>
            <w:gridSpan w:val="2"/>
            <w:shd w:val="clear" w:color="auto" w:fill="FFFFFF"/>
            <w:noWrap/>
            <w:tcMar>
              <w:top w:w="0" w:type="dxa"/>
              <w:left w:w="108" w:type="dxa"/>
              <w:bottom w:w="0" w:type="dxa"/>
              <w:right w:w="108" w:type="dxa"/>
            </w:tcMar>
            <w:hideMark/>
          </w:tcPr>
          <w:p>
            <w:pPr>
              <w:rPr>
                <w:rFonts w:eastAsia="Calibri"/>
                <w:noProof/>
                <w:sz w:val="16"/>
                <w:szCs w:val="16"/>
                <w:lang w:eastAsia="en-GB"/>
              </w:rPr>
            </w:pPr>
            <w:r>
              <w:rPr>
                <w:rFonts w:eastAsia="Calibri"/>
                <w:noProof/>
                <w:sz w:val="16"/>
                <w:szCs w:val="16"/>
                <w:lang w:eastAsia="en-GB"/>
              </w:rPr>
              <w:t>57.968</w:t>
            </w:r>
          </w:p>
        </w:tc>
        <w:tc>
          <w:tcPr>
            <w:tcW w:w="946" w:type="dxa"/>
            <w:gridSpan w:val="2"/>
            <w:shd w:val="clear" w:color="auto" w:fill="FFFFFF"/>
            <w:noWrap/>
            <w:tcMar>
              <w:top w:w="0" w:type="dxa"/>
              <w:left w:w="108" w:type="dxa"/>
              <w:bottom w:w="0" w:type="dxa"/>
              <w:right w:w="108" w:type="dxa"/>
            </w:tcMar>
            <w:hideMark/>
          </w:tcPr>
          <w:p>
            <w:pPr>
              <w:rPr>
                <w:rFonts w:eastAsia="Calibri"/>
                <w:noProof/>
                <w:sz w:val="16"/>
                <w:szCs w:val="16"/>
                <w:lang w:eastAsia="en-GB"/>
              </w:rPr>
            </w:pPr>
            <w:r>
              <w:rPr>
                <w:rFonts w:eastAsia="Calibri"/>
                <w:noProof/>
                <w:sz w:val="16"/>
                <w:szCs w:val="16"/>
                <w:lang w:eastAsia="en-GB"/>
              </w:rPr>
              <w:t>80.216</w:t>
            </w:r>
          </w:p>
        </w:tc>
        <w:tc>
          <w:tcPr>
            <w:tcW w:w="959" w:type="dxa"/>
            <w:gridSpan w:val="2"/>
            <w:shd w:val="clear" w:color="auto" w:fill="FFFFFF"/>
            <w:noWrap/>
            <w:tcMar>
              <w:top w:w="0" w:type="dxa"/>
              <w:left w:w="108" w:type="dxa"/>
              <w:bottom w:w="0" w:type="dxa"/>
              <w:right w:w="108" w:type="dxa"/>
            </w:tcMar>
            <w:hideMark/>
          </w:tcPr>
          <w:p>
            <w:pPr>
              <w:rPr>
                <w:rFonts w:eastAsia="Calibri"/>
                <w:noProof/>
                <w:sz w:val="16"/>
                <w:szCs w:val="16"/>
                <w:lang w:eastAsia="en-GB"/>
              </w:rPr>
            </w:pPr>
            <w:r>
              <w:rPr>
                <w:rFonts w:eastAsia="Calibri"/>
                <w:noProof/>
                <w:sz w:val="16"/>
                <w:szCs w:val="16"/>
                <w:lang w:eastAsia="en-GB"/>
              </w:rPr>
              <w:t>76.794</w:t>
            </w:r>
          </w:p>
        </w:tc>
        <w:tc>
          <w:tcPr>
            <w:tcW w:w="1016" w:type="dxa"/>
            <w:gridSpan w:val="2"/>
            <w:shd w:val="clear" w:color="auto" w:fill="FFFFFF"/>
            <w:noWrap/>
            <w:tcMar>
              <w:top w:w="0" w:type="dxa"/>
              <w:left w:w="108" w:type="dxa"/>
              <w:bottom w:w="0" w:type="dxa"/>
              <w:right w:w="108" w:type="dxa"/>
            </w:tcMar>
            <w:hideMark/>
          </w:tcPr>
          <w:p>
            <w:pPr>
              <w:rPr>
                <w:rFonts w:eastAsia="Calibri"/>
                <w:noProof/>
                <w:sz w:val="16"/>
                <w:szCs w:val="16"/>
                <w:lang w:eastAsia="en-GB"/>
              </w:rPr>
            </w:pPr>
            <w:r>
              <w:rPr>
                <w:rFonts w:eastAsia="Calibri"/>
                <w:noProof/>
                <w:sz w:val="16"/>
                <w:szCs w:val="16"/>
                <w:lang w:eastAsia="en-GB"/>
              </w:rPr>
              <w:t>87.235</w:t>
            </w:r>
          </w:p>
        </w:tc>
        <w:tc>
          <w:tcPr>
            <w:tcW w:w="1015" w:type="dxa"/>
            <w:gridSpan w:val="3"/>
            <w:shd w:val="clear" w:color="auto" w:fill="FFFFFF"/>
            <w:noWrap/>
            <w:tcMar>
              <w:top w:w="0" w:type="dxa"/>
              <w:left w:w="108" w:type="dxa"/>
              <w:bottom w:w="0" w:type="dxa"/>
              <w:right w:w="108" w:type="dxa"/>
            </w:tcMar>
            <w:hideMark/>
          </w:tcPr>
          <w:p>
            <w:pPr>
              <w:rPr>
                <w:rFonts w:eastAsia="Calibri"/>
                <w:noProof/>
                <w:sz w:val="16"/>
                <w:szCs w:val="16"/>
                <w:lang w:eastAsia="en-GB"/>
              </w:rPr>
            </w:pPr>
            <w:r>
              <w:rPr>
                <w:rFonts w:eastAsia="Calibri"/>
                <w:noProof/>
                <w:sz w:val="16"/>
                <w:szCs w:val="16"/>
                <w:lang w:eastAsia="en-GB"/>
              </w:rPr>
              <w:t>142.106</w:t>
            </w:r>
          </w:p>
        </w:tc>
      </w:tr>
      <w:tr>
        <w:tblPrEx>
          <w:tblCellMar>
            <w:left w:w="0" w:type="dxa"/>
            <w:right w:w="0" w:type="dxa"/>
          </w:tblCellMar>
        </w:tblPrEx>
        <w:trPr>
          <w:trHeight w:val="246"/>
        </w:trPr>
        <w:tc>
          <w:tcPr>
            <w:tcW w:w="3893" w:type="dxa"/>
            <w:gridSpan w:val="2"/>
            <w:shd w:val="clear" w:color="auto" w:fill="FFFFFF"/>
            <w:noWrap/>
            <w:tcMar>
              <w:top w:w="0" w:type="dxa"/>
              <w:left w:w="108" w:type="dxa"/>
              <w:bottom w:w="0" w:type="dxa"/>
              <w:right w:w="108" w:type="dxa"/>
            </w:tcMar>
            <w:vAlign w:val="bottom"/>
            <w:hideMark/>
          </w:tcPr>
          <w:p>
            <w:pPr>
              <w:rPr>
                <w:rFonts w:eastAsia="Calibri"/>
                <w:noProof/>
                <w:sz w:val="16"/>
                <w:szCs w:val="16"/>
                <w:lang w:eastAsia="en-GB"/>
              </w:rPr>
            </w:pPr>
            <w:r>
              <w:rPr>
                <w:rFonts w:eastAsia="Calibri"/>
                <w:noProof/>
                <w:sz w:val="16"/>
                <w:szCs w:val="16"/>
                <w:lang w:eastAsia="en-GB"/>
              </w:rPr>
              <w:t>Outward</w:t>
            </w:r>
          </w:p>
        </w:tc>
        <w:tc>
          <w:tcPr>
            <w:tcW w:w="837" w:type="dxa"/>
            <w:gridSpan w:val="2"/>
            <w:shd w:val="clear" w:color="auto" w:fill="FFFFFF"/>
            <w:noWrap/>
            <w:tcMar>
              <w:top w:w="0" w:type="dxa"/>
              <w:left w:w="108" w:type="dxa"/>
              <w:bottom w:w="0" w:type="dxa"/>
              <w:right w:w="108" w:type="dxa"/>
            </w:tcMar>
            <w:hideMark/>
          </w:tcPr>
          <w:p>
            <w:pPr>
              <w:rPr>
                <w:rFonts w:eastAsia="Calibri"/>
                <w:noProof/>
                <w:sz w:val="16"/>
                <w:szCs w:val="16"/>
                <w:lang w:eastAsia="en-GB"/>
              </w:rPr>
            </w:pPr>
            <w:r>
              <w:rPr>
                <w:rFonts w:eastAsia="Calibri"/>
                <w:noProof/>
                <w:sz w:val="16"/>
                <w:szCs w:val="16"/>
                <w:lang w:eastAsia="en-GB"/>
              </w:rPr>
              <w:t>18.235</w:t>
            </w:r>
          </w:p>
        </w:tc>
        <w:tc>
          <w:tcPr>
            <w:tcW w:w="946" w:type="dxa"/>
            <w:gridSpan w:val="2"/>
            <w:shd w:val="clear" w:color="auto" w:fill="FFFFFF"/>
            <w:noWrap/>
            <w:tcMar>
              <w:top w:w="0" w:type="dxa"/>
              <w:left w:w="108" w:type="dxa"/>
              <w:bottom w:w="0" w:type="dxa"/>
              <w:right w:w="108" w:type="dxa"/>
            </w:tcMar>
            <w:hideMark/>
          </w:tcPr>
          <w:p>
            <w:pPr>
              <w:rPr>
                <w:rFonts w:eastAsia="Calibri"/>
                <w:noProof/>
                <w:sz w:val="16"/>
                <w:szCs w:val="16"/>
                <w:lang w:eastAsia="en-GB"/>
              </w:rPr>
            </w:pPr>
            <w:r>
              <w:rPr>
                <w:rFonts w:eastAsia="Calibri"/>
                <w:noProof/>
                <w:sz w:val="16"/>
                <w:szCs w:val="16"/>
                <w:lang w:eastAsia="en-GB"/>
              </w:rPr>
              <w:t>22.452</w:t>
            </w:r>
          </w:p>
        </w:tc>
        <w:tc>
          <w:tcPr>
            <w:tcW w:w="959" w:type="dxa"/>
            <w:gridSpan w:val="2"/>
            <w:shd w:val="clear" w:color="auto" w:fill="FFFFFF"/>
            <w:noWrap/>
            <w:tcMar>
              <w:top w:w="0" w:type="dxa"/>
              <w:left w:w="108" w:type="dxa"/>
              <w:bottom w:w="0" w:type="dxa"/>
              <w:right w:w="108" w:type="dxa"/>
            </w:tcMar>
            <w:hideMark/>
          </w:tcPr>
          <w:p>
            <w:pPr>
              <w:rPr>
                <w:rFonts w:eastAsia="Calibri"/>
                <w:noProof/>
                <w:sz w:val="16"/>
                <w:szCs w:val="16"/>
                <w:lang w:eastAsia="en-GB"/>
              </w:rPr>
            </w:pPr>
            <w:r>
              <w:rPr>
                <w:rFonts w:eastAsia="Calibri"/>
                <w:noProof/>
                <w:sz w:val="16"/>
                <w:szCs w:val="16"/>
                <w:lang w:eastAsia="en-GB"/>
              </w:rPr>
              <w:t>68.572</w:t>
            </w:r>
          </w:p>
        </w:tc>
        <w:tc>
          <w:tcPr>
            <w:tcW w:w="1016" w:type="dxa"/>
            <w:gridSpan w:val="2"/>
            <w:shd w:val="clear" w:color="auto" w:fill="FFFFFF"/>
            <w:noWrap/>
            <w:tcMar>
              <w:top w:w="0" w:type="dxa"/>
              <w:left w:w="108" w:type="dxa"/>
              <w:bottom w:w="0" w:type="dxa"/>
              <w:right w:w="108" w:type="dxa"/>
            </w:tcMar>
            <w:hideMark/>
          </w:tcPr>
          <w:p>
            <w:pPr>
              <w:rPr>
                <w:rFonts w:eastAsia="Calibri"/>
                <w:noProof/>
                <w:sz w:val="16"/>
                <w:szCs w:val="16"/>
                <w:lang w:eastAsia="en-GB"/>
              </w:rPr>
            </w:pPr>
            <w:r>
              <w:rPr>
                <w:rFonts w:eastAsia="Calibri"/>
                <w:noProof/>
                <w:sz w:val="16"/>
                <w:szCs w:val="16"/>
                <w:lang w:eastAsia="en-GB"/>
              </w:rPr>
              <w:t>84.653</w:t>
            </w:r>
          </w:p>
        </w:tc>
        <w:tc>
          <w:tcPr>
            <w:tcW w:w="1015" w:type="dxa"/>
            <w:gridSpan w:val="3"/>
            <w:shd w:val="clear" w:color="auto" w:fill="FFFFFF"/>
            <w:noWrap/>
            <w:tcMar>
              <w:top w:w="0" w:type="dxa"/>
              <w:left w:w="108" w:type="dxa"/>
              <w:bottom w:w="0" w:type="dxa"/>
              <w:right w:w="108" w:type="dxa"/>
            </w:tcMar>
            <w:hideMark/>
          </w:tcPr>
          <w:p>
            <w:pPr>
              <w:rPr>
                <w:rFonts w:eastAsia="Calibri"/>
                <w:noProof/>
                <w:sz w:val="16"/>
                <w:szCs w:val="16"/>
                <w:lang w:eastAsia="en-GB"/>
              </w:rPr>
            </w:pPr>
            <w:r>
              <w:rPr>
                <w:rFonts w:eastAsia="Calibri"/>
                <w:noProof/>
                <w:sz w:val="16"/>
                <w:szCs w:val="16"/>
                <w:lang w:eastAsia="en-GB"/>
              </w:rPr>
              <w:t>111.880</w:t>
            </w:r>
          </w:p>
        </w:tc>
      </w:tr>
      <w:tr>
        <w:tblPrEx>
          <w:tblCellMar>
            <w:left w:w="0" w:type="dxa"/>
            <w:right w:w="0" w:type="dxa"/>
          </w:tblCellMar>
        </w:tblPrEx>
        <w:trPr>
          <w:trHeight w:val="246"/>
        </w:trPr>
        <w:tc>
          <w:tcPr>
            <w:tcW w:w="8666" w:type="dxa"/>
            <w:gridSpan w:val="13"/>
            <w:shd w:val="clear" w:color="auto" w:fill="FFFFFF"/>
            <w:noWrap/>
            <w:tcMar>
              <w:top w:w="0" w:type="dxa"/>
              <w:left w:w="108" w:type="dxa"/>
              <w:bottom w:w="0" w:type="dxa"/>
              <w:right w:w="108" w:type="dxa"/>
            </w:tcMar>
            <w:vAlign w:val="center"/>
            <w:hideMark/>
          </w:tcPr>
          <w:p>
            <w:pPr>
              <w:jc w:val="center"/>
              <w:rPr>
                <w:rFonts w:eastAsia="Calibri"/>
                <w:b/>
                <w:bCs/>
                <w:i/>
                <w:iCs/>
                <w:noProof/>
                <w:sz w:val="16"/>
                <w:szCs w:val="16"/>
                <w:lang w:eastAsia="en-GB"/>
              </w:rPr>
            </w:pPr>
            <w:r>
              <w:rPr>
                <w:rFonts w:eastAsia="Calibri"/>
                <w:b/>
                <w:bCs/>
                <w:i/>
                <w:iCs/>
                <w:noProof/>
                <w:sz w:val="16"/>
                <w:szCs w:val="16"/>
                <w:lang w:eastAsia="en-GB"/>
              </w:rPr>
              <w:t>FDI Flows</w:t>
            </w:r>
          </w:p>
        </w:tc>
      </w:tr>
      <w:tr>
        <w:tblPrEx>
          <w:tblCellMar>
            <w:left w:w="0" w:type="dxa"/>
            <w:right w:w="0" w:type="dxa"/>
          </w:tblCellMar>
        </w:tblPrEx>
        <w:trPr>
          <w:trHeight w:val="246"/>
        </w:trPr>
        <w:tc>
          <w:tcPr>
            <w:tcW w:w="3893" w:type="dxa"/>
            <w:gridSpan w:val="2"/>
            <w:shd w:val="clear" w:color="auto" w:fill="FFFFFF"/>
            <w:noWrap/>
            <w:tcMar>
              <w:top w:w="0" w:type="dxa"/>
              <w:left w:w="108" w:type="dxa"/>
              <w:bottom w:w="0" w:type="dxa"/>
              <w:right w:w="108" w:type="dxa"/>
            </w:tcMar>
            <w:vAlign w:val="bottom"/>
            <w:hideMark/>
          </w:tcPr>
          <w:p>
            <w:pPr>
              <w:rPr>
                <w:rFonts w:eastAsia="Calibri"/>
                <w:noProof/>
                <w:sz w:val="16"/>
                <w:szCs w:val="16"/>
                <w:lang w:eastAsia="en-GB"/>
              </w:rPr>
            </w:pPr>
            <w:r>
              <w:rPr>
                <w:rFonts w:eastAsia="Calibri"/>
                <w:noProof/>
                <w:sz w:val="16"/>
                <w:szCs w:val="16"/>
                <w:lang w:eastAsia="en-GB"/>
              </w:rPr>
              <w:t>Inward</w:t>
            </w:r>
          </w:p>
        </w:tc>
        <w:tc>
          <w:tcPr>
            <w:tcW w:w="837" w:type="dxa"/>
            <w:gridSpan w:val="2"/>
            <w:shd w:val="clear" w:color="auto" w:fill="FFFFFF"/>
            <w:noWrap/>
            <w:tcMar>
              <w:top w:w="0" w:type="dxa"/>
              <w:left w:w="108" w:type="dxa"/>
              <w:bottom w:w="0" w:type="dxa"/>
              <w:right w:w="108" w:type="dxa"/>
            </w:tcMar>
            <w:hideMark/>
          </w:tcPr>
          <w:p>
            <w:pPr>
              <w:rPr>
                <w:rFonts w:eastAsia="Calibri"/>
                <w:noProof/>
                <w:sz w:val="16"/>
                <w:szCs w:val="16"/>
                <w:lang w:eastAsia="en-GB"/>
              </w:rPr>
            </w:pPr>
            <w:r>
              <w:rPr>
                <w:rFonts w:eastAsia="Calibri"/>
                <w:noProof/>
                <w:sz w:val="16"/>
                <w:szCs w:val="16"/>
                <w:lang w:eastAsia="en-GB"/>
              </w:rPr>
              <w:t>-8.988</w:t>
            </w:r>
          </w:p>
        </w:tc>
        <w:tc>
          <w:tcPr>
            <w:tcW w:w="946" w:type="dxa"/>
            <w:gridSpan w:val="2"/>
            <w:shd w:val="clear" w:color="auto" w:fill="FFFFFF"/>
            <w:noWrap/>
            <w:tcMar>
              <w:top w:w="0" w:type="dxa"/>
              <w:left w:w="108" w:type="dxa"/>
              <w:bottom w:w="0" w:type="dxa"/>
              <w:right w:w="108" w:type="dxa"/>
            </w:tcMar>
            <w:hideMark/>
          </w:tcPr>
          <w:p>
            <w:pPr>
              <w:rPr>
                <w:rFonts w:eastAsia="Calibri"/>
                <w:noProof/>
                <w:sz w:val="16"/>
                <w:szCs w:val="16"/>
                <w:lang w:eastAsia="en-GB"/>
              </w:rPr>
            </w:pPr>
            <w:r>
              <w:rPr>
                <w:rFonts w:eastAsia="Calibri"/>
                <w:noProof/>
                <w:sz w:val="16"/>
                <w:szCs w:val="16"/>
                <w:lang w:eastAsia="en-GB"/>
              </w:rPr>
              <w:t>4.851</w:t>
            </w:r>
          </w:p>
        </w:tc>
        <w:tc>
          <w:tcPr>
            <w:tcW w:w="959" w:type="dxa"/>
            <w:gridSpan w:val="2"/>
            <w:shd w:val="clear" w:color="auto" w:fill="FFFFFF"/>
            <w:noWrap/>
            <w:tcMar>
              <w:top w:w="0" w:type="dxa"/>
              <w:left w:w="108" w:type="dxa"/>
              <w:bottom w:w="0" w:type="dxa"/>
              <w:right w:w="108" w:type="dxa"/>
            </w:tcMar>
            <w:hideMark/>
          </w:tcPr>
          <w:p>
            <w:pPr>
              <w:rPr>
                <w:rFonts w:eastAsia="Calibri"/>
                <w:noProof/>
                <w:sz w:val="16"/>
                <w:szCs w:val="16"/>
                <w:lang w:eastAsia="en-GB"/>
              </w:rPr>
            </w:pPr>
            <w:r>
              <w:rPr>
                <w:rFonts w:eastAsia="Calibri"/>
                <w:noProof/>
                <w:sz w:val="16"/>
                <w:szCs w:val="16"/>
                <w:lang w:eastAsia="en-GB"/>
              </w:rPr>
              <w:t>-6.970</w:t>
            </w:r>
          </w:p>
        </w:tc>
        <w:tc>
          <w:tcPr>
            <w:tcW w:w="1016" w:type="dxa"/>
            <w:gridSpan w:val="2"/>
            <w:shd w:val="clear" w:color="auto" w:fill="FFFFFF"/>
            <w:noWrap/>
            <w:tcMar>
              <w:top w:w="0" w:type="dxa"/>
              <w:left w:w="108" w:type="dxa"/>
              <w:bottom w:w="0" w:type="dxa"/>
              <w:right w:w="108" w:type="dxa"/>
            </w:tcMar>
            <w:hideMark/>
          </w:tcPr>
          <w:p>
            <w:pPr>
              <w:rPr>
                <w:rFonts w:eastAsia="Calibri"/>
                <w:noProof/>
                <w:sz w:val="16"/>
                <w:szCs w:val="16"/>
                <w:lang w:eastAsia="en-GB"/>
              </w:rPr>
            </w:pPr>
            <w:r>
              <w:rPr>
                <w:rFonts w:eastAsia="Calibri"/>
                <w:noProof/>
                <w:sz w:val="16"/>
                <w:szCs w:val="16"/>
                <w:lang w:eastAsia="en-GB"/>
              </w:rPr>
              <w:t>2.413</w:t>
            </w:r>
          </w:p>
        </w:tc>
        <w:tc>
          <w:tcPr>
            <w:tcW w:w="1015" w:type="dxa"/>
            <w:gridSpan w:val="3"/>
            <w:shd w:val="clear" w:color="auto" w:fill="FFFFFF"/>
            <w:noWrap/>
            <w:tcMar>
              <w:top w:w="0" w:type="dxa"/>
              <w:left w:w="108" w:type="dxa"/>
              <w:bottom w:w="0" w:type="dxa"/>
              <w:right w:w="108" w:type="dxa"/>
            </w:tcMar>
            <w:hideMark/>
          </w:tcPr>
          <w:p>
            <w:pPr>
              <w:rPr>
                <w:rFonts w:eastAsia="Calibri"/>
                <w:noProof/>
                <w:sz w:val="16"/>
                <w:szCs w:val="16"/>
                <w:lang w:eastAsia="en-GB"/>
              </w:rPr>
            </w:pPr>
            <w:r>
              <w:rPr>
                <w:rFonts w:eastAsia="Calibri"/>
                <w:noProof/>
                <w:sz w:val="16"/>
                <w:szCs w:val="16"/>
                <w:lang w:eastAsia="en-GB"/>
              </w:rPr>
              <w:t>42.323</w:t>
            </w:r>
          </w:p>
        </w:tc>
      </w:tr>
      <w:tr>
        <w:tblPrEx>
          <w:tblCellMar>
            <w:left w:w="0" w:type="dxa"/>
            <w:right w:w="0" w:type="dxa"/>
          </w:tblCellMar>
        </w:tblPrEx>
        <w:trPr>
          <w:trHeight w:val="246"/>
        </w:trPr>
        <w:tc>
          <w:tcPr>
            <w:tcW w:w="3893" w:type="dxa"/>
            <w:gridSpan w:val="2"/>
            <w:shd w:val="clear" w:color="auto" w:fill="FFFFFF"/>
            <w:noWrap/>
            <w:tcMar>
              <w:top w:w="0" w:type="dxa"/>
              <w:left w:w="108" w:type="dxa"/>
              <w:bottom w:w="0" w:type="dxa"/>
              <w:right w:w="108" w:type="dxa"/>
            </w:tcMar>
            <w:vAlign w:val="bottom"/>
            <w:hideMark/>
          </w:tcPr>
          <w:p>
            <w:pPr>
              <w:rPr>
                <w:rFonts w:eastAsia="Calibri"/>
                <w:noProof/>
                <w:sz w:val="16"/>
                <w:szCs w:val="16"/>
                <w:lang w:eastAsia="en-GB"/>
              </w:rPr>
            </w:pPr>
            <w:r>
              <w:rPr>
                <w:rFonts w:eastAsia="Calibri"/>
                <w:noProof/>
                <w:sz w:val="16"/>
                <w:szCs w:val="16"/>
                <w:lang w:eastAsia="en-GB"/>
              </w:rPr>
              <w:t>Outward</w:t>
            </w:r>
          </w:p>
        </w:tc>
        <w:tc>
          <w:tcPr>
            <w:tcW w:w="837" w:type="dxa"/>
            <w:gridSpan w:val="2"/>
            <w:tcBorders>
              <w:top w:val="nil"/>
              <w:left w:val="nil"/>
              <w:bottom w:val="single" w:sz="8" w:space="0" w:color="auto"/>
              <w:right w:val="nil"/>
            </w:tcBorders>
            <w:shd w:val="clear" w:color="auto" w:fill="FFFFFF"/>
            <w:noWrap/>
            <w:tcMar>
              <w:top w:w="0" w:type="dxa"/>
              <w:left w:w="108" w:type="dxa"/>
              <w:bottom w:w="0" w:type="dxa"/>
              <w:right w:w="108" w:type="dxa"/>
            </w:tcMar>
            <w:hideMark/>
          </w:tcPr>
          <w:p>
            <w:pPr>
              <w:rPr>
                <w:rFonts w:eastAsia="Calibri"/>
                <w:noProof/>
                <w:sz w:val="16"/>
                <w:szCs w:val="16"/>
                <w:lang w:eastAsia="en-GB"/>
              </w:rPr>
            </w:pPr>
            <w:r>
              <w:rPr>
                <w:rFonts w:eastAsia="Calibri"/>
                <w:noProof/>
                <w:sz w:val="16"/>
                <w:szCs w:val="16"/>
                <w:lang w:eastAsia="en-GB"/>
              </w:rPr>
              <w:t>2.174</w:t>
            </w:r>
          </w:p>
        </w:tc>
        <w:tc>
          <w:tcPr>
            <w:tcW w:w="946" w:type="dxa"/>
            <w:gridSpan w:val="2"/>
            <w:tcBorders>
              <w:top w:val="nil"/>
              <w:left w:val="nil"/>
              <w:bottom w:val="single" w:sz="8" w:space="0" w:color="auto"/>
              <w:right w:val="nil"/>
            </w:tcBorders>
            <w:shd w:val="clear" w:color="auto" w:fill="FFFFFF"/>
            <w:noWrap/>
            <w:tcMar>
              <w:top w:w="0" w:type="dxa"/>
              <w:left w:w="108" w:type="dxa"/>
              <w:bottom w:w="0" w:type="dxa"/>
              <w:right w:w="108" w:type="dxa"/>
            </w:tcMar>
            <w:hideMark/>
          </w:tcPr>
          <w:p>
            <w:pPr>
              <w:rPr>
                <w:rFonts w:eastAsia="Calibri"/>
                <w:noProof/>
                <w:sz w:val="16"/>
                <w:szCs w:val="16"/>
                <w:lang w:eastAsia="en-GB"/>
              </w:rPr>
            </w:pPr>
            <w:r>
              <w:rPr>
                <w:rFonts w:eastAsia="Calibri"/>
                <w:noProof/>
                <w:sz w:val="16"/>
                <w:szCs w:val="16"/>
                <w:lang w:eastAsia="en-GB"/>
              </w:rPr>
              <w:t>5.063</w:t>
            </w:r>
          </w:p>
        </w:tc>
        <w:tc>
          <w:tcPr>
            <w:tcW w:w="959" w:type="dxa"/>
            <w:gridSpan w:val="2"/>
            <w:tcBorders>
              <w:top w:val="nil"/>
              <w:left w:val="nil"/>
              <w:bottom w:val="single" w:sz="8" w:space="0" w:color="auto"/>
              <w:right w:val="nil"/>
            </w:tcBorders>
            <w:shd w:val="clear" w:color="auto" w:fill="FFFFFF"/>
            <w:noWrap/>
            <w:tcMar>
              <w:top w:w="0" w:type="dxa"/>
              <w:left w:w="108" w:type="dxa"/>
              <w:bottom w:w="0" w:type="dxa"/>
              <w:right w:w="108" w:type="dxa"/>
            </w:tcMar>
            <w:hideMark/>
          </w:tcPr>
          <w:p>
            <w:pPr>
              <w:rPr>
                <w:rFonts w:eastAsia="Calibri"/>
                <w:noProof/>
                <w:sz w:val="16"/>
                <w:szCs w:val="16"/>
                <w:lang w:eastAsia="en-GB"/>
              </w:rPr>
            </w:pPr>
            <w:r>
              <w:rPr>
                <w:rFonts w:eastAsia="Calibri"/>
                <w:noProof/>
                <w:sz w:val="16"/>
                <w:szCs w:val="16"/>
                <w:lang w:eastAsia="en-GB"/>
              </w:rPr>
              <w:t>1.275</w:t>
            </w:r>
          </w:p>
        </w:tc>
        <w:tc>
          <w:tcPr>
            <w:tcW w:w="1016" w:type="dxa"/>
            <w:gridSpan w:val="2"/>
            <w:tcBorders>
              <w:top w:val="nil"/>
              <w:left w:val="nil"/>
              <w:bottom w:val="single" w:sz="8" w:space="0" w:color="auto"/>
              <w:right w:val="nil"/>
            </w:tcBorders>
            <w:shd w:val="clear" w:color="auto" w:fill="FFFFFF"/>
            <w:noWrap/>
            <w:tcMar>
              <w:top w:w="0" w:type="dxa"/>
              <w:left w:w="108" w:type="dxa"/>
              <w:bottom w:w="0" w:type="dxa"/>
              <w:right w:w="108" w:type="dxa"/>
            </w:tcMar>
            <w:hideMark/>
          </w:tcPr>
          <w:p>
            <w:pPr>
              <w:rPr>
                <w:rFonts w:eastAsia="Calibri"/>
                <w:noProof/>
                <w:sz w:val="16"/>
                <w:szCs w:val="16"/>
                <w:lang w:eastAsia="en-GB"/>
              </w:rPr>
            </w:pPr>
            <w:r>
              <w:rPr>
                <w:rFonts w:eastAsia="Calibri"/>
                <w:noProof/>
                <w:sz w:val="16"/>
                <w:szCs w:val="16"/>
                <w:lang w:eastAsia="en-GB"/>
              </w:rPr>
              <w:t>50.618</w:t>
            </w:r>
          </w:p>
        </w:tc>
        <w:tc>
          <w:tcPr>
            <w:tcW w:w="1015" w:type="dxa"/>
            <w:gridSpan w:val="3"/>
            <w:tcBorders>
              <w:top w:val="nil"/>
              <w:left w:val="nil"/>
              <w:bottom w:val="single" w:sz="8" w:space="0" w:color="auto"/>
              <w:right w:val="nil"/>
            </w:tcBorders>
            <w:shd w:val="clear" w:color="auto" w:fill="FFFFFF"/>
            <w:noWrap/>
            <w:tcMar>
              <w:top w:w="0" w:type="dxa"/>
              <w:left w:w="108" w:type="dxa"/>
              <w:bottom w:w="0" w:type="dxa"/>
              <w:right w:w="108" w:type="dxa"/>
            </w:tcMar>
            <w:hideMark/>
          </w:tcPr>
          <w:p>
            <w:pPr>
              <w:rPr>
                <w:rFonts w:eastAsia="Calibri"/>
                <w:noProof/>
                <w:sz w:val="16"/>
                <w:szCs w:val="16"/>
                <w:lang w:eastAsia="en-GB"/>
              </w:rPr>
            </w:pPr>
            <w:r>
              <w:rPr>
                <w:rFonts w:eastAsia="Calibri"/>
                <w:noProof/>
                <w:sz w:val="16"/>
                <w:szCs w:val="16"/>
                <w:lang w:eastAsia="en-GB"/>
              </w:rPr>
              <w:t>38.525</w:t>
            </w:r>
          </w:p>
        </w:tc>
      </w:tr>
      <w:tr>
        <w:tblPrEx>
          <w:tblCellMar>
            <w:left w:w="0" w:type="dxa"/>
            <w:right w:w="0" w:type="dxa"/>
          </w:tblCellMar>
        </w:tblPrEx>
        <w:trPr>
          <w:trHeight w:val="246"/>
        </w:trPr>
        <w:tc>
          <w:tcPr>
            <w:tcW w:w="3893" w:type="dxa"/>
            <w:gridSpan w:val="2"/>
            <w:tcBorders>
              <w:top w:val="single" w:sz="8" w:space="0" w:color="auto"/>
              <w:left w:val="nil"/>
              <w:bottom w:val="nil"/>
              <w:right w:val="nil"/>
            </w:tcBorders>
            <w:shd w:val="clear" w:color="auto" w:fill="FFFFFF"/>
            <w:noWrap/>
            <w:tcMar>
              <w:top w:w="0" w:type="dxa"/>
              <w:left w:w="108" w:type="dxa"/>
              <w:bottom w:w="0" w:type="dxa"/>
              <w:right w:w="108" w:type="dxa"/>
            </w:tcMar>
            <w:hideMark/>
          </w:tcPr>
          <w:p>
            <w:pPr>
              <w:rPr>
                <w:rFonts w:eastAsia="Calibri"/>
                <w:noProof/>
                <w:sz w:val="12"/>
                <w:szCs w:val="12"/>
                <w:lang w:eastAsia="en-GB"/>
              </w:rPr>
            </w:pPr>
            <w:r>
              <w:rPr>
                <w:rFonts w:eastAsia="Calibri"/>
                <w:noProof/>
                <w:sz w:val="12"/>
                <w:szCs w:val="12"/>
                <w:lang w:eastAsia="en-GB"/>
              </w:rPr>
              <w:t>Source Trade G2 Statistics/ISDB from Eurostat BOP statistics</w:t>
            </w:r>
          </w:p>
        </w:tc>
        <w:tc>
          <w:tcPr>
            <w:tcW w:w="837" w:type="dxa"/>
            <w:gridSpan w:val="2"/>
            <w:shd w:val="clear" w:color="auto" w:fill="FFFFFF"/>
            <w:noWrap/>
            <w:tcMar>
              <w:top w:w="0" w:type="dxa"/>
              <w:left w:w="108" w:type="dxa"/>
              <w:bottom w:w="0" w:type="dxa"/>
              <w:right w:w="108" w:type="dxa"/>
            </w:tcMar>
            <w:hideMark/>
          </w:tcPr>
          <w:p>
            <w:pPr>
              <w:rPr>
                <w:rFonts w:eastAsia="Calibri"/>
                <w:noProof/>
                <w:sz w:val="12"/>
                <w:szCs w:val="12"/>
                <w:lang w:eastAsia="en-GB"/>
              </w:rPr>
            </w:pPr>
            <w:r>
              <w:rPr>
                <w:rFonts w:eastAsia="Calibri"/>
                <w:noProof/>
                <w:sz w:val="12"/>
                <w:szCs w:val="12"/>
                <w:lang w:eastAsia="en-GB"/>
              </w:rPr>
              <w:t> </w:t>
            </w:r>
          </w:p>
        </w:tc>
        <w:tc>
          <w:tcPr>
            <w:tcW w:w="946" w:type="dxa"/>
            <w:gridSpan w:val="2"/>
            <w:shd w:val="clear" w:color="auto" w:fill="FFFFFF"/>
            <w:noWrap/>
            <w:tcMar>
              <w:top w:w="0" w:type="dxa"/>
              <w:left w:w="108" w:type="dxa"/>
              <w:bottom w:w="0" w:type="dxa"/>
              <w:right w:w="108" w:type="dxa"/>
            </w:tcMar>
            <w:vAlign w:val="bottom"/>
            <w:hideMark/>
          </w:tcPr>
          <w:p>
            <w:pPr>
              <w:rPr>
                <w:rFonts w:eastAsia="Calibri"/>
                <w:noProof/>
                <w:sz w:val="16"/>
                <w:szCs w:val="16"/>
                <w:lang w:eastAsia="en-GB"/>
              </w:rPr>
            </w:pPr>
            <w:r>
              <w:rPr>
                <w:rFonts w:eastAsia="Calibri"/>
                <w:noProof/>
                <w:sz w:val="16"/>
                <w:szCs w:val="16"/>
                <w:lang w:eastAsia="en-GB"/>
              </w:rPr>
              <w:t> </w:t>
            </w:r>
          </w:p>
        </w:tc>
        <w:tc>
          <w:tcPr>
            <w:tcW w:w="959" w:type="dxa"/>
            <w:gridSpan w:val="2"/>
            <w:shd w:val="clear" w:color="auto" w:fill="FFFFFF"/>
            <w:noWrap/>
            <w:tcMar>
              <w:top w:w="0" w:type="dxa"/>
              <w:left w:w="108" w:type="dxa"/>
              <w:bottom w:w="0" w:type="dxa"/>
              <w:right w:w="108" w:type="dxa"/>
            </w:tcMar>
            <w:vAlign w:val="bottom"/>
            <w:hideMark/>
          </w:tcPr>
          <w:p>
            <w:pPr>
              <w:rPr>
                <w:rFonts w:eastAsia="Calibri"/>
                <w:noProof/>
                <w:sz w:val="16"/>
                <w:szCs w:val="16"/>
                <w:lang w:eastAsia="en-GB"/>
              </w:rPr>
            </w:pPr>
            <w:r>
              <w:rPr>
                <w:rFonts w:eastAsia="Calibri"/>
                <w:noProof/>
                <w:sz w:val="16"/>
                <w:szCs w:val="16"/>
                <w:lang w:eastAsia="en-GB"/>
              </w:rPr>
              <w:t> </w:t>
            </w:r>
          </w:p>
        </w:tc>
        <w:tc>
          <w:tcPr>
            <w:tcW w:w="1016" w:type="dxa"/>
            <w:gridSpan w:val="2"/>
            <w:shd w:val="clear" w:color="auto" w:fill="FFFFFF"/>
            <w:noWrap/>
            <w:tcMar>
              <w:top w:w="0" w:type="dxa"/>
              <w:left w:w="108" w:type="dxa"/>
              <w:bottom w:w="0" w:type="dxa"/>
              <w:right w:w="108" w:type="dxa"/>
            </w:tcMar>
            <w:vAlign w:val="bottom"/>
            <w:hideMark/>
          </w:tcPr>
          <w:p>
            <w:pPr>
              <w:rPr>
                <w:rFonts w:eastAsia="Calibri"/>
                <w:noProof/>
                <w:sz w:val="16"/>
                <w:szCs w:val="16"/>
                <w:lang w:eastAsia="en-GB"/>
              </w:rPr>
            </w:pPr>
            <w:r>
              <w:rPr>
                <w:rFonts w:eastAsia="Calibri"/>
                <w:noProof/>
                <w:sz w:val="16"/>
                <w:szCs w:val="16"/>
                <w:lang w:eastAsia="en-GB"/>
              </w:rPr>
              <w:t> </w:t>
            </w:r>
          </w:p>
        </w:tc>
        <w:tc>
          <w:tcPr>
            <w:tcW w:w="1015" w:type="dxa"/>
            <w:gridSpan w:val="3"/>
            <w:shd w:val="clear" w:color="auto" w:fill="FFFFFF"/>
            <w:noWrap/>
            <w:tcMar>
              <w:top w:w="0" w:type="dxa"/>
              <w:left w:w="108" w:type="dxa"/>
              <w:bottom w:w="0" w:type="dxa"/>
              <w:right w:w="108" w:type="dxa"/>
            </w:tcMar>
            <w:vAlign w:val="bottom"/>
            <w:hideMark/>
          </w:tcPr>
          <w:p>
            <w:pPr>
              <w:rPr>
                <w:rFonts w:eastAsia="Calibri"/>
                <w:noProof/>
                <w:sz w:val="16"/>
                <w:szCs w:val="16"/>
                <w:lang w:eastAsia="en-GB"/>
              </w:rPr>
            </w:pPr>
            <w:r>
              <w:rPr>
                <w:rFonts w:eastAsia="Calibri"/>
                <w:noProof/>
                <w:sz w:val="16"/>
                <w:szCs w:val="16"/>
                <w:lang w:eastAsia="en-GB"/>
              </w:rPr>
              <w:t> </w:t>
            </w:r>
          </w:p>
        </w:tc>
      </w:tr>
    </w:tbl>
    <w:p>
      <w:pPr>
        <w:pStyle w:val="ChapterHead"/>
        <w:jc w:val="both"/>
        <w:rPr>
          <w:b/>
          <w:noProof/>
        </w:rPr>
      </w:pPr>
      <w:r>
        <w:rPr>
          <w:b/>
          <w:noProof/>
        </w:rPr>
        <w:br w:type="page"/>
      </w:r>
    </w:p>
    <w:p>
      <w:pPr>
        <w:pStyle w:val="ChapterHead"/>
        <w:jc w:val="both"/>
        <w:rPr>
          <w:b/>
          <w:noProof/>
        </w:rPr>
      </w:pPr>
      <w:bookmarkStart w:id="4852" w:name="_Toc9608371"/>
      <w:bookmarkStart w:id="4853" w:name="_Toc16000926"/>
      <w:r>
        <w:rPr>
          <w:b/>
          <w:noProof/>
        </w:rPr>
        <w:t>ANNUAL INFO SHEET ON THE IMPLEMENTATION OF THE ECONOMIC PARTNERSHIP AGREEMENT (EPA) BETWEEN THE EU AND PACIFIC STATES</w:t>
      </w:r>
      <w:bookmarkEnd w:id="4842"/>
      <w:bookmarkEnd w:id="4843"/>
      <w:bookmarkEnd w:id="4844"/>
      <w:bookmarkEnd w:id="4845"/>
      <w:bookmarkEnd w:id="4846"/>
      <w:bookmarkEnd w:id="4847"/>
      <w:bookmarkEnd w:id="4848"/>
      <w:bookmarkEnd w:id="4849"/>
      <w:bookmarkEnd w:id="4850"/>
      <w:bookmarkEnd w:id="4851"/>
      <w:bookmarkEnd w:id="4852"/>
      <w:bookmarkEnd w:id="4853"/>
    </w:p>
    <w:p>
      <w:pPr>
        <w:pStyle w:val="ManualHeading1"/>
      </w:pPr>
      <w:bookmarkStart w:id="4854" w:name="_Toc8833863"/>
      <w:bookmarkStart w:id="4855" w:name="_Toc8835690"/>
      <w:bookmarkStart w:id="4856" w:name="_Toc8834321"/>
      <w:bookmarkStart w:id="4857" w:name="_Toc8909782"/>
      <w:bookmarkStart w:id="4858" w:name="_Toc8910994"/>
      <w:bookmarkStart w:id="4859" w:name="_Toc8912031"/>
      <w:bookmarkStart w:id="4860" w:name="_Toc8974852"/>
      <w:bookmarkStart w:id="4861" w:name="_Toc9008505"/>
      <w:bookmarkStart w:id="4862" w:name="_Toc9008908"/>
      <w:bookmarkStart w:id="4863" w:name="_Toc9348904"/>
      <w:bookmarkStart w:id="4864" w:name="_Toc9608372"/>
      <w:bookmarkStart w:id="4865" w:name="_Toc16000927"/>
      <w:r>
        <w:t>1.</w:t>
      </w:r>
      <w:r>
        <w:tab/>
        <w:t>Introduction</w:t>
      </w:r>
      <w:bookmarkEnd w:id="4854"/>
      <w:bookmarkEnd w:id="4855"/>
      <w:bookmarkEnd w:id="4856"/>
      <w:bookmarkEnd w:id="4857"/>
      <w:bookmarkEnd w:id="4858"/>
      <w:bookmarkEnd w:id="4859"/>
      <w:bookmarkEnd w:id="4860"/>
      <w:bookmarkEnd w:id="4861"/>
      <w:bookmarkEnd w:id="4862"/>
      <w:bookmarkEnd w:id="4863"/>
      <w:bookmarkEnd w:id="4864"/>
      <w:bookmarkEnd w:id="4865"/>
    </w:p>
    <w:p>
      <w:pPr>
        <w:jc w:val="both"/>
        <w:rPr>
          <w:noProof/>
        </w:rPr>
      </w:pPr>
      <w:r>
        <w:rPr>
          <w:noProof/>
        </w:rPr>
        <w:t>Negotiations for an EU-Pacific EPA were concluded on 23 November 2007 with Papua New Guinea (PNG) and Fiji – two of the 14 Pacific countries</w:t>
      </w:r>
      <w:r>
        <w:rPr>
          <w:rStyle w:val="FootnoteReference"/>
          <w:noProof/>
        </w:rPr>
        <w:footnoteReference w:id="130"/>
      </w:r>
      <w:r>
        <w:rPr>
          <w:noProof/>
        </w:rPr>
        <w:t xml:space="preserve">, representing the vast majority of regional exports to the EU. </w:t>
      </w:r>
    </w:p>
    <w:p>
      <w:pPr>
        <w:jc w:val="both"/>
        <w:rPr>
          <w:noProof/>
        </w:rPr>
      </w:pPr>
    </w:p>
    <w:p>
      <w:pPr>
        <w:jc w:val="both"/>
        <w:rPr>
          <w:noProof/>
        </w:rPr>
      </w:pPr>
      <w:r>
        <w:rPr>
          <w:noProof/>
        </w:rPr>
        <w:t>The EU and PNG signed the EPA on 30 July 2009 and Fiji on 11 December 2009. The European Parliament approved the Agreement on 19 January 2011 and PNG’s Parliament ratified it on 25 May 2011. Fiji is still to ratify the Agreement but has notified the Council of its provisional application as of 28 July 2014. Samoa acceded to the Agreement on 21 December 2018 and is implementing it since 31 December 2018.</w:t>
      </w:r>
    </w:p>
    <w:p>
      <w:pPr>
        <w:jc w:val="both"/>
        <w:rPr>
          <w:noProof/>
        </w:rPr>
      </w:pPr>
    </w:p>
    <w:p>
      <w:pPr>
        <w:jc w:val="both"/>
        <w:rPr>
          <w:noProof/>
        </w:rPr>
      </w:pPr>
      <w:r>
        <w:rPr>
          <w:noProof/>
        </w:rPr>
        <w:t>The objectives of this Agreement are to promote sustainable development and the gradual integration of Pacific States into the world economy. The EPA aims to establish a free trade area between the parties, through progressive liberalisation, taking into account the specific needs and capacity constraints of the Pacific States. The EPA only covers trade in goods.</w:t>
      </w:r>
    </w:p>
    <w:p>
      <w:pPr>
        <w:jc w:val="both"/>
        <w:rPr>
          <w:noProof/>
        </w:rPr>
      </w:pPr>
    </w:p>
    <w:p>
      <w:pPr>
        <w:jc w:val="both"/>
        <w:rPr>
          <w:noProof/>
        </w:rPr>
      </w:pPr>
      <w:r>
        <w:rPr>
          <w:rFonts w:eastAsia="Calibri"/>
          <w:noProof/>
        </w:rPr>
        <w:t xml:space="preserve">Since 1 January 2008, all exports from PNG and Fiji enter the EU market duty-free and quota-free, so do all the exports from Samoa since 31 December 2018, on a permanent basis. Taking full account of differences in levels of development and sensitive sectors, PNG has liberalised 88% of EU imports from day one (i.e. since 1 January 2008). Fiji is liberalising 87% of EU exports over 15 years, while Samoa is liberalising </w:t>
      </w:r>
      <w:r>
        <w:rPr>
          <w:noProof/>
        </w:rPr>
        <w:t xml:space="preserve">80% of EU exports over 20 years. </w:t>
      </w:r>
    </w:p>
    <w:p>
      <w:pPr>
        <w:jc w:val="both"/>
        <w:rPr>
          <w:noProof/>
        </w:rPr>
      </w:pPr>
    </w:p>
    <w:p>
      <w:pPr>
        <w:jc w:val="both"/>
        <w:rPr>
          <w:noProof/>
        </w:rPr>
      </w:pPr>
      <w:r>
        <w:rPr>
          <w:noProof/>
        </w:rPr>
        <w:t xml:space="preserve">This asymmetric and gradual liberalisation enables the countries to protect local producers; they keep tariffs on sensitive goods, such as foodstuffs. Indeed, Fiji, PNG and Samoa </w:t>
      </w:r>
      <w:r>
        <w:rPr>
          <w:rFonts w:eastAsia="Calibri"/>
          <w:noProof/>
        </w:rPr>
        <w:t xml:space="preserve">have excluded from liberalisation some products from sensitive sectors and/or important for revenue such as meat, fish, fruits and vegetables, etc. </w:t>
      </w:r>
      <w:r>
        <w:rPr>
          <w:noProof/>
        </w:rPr>
        <w:t>Should imports of other liberalised goods suddenly surge, the countries can apply safeguards.</w:t>
      </w:r>
    </w:p>
    <w:p>
      <w:pPr>
        <w:jc w:val="both"/>
        <w:rPr>
          <w:noProof/>
        </w:rPr>
      </w:pPr>
    </w:p>
    <w:p>
      <w:pPr>
        <w:jc w:val="both"/>
        <w:rPr>
          <w:noProof/>
        </w:rPr>
      </w:pPr>
      <w:r>
        <w:rPr>
          <w:noProof/>
        </w:rPr>
        <w:t>The Agreement is open for accession of other Pacific Island States. Interested Parties will need to submit a market access offer that is compliant with GATT 1994 Article XXIV. Samoa joined at the end of 2018, and procedures are underway for the accession of Solomon Islands and Tonga to the EPA.</w:t>
      </w:r>
    </w:p>
    <w:p>
      <w:pPr>
        <w:pStyle w:val="ManualHeading1"/>
      </w:pPr>
      <w:bookmarkStart w:id="4866" w:name="_Toc8833864"/>
      <w:bookmarkStart w:id="4867" w:name="_Toc8835691"/>
      <w:bookmarkStart w:id="4868" w:name="_Toc8834322"/>
      <w:bookmarkStart w:id="4869" w:name="_Toc8909783"/>
      <w:bookmarkStart w:id="4870" w:name="_Toc8910995"/>
      <w:bookmarkStart w:id="4871" w:name="_Toc8912032"/>
      <w:bookmarkStart w:id="4872" w:name="_Toc8974853"/>
      <w:bookmarkStart w:id="4873" w:name="_Toc9008506"/>
      <w:bookmarkStart w:id="4874" w:name="_Toc9008909"/>
      <w:bookmarkStart w:id="4875" w:name="_Toc9348905"/>
      <w:bookmarkStart w:id="4876" w:name="_Toc9608373"/>
      <w:bookmarkStart w:id="4877" w:name="_Toc16000928"/>
      <w:r>
        <w:t>2.</w:t>
      </w:r>
      <w:r>
        <w:tab/>
        <w:t>Evolution of trade</w:t>
      </w:r>
      <w:bookmarkEnd w:id="4866"/>
      <w:bookmarkEnd w:id="4867"/>
      <w:bookmarkEnd w:id="4868"/>
      <w:bookmarkEnd w:id="4869"/>
      <w:bookmarkEnd w:id="4870"/>
      <w:bookmarkEnd w:id="4871"/>
      <w:bookmarkEnd w:id="4872"/>
      <w:bookmarkEnd w:id="4873"/>
      <w:bookmarkEnd w:id="4874"/>
      <w:bookmarkEnd w:id="4875"/>
      <w:bookmarkEnd w:id="4876"/>
      <w:bookmarkEnd w:id="4877"/>
    </w:p>
    <w:p>
      <w:pPr>
        <w:pStyle w:val="Heading2"/>
        <w:ind w:left="0" w:firstLine="0"/>
      </w:pPr>
      <w:bookmarkStart w:id="4878" w:name="_Toc8833865"/>
      <w:bookmarkStart w:id="4879" w:name="_Toc8835692"/>
      <w:bookmarkStart w:id="4880" w:name="_Toc8834323"/>
      <w:bookmarkStart w:id="4881" w:name="_Toc8909784"/>
      <w:bookmarkStart w:id="4882" w:name="_Toc8910996"/>
      <w:bookmarkStart w:id="4883" w:name="_Toc8912033"/>
      <w:bookmarkStart w:id="4884" w:name="_Toc8974854"/>
      <w:bookmarkStart w:id="4885" w:name="_Toc9008507"/>
      <w:bookmarkStart w:id="4886" w:name="_Toc9008910"/>
      <w:bookmarkStart w:id="4887" w:name="_Toc9348906"/>
      <w:bookmarkStart w:id="4888" w:name="_Toc9608374"/>
      <w:bookmarkStart w:id="4889" w:name="_Toc16000929"/>
      <w:r>
        <w:t>2.1 Trade in goods</w:t>
      </w:r>
      <w:bookmarkEnd w:id="4878"/>
      <w:bookmarkEnd w:id="4879"/>
      <w:bookmarkEnd w:id="4880"/>
      <w:bookmarkEnd w:id="4881"/>
      <w:bookmarkEnd w:id="4882"/>
      <w:bookmarkEnd w:id="4883"/>
      <w:bookmarkEnd w:id="4884"/>
      <w:bookmarkEnd w:id="4885"/>
      <w:bookmarkEnd w:id="4886"/>
      <w:bookmarkEnd w:id="4887"/>
      <w:bookmarkEnd w:id="4888"/>
      <w:bookmarkEnd w:id="4889"/>
    </w:p>
    <w:p>
      <w:pPr>
        <w:jc w:val="both"/>
        <w:rPr>
          <w:noProof/>
          <w:lang w:eastAsia="en-GB"/>
        </w:rPr>
      </w:pPr>
      <w:r>
        <w:rPr>
          <w:noProof/>
          <w:lang w:eastAsia="en-GB"/>
        </w:rPr>
        <w:t xml:space="preserve">In 2018, the EPA was implemented between the EU and Fiji and PNG. Due to the geographical distance, the EU is only fifth largest destination for exports from PNG (after Australia, Singapore, China and Japan) and the third largest for Fiji, accounting for around 10-11% of the two Pacific states’ exports. The EU only accounts for about 3% of their imports, far behind Australia, China and Singapore. For Fiji, about 16% of its exports go to the Pacific region, but for PNG the share is lower than 1%. For both countries, less than 1% of their imports come from the region. </w:t>
      </w:r>
    </w:p>
    <w:p>
      <w:pPr>
        <w:jc w:val="both"/>
        <w:rPr>
          <w:noProof/>
          <w:lang w:eastAsia="en-GB"/>
        </w:rPr>
      </w:pPr>
    </w:p>
    <w:p>
      <w:pPr>
        <w:jc w:val="both"/>
        <w:rPr>
          <w:noProof/>
          <w:lang w:eastAsia="en-GB"/>
        </w:rPr>
      </w:pPr>
      <w:r>
        <w:rPr>
          <w:noProof/>
          <w:lang w:eastAsia="en-GB"/>
        </w:rPr>
        <w:t xml:space="preserve">PNG accounts for 66% of the Pacific region’s exports to the EU. Fiji and PNG together account for 69% of Pacific states’ exports to the EU (Figures for 2018). </w:t>
      </w:r>
    </w:p>
    <w:p>
      <w:pPr>
        <w:jc w:val="both"/>
        <w:rPr>
          <w:noProof/>
          <w:lang w:eastAsia="en-GB"/>
        </w:rPr>
      </w:pPr>
    </w:p>
    <w:p>
      <w:pPr>
        <w:jc w:val="both"/>
        <w:rPr>
          <w:noProof/>
          <w:lang w:eastAsia="en-GB"/>
        </w:rPr>
      </w:pPr>
      <w:r>
        <w:rPr>
          <w:noProof/>
          <w:lang w:eastAsia="en-GB"/>
        </w:rPr>
        <w:t xml:space="preserve">The EU’s </w:t>
      </w:r>
      <w:r>
        <w:rPr>
          <w:b/>
          <w:noProof/>
          <w:lang w:eastAsia="en-GB"/>
        </w:rPr>
        <w:t xml:space="preserve">total trade with Fiji and PNG </w:t>
      </w:r>
      <w:r>
        <w:rPr>
          <w:noProof/>
          <w:lang w:eastAsia="en-GB"/>
        </w:rPr>
        <w:t xml:space="preserve">decreased by €111 million (-9.1%) in 2018. EU imports from these two Pacific states decreased by €77 million (-7.7%) to €915, while EU exports to the two Pacific states dropped by €34 million (-14.9%) to €194 million. The overall trade balance is positive for the Pacific countries, for both agricultural and non-agricultural goods. </w:t>
      </w:r>
    </w:p>
    <w:p>
      <w:pPr>
        <w:jc w:val="both"/>
        <w:rPr>
          <w:noProof/>
          <w:lang w:eastAsia="en-GB"/>
        </w:rPr>
      </w:pPr>
      <w:r>
        <w:rPr>
          <w:noProof/>
          <w:lang w:eastAsia="en-GB"/>
        </w:rPr>
        <w:drawing>
          <wp:inline distT="0" distB="0" distL="0" distR="0">
            <wp:extent cx="4929809" cy="2537535"/>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40760" cy="2543172"/>
                    </a:xfrm>
                    <a:prstGeom prst="rect">
                      <a:avLst/>
                    </a:prstGeom>
                    <a:noFill/>
                  </pic:spPr>
                </pic:pic>
              </a:graphicData>
            </a:graphic>
          </wp:inline>
        </w:drawing>
      </w:r>
    </w:p>
    <w:p>
      <w:pPr>
        <w:jc w:val="both"/>
        <w:rPr>
          <w:b/>
          <w:noProof/>
          <w:lang w:eastAsia="en-GB"/>
        </w:rPr>
      </w:pPr>
    </w:p>
    <w:p>
      <w:pPr>
        <w:jc w:val="both"/>
        <w:rPr>
          <w:noProof/>
          <w:lang w:eastAsia="en-GB"/>
        </w:rPr>
      </w:pPr>
      <w:r>
        <w:rPr>
          <w:b/>
          <w:noProof/>
          <w:lang w:eastAsia="en-GB"/>
        </w:rPr>
        <w:t>EU imports from Fiji</w:t>
      </w:r>
      <w:r>
        <w:rPr>
          <w:noProof/>
          <w:lang w:eastAsia="en-GB"/>
        </w:rPr>
        <w:t xml:space="preserve"> dropped by more than half in 2018, from €95 million in 2017 to €36 million in 2018. The decrease is almost entirely due to sugar exports, which contracted by €63 million or 76%. </w:t>
      </w:r>
    </w:p>
    <w:p>
      <w:pPr>
        <w:jc w:val="both"/>
        <w:rPr>
          <w:b/>
          <w:noProof/>
          <w:lang w:eastAsia="en-GB"/>
        </w:rPr>
      </w:pPr>
    </w:p>
    <w:p>
      <w:pPr>
        <w:jc w:val="both"/>
        <w:rPr>
          <w:noProof/>
          <w:lang w:eastAsia="en-GB"/>
        </w:rPr>
      </w:pPr>
      <w:r>
        <w:rPr>
          <w:b/>
          <w:noProof/>
          <w:lang w:eastAsia="en-GB"/>
        </w:rPr>
        <w:t>EU imports from PNG</w:t>
      </w:r>
      <w:r>
        <w:rPr>
          <w:noProof/>
          <w:lang w:eastAsia="en-GB"/>
        </w:rPr>
        <w:t xml:space="preserve"> only decreased slightly, by 2%, to €879 million. Palm oil exports (by far the main agri-food export to the EU) dropped by €81 million or 16%, while exports of coffee decreased by €20 million or 28.6%. Exports of prepared or preserved tuna continued to increase, albeit at a slower rate than in previous years (+€4 million or 2.6%). Exports of copper ores and precious metal ores increased strongly by €91 million or 160%, while gold exports decreased by €16 million or 30%. </w:t>
      </w:r>
    </w:p>
    <w:p>
      <w:pPr>
        <w:jc w:val="both"/>
        <w:rPr>
          <w:noProof/>
          <w:lang w:eastAsia="en-GB"/>
        </w:rPr>
      </w:pPr>
    </w:p>
    <w:p>
      <w:pPr>
        <w:jc w:val="both"/>
        <w:rPr>
          <w:noProof/>
          <w:lang w:eastAsia="en-GB"/>
        </w:rPr>
      </w:pPr>
      <w:r>
        <w:rPr>
          <w:noProof/>
          <w:lang w:eastAsia="en-GB"/>
        </w:rPr>
        <w:t xml:space="preserve">Main destinations for the Pacific EPA countries’ exports are the Netherlands, Germany, Spain and the UK. Preference utilisation rates for EU imports from the Pacific states have risen from 85% in 2014 to 99% in 2018. </w:t>
      </w:r>
    </w:p>
    <w:p>
      <w:pPr>
        <w:jc w:val="both"/>
        <w:rPr>
          <w:noProof/>
          <w:lang w:eastAsia="en-GB"/>
        </w:rPr>
      </w:pPr>
    </w:p>
    <w:p>
      <w:pPr>
        <w:jc w:val="both"/>
        <w:rPr>
          <w:noProof/>
          <w:lang w:eastAsia="en-GB"/>
        </w:rPr>
      </w:pPr>
      <w:r>
        <w:rPr>
          <w:noProof/>
          <w:lang w:eastAsia="en-GB"/>
        </w:rPr>
        <w:t xml:space="preserve">EU imports from the Pacific EPA States show </w:t>
      </w:r>
      <w:r>
        <w:rPr>
          <w:b/>
          <w:noProof/>
          <w:lang w:eastAsia="en-GB"/>
        </w:rPr>
        <w:t>little signs of diversification</w:t>
      </w:r>
      <w:r>
        <w:rPr>
          <w:noProof/>
          <w:lang w:eastAsia="en-GB"/>
        </w:rPr>
        <w:t>. The top 10 export products accounted for 97.2% of total exports from Papua New Guinea and 88.4% of total exports from Fiji to the EU. The main export products were palm oil, prepared or preserved tuna, copper ores and coffee from Papua New Guinea (see table below); and sugar (€20 million), mineral water (€4 million) and frozen tuna (€7 million) from Fiji. Additionally, the number of products (at HS 6-digit level) imported from Papua New Guinea with a value of above €1 million increased marginally over a 10-year period (from 16 to 17). For Fiji, the number stayed at four.</w:t>
      </w:r>
    </w:p>
    <w:p>
      <w:pPr>
        <w:jc w:val="both"/>
        <w:rPr>
          <w:noProof/>
          <w:lang w:eastAsia="en-GB"/>
        </w:rPr>
      </w:pPr>
    </w:p>
    <w:p>
      <w:pPr>
        <w:jc w:val="both"/>
        <w:rPr>
          <w:noProof/>
          <w:lang w:eastAsia="en-GB"/>
        </w:rPr>
      </w:pPr>
      <w:r>
        <w:rPr>
          <w:noProof/>
          <w:lang w:eastAsia="en-GB"/>
        </w:rPr>
        <w:t xml:space="preserve">The EU mostly exports machinery and mechanical appliances, electrical machinery and equipment, optical, medical or surgical instruments, certain chemicals, as well as aircrafts and motor vehicles to the two Pacific states. </w:t>
      </w:r>
      <w:r>
        <w:rPr>
          <w:noProof/>
          <w:lang w:val="en-US"/>
        </w:rPr>
        <w:t xml:space="preserve">These exports are crucial for the local industry, which uses them as production inputs. Eliminating import duties on these items would reduce the costs of inputs for local businesses and would benefit consumers. </w:t>
      </w:r>
      <w:r>
        <w:rPr>
          <w:noProof/>
          <w:lang w:eastAsia="en-GB"/>
        </w:rPr>
        <w:t xml:space="preserve">The 2018 decrease in EU exports to the two Pacific countries in 2018 was mostly due to a decrease in aircraft exports. </w:t>
      </w:r>
    </w:p>
    <w:p>
      <w:pPr>
        <w:jc w:val="both"/>
        <w:rPr>
          <w:noProof/>
          <w:lang w:eastAsia="en-GB"/>
        </w:rPr>
      </w:pPr>
    </w:p>
    <w:p>
      <w:pPr>
        <w:jc w:val="both"/>
        <w:rPr>
          <w:noProof/>
          <w:lang w:eastAsia="en-GB"/>
        </w:rPr>
      </w:pPr>
      <w:r>
        <w:rPr>
          <w:noProof/>
          <w:lang w:eastAsia="en-GB"/>
        </w:rPr>
        <w:t>EU agri-food exports to the EPA Pacific states are low (€22 million compared to €539 million of imports from these countries), with preparations of vegetables, fruits or nuts, and cigars and cigarettes leading the EU exports.</w:t>
      </w:r>
    </w:p>
    <w:p>
      <w:pPr>
        <w:jc w:val="both"/>
        <w:rPr>
          <w:noProof/>
          <w:lang w:eastAsia="en-GB"/>
        </w:rPr>
      </w:pPr>
    </w:p>
    <w:tbl>
      <w:tblPr>
        <w:tblStyle w:val="TableGrid3"/>
        <w:tblW w:w="9735" w:type="dxa"/>
        <w:tblLook w:val="04A0" w:firstRow="1" w:lastRow="0" w:firstColumn="1" w:lastColumn="0" w:noHBand="0" w:noVBand="1"/>
      </w:tblPr>
      <w:tblGrid>
        <w:gridCol w:w="4635"/>
        <w:gridCol w:w="5100"/>
      </w:tblGrid>
      <w:tr>
        <w:trPr>
          <w:trHeight w:val="206"/>
        </w:trPr>
        <w:tc>
          <w:tcPr>
            <w:tcW w:w="4635" w:type="dxa"/>
            <w:tcBorders>
              <w:top w:val="nil"/>
              <w:left w:val="nil"/>
              <w:bottom w:val="double" w:sz="4" w:space="0" w:color="auto"/>
              <w:right w:val="nil"/>
            </w:tcBorders>
          </w:tcPr>
          <w:p>
            <w:pPr>
              <w:jc w:val="both"/>
              <w:rPr>
                <w:b/>
                <w:noProof/>
                <w:sz w:val="20"/>
                <w:szCs w:val="20"/>
              </w:rPr>
            </w:pPr>
            <w:r>
              <w:rPr>
                <w:b/>
                <w:noProof/>
                <w:sz w:val="20"/>
                <w:szCs w:val="20"/>
              </w:rPr>
              <w:t xml:space="preserve">2018 top 10 EU imports from PNG </w:t>
            </w:r>
          </w:p>
        </w:tc>
        <w:tc>
          <w:tcPr>
            <w:tcW w:w="5100" w:type="dxa"/>
            <w:tcBorders>
              <w:top w:val="nil"/>
              <w:left w:val="nil"/>
              <w:bottom w:val="double" w:sz="4" w:space="0" w:color="auto"/>
              <w:right w:val="nil"/>
            </w:tcBorders>
          </w:tcPr>
          <w:p>
            <w:pPr>
              <w:jc w:val="both"/>
              <w:rPr>
                <w:b/>
                <w:noProof/>
                <w:sz w:val="20"/>
                <w:szCs w:val="20"/>
              </w:rPr>
            </w:pPr>
            <w:r>
              <w:rPr>
                <w:b/>
                <w:noProof/>
                <w:sz w:val="20"/>
                <w:szCs w:val="20"/>
              </w:rPr>
              <w:t>2018 top 10 EU exports to PNG</w:t>
            </w:r>
          </w:p>
        </w:tc>
      </w:tr>
    </w:tbl>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1771"/>
        <w:gridCol w:w="1161"/>
        <w:gridCol w:w="752"/>
        <w:gridCol w:w="859"/>
        <w:gridCol w:w="2176"/>
        <w:gridCol w:w="1084"/>
        <w:gridCol w:w="828"/>
      </w:tblGrid>
      <w:tr>
        <w:trPr>
          <w:trHeight w:val="182"/>
        </w:trPr>
        <w:tc>
          <w:tcPr>
            <w:tcW w:w="809" w:type="dxa"/>
          </w:tcPr>
          <w:p>
            <w:pPr>
              <w:jc w:val="both"/>
              <w:rPr>
                <w:i/>
                <w:noProof/>
                <w:sz w:val="18"/>
                <w:szCs w:val="18"/>
              </w:rPr>
            </w:pPr>
            <w:r>
              <w:rPr>
                <w:i/>
                <w:noProof/>
                <w:sz w:val="18"/>
                <w:szCs w:val="18"/>
              </w:rPr>
              <w:t>Product</w:t>
            </w:r>
          </w:p>
        </w:tc>
        <w:tc>
          <w:tcPr>
            <w:tcW w:w="1771" w:type="dxa"/>
          </w:tcPr>
          <w:p>
            <w:pPr>
              <w:jc w:val="both"/>
              <w:rPr>
                <w:i/>
                <w:noProof/>
                <w:sz w:val="18"/>
                <w:szCs w:val="18"/>
              </w:rPr>
            </w:pPr>
            <w:r>
              <w:rPr>
                <w:i/>
                <w:noProof/>
                <w:sz w:val="18"/>
                <w:szCs w:val="18"/>
              </w:rPr>
              <w:t>Description</w:t>
            </w:r>
          </w:p>
        </w:tc>
        <w:tc>
          <w:tcPr>
            <w:tcW w:w="1161" w:type="dxa"/>
          </w:tcPr>
          <w:p>
            <w:pPr>
              <w:jc w:val="both"/>
              <w:rPr>
                <w:i/>
                <w:noProof/>
                <w:sz w:val="18"/>
                <w:szCs w:val="18"/>
              </w:rPr>
            </w:pPr>
            <w:r>
              <w:rPr>
                <w:i/>
                <w:noProof/>
                <w:sz w:val="18"/>
                <w:szCs w:val="18"/>
              </w:rPr>
              <w:t>Volume</w:t>
            </w:r>
          </w:p>
        </w:tc>
        <w:tc>
          <w:tcPr>
            <w:tcW w:w="752" w:type="dxa"/>
            <w:tcBorders>
              <w:right w:val="double" w:sz="4" w:space="0" w:color="auto"/>
            </w:tcBorders>
          </w:tcPr>
          <w:p>
            <w:pPr>
              <w:jc w:val="both"/>
              <w:rPr>
                <w:i/>
                <w:noProof/>
                <w:sz w:val="18"/>
                <w:szCs w:val="18"/>
              </w:rPr>
            </w:pPr>
            <w:r>
              <w:rPr>
                <w:i/>
                <w:noProof/>
                <w:sz w:val="18"/>
                <w:szCs w:val="18"/>
              </w:rPr>
              <w:t>Share</w:t>
            </w:r>
          </w:p>
        </w:tc>
        <w:tc>
          <w:tcPr>
            <w:tcW w:w="859" w:type="dxa"/>
            <w:tcBorders>
              <w:left w:val="double" w:sz="4" w:space="0" w:color="auto"/>
            </w:tcBorders>
          </w:tcPr>
          <w:p>
            <w:pPr>
              <w:jc w:val="both"/>
              <w:rPr>
                <w:i/>
                <w:noProof/>
                <w:sz w:val="18"/>
                <w:szCs w:val="18"/>
              </w:rPr>
            </w:pPr>
            <w:r>
              <w:rPr>
                <w:i/>
                <w:noProof/>
                <w:sz w:val="18"/>
                <w:szCs w:val="18"/>
              </w:rPr>
              <w:t>Product</w:t>
            </w:r>
          </w:p>
        </w:tc>
        <w:tc>
          <w:tcPr>
            <w:tcW w:w="2176" w:type="dxa"/>
          </w:tcPr>
          <w:p>
            <w:pPr>
              <w:jc w:val="both"/>
              <w:rPr>
                <w:i/>
                <w:noProof/>
                <w:sz w:val="18"/>
                <w:szCs w:val="18"/>
              </w:rPr>
            </w:pPr>
            <w:r>
              <w:rPr>
                <w:i/>
                <w:noProof/>
                <w:sz w:val="18"/>
                <w:szCs w:val="18"/>
              </w:rPr>
              <w:t>Description</w:t>
            </w:r>
          </w:p>
        </w:tc>
        <w:tc>
          <w:tcPr>
            <w:tcW w:w="1084" w:type="dxa"/>
          </w:tcPr>
          <w:p>
            <w:pPr>
              <w:jc w:val="both"/>
              <w:rPr>
                <w:i/>
                <w:noProof/>
                <w:sz w:val="18"/>
                <w:szCs w:val="18"/>
              </w:rPr>
            </w:pPr>
            <w:r>
              <w:rPr>
                <w:i/>
                <w:noProof/>
                <w:sz w:val="18"/>
                <w:szCs w:val="18"/>
              </w:rPr>
              <w:t>Volume</w:t>
            </w:r>
          </w:p>
        </w:tc>
        <w:tc>
          <w:tcPr>
            <w:tcW w:w="828" w:type="dxa"/>
          </w:tcPr>
          <w:p>
            <w:pPr>
              <w:jc w:val="both"/>
              <w:rPr>
                <w:i/>
                <w:noProof/>
                <w:sz w:val="18"/>
                <w:szCs w:val="18"/>
              </w:rPr>
            </w:pPr>
            <w:r>
              <w:rPr>
                <w:i/>
                <w:noProof/>
                <w:sz w:val="18"/>
                <w:szCs w:val="18"/>
              </w:rPr>
              <w:t>Share</w:t>
            </w:r>
          </w:p>
        </w:tc>
      </w:tr>
      <w:tr>
        <w:trPr>
          <w:trHeight w:val="182"/>
        </w:trPr>
        <w:tc>
          <w:tcPr>
            <w:tcW w:w="809" w:type="dxa"/>
          </w:tcPr>
          <w:p>
            <w:pPr>
              <w:rPr>
                <w:noProof/>
                <w:sz w:val="18"/>
                <w:szCs w:val="18"/>
              </w:rPr>
            </w:pPr>
            <w:r>
              <w:rPr>
                <w:noProof/>
                <w:sz w:val="18"/>
                <w:szCs w:val="18"/>
              </w:rPr>
              <w:t>151110</w:t>
            </w:r>
          </w:p>
        </w:tc>
        <w:tc>
          <w:tcPr>
            <w:tcW w:w="1771" w:type="dxa"/>
          </w:tcPr>
          <w:p>
            <w:pPr>
              <w:rPr>
                <w:noProof/>
                <w:sz w:val="18"/>
                <w:szCs w:val="18"/>
              </w:rPr>
            </w:pPr>
            <w:r>
              <w:rPr>
                <w:noProof/>
                <w:sz w:val="18"/>
                <w:szCs w:val="18"/>
              </w:rPr>
              <w:t>Crude palm oil</w:t>
            </w:r>
          </w:p>
        </w:tc>
        <w:tc>
          <w:tcPr>
            <w:tcW w:w="1161" w:type="dxa"/>
          </w:tcPr>
          <w:p>
            <w:pPr>
              <w:rPr>
                <w:noProof/>
                <w:sz w:val="18"/>
                <w:szCs w:val="18"/>
              </w:rPr>
            </w:pPr>
            <w:r>
              <w:rPr>
                <w:noProof/>
                <w:sz w:val="18"/>
                <w:szCs w:val="18"/>
              </w:rPr>
              <w:t>298,196,281</w:t>
            </w:r>
          </w:p>
        </w:tc>
        <w:tc>
          <w:tcPr>
            <w:tcW w:w="752" w:type="dxa"/>
            <w:tcBorders>
              <w:right w:val="double" w:sz="4" w:space="0" w:color="auto"/>
            </w:tcBorders>
          </w:tcPr>
          <w:p>
            <w:pPr>
              <w:rPr>
                <w:noProof/>
                <w:sz w:val="18"/>
                <w:szCs w:val="18"/>
              </w:rPr>
            </w:pPr>
            <w:r>
              <w:rPr>
                <w:noProof/>
                <w:sz w:val="18"/>
                <w:szCs w:val="18"/>
              </w:rPr>
              <w:t>33.9 %</w:t>
            </w:r>
          </w:p>
        </w:tc>
        <w:tc>
          <w:tcPr>
            <w:tcW w:w="859" w:type="dxa"/>
            <w:tcBorders>
              <w:left w:val="double" w:sz="4" w:space="0" w:color="auto"/>
            </w:tcBorders>
          </w:tcPr>
          <w:p>
            <w:pPr>
              <w:rPr>
                <w:noProof/>
                <w:sz w:val="18"/>
                <w:szCs w:val="18"/>
              </w:rPr>
            </w:pPr>
            <w:r>
              <w:rPr>
                <w:noProof/>
                <w:sz w:val="18"/>
                <w:szCs w:val="18"/>
              </w:rPr>
              <w:t>151110</w:t>
            </w:r>
          </w:p>
        </w:tc>
        <w:tc>
          <w:tcPr>
            <w:tcW w:w="2176" w:type="dxa"/>
          </w:tcPr>
          <w:p>
            <w:pPr>
              <w:rPr>
                <w:noProof/>
                <w:sz w:val="18"/>
                <w:szCs w:val="18"/>
              </w:rPr>
            </w:pPr>
            <w:r>
              <w:rPr>
                <w:noProof/>
                <w:sz w:val="18"/>
                <w:szCs w:val="18"/>
              </w:rPr>
              <w:t>Generating sets with spark-ignition internal combustion piston engine</w:t>
            </w:r>
          </w:p>
        </w:tc>
        <w:tc>
          <w:tcPr>
            <w:tcW w:w="1084" w:type="dxa"/>
          </w:tcPr>
          <w:p>
            <w:pPr>
              <w:rPr>
                <w:noProof/>
                <w:sz w:val="18"/>
                <w:szCs w:val="18"/>
              </w:rPr>
            </w:pPr>
            <w:r>
              <w:rPr>
                <w:noProof/>
                <w:sz w:val="18"/>
                <w:szCs w:val="18"/>
              </w:rPr>
              <w:t>12,528,955</w:t>
            </w:r>
          </w:p>
        </w:tc>
        <w:tc>
          <w:tcPr>
            <w:tcW w:w="828" w:type="dxa"/>
          </w:tcPr>
          <w:p>
            <w:pPr>
              <w:rPr>
                <w:noProof/>
                <w:sz w:val="18"/>
                <w:szCs w:val="18"/>
              </w:rPr>
            </w:pPr>
            <w:r>
              <w:rPr>
                <w:noProof/>
                <w:sz w:val="18"/>
                <w:szCs w:val="18"/>
              </w:rPr>
              <w:t>9.8 %</w:t>
            </w:r>
          </w:p>
        </w:tc>
      </w:tr>
      <w:tr>
        <w:trPr>
          <w:trHeight w:val="376"/>
        </w:trPr>
        <w:tc>
          <w:tcPr>
            <w:tcW w:w="809" w:type="dxa"/>
          </w:tcPr>
          <w:p>
            <w:pPr>
              <w:rPr>
                <w:noProof/>
                <w:sz w:val="18"/>
                <w:szCs w:val="18"/>
              </w:rPr>
            </w:pPr>
            <w:r>
              <w:rPr>
                <w:noProof/>
                <w:sz w:val="18"/>
                <w:szCs w:val="18"/>
              </w:rPr>
              <w:t>160414</w:t>
            </w:r>
          </w:p>
        </w:tc>
        <w:tc>
          <w:tcPr>
            <w:tcW w:w="1771" w:type="dxa"/>
          </w:tcPr>
          <w:p>
            <w:pPr>
              <w:rPr>
                <w:noProof/>
                <w:sz w:val="18"/>
                <w:szCs w:val="18"/>
              </w:rPr>
            </w:pPr>
            <w:r>
              <w:rPr>
                <w:noProof/>
                <w:sz w:val="18"/>
                <w:szCs w:val="18"/>
              </w:rPr>
              <w:t>Prepared or preserved tunas, skipjack and Atlantic bonito</w:t>
            </w:r>
          </w:p>
        </w:tc>
        <w:tc>
          <w:tcPr>
            <w:tcW w:w="1161" w:type="dxa"/>
          </w:tcPr>
          <w:p>
            <w:pPr>
              <w:rPr>
                <w:noProof/>
                <w:sz w:val="18"/>
                <w:szCs w:val="18"/>
              </w:rPr>
            </w:pPr>
            <w:r>
              <w:rPr>
                <w:noProof/>
                <w:sz w:val="18"/>
                <w:szCs w:val="18"/>
              </w:rPr>
              <w:t>157,011,754</w:t>
            </w:r>
          </w:p>
        </w:tc>
        <w:tc>
          <w:tcPr>
            <w:tcW w:w="752" w:type="dxa"/>
            <w:tcBorders>
              <w:right w:val="double" w:sz="4" w:space="0" w:color="auto"/>
            </w:tcBorders>
          </w:tcPr>
          <w:p>
            <w:pPr>
              <w:rPr>
                <w:noProof/>
                <w:sz w:val="18"/>
                <w:szCs w:val="18"/>
              </w:rPr>
            </w:pPr>
            <w:r>
              <w:rPr>
                <w:noProof/>
                <w:sz w:val="18"/>
                <w:szCs w:val="18"/>
              </w:rPr>
              <w:t>17.9 %</w:t>
            </w:r>
          </w:p>
        </w:tc>
        <w:tc>
          <w:tcPr>
            <w:tcW w:w="859" w:type="dxa"/>
            <w:tcBorders>
              <w:left w:val="double" w:sz="4" w:space="0" w:color="auto"/>
            </w:tcBorders>
          </w:tcPr>
          <w:p>
            <w:pPr>
              <w:rPr>
                <w:noProof/>
                <w:sz w:val="18"/>
                <w:szCs w:val="18"/>
              </w:rPr>
            </w:pPr>
            <w:r>
              <w:rPr>
                <w:noProof/>
                <w:sz w:val="18"/>
                <w:szCs w:val="18"/>
              </w:rPr>
              <w:t>160414</w:t>
            </w:r>
          </w:p>
        </w:tc>
        <w:tc>
          <w:tcPr>
            <w:tcW w:w="2176" w:type="dxa"/>
          </w:tcPr>
          <w:p>
            <w:pPr>
              <w:rPr>
                <w:noProof/>
                <w:sz w:val="18"/>
                <w:szCs w:val="18"/>
              </w:rPr>
            </w:pPr>
            <w:r>
              <w:rPr>
                <w:noProof/>
                <w:sz w:val="18"/>
                <w:szCs w:val="18"/>
              </w:rPr>
              <w:t>Parts of gas turbines, n.e.s.</w:t>
            </w:r>
          </w:p>
        </w:tc>
        <w:tc>
          <w:tcPr>
            <w:tcW w:w="1084" w:type="dxa"/>
          </w:tcPr>
          <w:p>
            <w:pPr>
              <w:rPr>
                <w:noProof/>
                <w:sz w:val="18"/>
                <w:szCs w:val="18"/>
              </w:rPr>
            </w:pPr>
            <w:r>
              <w:rPr>
                <w:noProof/>
                <w:sz w:val="18"/>
                <w:szCs w:val="18"/>
              </w:rPr>
              <w:t>9,854,441</w:t>
            </w:r>
          </w:p>
        </w:tc>
        <w:tc>
          <w:tcPr>
            <w:tcW w:w="828" w:type="dxa"/>
          </w:tcPr>
          <w:p>
            <w:pPr>
              <w:rPr>
                <w:noProof/>
                <w:sz w:val="18"/>
                <w:szCs w:val="18"/>
              </w:rPr>
            </w:pPr>
            <w:r>
              <w:rPr>
                <w:noProof/>
                <w:sz w:val="18"/>
                <w:szCs w:val="18"/>
              </w:rPr>
              <w:t>7.7 %</w:t>
            </w:r>
          </w:p>
        </w:tc>
      </w:tr>
      <w:tr>
        <w:trPr>
          <w:trHeight w:val="365"/>
        </w:trPr>
        <w:tc>
          <w:tcPr>
            <w:tcW w:w="809" w:type="dxa"/>
          </w:tcPr>
          <w:p>
            <w:pPr>
              <w:rPr>
                <w:noProof/>
                <w:sz w:val="18"/>
                <w:szCs w:val="18"/>
              </w:rPr>
            </w:pPr>
            <w:r>
              <w:rPr>
                <w:noProof/>
                <w:sz w:val="18"/>
                <w:szCs w:val="18"/>
              </w:rPr>
              <w:t>260300</w:t>
            </w:r>
          </w:p>
        </w:tc>
        <w:tc>
          <w:tcPr>
            <w:tcW w:w="1771" w:type="dxa"/>
          </w:tcPr>
          <w:p>
            <w:pPr>
              <w:rPr>
                <w:noProof/>
                <w:sz w:val="18"/>
                <w:szCs w:val="18"/>
              </w:rPr>
            </w:pPr>
            <w:r>
              <w:rPr>
                <w:noProof/>
                <w:sz w:val="18"/>
                <w:szCs w:val="18"/>
              </w:rPr>
              <w:t>Copper ores and concentrates</w:t>
            </w:r>
          </w:p>
        </w:tc>
        <w:tc>
          <w:tcPr>
            <w:tcW w:w="1161" w:type="dxa"/>
          </w:tcPr>
          <w:p>
            <w:pPr>
              <w:rPr>
                <w:noProof/>
                <w:sz w:val="18"/>
                <w:szCs w:val="18"/>
              </w:rPr>
            </w:pPr>
            <w:r>
              <w:rPr>
                <w:noProof/>
                <w:sz w:val="18"/>
                <w:szCs w:val="18"/>
              </w:rPr>
              <w:t>99,517,525</w:t>
            </w:r>
          </w:p>
        </w:tc>
        <w:tc>
          <w:tcPr>
            <w:tcW w:w="752" w:type="dxa"/>
            <w:tcBorders>
              <w:right w:val="double" w:sz="4" w:space="0" w:color="auto"/>
            </w:tcBorders>
          </w:tcPr>
          <w:p>
            <w:pPr>
              <w:rPr>
                <w:noProof/>
                <w:sz w:val="18"/>
                <w:szCs w:val="18"/>
              </w:rPr>
            </w:pPr>
            <w:r>
              <w:rPr>
                <w:noProof/>
                <w:sz w:val="18"/>
                <w:szCs w:val="18"/>
              </w:rPr>
              <w:t>11.3 %</w:t>
            </w:r>
          </w:p>
        </w:tc>
        <w:tc>
          <w:tcPr>
            <w:tcW w:w="859" w:type="dxa"/>
            <w:tcBorders>
              <w:left w:val="double" w:sz="4" w:space="0" w:color="auto"/>
            </w:tcBorders>
          </w:tcPr>
          <w:p>
            <w:pPr>
              <w:rPr>
                <w:noProof/>
                <w:sz w:val="18"/>
                <w:szCs w:val="18"/>
              </w:rPr>
            </w:pPr>
            <w:r>
              <w:rPr>
                <w:noProof/>
                <w:sz w:val="18"/>
                <w:szCs w:val="18"/>
              </w:rPr>
              <w:t>260300</w:t>
            </w:r>
          </w:p>
        </w:tc>
        <w:tc>
          <w:tcPr>
            <w:tcW w:w="2176" w:type="dxa"/>
          </w:tcPr>
          <w:p>
            <w:pPr>
              <w:rPr>
                <w:noProof/>
                <w:sz w:val="18"/>
                <w:szCs w:val="18"/>
              </w:rPr>
            </w:pPr>
            <w:r>
              <w:rPr>
                <w:noProof/>
                <w:sz w:val="18"/>
                <w:szCs w:val="18"/>
              </w:rPr>
              <w:t>Parts suitable for use solely or principally with electric motors and generators, electric generating sets and rotary converters, n.e.s.</w:t>
            </w:r>
          </w:p>
        </w:tc>
        <w:tc>
          <w:tcPr>
            <w:tcW w:w="1084" w:type="dxa"/>
          </w:tcPr>
          <w:p>
            <w:pPr>
              <w:rPr>
                <w:noProof/>
                <w:sz w:val="18"/>
                <w:szCs w:val="18"/>
              </w:rPr>
            </w:pPr>
            <w:r>
              <w:rPr>
                <w:noProof/>
                <w:sz w:val="18"/>
                <w:szCs w:val="18"/>
              </w:rPr>
              <w:t>5,831,377</w:t>
            </w:r>
          </w:p>
        </w:tc>
        <w:tc>
          <w:tcPr>
            <w:tcW w:w="828" w:type="dxa"/>
          </w:tcPr>
          <w:p>
            <w:pPr>
              <w:rPr>
                <w:noProof/>
                <w:sz w:val="18"/>
                <w:szCs w:val="18"/>
              </w:rPr>
            </w:pPr>
            <w:r>
              <w:rPr>
                <w:noProof/>
                <w:sz w:val="18"/>
                <w:szCs w:val="18"/>
              </w:rPr>
              <w:t>4.6 %</w:t>
            </w:r>
          </w:p>
        </w:tc>
      </w:tr>
      <w:tr>
        <w:trPr>
          <w:trHeight w:val="365"/>
        </w:trPr>
        <w:tc>
          <w:tcPr>
            <w:tcW w:w="809" w:type="dxa"/>
          </w:tcPr>
          <w:p>
            <w:pPr>
              <w:rPr>
                <w:noProof/>
                <w:sz w:val="18"/>
                <w:szCs w:val="18"/>
              </w:rPr>
            </w:pPr>
            <w:r>
              <w:rPr>
                <w:noProof/>
                <w:sz w:val="18"/>
                <w:szCs w:val="18"/>
              </w:rPr>
              <w:t>151190</w:t>
            </w:r>
          </w:p>
        </w:tc>
        <w:tc>
          <w:tcPr>
            <w:tcW w:w="1771" w:type="dxa"/>
          </w:tcPr>
          <w:p>
            <w:pPr>
              <w:rPr>
                <w:noProof/>
                <w:sz w:val="18"/>
                <w:szCs w:val="18"/>
              </w:rPr>
            </w:pPr>
            <w:r>
              <w:rPr>
                <w:noProof/>
                <w:sz w:val="18"/>
                <w:szCs w:val="18"/>
              </w:rPr>
              <w:t>Palm oil and its fractions</w:t>
            </w:r>
          </w:p>
        </w:tc>
        <w:tc>
          <w:tcPr>
            <w:tcW w:w="1161" w:type="dxa"/>
          </w:tcPr>
          <w:p>
            <w:pPr>
              <w:rPr>
                <w:noProof/>
                <w:sz w:val="18"/>
                <w:szCs w:val="18"/>
              </w:rPr>
            </w:pPr>
            <w:r>
              <w:rPr>
                <w:noProof/>
                <w:sz w:val="18"/>
                <w:szCs w:val="18"/>
              </w:rPr>
              <w:t>78,556,162</w:t>
            </w:r>
          </w:p>
        </w:tc>
        <w:tc>
          <w:tcPr>
            <w:tcW w:w="752" w:type="dxa"/>
            <w:tcBorders>
              <w:right w:val="double" w:sz="4" w:space="0" w:color="auto"/>
            </w:tcBorders>
          </w:tcPr>
          <w:p>
            <w:pPr>
              <w:rPr>
                <w:noProof/>
                <w:sz w:val="18"/>
                <w:szCs w:val="18"/>
              </w:rPr>
            </w:pPr>
            <w:r>
              <w:rPr>
                <w:noProof/>
                <w:sz w:val="18"/>
                <w:szCs w:val="18"/>
              </w:rPr>
              <w:t>8.9 %</w:t>
            </w:r>
          </w:p>
        </w:tc>
        <w:tc>
          <w:tcPr>
            <w:tcW w:w="859" w:type="dxa"/>
            <w:tcBorders>
              <w:left w:val="double" w:sz="4" w:space="0" w:color="auto"/>
            </w:tcBorders>
          </w:tcPr>
          <w:p>
            <w:pPr>
              <w:rPr>
                <w:noProof/>
                <w:sz w:val="18"/>
                <w:szCs w:val="18"/>
              </w:rPr>
            </w:pPr>
            <w:r>
              <w:rPr>
                <w:noProof/>
                <w:sz w:val="18"/>
                <w:szCs w:val="18"/>
              </w:rPr>
              <w:t>151190</w:t>
            </w:r>
          </w:p>
        </w:tc>
        <w:tc>
          <w:tcPr>
            <w:tcW w:w="2176" w:type="dxa"/>
          </w:tcPr>
          <w:p>
            <w:pPr>
              <w:rPr>
                <w:noProof/>
                <w:sz w:val="18"/>
                <w:szCs w:val="18"/>
              </w:rPr>
            </w:pPr>
            <w:r>
              <w:rPr>
                <w:noProof/>
                <w:sz w:val="18"/>
                <w:szCs w:val="18"/>
              </w:rPr>
              <w:t>Vaccines for human medicine</w:t>
            </w:r>
          </w:p>
        </w:tc>
        <w:tc>
          <w:tcPr>
            <w:tcW w:w="1084" w:type="dxa"/>
          </w:tcPr>
          <w:p>
            <w:pPr>
              <w:rPr>
                <w:noProof/>
                <w:sz w:val="18"/>
                <w:szCs w:val="18"/>
              </w:rPr>
            </w:pPr>
            <w:r>
              <w:rPr>
                <w:noProof/>
                <w:sz w:val="18"/>
                <w:szCs w:val="18"/>
              </w:rPr>
              <w:t>4,836,443</w:t>
            </w:r>
          </w:p>
        </w:tc>
        <w:tc>
          <w:tcPr>
            <w:tcW w:w="828" w:type="dxa"/>
          </w:tcPr>
          <w:p>
            <w:pPr>
              <w:rPr>
                <w:noProof/>
                <w:sz w:val="18"/>
                <w:szCs w:val="18"/>
              </w:rPr>
            </w:pPr>
            <w:r>
              <w:rPr>
                <w:noProof/>
                <w:sz w:val="18"/>
                <w:szCs w:val="18"/>
              </w:rPr>
              <w:t>3.8 %</w:t>
            </w:r>
          </w:p>
        </w:tc>
      </w:tr>
      <w:tr>
        <w:trPr>
          <w:trHeight w:val="365"/>
        </w:trPr>
        <w:tc>
          <w:tcPr>
            <w:tcW w:w="809" w:type="dxa"/>
          </w:tcPr>
          <w:p>
            <w:pPr>
              <w:rPr>
                <w:noProof/>
                <w:sz w:val="18"/>
                <w:szCs w:val="18"/>
              </w:rPr>
            </w:pPr>
            <w:r>
              <w:rPr>
                <w:noProof/>
                <w:sz w:val="18"/>
                <w:szCs w:val="18"/>
              </w:rPr>
              <w:t>151321</w:t>
            </w:r>
          </w:p>
        </w:tc>
        <w:tc>
          <w:tcPr>
            <w:tcW w:w="1771" w:type="dxa"/>
          </w:tcPr>
          <w:p>
            <w:pPr>
              <w:rPr>
                <w:noProof/>
                <w:sz w:val="18"/>
                <w:szCs w:val="18"/>
              </w:rPr>
            </w:pPr>
            <w:r>
              <w:rPr>
                <w:noProof/>
                <w:sz w:val="18"/>
                <w:szCs w:val="18"/>
              </w:rPr>
              <w:t>Crude palm kernel and babassu oil</w:t>
            </w:r>
          </w:p>
        </w:tc>
        <w:tc>
          <w:tcPr>
            <w:tcW w:w="1161" w:type="dxa"/>
          </w:tcPr>
          <w:p>
            <w:pPr>
              <w:rPr>
                <w:noProof/>
                <w:sz w:val="18"/>
                <w:szCs w:val="18"/>
              </w:rPr>
            </w:pPr>
            <w:r>
              <w:rPr>
                <w:noProof/>
                <w:sz w:val="18"/>
                <w:szCs w:val="18"/>
              </w:rPr>
              <w:t>59,746,205</w:t>
            </w:r>
          </w:p>
        </w:tc>
        <w:tc>
          <w:tcPr>
            <w:tcW w:w="752" w:type="dxa"/>
            <w:tcBorders>
              <w:right w:val="double" w:sz="4" w:space="0" w:color="auto"/>
            </w:tcBorders>
          </w:tcPr>
          <w:p>
            <w:pPr>
              <w:rPr>
                <w:noProof/>
                <w:sz w:val="18"/>
                <w:szCs w:val="18"/>
              </w:rPr>
            </w:pPr>
            <w:r>
              <w:rPr>
                <w:noProof/>
                <w:sz w:val="18"/>
                <w:szCs w:val="18"/>
              </w:rPr>
              <w:t>6.8 %</w:t>
            </w:r>
          </w:p>
        </w:tc>
        <w:tc>
          <w:tcPr>
            <w:tcW w:w="859" w:type="dxa"/>
            <w:tcBorders>
              <w:left w:val="double" w:sz="4" w:space="0" w:color="auto"/>
            </w:tcBorders>
          </w:tcPr>
          <w:p>
            <w:pPr>
              <w:rPr>
                <w:noProof/>
                <w:sz w:val="18"/>
                <w:szCs w:val="18"/>
              </w:rPr>
            </w:pPr>
            <w:r>
              <w:rPr>
                <w:noProof/>
                <w:sz w:val="18"/>
                <w:szCs w:val="18"/>
              </w:rPr>
              <w:t>151321</w:t>
            </w:r>
          </w:p>
        </w:tc>
        <w:tc>
          <w:tcPr>
            <w:tcW w:w="2176" w:type="dxa"/>
          </w:tcPr>
          <w:p>
            <w:pPr>
              <w:rPr>
                <w:noProof/>
                <w:sz w:val="18"/>
                <w:szCs w:val="18"/>
              </w:rPr>
            </w:pPr>
            <w:r>
              <w:rPr>
                <w:noProof/>
                <w:sz w:val="18"/>
                <w:szCs w:val="18"/>
              </w:rPr>
              <w:t xml:space="preserve">Prepared or preserved meat and offal of swine, incl. mixtures </w:t>
            </w:r>
          </w:p>
        </w:tc>
        <w:tc>
          <w:tcPr>
            <w:tcW w:w="1084" w:type="dxa"/>
          </w:tcPr>
          <w:p>
            <w:pPr>
              <w:rPr>
                <w:noProof/>
                <w:sz w:val="18"/>
                <w:szCs w:val="18"/>
              </w:rPr>
            </w:pPr>
            <w:r>
              <w:rPr>
                <w:noProof/>
                <w:sz w:val="18"/>
                <w:szCs w:val="18"/>
              </w:rPr>
              <w:t>4,089,829</w:t>
            </w:r>
          </w:p>
        </w:tc>
        <w:tc>
          <w:tcPr>
            <w:tcW w:w="828" w:type="dxa"/>
          </w:tcPr>
          <w:p>
            <w:pPr>
              <w:rPr>
                <w:noProof/>
                <w:sz w:val="18"/>
                <w:szCs w:val="18"/>
              </w:rPr>
            </w:pPr>
            <w:r>
              <w:rPr>
                <w:noProof/>
                <w:sz w:val="18"/>
                <w:szCs w:val="18"/>
              </w:rPr>
              <w:t>3.2 %</w:t>
            </w:r>
          </w:p>
        </w:tc>
      </w:tr>
      <w:tr>
        <w:trPr>
          <w:trHeight w:val="559"/>
        </w:trPr>
        <w:tc>
          <w:tcPr>
            <w:tcW w:w="809" w:type="dxa"/>
          </w:tcPr>
          <w:p>
            <w:pPr>
              <w:rPr>
                <w:noProof/>
                <w:sz w:val="18"/>
                <w:szCs w:val="18"/>
              </w:rPr>
            </w:pPr>
            <w:r>
              <w:rPr>
                <w:noProof/>
                <w:sz w:val="18"/>
                <w:szCs w:val="18"/>
              </w:rPr>
              <w:t>090111</w:t>
            </w:r>
          </w:p>
        </w:tc>
        <w:tc>
          <w:tcPr>
            <w:tcW w:w="1771" w:type="dxa"/>
          </w:tcPr>
          <w:p>
            <w:pPr>
              <w:rPr>
                <w:noProof/>
                <w:sz w:val="18"/>
                <w:szCs w:val="18"/>
              </w:rPr>
            </w:pPr>
            <w:r>
              <w:rPr>
                <w:noProof/>
                <w:sz w:val="18"/>
                <w:szCs w:val="18"/>
              </w:rPr>
              <w:t>Coffee (excl. roasted and decaffeinated)</w:t>
            </w:r>
          </w:p>
        </w:tc>
        <w:tc>
          <w:tcPr>
            <w:tcW w:w="1161" w:type="dxa"/>
          </w:tcPr>
          <w:p>
            <w:pPr>
              <w:rPr>
                <w:noProof/>
                <w:sz w:val="18"/>
                <w:szCs w:val="18"/>
              </w:rPr>
            </w:pPr>
            <w:r>
              <w:rPr>
                <w:noProof/>
                <w:sz w:val="18"/>
                <w:szCs w:val="18"/>
              </w:rPr>
              <w:t>51,057,024</w:t>
            </w:r>
          </w:p>
        </w:tc>
        <w:tc>
          <w:tcPr>
            <w:tcW w:w="752" w:type="dxa"/>
            <w:tcBorders>
              <w:right w:val="double" w:sz="4" w:space="0" w:color="auto"/>
            </w:tcBorders>
          </w:tcPr>
          <w:p>
            <w:pPr>
              <w:rPr>
                <w:noProof/>
                <w:sz w:val="18"/>
                <w:szCs w:val="18"/>
              </w:rPr>
            </w:pPr>
            <w:r>
              <w:rPr>
                <w:noProof/>
                <w:sz w:val="18"/>
                <w:szCs w:val="18"/>
              </w:rPr>
              <w:t>5.8 %</w:t>
            </w:r>
          </w:p>
        </w:tc>
        <w:tc>
          <w:tcPr>
            <w:tcW w:w="859" w:type="dxa"/>
            <w:tcBorders>
              <w:left w:val="double" w:sz="4" w:space="0" w:color="auto"/>
            </w:tcBorders>
          </w:tcPr>
          <w:p>
            <w:pPr>
              <w:rPr>
                <w:noProof/>
                <w:sz w:val="18"/>
                <w:szCs w:val="18"/>
              </w:rPr>
            </w:pPr>
            <w:r>
              <w:rPr>
                <w:noProof/>
                <w:sz w:val="18"/>
                <w:szCs w:val="18"/>
              </w:rPr>
              <w:t>090111</w:t>
            </w:r>
          </w:p>
        </w:tc>
        <w:tc>
          <w:tcPr>
            <w:tcW w:w="2176" w:type="dxa"/>
          </w:tcPr>
          <w:p>
            <w:pPr>
              <w:rPr>
                <w:noProof/>
                <w:sz w:val="18"/>
                <w:szCs w:val="18"/>
              </w:rPr>
            </w:pPr>
            <w:r>
              <w:rPr>
                <w:noProof/>
                <w:sz w:val="18"/>
                <w:szCs w:val="18"/>
              </w:rPr>
              <w:t>Self-propelled mechanical shovels, excavators and shovel loaders</w:t>
            </w:r>
          </w:p>
        </w:tc>
        <w:tc>
          <w:tcPr>
            <w:tcW w:w="1084" w:type="dxa"/>
          </w:tcPr>
          <w:p>
            <w:pPr>
              <w:rPr>
                <w:noProof/>
                <w:sz w:val="18"/>
                <w:szCs w:val="18"/>
              </w:rPr>
            </w:pPr>
            <w:r>
              <w:rPr>
                <w:noProof/>
                <w:sz w:val="18"/>
                <w:szCs w:val="18"/>
              </w:rPr>
              <w:t>4,003,760</w:t>
            </w:r>
          </w:p>
        </w:tc>
        <w:tc>
          <w:tcPr>
            <w:tcW w:w="828" w:type="dxa"/>
          </w:tcPr>
          <w:p>
            <w:pPr>
              <w:rPr>
                <w:noProof/>
                <w:sz w:val="18"/>
                <w:szCs w:val="18"/>
              </w:rPr>
            </w:pPr>
            <w:r>
              <w:rPr>
                <w:noProof/>
                <w:sz w:val="18"/>
                <w:szCs w:val="18"/>
              </w:rPr>
              <w:t>3.1 %</w:t>
            </w:r>
          </w:p>
        </w:tc>
      </w:tr>
      <w:tr>
        <w:trPr>
          <w:trHeight w:val="354"/>
        </w:trPr>
        <w:tc>
          <w:tcPr>
            <w:tcW w:w="809" w:type="dxa"/>
          </w:tcPr>
          <w:p>
            <w:pPr>
              <w:rPr>
                <w:noProof/>
                <w:sz w:val="18"/>
                <w:szCs w:val="18"/>
              </w:rPr>
            </w:pPr>
            <w:r>
              <w:rPr>
                <w:noProof/>
                <w:sz w:val="18"/>
                <w:szCs w:val="18"/>
              </w:rPr>
              <w:t>261690</w:t>
            </w:r>
          </w:p>
        </w:tc>
        <w:tc>
          <w:tcPr>
            <w:tcW w:w="1771" w:type="dxa"/>
          </w:tcPr>
          <w:p>
            <w:pPr>
              <w:rPr>
                <w:noProof/>
                <w:sz w:val="18"/>
                <w:szCs w:val="18"/>
              </w:rPr>
            </w:pPr>
            <w:r>
              <w:rPr>
                <w:noProof/>
                <w:sz w:val="18"/>
                <w:szCs w:val="18"/>
              </w:rPr>
              <w:t>Precious-metal ores and concentrates</w:t>
            </w:r>
          </w:p>
        </w:tc>
        <w:tc>
          <w:tcPr>
            <w:tcW w:w="1161" w:type="dxa"/>
          </w:tcPr>
          <w:p>
            <w:pPr>
              <w:rPr>
                <w:noProof/>
                <w:sz w:val="18"/>
                <w:szCs w:val="18"/>
              </w:rPr>
            </w:pPr>
            <w:r>
              <w:rPr>
                <w:noProof/>
                <w:sz w:val="18"/>
                <w:szCs w:val="18"/>
              </w:rPr>
              <w:t>48,925,760</w:t>
            </w:r>
          </w:p>
        </w:tc>
        <w:tc>
          <w:tcPr>
            <w:tcW w:w="752" w:type="dxa"/>
            <w:tcBorders>
              <w:right w:val="double" w:sz="4" w:space="0" w:color="auto"/>
            </w:tcBorders>
          </w:tcPr>
          <w:p>
            <w:pPr>
              <w:rPr>
                <w:noProof/>
                <w:sz w:val="18"/>
                <w:szCs w:val="18"/>
              </w:rPr>
            </w:pPr>
            <w:r>
              <w:rPr>
                <w:noProof/>
                <w:sz w:val="18"/>
                <w:szCs w:val="18"/>
              </w:rPr>
              <w:t>5.6 %</w:t>
            </w:r>
          </w:p>
        </w:tc>
        <w:tc>
          <w:tcPr>
            <w:tcW w:w="859" w:type="dxa"/>
            <w:tcBorders>
              <w:left w:val="double" w:sz="4" w:space="0" w:color="auto"/>
            </w:tcBorders>
          </w:tcPr>
          <w:p>
            <w:pPr>
              <w:rPr>
                <w:noProof/>
                <w:sz w:val="18"/>
                <w:szCs w:val="18"/>
              </w:rPr>
            </w:pPr>
            <w:r>
              <w:rPr>
                <w:noProof/>
                <w:sz w:val="18"/>
                <w:szCs w:val="18"/>
              </w:rPr>
              <w:t>261690</w:t>
            </w:r>
          </w:p>
        </w:tc>
        <w:tc>
          <w:tcPr>
            <w:tcW w:w="2176" w:type="dxa"/>
          </w:tcPr>
          <w:p>
            <w:pPr>
              <w:rPr>
                <w:noProof/>
                <w:sz w:val="18"/>
                <w:szCs w:val="18"/>
              </w:rPr>
            </w:pPr>
            <w:r>
              <w:rPr>
                <w:noProof/>
                <w:sz w:val="18"/>
                <w:szCs w:val="18"/>
              </w:rPr>
              <w:t>Parts of steam and other vapour turbines, n.e.s.</w:t>
            </w:r>
          </w:p>
        </w:tc>
        <w:tc>
          <w:tcPr>
            <w:tcW w:w="1084" w:type="dxa"/>
          </w:tcPr>
          <w:p>
            <w:pPr>
              <w:rPr>
                <w:noProof/>
                <w:sz w:val="18"/>
                <w:szCs w:val="18"/>
              </w:rPr>
            </w:pPr>
            <w:r>
              <w:rPr>
                <w:noProof/>
                <w:sz w:val="18"/>
                <w:szCs w:val="18"/>
              </w:rPr>
              <w:t>3,806,844</w:t>
            </w:r>
          </w:p>
        </w:tc>
        <w:tc>
          <w:tcPr>
            <w:tcW w:w="828" w:type="dxa"/>
          </w:tcPr>
          <w:p>
            <w:pPr>
              <w:rPr>
                <w:noProof/>
                <w:sz w:val="18"/>
                <w:szCs w:val="18"/>
              </w:rPr>
            </w:pPr>
            <w:r>
              <w:rPr>
                <w:noProof/>
                <w:sz w:val="18"/>
                <w:szCs w:val="18"/>
              </w:rPr>
              <w:t>3 %</w:t>
            </w:r>
          </w:p>
        </w:tc>
      </w:tr>
      <w:tr>
        <w:trPr>
          <w:trHeight w:val="365"/>
        </w:trPr>
        <w:tc>
          <w:tcPr>
            <w:tcW w:w="809" w:type="dxa"/>
          </w:tcPr>
          <w:p>
            <w:pPr>
              <w:rPr>
                <w:noProof/>
                <w:sz w:val="18"/>
                <w:szCs w:val="18"/>
              </w:rPr>
            </w:pPr>
            <w:r>
              <w:rPr>
                <w:noProof/>
                <w:sz w:val="18"/>
                <w:szCs w:val="18"/>
              </w:rPr>
              <w:t>710812</w:t>
            </w:r>
          </w:p>
        </w:tc>
        <w:tc>
          <w:tcPr>
            <w:tcW w:w="1771" w:type="dxa"/>
          </w:tcPr>
          <w:p>
            <w:pPr>
              <w:rPr>
                <w:noProof/>
                <w:sz w:val="18"/>
                <w:szCs w:val="18"/>
              </w:rPr>
            </w:pPr>
            <w:r>
              <w:rPr>
                <w:noProof/>
                <w:sz w:val="18"/>
                <w:szCs w:val="18"/>
              </w:rPr>
              <w:t>Gold, incl. gold plated with platinum</w:t>
            </w:r>
          </w:p>
        </w:tc>
        <w:tc>
          <w:tcPr>
            <w:tcW w:w="1161" w:type="dxa"/>
          </w:tcPr>
          <w:p>
            <w:pPr>
              <w:rPr>
                <w:noProof/>
                <w:sz w:val="18"/>
                <w:szCs w:val="18"/>
              </w:rPr>
            </w:pPr>
            <w:r>
              <w:rPr>
                <w:noProof/>
                <w:sz w:val="18"/>
                <w:szCs w:val="18"/>
              </w:rPr>
              <w:t>39,088,492</w:t>
            </w:r>
          </w:p>
        </w:tc>
        <w:tc>
          <w:tcPr>
            <w:tcW w:w="752" w:type="dxa"/>
            <w:tcBorders>
              <w:right w:val="double" w:sz="4" w:space="0" w:color="auto"/>
            </w:tcBorders>
          </w:tcPr>
          <w:p>
            <w:pPr>
              <w:rPr>
                <w:noProof/>
                <w:sz w:val="18"/>
                <w:szCs w:val="18"/>
              </w:rPr>
            </w:pPr>
            <w:r>
              <w:rPr>
                <w:noProof/>
                <w:sz w:val="18"/>
                <w:szCs w:val="18"/>
              </w:rPr>
              <w:t>4.4 %</w:t>
            </w:r>
          </w:p>
        </w:tc>
        <w:tc>
          <w:tcPr>
            <w:tcW w:w="859" w:type="dxa"/>
            <w:tcBorders>
              <w:left w:val="double" w:sz="4" w:space="0" w:color="auto"/>
            </w:tcBorders>
          </w:tcPr>
          <w:p>
            <w:pPr>
              <w:rPr>
                <w:noProof/>
                <w:sz w:val="18"/>
                <w:szCs w:val="18"/>
              </w:rPr>
            </w:pPr>
            <w:r>
              <w:rPr>
                <w:noProof/>
                <w:sz w:val="18"/>
                <w:szCs w:val="18"/>
              </w:rPr>
              <w:t>710812</w:t>
            </w:r>
          </w:p>
        </w:tc>
        <w:tc>
          <w:tcPr>
            <w:tcW w:w="2176" w:type="dxa"/>
          </w:tcPr>
          <w:p>
            <w:pPr>
              <w:rPr>
                <w:noProof/>
                <w:sz w:val="18"/>
                <w:szCs w:val="18"/>
              </w:rPr>
            </w:pPr>
            <w:r>
              <w:rPr>
                <w:noProof/>
                <w:sz w:val="18"/>
                <w:szCs w:val="18"/>
              </w:rPr>
              <w:t>Potatoes, prepared or preserved, frozen</w:t>
            </w:r>
          </w:p>
        </w:tc>
        <w:tc>
          <w:tcPr>
            <w:tcW w:w="1084" w:type="dxa"/>
          </w:tcPr>
          <w:p>
            <w:pPr>
              <w:rPr>
                <w:noProof/>
                <w:sz w:val="18"/>
                <w:szCs w:val="18"/>
              </w:rPr>
            </w:pPr>
            <w:r>
              <w:rPr>
                <w:noProof/>
                <w:sz w:val="18"/>
                <w:szCs w:val="18"/>
              </w:rPr>
              <w:t>2,603,110</w:t>
            </w:r>
          </w:p>
        </w:tc>
        <w:tc>
          <w:tcPr>
            <w:tcW w:w="828" w:type="dxa"/>
          </w:tcPr>
          <w:p>
            <w:pPr>
              <w:rPr>
                <w:noProof/>
                <w:sz w:val="18"/>
                <w:szCs w:val="18"/>
              </w:rPr>
            </w:pPr>
            <w:r>
              <w:rPr>
                <w:noProof/>
                <w:sz w:val="18"/>
                <w:szCs w:val="18"/>
              </w:rPr>
              <w:t>2 %</w:t>
            </w:r>
          </w:p>
        </w:tc>
      </w:tr>
      <w:tr>
        <w:trPr>
          <w:trHeight w:val="365"/>
        </w:trPr>
        <w:tc>
          <w:tcPr>
            <w:tcW w:w="809" w:type="dxa"/>
          </w:tcPr>
          <w:p>
            <w:pPr>
              <w:rPr>
                <w:noProof/>
                <w:sz w:val="18"/>
                <w:szCs w:val="18"/>
              </w:rPr>
            </w:pPr>
            <w:r>
              <w:rPr>
                <w:noProof/>
                <w:sz w:val="18"/>
                <w:szCs w:val="18"/>
              </w:rPr>
              <w:t>090510</w:t>
            </w:r>
          </w:p>
        </w:tc>
        <w:tc>
          <w:tcPr>
            <w:tcW w:w="1771" w:type="dxa"/>
          </w:tcPr>
          <w:p>
            <w:pPr>
              <w:rPr>
                <w:noProof/>
                <w:sz w:val="18"/>
                <w:szCs w:val="18"/>
              </w:rPr>
            </w:pPr>
            <w:r>
              <w:rPr>
                <w:noProof/>
                <w:sz w:val="18"/>
                <w:szCs w:val="18"/>
              </w:rPr>
              <w:t>Vanilla, neither crushed nor ground</w:t>
            </w:r>
          </w:p>
        </w:tc>
        <w:tc>
          <w:tcPr>
            <w:tcW w:w="1161" w:type="dxa"/>
          </w:tcPr>
          <w:p>
            <w:pPr>
              <w:rPr>
                <w:noProof/>
                <w:sz w:val="18"/>
                <w:szCs w:val="18"/>
              </w:rPr>
            </w:pPr>
            <w:r>
              <w:rPr>
                <w:noProof/>
                <w:sz w:val="18"/>
                <w:szCs w:val="18"/>
              </w:rPr>
              <w:t>12,755,856</w:t>
            </w:r>
          </w:p>
        </w:tc>
        <w:tc>
          <w:tcPr>
            <w:tcW w:w="752" w:type="dxa"/>
            <w:tcBorders>
              <w:right w:val="double" w:sz="4" w:space="0" w:color="auto"/>
            </w:tcBorders>
          </w:tcPr>
          <w:p>
            <w:pPr>
              <w:rPr>
                <w:noProof/>
                <w:sz w:val="18"/>
                <w:szCs w:val="18"/>
              </w:rPr>
            </w:pPr>
            <w:r>
              <w:rPr>
                <w:noProof/>
                <w:sz w:val="18"/>
                <w:szCs w:val="18"/>
              </w:rPr>
              <w:t>1.5 %</w:t>
            </w:r>
          </w:p>
        </w:tc>
        <w:tc>
          <w:tcPr>
            <w:tcW w:w="859" w:type="dxa"/>
            <w:tcBorders>
              <w:left w:val="double" w:sz="4" w:space="0" w:color="auto"/>
            </w:tcBorders>
          </w:tcPr>
          <w:p>
            <w:pPr>
              <w:rPr>
                <w:noProof/>
                <w:sz w:val="18"/>
                <w:szCs w:val="18"/>
              </w:rPr>
            </w:pPr>
            <w:r>
              <w:rPr>
                <w:noProof/>
                <w:sz w:val="18"/>
                <w:szCs w:val="18"/>
              </w:rPr>
              <w:t>090510</w:t>
            </w:r>
          </w:p>
        </w:tc>
        <w:tc>
          <w:tcPr>
            <w:tcW w:w="2176" w:type="dxa"/>
          </w:tcPr>
          <w:p>
            <w:pPr>
              <w:rPr>
                <w:noProof/>
                <w:sz w:val="18"/>
                <w:szCs w:val="18"/>
              </w:rPr>
            </w:pPr>
            <w:r>
              <w:rPr>
                <w:noProof/>
                <w:sz w:val="18"/>
                <w:szCs w:val="18"/>
              </w:rPr>
              <w:t xml:space="preserve">Parts of aeroplanes or helicopters, n.e.s. </w:t>
            </w:r>
          </w:p>
        </w:tc>
        <w:tc>
          <w:tcPr>
            <w:tcW w:w="1084" w:type="dxa"/>
          </w:tcPr>
          <w:p>
            <w:pPr>
              <w:rPr>
                <w:noProof/>
                <w:sz w:val="18"/>
                <w:szCs w:val="18"/>
              </w:rPr>
            </w:pPr>
            <w:r>
              <w:rPr>
                <w:noProof/>
                <w:sz w:val="18"/>
                <w:szCs w:val="18"/>
              </w:rPr>
              <w:t>2,136,026</w:t>
            </w:r>
          </w:p>
        </w:tc>
        <w:tc>
          <w:tcPr>
            <w:tcW w:w="828" w:type="dxa"/>
          </w:tcPr>
          <w:p>
            <w:pPr>
              <w:rPr>
                <w:noProof/>
                <w:sz w:val="18"/>
                <w:szCs w:val="18"/>
              </w:rPr>
            </w:pPr>
            <w:r>
              <w:rPr>
                <w:noProof/>
                <w:sz w:val="18"/>
                <w:szCs w:val="18"/>
              </w:rPr>
              <w:t>1.7 %</w:t>
            </w:r>
          </w:p>
        </w:tc>
      </w:tr>
      <w:tr>
        <w:trPr>
          <w:trHeight w:val="548"/>
        </w:trPr>
        <w:tc>
          <w:tcPr>
            <w:tcW w:w="809" w:type="dxa"/>
          </w:tcPr>
          <w:p>
            <w:pPr>
              <w:rPr>
                <w:noProof/>
                <w:sz w:val="18"/>
                <w:szCs w:val="18"/>
              </w:rPr>
            </w:pPr>
            <w:r>
              <w:rPr>
                <w:noProof/>
                <w:sz w:val="18"/>
                <w:szCs w:val="18"/>
              </w:rPr>
              <w:t>180100</w:t>
            </w:r>
          </w:p>
        </w:tc>
        <w:tc>
          <w:tcPr>
            <w:tcW w:w="1771" w:type="dxa"/>
          </w:tcPr>
          <w:p>
            <w:pPr>
              <w:rPr>
                <w:noProof/>
                <w:sz w:val="18"/>
                <w:szCs w:val="18"/>
              </w:rPr>
            </w:pPr>
            <w:r>
              <w:rPr>
                <w:noProof/>
                <w:sz w:val="18"/>
                <w:szCs w:val="18"/>
              </w:rPr>
              <w:t>Cocoa beans, whole or broken, raw or roasted</w:t>
            </w:r>
          </w:p>
        </w:tc>
        <w:tc>
          <w:tcPr>
            <w:tcW w:w="1161" w:type="dxa"/>
          </w:tcPr>
          <w:p>
            <w:pPr>
              <w:rPr>
                <w:noProof/>
                <w:sz w:val="18"/>
                <w:szCs w:val="18"/>
              </w:rPr>
            </w:pPr>
            <w:r>
              <w:rPr>
                <w:noProof/>
                <w:sz w:val="18"/>
                <w:szCs w:val="18"/>
              </w:rPr>
              <w:t>9,652,498</w:t>
            </w:r>
          </w:p>
        </w:tc>
        <w:tc>
          <w:tcPr>
            <w:tcW w:w="752" w:type="dxa"/>
            <w:tcBorders>
              <w:right w:val="double" w:sz="4" w:space="0" w:color="auto"/>
            </w:tcBorders>
          </w:tcPr>
          <w:p>
            <w:pPr>
              <w:rPr>
                <w:noProof/>
                <w:sz w:val="18"/>
                <w:szCs w:val="18"/>
              </w:rPr>
            </w:pPr>
            <w:r>
              <w:rPr>
                <w:noProof/>
                <w:sz w:val="18"/>
                <w:szCs w:val="18"/>
              </w:rPr>
              <w:t>1.1 %</w:t>
            </w:r>
          </w:p>
        </w:tc>
        <w:tc>
          <w:tcPr>
            <w:tcW w:w="859" w:type="dxa"/>
            <w:tcBorders>
              <w:left w:val="double" w:sz="4" w:space="0" w:color="auto"/>
            </w:tcBorders>
          </w:tcPr>
          <w:p>
            <w:pPr>
              <w:rPr>
                <w:noProof/>
                <w:sz w:val="18"/>
                <w:szCs w:val="18"/>
              </w:rPr>
            </w:pPr>
            <w:r>
              <w:rPr>
                <w:noProof/>
                <w:sz w:val="18"/>
                <w:szCs w:val="18"/>
              </w:rPr>
              <w:t>180100</w:t>
            </w:r>
          </w:p>
        </w:tc>
        <w:tc>
          <w:tcPr>
            <w:tcW w:w="2176" w:type="dxa"/>
          </w:tcPr>
          <w:p>
            <w:pPr>
              <w:rPr>
                <w:noProof/>
                <w:sz w:val="18"/>
                <w:szCs w:val="18"/>
              </w:rPr>
            </w:pPr>
            <w:r>
              <w:rPr>
                <w:noProof/>
                <w:sz w:val="18"/>
                <w:szCs w:val="18"/>
              </w:rPr>
              <w:t xml:space="preserve">Appliances for pipes, boiler shells, tanks, vats or the like </w:t>
            </w:r>
          </w:p>
        </w:tc>
        <w:tc>
          <w:tcPr>
            <w:tcW w:w="1084" w:type="dxa"/>
          </w:tcPr>
          <w:p>
            <w:pPr>
              <w:rPr>
                <w:noProof/>
                <w:sz w:val="18"/>
                <w:szCs w:val="18"/>
              </w:rPr>
            </w:pPr>
            <w:r>
              <w:rPr>
                <w:noProof/>
                <w:sz w:val="18"/>
                <w:szCs w:val="18"/>
              </w:rPr>
              <w:t>2,091,399</w:t>
            </w:r>
          </w:p>
        </w:tc>
        <w:tc>
          <w:tcPr>
            <w:tcW w:w="828" w:type="dxa"/>
          </w:tcPr>
          <w:p>
            <w:pPr>
              <w:rPr>
                <w:noProof/>
                <w:sz w:val="18"/>
                <w:szCs w:val="18"/>
              </w:rPr>
            </w:pPr>
            <w:r>
              <w:rPr>
                <w:noProof/>
                <w:sz w:val="18"/>
                <w:szCs w:val="18"/>
              </w:rPr>
              <w:t>1.6 %</w:t>
            </w:r>
          </w:p>
        </w:tc>
      </w:tr>
      <w:tr>
        <w:trPr>
          <w:trHeight w:val="365"/>
        </w:trPr>
        <w:tc>
          <w:tcPr>
            <w:tcW w:w="809" w:type="dxa"/>
          </w:tcPr>
          <w:p>
            <w:pPr>
              <w:rPr>
                <w:noProof/>
                <w:sz w:val="18"/>
                <w:szCs w:val="18"/>
              </w:rPr>
            </w:pPr>
          </w:p>
        </w:tc>
        <w:tc>
          <w:tcPr>
            <w:tcW w:w="1771" w:type="dxa"/>
          </w:tcPr>
          <w:p>
            <w:pPr>
              <w:rPr>
                <w:b/>
                <w:noProof/>
                <w:sz w:val="18"/>
                <w:szCs w:val="18"/>
              </w:rPr>
            </w:pPr>
            <w:r>
              <w:rPr>
                <w:b/>
                <w:noProof/>
                <w:sz w:val="18"/>
                <w:szCs w:val="18"/>
              </w:rPr>
              <w:t>Total top 10 products</w:t>
            </w:r>
          </w:p>
        </w:tc>
        <w:tc>
          <w:tcPr>
            <w:tcW w:w="1161" w:type="dxa"/>
          </w:tcPr>
          <w:p>
            <w:pPr>
              <w:rPr>
                <w:b/>
                <w:noProof/>
                <w:sz w:val="18"/>
                <w:szCs w:val="18"/>
              </w:rPr>
            </w:pPr>
            <w:r>
              <w:rPr>
                <w:b/>
                <w:noProof/>
                <w:sz w:val="18"/>
                <w:szCs w:val="18"/>
              </w:rPr>
              <w:t>854,507,584</w:t>
            </w:r>
          </w:p>
        </w:tc>
        <w:tc>
          <w:tcPr>
            <w:tcW w:w="752" w:type="dxa"/>
            <w:tcBorders>
              <w:right w:val="double" w:sz="4" w:space="0" w:color="auto"/>
            </w:tcBorders>
          </w:tcPr>
          <w:p>
            <w:pPr>
              <w:rPr>
                <w:b/>
                <w:noProof/>
                <w:sz w:val="18"/>
                <w:szCs w:val="18"/>
              </w:rPr>
            </w:pPr>
            <w:r>
              <w:rPr>
                <w:b/>
                <w:noProof/>
                <w:sz w:val="18"/>
                <w:szCs w:val="18"/>
              </w:rPr>
              <w:t>97.2 %</w:t>
            </w:r>
          </w:p>
        </w:tc>
        <w:tc>
          <w:tcPr>
            <w:tcW w:w="859" w:type="dxa"/>
            <w:tcBorders>
              <w:left w:val="double" w:sz="4" w:space="0" w:color="auto"/>
            </w:tcBorders>
          </w:tcPr>
          <w:p>
            <w:pPr>
              <w:rPr>
                <w:b/>
                <w:noProof/>
                <w:sz w:val="18"/>
                <w:szCs w:val="18"/>
              </w:rPr>
            </w:pPr>
          </w:p>
        </w:tc>
        <w:tc>
          <w:tcPr>
            <w:tcW w:w="2176" w:type="dxa"/>
          </w:tcPr>
          <w:p>
            <w:pPr>
              <w:rPr>
                <w:b/>
                <w:noProof/>
                <w:sz w:val="18"/>
                <w:szCs w:val="18"/>
              </w:rPr>
            </w:pPr>
            <w:r>
              <w:rPr>
                <w:b/>
                <w:noProof/>
                <w:sz w:val="18"/>
                <w:szCs w:val="18"/>
              </w:rPr>
              <w:t>Total top 10 products</w:t>
            </w:r>
          </w:p>
        </w:tc>
        <w:tc>
          <w:tcPr>
            <w:tcW w:w="1084" w:type="dxa"/>
          </w:tcPr>
          <w:p>
            <w:pPr>
              <w:rPr>
                <w:b/>
                <w:noProof/>
                <w:sz w:val="18"/>
                <w:szCs w:val="18"/>
              </w:rPr>
            </w:pPr>
            <w:r>
              <w:rPr>
                <w:b/>
                <w:noProof/>
                <w:sz w:val="18"/>
                <w:szCs w:val="18"/>
              </w:rPr>
              <w:t>51,782,184</w:t>
            </w:r>
          </w:p>
        </w:tc>
        <w:tc>
          <w:tcPr>
            <w:tcW w:w="828" w:type="dxa"/>
          </w:tcPr>
          <w:p>
            <w:pPr>
              <w:rPr>
                <w:b/>
                <w:noProof/>
                <w:sz w:val="18"/>
                <w:szCs w:val="18"/>
              </w:rPr>
            </w:pPr>
            <w:r>
              <w:rPr>
                <w:b/>
                <w:noProof/>
                <w:sz w:val="18"/>
                <w:szCs w:val="18"/>
              </w:rPr>
              <w:t>40.5 %</w:t>
            </w:r>
          </w:p>
        </w:tc>
      </w:tr>
    </w:tbl>
    <w:p>
      <w:pPr>
        <w:jc w:val="both"/>
        <w:rPr>
          <w:i/>
          <w:noProof/>
          <w:sz w:val="20"/>
          <w:szCs w:val="20"/>
          <w:lang w:eastAsia="en-GB"/>
        </w:rPr>
      </w:pPr>
      <w:r>
        <w:rPr>
          <w:i/>
          <w:noProof/>
          <w:sz w:val="20"/>
          <w:szCs w:val="20"/>
          <w:lang w:eastAsia="en-GB"/>
        </w:rPr>
        <w:t>Source: Eurostat (HS code product descriptions have been partly simplified)</w:t>
      </w:r>
    </w:p>
    <w:p>
      <w:pPr>
        <w:pStyle w:val="Heading2"/>
        <w:ind w:left="0" w:firstLine="0"/>
      </w:pPr>
      <w:bookmarkStart w:id="4890" w:name="_Toc8833866"/>
      <w:bookmarkStart w:id="4891" w:name="_Toc8835693"/>
      <w:bookmarkStart w:id="4892" w:name="_Toc8834324"/>
      <w:bookmarkStart w:id="4893" w:name="_Toc8909785"/>
      <w:bookmarkStart w:id="4894" w:name="_Toc8910997"/>
      <w:bookmarkStart w:id="4895" w:name="_Toc8912034"/>
      <w:bookmarkStart w:id="4896" w:name="_Toc8974855"/>
      <w:bookmarkStart w:id="4897" w:name="_Toc9008508"/>
      <w:bookmarkStart w:id="4898" w:name="_Toc9008911"/>
      <w:bookmarkStart w:id="4899" w:name="_Toc9348907"/>
      <w:bookmarkStart w:id="4900" w:name="_Toc9608375"/>
      <w:bookmarkStart w:id="4901" w:name="_Toc16000930"/>
      <w:r>
        <w:t>2.2 Trade in services</w:t>
      </w:r>
      <w:bookmarkEnd w:id="4890"/>
      <w:bookmarkEnd w:id="4891"/>
      <w:bookmarkEnd w:id="4892"/>
      <w:bookmarkEnd w:id="4893"/>
      <w:bookmarkEnd w:id="4894"/>
      <w:bookmarkEnd w:id="4895"/>
      <w:bookmarkEnd w:id="4896"/>
      <w:bookmarkEnd w:id="4897"/>
      <w:bookmarkEnd w:id="4898"/>
      <w:bookmarkEnd w:id="4899"/>
      <w:bookmarkEnd w:id="4900"/>
      <w:bookmarkEnd w:id="4901"/>
    </w:p>
    <w:p>
      <w:pPr>
        <w:jc w:val="both"/>
        <w:rPr>
          <w:noProof/>
          <w:lang w:eastAsia="en-GB"/>
        </w:rPr>
      </w:pPr>
      <w:r>
        <w:rPr>
          <w:noProof/>
          <w:lang w:eastAsia="en-GB"/>
        </w:rPr>
        <w:t>The EPA with the Pacific states does not cover services. In 2017, total trade in services with Papua New Guinea grew by €123 million or 45.9%, and with Fiji by €89 million or 44.2%. EU exports to Papua New Guinea and Fiji rose by €101 million (45.3%) and €9 million (5.9%) respectively, while imports increased by €21 million (49.1%) and €80 million (162.8%). The total services trade balance is positive for the EU with Papua New Guinea and negative with Fiji.</w:t>
      </w:r>
    </w:p>
    <w:p>
      <w:pPr>
        <w:pStyle w:val="Heading2"/>
        <w:ind w:left="0" w:firstLine="0"/>
      </w:pPr>
      <w:bookmarkStart w:id="4902" w:name="_Toc8833867"/>
      <w:bookmarkStart w:id="4903" w:name="_Toc8835694"/>
      <w:bookmarkStart w:id="4904" w:name="_Toc8834325"/>
      <w:bookmarkStart w:id="4905" w:name="_Toc8909786"/>
      <w:bookmarkStart w:id="4906" w:name="_Toc8910998"/>
      <w:bookmarkStart w:id="4907" w:name="_Toc8912035"/>
      <w:bookmarkStart w:id="4908" w:name="_Toc8974856"/>
      <w:bookmarkStart w:id="4909" w:name="_Toc9008509"/>
      <w:bookmarkStart w:id="4910" w:name="_Toc9008912"/>
      <w:bookmarkStart w:id="4911" w:name="_Toc9348908"/>
      <w:bookmarkStart w:id="4912" w:name="_Toc9608376"/>
      <w:bookmarkStart w:id="4913" w:name="_Toc16000931"/>
      <w:r>
        <w:t>2.3 Foreign Direct investment (FDI)</w:t>
      </w:r>
      <w:bookmarkEnd w:id="4902"/>
      <w:bookmarkEnd w:id="4903"/>
      <w:bookmarkEnd w:id="4904"/>
      <w:bookmarkEnd w:id="4905"/>
      <w:bookmarkEnd w:id="4906"/>
      <w:bookmarkEnd w:id="4907"/>
      <w:bookmarkEnd w:id="4908"/>
      <w:bookmarkEnd w:id="4909"/>
      <w:bookmarkEnd w:id="4910"/>
      <w:bookmarkEnd w:id="4911"/>
      <w:bookmarkEnd w:id="4912"/>
      <w:bookmarkEnd w:id="4913"/>
    </w:p>
    <w:p>
      <w:pPr>
        <w:jc w:val="both"/>
        <w:rPr>
          <w:noProof/>
          <w:lang w:eastAsia="en-GB"/>
        </w:rPr>
      </w:pPr>
      <w:r>
        <w:rPr>
          <w:noProof/>
          <w:lang w:eastAsia="en-GB"/>
        </w:rPr>
        <w:t>The EPA with the Pacific countries does not include provisions on investment. In 2017, EU foreign direct investment stocks in Papua New Guinea stood at €1.680 billion, with new outward investments of €737 million. FDI stocks in Fiji were €169 million, with outward FDI flows of -€43 million, in 2017.</w:t>
      </w:r>
    </w:p>
    <w:p>
      <w:pPr>
        <w:jc w:val="both"/>
        <w:rPr>
          <w:noProof/>
          <w:lang w:eastAsia="en-GB"/>
        </w:rPr>
      </w:pPr>
    </w:p>
    <w:p>
      <w:pPr>
        <w:jc w:val="both"/>
        <w:rPr>
          <w:noProof/>
          <w:lang w:eastAsia="en-GB"/>
        </w:rPr>
      </w:pPr>
      <w:r>
        <w:rPr>
          <w:noProof/>
          <w:lang w:eastAsia="en-GB"/>
        </w:rPr>
        <w:t>In PNG, most EU FDI remains tied to the mining and petroleum sector, as well as the construction sector. However, in the past 10 years, FDI in manufacturing has risen, as well as wholesale and retail. The main investors are from the Netherlands, UK, France, Spain and Denmark (Source: PNG Investment Promotion Authority). In 2018, a new investment project in liquid natural gas (LNG) was announced, led by French company Total. A formal agreement was signed in April 2019 with total investment of around €13 billion. Production is expected to start in 2024.</w:t>
      </w:r>
      <w:r>
        <w:rPr>
          <w:rStyle w:val="FootnoteReference"/>
          <w:noProof/>
          <w:lang w:eastAsia="en-GB"/>
        </w:rPr>
        <w:footnoteReference w:id="131"/>
      </w:r>
      <w:r>
        <w:rPr>
          <w:noProof/>
          <w:lang w:eastAsia="en-GB"/>
        </w:rPr>
        <w:t xml:space="preserve"> </w:t>
      </w:r>
    </w:p>
    <w:p>
      <w:pPr>
        <w:jc w:val="both"/>
        <w:rPr>
          <w:noProof/>
          <w:lang w:eastAsia="en-GB"/>
        </w:rPr>
      </w:pPr>
    </w:p>
    <w:p>
      <w:pPr>
        <w:jc w:val="both"/>
        <w:rPr>
          <w:noProof/>
          <w:lang w:eastAsia="en-GB"/>
        </w:rPr>
      </w:pPr>
      <w:r>
        <w:rPr>
          <w:noProof/>
          <w:lang w:eastAsia="en-GB"/>
        </w:rPr>
        <w:t>As identified in previous reports, the EPA has given rise to significant foreign and domestic investment in the fish processing sectors in PNG. A number of new and expanded canneries are making use of the global sourcing provision in the EPA, which allows PNG to source fish (mostly tuna) from third countries, process it on its shores (mostly canning) and export it duty free to the EU. According to the government, investment in factories and other facilities have greatly increased the volume of production with capacity now at 2,000 metric tons of fish per day, contributing to around 40,000 jobs; women accounting for 90% of these jobs.</w:t>
      </w:r>
      <w:r>
        <w:rPr>
          <w:rStyle w:val="FootnoteReference"/>
          <w:noProof/>
          <w:lang w:eastAsia="en-GB"/>
        </w:rPr>
        <w:footnoteReference w:id="132"/>
      </w:r>
    </w:p>
    <w:p>
      <w:pPr>
        <w:jc w:val="both"/>
        <w:rPr>
          <w:noProof/>
          <w:highlight w:val="yellow"/>
          <w:lang w:eastAsia="en-GB"/>
        </w:rPr>
      </w:pPr>
    </w:p>
    <w:p>
      <w:pPr>
        <w:jc w:val="both"/>
        <w:rPr>
          <w:noProof/>
          <w:lang w:eastAsia="en-GB"/>
        </w:rPr>
      </w:pPr>
      <w:r>
        <w:rPr>
          <w:noProof/>
          <w:lang w:eastAsia="en-GB"/>
        </w:rPr>
        <w:t xml:space="preserve">In Fiji, there is significant French investment, mostly in banking and retail services, as well as fuel supply, storage and distribution. </w:t>
      </w:r>
    </w:p>
    <w:p>
      <w:pPr>
        <w:pStyle w:val="ManualHeading1"/>
      </w:pPr>
      <w:bookmarkStart w:id="4914" w:name="_Toc8833868"/>
      <w:bookmarkStart w:id="4915" w:name="_Toc8835695"/>
      <w:bookmarkStart w:id="4916" w:name="_Toc8834326"/>
      <w:bookmarkStart w:id="4917" w:name="_Toc8909787"/>
      <w:bookmarkStart w:id="4918" w:name="_Toc8910999"/>
      <w:bookmarkStart w:id="4919" w:name="_Toc8912036"/>
      <w:bookmarkStart w:id="4920" w:name="_Toc8974857"/>
      <w:bookmarkStart w:id="4921" w:name="_Toc9008510"/>
      <w:bookmarkStart w:id="4922" w:name="_Toc9008913"/>
      <w:bookmarkStart w:id="4923" w:name="_Toc9348909"/>
      <w:bookmarkStart w:id="4924" w:name="_Toc9608377"/>
      <w:bookmarkStart w:id="4925" w:name="_Toc16000932"/>
      <w:r>
        <w:t>3.</w:t>
      </w:r>
      <w:r>
        <w:tab/>
        <w:t>Issues addressed in the EPA Committee meetings</w:t>
      </w:r>
      <w:bookmarkEnd w:id="4914"/>
      <w:bookmarkEnd w:id="4915"/>
      <w:bookmarkEnd w:id="4916"/>
      <w:bookmarkEnd w:id="4917"/>
      <w:bookmarkEnd w:id="4918"/>
      <w:bookmarkEnd w:id="4919"/>
      <w:bookmarkEnd w:id="4920"/>
      <w:bookmarkEnd w:id="4921"/>
      <w:bookmarkEnd w:id="4922"/>
      <w:bookmarkEnd w:id="4923"/>
      <w:bookmarkEnd w:id="4924"/>
      <w:bookmarkEnd w:id="4925"/>
    </w:p>
    <w:p>
      <w:pPr>
        <w:jc w:val="both"/>
        <w:rPr>
          <w:noProof/>
        </w:rPr>
      </w:pPr>
      <w:r>
        <w:rPr>
          <w:noProof/>
        </w:rPr>
        <w:t xml:space="preserve">Six meetings of the Trade Committee established under the EPA have taken place between the Parties to the Agreement. During the latest Committee meeting in October 2018, the parties discussed the state of play of EPA implementation (particularly PNG and Fiji's tariff schedules) and ratification, the rules of procedure and the arbitrators’ code of conduct. Parties also examined other outstanding decisions, namely on the accession of Croatia and rules of origin (amendments of Annexes II and VIII to Protocol II as regards the update of the tariff classification and the list of OCTs). Other topics under discussion were monitoring and evaluation, trade and sustainable development issues (fisheries management and regulations, progress on labour issues, environmental protection reforms, etc.) and possible areas for deepening cooperation under the EPA on these matters. Communication (dissemination and outreach) and development cooperation were also discussed.  </w:t>
      </w:r>
    </w:p>
    <w:p>
      <w:pPr>
        <w:jc w:val="both"/>
        <w:rPr>
          <w:noProof/>
        </w:rPr>
      </w:pPr>
    </w:p>
    <w:p>
      <w:pPr>
        <w:jc w:val="both"/>
        <w:rPr>
          <w:noProof/>
          <w:highlight w:val="yellow"/>
        </w:rPr>
      </w:pPr>
      <w:r>
        <w:rPr>
          <w:noProof/>
        </w:rPr>
        <w:t>Parties furthermore exchanged views on the way forward of developing the EPA, including current and future accessions of other interested parties, and related technical modifications to the Agreement. Solomon Islands and Tonga were invited and participated as observers to the Committee meeting.</w:t>
      </w:r>
    </w:p>
    <w:p>
      <w:pPr>
        <w:pStyle w:val="ManualHeading1"/>
      </w:pPr>
      <w:bookmarkStart w:id="4926" w:name="_Toc8833869"/>
      <w:bookmarkStart w:id="4927" w:name="_Toc8835696"/>
      <w:bookmarkStart w:id="4928" w:name="_Toc8834327"/>
      <w:bookmarkStart w:id="4929" w:name="_Toc8909788"/>
      <w:bookmarkStart w:id="4930" w:name="_Toc8911000"/>
      <w:bookmarkStart w:id="4931" w:name="_Toc8912037"/>
      <w:bookmarkStart w:id="4932" w:name="_Toc8974858"/>
      <w:bookmarkStart w:id="4933" w:name="_Toc9008511"/>
      <w:bookmarkStart w:id="4934" w:name="_Toc9008914"/>
      <w:bookmarkStart w:id="4935" w:name="_Toc9348910"/>
      <w:bookmarkStart w:id="4936" w:name="_Toc9608378"/>
      <w:bookmarkStart w:id="4937" w:name="_Toc16000933"/>
      <w:r>
        <w:t>4.</w:t>
      </w:r>
      <w:r>
        <w:tab/>
        <w:t>Development Cooperation</w:t>
      </w:r>
      <w:bookmarkEnd w:id="4926"/>
      <w:bookmarkEnd w:id="4927"/>
      <w:bookmarkEnd w:id="4928"/>
      <w:bookmarkEnd w:id="4929"/>
      <w:bookmarkEnd w:id="4930"/>
      <w:bookmarkEnd w:id="4931"/>
      <w:bookmarkEnd w:id="4932"/>
      <w:bookmarkEnd w:id="4933"/>
      <w:bookmarkEnd w:id="4934"/>
      <w:bookmarkEnd w:id="4935"/>
      <w:bookmarkEnd w:id="4936"/>
      <w:bookmarkEnd w:id="4937"/>
    </w:p>
    <w:p>
      <w:pPr>
        <w:jc w:val="both"/>
        <w:rPr>
          <w:noProof/>
        </w:rPr>
      </w:pPr>
      <w:r>
        <w:rPr>
          <w:noProof/>
        </w:rPr>
        <w:t>Development cooperation is essential for EPA implementation, although it is not formally part of the Pacific-EU EPA. Under the Pacific Regional Indicative Programme of the 11</w:t>
      </w:r>
      <w:r>
        <w:rPr>
          <w:noProof/>
          <w:vertAlign w:val="superscript"/>
        </w:rPr>
        <w:t>th</w:t>
      </w:r>
      <w:r>
        <w:rPr>
          <w:noProof/>
        </w:rPr>
        <w:t xml:space="preserve"> European Development Fund (EDF), €37 million were allocated to trade and private sector development, aiming at strengthening the business enabling environment and regional economic integration in the Pacific, through trade facilitation in particular. Acceding and implementing EPA countries will be supported to take advantage of the EPA opportunities.</w:t>
      </w:r>
    </w:p>
    <w:p>
      <w:pPr>
        <w:jc w:val="both"/>
        <w:rPr>
          <w:noProof/>
        </w:rPr>
      </w:pPr>
    </w:p>
    <w:p>
      <w:pPr>
        <w:jc w:val="both"/>
        <w:rPr>
          <w:noProof/>
        </w:rPr>
      </w:pPr>
      <w:r>
        <w:rPr>
          <w:noProof/>
        </w:rPr>
        <w:t>At bilateral level, focal areas of EU Aid for Trade include agriculture (mainly Melanesian countries), energy (Micronesian countries), fisheries and waste management. In Fiji, focal areas include agriculture/sugar, with a budget support sector reform contract, also contributing to trade-related adjustment.</w:t>
      </w:r>
    </w:p>
    <w:p>
      <w:pPr>
        <w:jc w:val="both"/>
        <w:rPr>
          <w:noProof/>
        </w:rPr>
      </w:pPr>
    </w:p>
    <w:p>
      <w:pPr>
        <w:jc w:val="both"/>
        <w:rPr>
          <w:noProof/>
        </w:rPr>
      </w:pPr>
      <w:r>
        <w:rPr>
          <w:noProof/>
        </w:rPr>
        <w:t xml:space="preserve">In PNG, the second phase of a Trade Related Assistance Programme finished in 2018. The project focused on institutional reform and capacity building, trade policy development and trade facilitation. The project supported the PNG government to draft its first national trade policy paper, as well as a range of trade legislation, such as on trade defence. In 2017-2018, 450 public and private stakeholders attended training courses on topics ranging from trade policy analysis to export promotion and SPS measures. For example, a training course for 44 food safety inspectors lead to a review of existing legislation on food safety and the drafting of Memorandum of Understandings between implementing agencies. The project has started supplying five public laboratories with specialised equipment to improve effectiveness and efficiency of food quality and food safety testing.  </w:t>
      </w:r>
    </w:p>
    <w:p>
      <w:pPr>
        <w:jc w:val="both"/>
        <w:rPr>
          <w:noProof/>
        </w:rPr>
      </w:pPr>
    </w:p>
    <w:p>
      <w:pPr>
        <w:jc w:val="both"/>
        <w:rPr>
          <w:noProof/>
        </w:rPr>
      </w:pPr>
      <w:r>
        <w:rPr>
          <w:noProof/>
        </w:rPr>
        <w:t>In the past years, the EU also provided assistance on customs and trade-related matters via intra-ACP programmes (Hub &amp; Spokes II and TradeCom II), helping Pacific countries for example to conduct trade needs assessments and develop trade policy frameworks as well as national trade policy consultation mechanisms. The EU provided targeted support to the authorities of Samoa, Solomon Islands and Tonga during the process of accession and preparation for EPA implementation, with a view to extending EPA benefits to them.</w:t>
      </w:r>
    </w:p>
    <w:p>
      <w:pPr>
        <w:pStyle w:val="ManualHeading1"/>
      </w:pPr>
      <w:bookmarkStart w:id="4938" w:name="_Toc8833870"/>
      <w:bookmarkStart w:id="4939" w:name="_Toc8835697"/>
      <w:bookmarkStart w:id="4940" w:name="_Toc8834328"/>
      <w:bookmarkStart w:id="4941" w:name="_Toc8909789"/>
      <w:bookmarkStart w:id="4942" w:name="_Toc8911001"/>
      <w:bookmarkStart w:id="4943" w:name="_Toc8912038"/>
      <w:bookmarkStart w:id="4944" w:name="_Toc8974859"/>
      <w:bookmarkStart w:id="4945" w:name="_Toc9008512"/>
      <w:bookmarkStart w:id="4946" w:name="_Toc9008915"/>
      <w:bookmarkStart w:id="4947" w:name="_Toc9348911"/>
      <w:bookmarkStart w:id="4948" w:name="_Toc9608379"/>
      <w:bookmarkStart w:id="4949" w:name="_Toc16000934"/>
      <w:r>
        <w:t>5.</w:t>
      </w:r>
      <w:r>
        <w:tab/>
        <w:t>Progress made, main open issues and follow-up actions</w:t>
      </w:r>
      <w:bookmarkEnd w:id="4938"/>
      <w:bookmarkEnd w:id="4939"/>
      <w:bookmarkEnd w:id="4940"/>
      <w:bookmarkEnd w:id="4941"/>
      <w:bookmarkEnd w:id="4942"/>
      <w:bookmarkEnd w:id="4943"/>
      <w:bookmarkEnd w:id="4944"/>
      <w:bookmarkEnd w:id="4945"/>
      <w:bookmarkEnd w:id="4946"/>
      <w:bookmarkEnd w:id="4947"/>
      <w:bookmarkEnd w:id="4948"/>
      <w:bookmarkEnd w:id="4949"/>
    </w:p>
    <w:p>
      <w:pPr>
        <w:jc w:val="both"/>
        <w:rPr>
          <w:noProof/>
        </w:rPr>
      </w:pPr>
      <w:r>
        <w:rPr>
          <w:noProof/>
        </w:rPr>
        <w:t xml:space="preserve">Samoa acceded the EPA at the end of 2018 and the procedures for the accession of Solomon Islands and Tonga are expected to be completed by the end of 2019. </w:t>
      </w:r>
    </w:p>
    <w:p>
      <w:pPr>
        <w:jc w:val="both"/>
        <w:rPr>
          <w:noProof/>
        </w:rPr>
      </w:pPr>
    </w:p>
    <w:p>
      <w:pPr>
        <w:jc w:val="both"/>
        <w:rPr>
          <w:noProof/>
        </w:rPr>
      </w:pPr>
      <w:r>
        <w:rPr>
          <w:noProof/>
        </w:rPr>
        <w:t>Vanuatu will graduate from Least Developed Countries (LDC) status in 2020, and the date of graduation of Kiribati and Tuvalu will be decided in 2021. Upon graduation from LDC status, these countries will lose the EU's Everything-But-Arms (EBA) preferences. They will fall under the less generous General Scheme of Preferences (GSP) unless they decide to accede to the current EU EPA with PNG, Fiji and Samoa. The Parties to the Agreement are open to consider each country's accession. Vanuatu has already indicated its interest to join the EPA if there is a Services Chapter.</w:t>
      </w:r>
    </w:p>
    <w:p>
      <w:pPr>
        <w:jc w:val="both"/>
        <w:rPr>
          <w:noProof/>
        </w:rPr>
      </w:pPr>
    </w:p>
    <w:p>
      <w:pPr>
        <w:jc w:val="both"/>
        <w:rPr>
          <w:noProof/>
        </w:rPr>
      </w:pPr>
      <w:r>
        <w:rPr>
          <w:noProof/>
        </w:rPr>
        <w:t>The Pacific countries have raised the importance of services for their economies and asked to initiate discussions to examine the specific market access commitments for a possible Services Chapter. The Parties are open to consider the issue once the ongoing accession procedures are over.</w:t>
      </w:r>
    </w:p>
    <w:p>
      <w:pPr>
        <w:pStyle w:val="ManualHeading1"/>
      </w:pPr>
      <w:bookmarkStart w:id="4950" w:name="_Toc8833871"/>
      <w:bookmarkStart w:id="4951" w:name="_Toc8835698"/>
      <w:bookmarkStart w:id="4952" w:name="_Toc8834329"/>
      <w:bookmarkStart w:id="4953" w:name="_Toc8909790"/>
      <w:bookmarkStart w:id="4954" w:name="_Toc8911002"/>
      <w:bookmarkStart w:id="4955" w:name="_Toc8912039"/>
      <w:bookmarkStart w:id="4956" w:name="_Toc8974860"/>
      <w:bookmarkStart w:id="4957" w:name="_Toc9008513"/>
      <w:bookmarkStart w:id="4958" w:name="_Toc9008916"/>
      <w:bookmarkStart w:id="4959" w:name="_Toc9348912"/>
      <w:bookmarkStart w:id="4960" w:name="_Toc9608380"/>
      <w:bookmarkStart w:id="4961" w:name="_Toc16000935"/>
      <w:r>
        <w:t>6.</w:t>
      </w:r>
      <w:r>
        <w:tab/>
        <w:t>Conclusions and outlook</w:t>
      </w:r>
      <w:bookmarkEnd w:id="4950"/>
      <w:bookmarkEnd w:id="4951"/>
      <w:bookmarkEnd w:id="4952"/>
      <w:bookmarkEnd w:id="4953"/>
      <w:bookmarkEnd w:id="4954"/>
      <w:bookmarkEnd w:id="4955"/>
      <w:bookmarkEnd w:id="4956"/>
      <w:bookmarkEnd w:id="4957"/>
      <w:bookmarkEnd w:id="4958"/>
      <w:bookmarkEnd w:id="4959"/>
      <w:bookmarkEnd w:id="4960"/>
      <w:bookmarkEnd w:id="4961"/>
    </w:p>
    <w:p>
      <w:pPr>
        <w:jc w:val="both"/>
        <w:rPr>
          <w:noProof/>
        </w:rPr>
      </w:pPr>
      <w:r>
        <w:rPr>
          <w:noProof/>
        </w:rPr>
        <w:t xml:space="preserve">EPA implementation and accession are top priorities, with Fiji still to ratify, PNG having made all its tariff cuts and now seeking to extend export diversification beyond the fisheries sector, Samoa following suite and other Pacific States (Solomon Islands and Tonga) seeking to accede to the Agreement. </w:t>
      </w:r>
    </w:p>
    <w:p>
      <w:pPr>
        <w:pStyle w:val="ManualHeading1"/>
      </w:pPr>
      <w:bookmarkStart w:id="4962" w:name="_Toc8833872"/>
      <w:bookmarkStart w:id="4963" w:name="_Toc8835699"/>
      <w:bookmarkStart w:id="4964" w:name="_Toc8834330"/>
      <w:bookmarkStart w:id="4965" w:name="_Toc8909791"/>
      <w:bookmarkStart w:id="4966" w:name="_Toc8911003"/>
      <w:bookmarkStart w:id="4967" w:name="_Toc8912040"/>
      <w:bookmarkStart w:id="4968" w:name="_Toc8974861"/>
      <w:bookmarkStart w:id="4969" w:name="_Toc9008514"/>
      <w:bookmarkStart w:id="4970" w:name="_Toc9008917"/>
      <w:bookmarkStart w:id="4971" w:name="_Toc9348913"/>
      <w:bookmarkStart w:id="4972" w:name="_Toc9608381"/>
      <w:bookmarkStart w:id="4973" w:name="_Toc16000936"/>
      <w:r>
        <w:t>7.</w:t>
      </w:r>
      <w:r>
        <w:tab/>
        <w:t>Statistics</w:t>
      </w:r>
      <w:bookmarkEnd w:id="4962"/>
      <w:bookmarkEnd w:id="4963"/>
      <w:bookmarkEnd w:id="4964"/>
      <w:bookmarkEnd w:id="4965"/>
      <w:bookmarkEnd w:id="4966"/>
      <w:bookmarkEnd w:id="4967"/>
      <w:bookmarkEnd w:id="4968"/>
      <w:bookmarkEnd w:id="4969"/>
      <w:bookmarkEnd w:id="4970"/>
      <w:bookmarkEnd w:id="4971"/>
      <w:bookmarkEnd w:id="4972"/>
      <w:bookmarkEnd w:id="4973"/>
    </w:p>
    <w:p>
      <w:pPr>
        <w:rPr>
          <w:noProof/>
        </w:rPr>
      </w:pPr>
    </w:p>
    <w:tbl>
      <w:tblPr>
        <w:tblW w:w="9180" w:type="dxa"/>
        <w:tblInd w:w="108" w:type="dxa"/>
        <w:tblLook w:val="04A0" w:firstRow="1" w:lastRow="0" w:firstColumn="1" w:lastColumn="0" w:noHBand="0" w:noVBand="1"/>
      </w:tblPr>
      <w:tblGrid>
        <w:gridCol w:w="5294"/>
        <w:gridCol w:w="778"/>
        <w:gridCol w:w="777"/>
        <w:gridCol w:w="777"/>
        <w:gridCol w:w="777"/>
        <w:gridCol w:w="777"/>
      </w:tblGrid>
      <w:tr>
        <w:trPr>
          <w:trHeight w:val="210"/>
        </w:trPr>
        <w:tc>
          <w:tcPr>
            <w:tcW w:w="9180"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Merchandise trade EU28 2014-2018</w:t>
            </w:r>
          </w:p>
        </w:tc>
      </w:tr>
      <w:tr>
        <w:trPr>
          <w:trHeight w:val="210"/>
        </w:trPr>
        <w:tc>
          <w:tcPr>
            <w:tcW w:w="5294" w:type="dxa"/>
            <w:tcBorders>
              <w:top w:val="single" w:sz="4" w:space="0" w:color="auto"/>
              <w:left w:val="nil"/>
              <w:bottom w:val="single" w:sz="4" w:space="0" w:color="auto"/>
              <w:right w:val="nil"/>
            </w:tcBorders>
            <w:shd w:val="clear" w:color="000000" w:fill="FFFFFF"/>
            <w:noWrap/>
            <w:vAlign w:val="bottom"/>
            <w:hideMark/>
          </w:tcPr>
          <w:p>
            <w:pPr>
              <w:rPr>
                <w:rFonts w:eastAsia="Times New Roman"/>
                <w:b/>
                <w:bCs/>
                <w:noProof/>
                <w:sz w:val="16"/>
                <w:szCs w:val="16"/>
                <w:lang w:val="en-IE" w:eastAsia="en-IE"/>
              </w:rPr>
            </w:pPr>
            <w:r>
              <w:rPr>
                <w:rFonts w:eastAsia="Times New Roman"/>
                <w:b/>
                <w:bCs/>
                <w:noProof/>
                <w:sz w:val="16"/>
                <w:szCs w:val="16"/>
                <w:lang w:val="en-IE" w:eastAsia="en-IE"/>
              </w:rPr>
              <w:t> </w:t>
            </w:r>
          </w:p>
        </w:tc>
        <w:tc>
          <w:tcPr>
            <w:tcW w:w="778"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2014</w:t>
            </w:r>
          </w:p>
        </w:tc>
        <w:tc>
          <w:tcPr>
            <w:tcW w:w="777"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2015</w:t>
            </w:r>
          </w:p>
        </w:tc>
        <w:tc>
          <w:tcPr>
            <w:tcW w:w="777"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2016</w:t>
            </w:r>
          </w:p>
        </w:tc>
        <w:tc>
          <w:tcPr>
            <w:tcW w:w="777"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777" w:type="dxa"/>
            <w:tcBorders>
              <w:top w:val="single" w:sz="4" w:space="0" w:color="auto"/>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r>
      <w:tr>
        <w:trPr>
          <w:trHeight w:val="210"/>
        </w:trPr>
        <w:tc>
          <w:tcPr>
            <w:tcW w:w="5294" w:type="dxa"/>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EU28 trade with EPA (interim) Pacific countries (mio €)</w:t>
            </w:r>
          </w:p>
        </w:tc>
        <w:tc>
          <w:tcPr>
            <w:tcW w:w="778"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n-IE" w:eastAsia="en-IE"/>
              </w:rPr>
            </w:pPr>
          </w:p>
        </w:tc>
        <w:tc>
          <w:tcPr>
            <w:tcW w:w="777"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777"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777"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777"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r>
      <w:tr>
        <w:trPr>
          <w:trHeight w:val="210"/>
        </w:trPr>
        <w:tc>
          <w:tcPr>
            <w:tcW w:w="529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77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893</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833</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746</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992</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915</w:t>
            </w:r>
          </w:p>
        </w:tc>
      </w:tr>
      <w:tr>
        <w:trPr>
          <w:trHeight w:val="210"/>
        </w:trPr>
        <w:tc>
          <w:tcPr>
            <w:tcW w:w="529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77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235</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342</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279</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228</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194</w:t>
            </w:r>
          </w:p>
        </w:tc>
      </w:tr>
      <w:tr>
        <w:trPr>
          <w:trHeight w:val="210"/>
        </w:trPr>
        <w:tc>
          <w:tcPr>
            <w:tcW w:w="529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77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-658</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-491</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-468</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-764</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-721</w:t>
            </w:r>
          </w:p>
        </w:tc>
      </w:tr>
      <w:tr>
        <w:trPr>
          <w:trHeight w:val="210"/>
        </w:trPr>
        <w:tc>
          <w:tcPr>
            <w:tcW w:w="5294" w:type="dxa"/>
            <w:tcBorders>
              <w:top w:val="nil"/>
              <w:left w:val="nil"/>
              <w:bottom w:val="nil"/>
              <w:right w:val="nil"/>
            </w:tcBorders>
            <w:shd w:val="clear" w:color="000000" w:fill="FFFFFF"/>
            <w:noWrap/>
            <w:vAlign w:val="center"/>
            <w:hideMark/>
          </w:tcPr>
          <w:p>
            <w:pPr>
              <w:jc w:val="center"/>
              <w:rPr>
                <w:rFonts w:eastAsia="Times New Roman"/>
                <w:b/>
                <w:bCs/>
                <w:i/>
                <w:iCs/>
                <w:noProof/>
                <w:sz w:val="16"/>
                <w:szCs w:val="16"/>
                <w:lang w:val="en-IE" w:eastAsia="en-IE"/>
              </w:rPr>
            </w:pPr>
            <w:r>
              <w:rPr>
                <w:rFonts w:eastAsia="Times New Roman"/>
                <w:b/>
                <w:bCs/>
                <w:i/>
                <w:iCs/>
                <w:noProof/>
                <w:sz w:val="16"/>
                <w:szCs w:val="16"/>
                <w:lang w:val="en-IE" w:eastAsia="en-IE"/>
              </w:rPr>
              <w:t>Share EPA (interim) Pacific countries in EU28 trade with Extra-EU28</w:t>
            </w:r>
          </w:p>
        </w:tc>
        <w:tc>
          <w:tcPr>
            <w:tcW w:w="778" w:type="dxa"/>
            <w:tcBorders>
              <w:top w:val="nil"/>
              <w:left w:val="nil"/>
              <w:bottom w:val="nil"/>
              <w:right w:val="nil"/>
            </w:tcBorders>
            <w:shd w:val="clear" w:color="auto" w:fill="auto"/>
            <w:noWrap/>
            <w:vAlign w:val="center"/>
            <w:hideMark/>
          </w:tcPr>
          <w:p>
            <w:pPr>
              <w:jc w:val="center"/>
              <w:rPr>
                <w:rFonts w:eastAsia="Times New Roman"/>
                <w:b/>
                <w:bCs/>
                <w:i/>
                <w:iCs/>
                <w:noProof/>
                <w:sz w:val="16"/>
                <w:szCs w:val="16"/>
                <w:lang w:val="en-IE" w:eastAsia="en-IE"/>
              </w:rPr>
            </w:pPr>
          </w:p>
        </w:tc>
        <w:tc>
          <w:tcPr>
            <w:tcW w:w="777"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777"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777"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c>
          <w:tcPr>
            <w:tcW w:w="777" w:type="dxa"/>
            <w:tcBorders>
              <w:top w:val="nil"/>
              <w:left w:val="nil"/>
              <w:bottom w:val="nil"/>
              <w:right w:val="nil"/>
            </w:tcBorders>
            <w:shd w:val="clear" w:color="000000" w:fill="FFFFFF"/>
            <w:noWrap/>
            <w:vAlign w:val="center"/>
            <w:hideMark/>
          </w:tcPr>
          <w:p>
            <w:pPr>
              <w:rPr>
                <w:rFonts w:eastAsia="Times New Roman"/>
                <w:b/>
                <w:bCs/>
                <w:i/>
                <w:iCs/>
                <w:noProof/>
                <w:sz w:val="16"/>
                <w:szCs w:val="16"/>
                <w:lang w:val="en-IE" w:eastAsia="en-IE"/>
              </w:rPr>
            </w:pPr>
            <w:r>
              <w:rPr>
                <w:rFonts w:eastAsia="Times New Roman"/>
                <w:b/>
                <w:bCs/>
                <w:i/>
                <w:iCs/>
                <w:noProof/>
                <w:sz w:val="16"/>
                <w:szCs w:val="16"/>
                <w:lang w:val="en-IE" w:eastAsia="en-IE"/>
              </w:rPr>
              <w:t> </w:t>
            </w:r>
          </w:p>
        </w:tc>
      </w:tr>
      <w:tr>
        <w:trPr>
          <w:trHeight w:val="210"/>
        </w:trPr>
        <w:tc>
          <w:tcPr>
            <w:tcW w:w="529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77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0,1%</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r>
      <w:tr>
        <w:trPr>
          <w:trHeight w:val="210"/>
        </w:trPr>
        <w:tc>
          <w:tcPr>
            <w:tcW w:w="529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77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r>
      <w:tr>
        <w:trPr>
          <w:trHeight w:val="210"/>
        </w:trPr>
        <w:tc>
          <w:tcPr>
            <w:tcW w:w="529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(I+E)</w:t>
            </w:r>
          </w:p>
        </w:tc>
        <w:tc>
          <w:tcPr>
            <w:tcW w:w="778"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0,0%</w:t>
            </w:r>
          </w:p>
        </w:tc>
      </w:tr>
      <w:tr>
        <w:trPr>
          <w:trHeight w:val="225"/>
        </w:trPr>
        <w:tc>
          <w:tcPr>
            <w:tcW w:w="6849" w:type="dxa"/>
            <w:gridSpan w:val="3"/>
            <w:tcBorders>
              <w:top w:val="single" w:sz="4" w:space="0" w:color="auto"/>
              <w:left w:val="nil"/>
              <w:bottom w:val="nil"/>
              <w:right w:val="nil"/>
            </w:tcBorders>
            <w:shd w:val="clear" w:color="000000" w:fill="FFFFFF"/>
            <w:noWrap/>
            <w:vAlign w:val="bottom"/>
            <w:hideMark/>
          </w:tcPr>
          <w:p>
            <w:pPr>
              <w:rPr>
                <w:rFonts w:eastAsia="Times New Roman"/>
                <w:noProof/>
                <w:sz w:val="12"/>
                <w:szCs w:val="12"/>
                <w:lang w:val="en-IE" w:eastAsia="en-IE"/>
              </w:rPr>
            </w:pPr>
            <w:r>
              <w:rPr>
                <w:rFonts w:eastAsia="Times New Roman"/>
                <w:noProof/>
                <w:sz w:val="12"/>
                <w:szCs w:val="12"/>
                <w:lang w:val="en-IE" w:eastAsia="en-IE"/>
              </w:rPr>
              <w:t xml:space="preserve">Source Trade G2 Statistics/ISDB </w:t>
            </w:r>
          </w:p>
        </w:tc>
        <w:tc>
          <w:tcPr>
            <w:tcW w:w="777"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777" w:type="dxa"/>
            <w:tcBorders>
              <w:top w:val="single" w:sz="4" w:space="0" w:color="auto"/>
              <w:left w:val="nil"/>
              <w:bottom w:val="nil"/>
              <w:right w:val="nil"/>
            </w:tcBorders>
            <w:shd w:val="clear" w:color="000000" w:fill="FFFFFF"/>
            <w:noWrap/>
            <w:vAlign w:val="bottom"/>
            <w:hideMark/>
          </w:tcPr>
          <w:p>
            <w:pPr>
              <w:jc w:val="center"/>
              <w:rPr>
                <w:rFonts w:eastAsia="Times New Roman"/>
                <w:noProof/>
                <w:sz w:val="18"/>
                <w:szCs w:val="18"/>
                <w:lang w:val="en-IE" w:eastAsia="en-IE"/>
              </w:rPr>
            </w:pPr>
            <w:r>
              <w:rPr>
                <w:rFonts w:eastAsia="Times New Roman"/>
                <w:noProof/>
                <w:sz w:val="18"/>
                <w:szCs w:val="18"/>
                <w:lang w:val="en-IE" w:eastAsia="en-IE"/>
              </w:rPr>
              <w:t> </w:t>
            </w:r>
          </w:p>
        </w:tc>
        <w:tc>
          <w:tcPr>
            <w:tcW w:w="777" w:type="dxa"/>
            <w:tcBorders>
              <w:top w:val="single" w:sz="4" w:space="0" w:color="auto"/>
              <w:left w:val="nil"/>
              <w:bottom w:val="nil"/>
              <w:right w:val="nil"/>
            </w:tcBorders>
            <w:shd w:val="clear" w:color="000000" w:fill="FFFFFF"/>
            <w:noWrap/>
            <w:hideMark/>
          </w:tcPr>
          <w:p>
            <w:pPr>
              <w:jc w:val="right"/>
              <w:rPr>
                <w:rFonts w:eastAsia="Times New Roman"/>
                <w:noProof/>
                <w:sz w:val="12"/>
                <w:szCs w:val="12"/>
                <w:lang w:val="en-IE" w:eastAsia="en-IE"/>
              </w:rPr>
            </w:pPr>
            <w:r>
              <w:rPr>
                <w:rFonts w:eastAsia="Times New Roman"/>
                <w:noProof/>
                <w:sz w:val="12"/>
                <w:szCs w:val="12"/>
                <w:lang w:val="en-IE" w:eastAsia="en-IE"/>
              </w:rPr>
              <w:t>25-mars-19</w:t>
            </w:r>
          </w:p>
        </w:tc>
      </w:tr>
      <w:tr>
        <w:trPr>
          <w:trHeight w:val="210"/>
        </w:trPr>
        <w:tc>
          <w:tcPr>
            <w:tcW w:w="9180" w:type="dxa"/>
            <w:gridSpan w:val="6"/>
            <w:tcBorders>
              <w:top w:val="nil"/>
              <w:left w:val="nil"/>
              <w:bottom w:val="nil"/>
              <w:right w:val="nil"/>
            </w:tcBorders>
            <w:shd w:val="clear" w:color="000000" w:fill="FFFFFF"/>
            <w:noWrap/>
            <w:hideMark/>
          </w:tcPr>
          <w:p>
            <w:pPr>
              <w:rPr>
                <w:rFonts w:eastAsia="Times New Roman"/>
                <w:noProof/>
                <w:color w:val="000000"/>
                <w:sz w:val="12"/>
                <w:szCs w:val="12"/>
                <w:lang w:val="en-IE" w:eastAsia="en-IE"/>
              </w:rPr>
            </w:pPr>
            <w:r>
              <w:rPr>
                <w:rFonts w:eastAsia="Times New Roman"/>
                <w:noProof/>
                <w:color w:val="000000"/>
                <w:sz w:val="12"/>
                <w:szCs w:val="12"/>
                <w:lang w:val="en-IE" w:eastAsia="en-IE"/>
              </w:rPr>
              <w:t>Trade EU28: Eurostat COMEXT;  Trade EPA (interim) Pacific countries: IMF Dots</w:t>
            </w:r>
          </w:p>
        </w:tc>
      </w:tr>
      <w:tr>
        <w:trPr>
          <w:trHeight w:val="210"/>
        </w:trPr>
        <w:tc>
          <w:tcPr>
            <w:tcW w:w="5294"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778"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777"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777"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777"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c>
          <w:tcPr>
            <w:tcW w:w="777" w:type="dxa"/>
            <w:tcBorders>
              <w:top w:val="nil"/>
              <w:left w:val="nil"/>
              <w:bottom w:val="nil"/>
              <w:right w:val="nil"/>
            </w:tcBorders>
            <w:shd w:val="clear" w:color="000000" w:fill="FFFFFF"/>
            <w:noWrap/>
            <w:vAlign w:val="bottom"/>
            <w:hideMark/>
          </w:tcPr>
          <w:p>
            <w:pPr>
              <w:rPr>
                <w:rFonts w:eastAsia="Times New Roman"/>
                <w:noProof/>
                <w:color w:val="000000"/>
                <w:sz w:val="16"/>
                <w:szCs w:val="16"/>
                <w:lang w:val="en-IE" w:eastAsia="en-IE"/>
              </w:rPr>
            </w:pPr>
            <w:r>
              <w:rPr>
                <w:rFonts w:eastAsia="Times New Roman"/>
                <w:noProof/>
                <w:color w:val="000000"/>
                <w:sz w:val="16"/>
                <w:szCs w:val="16"/>
                <w:lang w:val="en-IE" w:eastAsia="en-IE"/>
              </w:rPr>
              <w:t> </w:t>
            </w:r>
          </w:p>
        </w:tc>
      </w:tr>
      <w:tr>
        <w:trPr>
          <w:trHeight w:val="225"/>
        </w:trPr>
        <w:tc>
          <w:tcPr>
            <w:tcW w:w="9180"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Total merchandise trade EU28 with EPA (interim) Pacific countries (mio €)</w:t>
            </w:r>
          </w:p>
        </w:tc>
      </w:tr>
      <w:tr>
        <w:trPr>
          <w:trHeight w:val="225"/>
        </w:trPr>
        <w:tc>
          <w:tcPr>
            <w:tcW w:w="6072"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EPA (interim) Pacific countries</w:t>
            </w:r>
          </w:p>
        </w:tc>
        <w:tc>
          <w:tcPr>
            <w:tcW w:w="777"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777"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554"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6072"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777"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777"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777"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77"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529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77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992</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915</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-77</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-7,7%</w:t>
            </w:r>
          </w:p>
        </w:tc>
      </w:tr>
      <w:tr>
        <w:trPr>
          <w:trHeight w:val="225"/>
        </w:trPr>
        <w:tc>
          <w:tcPr>
            <w:tcW w:w="529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77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228</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194</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-34</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-14,9%</w:t>
            </w:r>
          </w:p>
        </w:tc>
      </w:tr>
      <w:tr>
        <w:trPr>
          <w:trHeight w:val="225"/>
        </w:trPr>
        <w:tc>
          <w:tcPr>
            <w:tcW w:w="529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77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-764</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-721</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43</w:t>
            </w:r>
          </w:p>
        </w:tc>
        <w:tc>
          <w:tcPr>
            <w:tcW w:w="77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5294"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778"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7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1.220</w:t>
            </w:r>
          </w:p>
        </w:tc>
        <w:tc>
          <w:tcPr>
            <w:tcW w:w="77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1.109</w:t>
            </w:r>
          </w:p>
        </w:tc>
        <w:tc>
          <w:tcPr>
            <w:tcW w:w="77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-111</w:t>
            </w:r>
          </w:p>
        </w:tc>
        <w:tc>
          <w:tcPr>
            <w:tcW w:w="77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-9,1%</w:t>
            </w:r>
          </w:p>
        </w:tc>
      </w:tr>
      <w:tr>
        <w:trPr>
          <w:trHeight w:val="240"/>
        </w:trPr>
        <w:tc>
          <w:tcPr>
            <w:tcW w:w="7626"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777"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777"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9180"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Agrifood trade EU28 with EPA (interim) Pacific countries (mio €)</w:t>
            </w:r>
          </w:p>
        </w:tc>
      </w:tr>
      <w:tr>
        <w:trPr>
          <w:trHeight w:val="255"/>
        </w:trPr>
        <w:tc>
          <w:tcPr>
            <w:tcW w:w="6072"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EPA (interim) Pacific countries</w:t>
            </w:r>
          </w:p>
        </w:tc>
        <w:tc>
          <w:tcPr>
            <w:tcW w:w="777"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777"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554"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6072"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777"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777"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777"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77"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529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Imports</w:t>
            </w:r>
          </w:p>
        </w:tc>
        <w:tc>
          <w:tcPr>
            <w:tcW w:w="77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699</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539</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-160</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-22,8%</w:t>
            </w:r>
          </w:p>
        </w:tc>
      </w:tr>
      <w:tr>
        <w:trPr>
          <w:trHeight w:val="225"/>
        </w:trPr>
        <w:tc>
          <w:tcPr>
            <w:tcW w:w="529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Exports</w:t>
            </w:r>
          </w:p>
        </w:tc>
        <w:tc>
          <w:tcPr>
            <w:tcW w:w="77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22</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25,6%</w:t>
            </w:r>
          </w:p>
        </w:tc>
      </w:tr>
      <w:tr>
        <w:trPr>
          <w:trHeight w:val="225"/>
        </w:trPr>
        <w:tc>
          <w:tcPr>
            <w:tcW w:w="529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77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-681</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-517</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164</w:t>
            </w:r>
          </w:p>
        </w:tc>
        <w:tc>
          <w:tcPr>
            <w:tcW w:w="77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5294" w:type="dxa"/>
            <w:tcBorders>
              <w:top w:val="nil"/>
              <w:left w:val="nil"/>
              <w:bottom w:val="single" w:sz="4" w:space="0" w:color="auto"/>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77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7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717</w:t>
            </w:r>
          </w:p>
        </w:tc>
        <w:tc>
          <w:tcPr>
            <w:tcW w:w="77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562</w:t>
            </w:r>
          </w:p>
        </w:tc>
        <w:tc>
          <w:tcPr>
            <w:tcW w:w="77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-155</w:t>
            </w:r>
          </w:p>
        </w:tc>
        <w:tc>
          <w:tcPr>
            <w:tcW w:w="77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-21,6%</w:t>
            </w:r>
          </w:p>
        </w:tc>
      </w:tr>
      <w:tr>
        <w:trPr>
          <w:trHeight w:val="240"/>
        </w:trPr>
        <w:tc>
          <w:tcPr>
            <w:tcW w:w="7626"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777"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777"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r>
        <w:trPr>
          <w:trHeight w:val="225"/>
        </w:trPr>
        <w:tc>
          <w:tcPr>
            <w:tcW w:w="9180" w:type="dxa"/>
            <w:gridSpan w:val="6"/>
            <w:tcBorders>
              <w:top w:val="nil"/>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NAMA trade EU28 with EPA (interim) Pacific countries (mio €)</w:t>
            </w:r>
          </w:p>
        </w:tc>
      </w:tr>
      <w:tr>
        <w:trPr>
          <w:trHeight w:val="225"/>
        </w:trPr>
        <w:tc>
          <w:tcPr>
            <w:tcW w:w="6072"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EPA (interim) Pacific countries</w:t>
            </w:r>
          </w:p>
        </w:tc>
        <w:tc>
          <w:tcPr>
            <w:tcW w:w="777"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2017</w:t>
            </w:r>
          </w:p>
        </w:tc>
        <w:tc>
          <w:tcPr>
            <w:tcW w:w="777"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2018</w:t>
            </w:r>
          </w:p>
        </w:tc>
        <w:tc>
          <w:tcPr>
            <w:tcW w:w="1554" w:type="dxa"/>
            <w:gridSpan w:val="2"/>
            <w:tcBorders>
              <w:top w:val="single" w:sz="4" w:space="0" w:color="auto"/>
              <w:left w:val="nil"/>
              <w:bottom w:val="nil"/>
              <w:right w:val="nil"/>
            </w:tcBorders>
            <w:shd w:val="clear" w:color="000000" w:fill="FFFFFF"/>
            <w:noWrap/>
            <w:vAlign w:val="center"/>
            <w:hideMark/>
          </w:tcPr>
          <w:p>
            <w:pPr>
              <w:jc w:val="center"/>
              <w:rPr>
                <w:rFonts w:eastAsia="Times New Roman"/>
                <w:b/>
                <w:bCs/>
                <w:noProof/>
                <w:sz w:val="16"/>
                <w:szCs w:val="16"/>
                <w:lang w:val="en-IE" w:eastAsia="en-IE"/>
              </w:rPr>
            </w:pPr>
            <w:r>
              <w:rPr>
                <w:rFonts w:eastAsia="Times New Roman"/>
                <w:b/>
                <w:bCs/>
                <w:noProof/>
                <w:sz w:val="16"/>
                <w:szCs w:val="16"/>
                <w:lang w:val="en-IE" w:eastAsia="en-IE"/>
              </w:rPr>
              <w:t>Growth</w:t>
            </w:r>
          </w:p>
        </w:tc>
      </w:tr>
      <w:tr>
        <w:trPr>
          <w:trHeight w:val="225"/>
        </w:trPr>
        <w:tc>
          <w:tcPr>
            <w:tcW w:w="6072" w:type="dxa"/>
            <w:gridSpan w:val="2"/>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777"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777" w:type="dxa"/>
            <w:vMerge/>
            <w:tcBorders>
              <w:top w:val="single" w:sz="4" w:space="0" w:color="auto"/>
              <w:left w:val="nil"/>
              <w:bottom w:val="single" w:sz="4" w:space="0" w:color="000000"/>
              <w:right w:val="nil"/>
            </w:tcBorders>
            <w:vAlign w:val="center"/>
            <w:hideMark/>
          </w:tcPr>
          <w:p>
            <w:pPr>
              <w:rPr>
                <w:rFonts w:eastAsia="Times New Roman"/>
                <w:b/>
                <w:bCs/>
                <w:noProof/>
                <w:sz w:val="16"/>
                <w:szCs w:val="16"/>
                <w:lang w:val="en-IE" w:eastAsia="en-IE"/>
              </w:rPr>
            </w:pPr>
          </w:p>
        </w:tc>
        <w:tc>
          <w:tcPr>
            <w:tcW w:w="777"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mio €</w:t>
            </w:r>
          </w:p>
        </w:tc>
        <w:tc>
          <w:tcPr>
            <w:tcW w:w="777" w:type="dxa"/>
            <w:tcBorders>
              <w:top w:val="nil"/>
              <w:left w:val="nil"/>
              <w:bottom w:val="single" w:sz="4" w:space="0" w:color="auto"/>
              <w:right w:val="nil"/>
            </w:tcBorders>
            <w:shd w:val="clear" w:color="000000" w:fill="FFFFFF"/>
            <w:noWrap/>
            <w:vAlign w:val="bottom"/>
            <w:hideMark/>
          </w:tcPr>
          <w:p>
            <w:pPr>
              <w:jc w:val="center"/>
              <w:rPr>
                <w:rFonts w:eastAsia="Times New Roman"/>
                <w:b/>
                <w:bCs/>
                <w:noProof/>
                <w:sz w:val="16"/>
                <w:szCs w:val="16"/>
                <w:lang w:val="en-IE" w:eastAsia="en-IE"/>
              </w:rPr>
            </w:pPr>
            <w:r>
              <w:rPr>
                <w:rFonts w:eastAsia="Times New Roman"/>
                <w:b/>
                <w:bCs/>
                <w:noProof/>
                <w:sz w:val="16"/>
                <w:szCs w:val="16"/>
                <w:lang w:val="en-IE" w:eastAsia="en-IE"/>
              </w:rPr>
              <w:t>annual %</w:t>
            </w:r>
          </w:p>
        </w:tc>
      </w:tr>
      <w:tr>
        <w:trPr>
          <w:trHeight w:val="225"/>
        </w:trPr>
        <w:tc>
          <w:tcPr>
            <w:tcW w:w="6072"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imports</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293</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376</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83</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28,3%</w:t>
            </w:r>
          </w:p>
        </w:tc>
      </w:tr>
      <w:tr>
        <w:trPr>
          <w:trHeight w:val="225"/>
        </w:trPr>
        <w:tc>
          <w:tcPr>
            <w:tcW w:w="6072" w:type="dxa"/>
            <w:gridSpan w:val="2"/>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EU28 exports</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210</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171</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-39</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-18,4%</w:t>
            </w:r>
          </w:p>
        </w:tc>
      </w:tr>
      <w:tr>
        <w:trPr>
          <w:trHeight w:val="225"/>
        </w:trPr>
        <w:tc>
          <w:tcPr>
            <w:tcW w:w="529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Balance</w:t>
            </w:r>
          </w:p>
        </w:tc>
        <w:tc>
          <w:tcPr>
            <w:tcW w:w="77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-83</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-204</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-122</w:t>
            </w:r>
          </w:p>
        </w:tc>
        <w:tc>
          <w:tcPr>
            <w:tcW w:w="777"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r>
      <w:tr>
        <w:trPr>
          <w:trHeight w:val="225"/>
        </w:trPr>
        <w:tc>
          <w:tcPr>
            <w:tcW w:w="5294"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Total trade</w:t>
            </w:r>
          </w:p>
        </w:tc>
        <w:tc>
          <w:tcPr>
            <w:tcW w:w="778" w:type="dxa"/>
            <w:tcBorders>
              <w:top w:val="nil"/>
              <w:left w:val="nil"/>
              <w:bottom w:val="nil"/>
              <w:right w:val="nil"/>
            </w:tcBorders>
            <w:shd w:val="clear" w:color="000000" w:fill="FFFFFF"/>
            <w:noWrap/>
            <w:vAlign w:val="bottom"/>
            <w:hideMark/>
          </w:tcPr>
          <w:p>
            <w:pPr>
              <w:rPr>
                <w:rFonts w:eastAsia="Times New Roman"/>
                <w:noProof/>
                <w:sz w:val="16"/>
                <w:szCs w:val="16"/>
                <w:lang w:val="en-IE" w:eastAsia="en-IE"/>
              </w:rPr>
            </w:pPr>
            <w:r>
              <w:rPr>
                <w:rFonts w:eastAsia="Times New Roman"/>
                <w:noProof/>
                <w:sz w:val="16"/>
                <w:szCs w:val="16"/>
                <w:lang w:val="en-IE" w:eastAsia="en-IE"/>
              </w:rPr>
              <w:t> </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503</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547</w:t>
            </w:r>
          </w:p>
        </w:tc>
        <w:tc>
          <w:tcPr>
            <w:tcW w:w="777" w:type="dxa"/>
            <w:tcBorders>
              <w:top w:val="nil"/>
              <w:left w:val="nil"/>
              <w:bottom w:val="nil"/>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44</w:t>
            </w:r>
          </w:p>
        </w:tc>
        <w:tc>
          <w:tcPr>
            <w:tcW w:w="777" w:type="dxa"/>
            <w:tcBorders>
              <w:top w:val="nil"/>
              <w:left w:val="nil"/>
              <w:bottom w:val="single" w:sz="4" w:space="0" w:color="auto"/>
              <w:right w:val="nil"/>
            </w:tcBorders>
            <w:shd w:val="clear" w:color="000000" w:fill="FFFFFF"/>
            <w:noWrap/>
            <w:vAlign w:val="bottom"/>
            <w:hideMark/>
          </w:tcPr>
          <w:p>
            <w:pPr>
              <w:jc w:val="right"/>
              <w:rPr>
                <w:rFonts w:eastAsia="Times New Roman"/>
                <w:noProof/>
                <w:sz w:val="16"/>
                <w:szCs w:val="16"/>
                <w:lang w:val="en-IE" w:eastAsia="en-IE"/>
              </w:rPr>
            </w:pPr>
            <w:r>
              <w:rPr>
                <w:rFonts w:eastAsia="Times New Roman"/>
                <w:noProof/>
                <w:sz w:val="16"/>
                <w:szCs w:val="16"/>
                <w:lang w:val="en-IE" w:eastAsia="en-IE"/>
              </w:rPr>
              <w:t>8,8%</w:t>
            </w:r>
          </w:p>
        </w:tc>
      </w:tr>
      <w:tr>
        <w:trPr>
          <w:trHeight w:val="240"/>
        </w:trPr>
        <w:tc>
          <w:tcPr>
            <w:tcW w:w="7626" w:type="dxa"/>
            <w:gridSpan w:val="4"/>
            <w:tcBorders>
              <w:top w:val="single" w:sz="4" w:space="0" w:color="auto"/>
              <w:left w:val="nil"/>
              <w:bottom w:val="nil"/>
              <w:right w:val="nil"/>
            </w:tcBorders>
            <w:shd w:val="clear" w:color="000000" w:fill="FFFFFF"/>
            <w:noWrap/>
            <w:hideMark/>
          </w:tcPr>
          <w:p>
            <w:pPr>
              <w:rPr>
                <w:rFonts w:eastAsia="Times New Roman"/>
                <w:noProof/>
                <w:sz w:val="12"/>
                <w:szCs w:val="12"/>
                <w:lang w:val="en-IE" w:eastAsia="en-IE"/>
              </w:rPr>
            </w:pPr>
            <w:r>
              <w:rPr>
                <w:rFonts w:eastAsia="Times New Roman"/>
                <w:noProof/>
                <w:sz w:val="12"/>
                <w:szCs w:val="12"/>
                <w:lang w:val="en-IE" w:eastAsia="en-IE"/>
              </w:rPr>
              <w:t>Source Trade G2 Statistics/ISDB from Eurostat COMEXT</w:t>
            </w:r>
          </w:p>
        </w:tc>
        <w:tc>
          <w:tcPr>
            <w:tcW w:w="777" w:type="dxa"/>
            <w:tcBorders>
              <w:top w:val="single" w:sz="4" w:space="0" w:color="auto"/>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c>
          <w:tcPr>
            <w:tcW w:w="777" w:type="dxa"/>
            <w:tcBorders>
              <w:top w:val="nil"/>
              <w:left w:val="nil"/>
              <w:bottom w:val="nil"/>
              <w:right w:val="nil"/>
            </w:tcBorders>
            <w:shd w:val="clear" w:color="000000" w:fill="FFFFFF"/>
            <w:noWrap/>
            <w:vAlign w:val="bottom"/>
            <w:hideMark/>
          </w:tcPr>
          <w:p>
            <w:pPr>
              <w:rPr>
                <w:rFonts w:eastAsia="Times New Roman"/>
                <w:noProof/>
                <w:sz w:val="18"/>
                <w:szCs w:val="18"/>
                <w:lang w:val="en-IE" w:eastAsia="en-IE"/>
              </w:rPr>
            </w:pPr>
            <w:r>
              <w:rPr>
                <w:rFonts w:eastAsia="Times New Roman"/>
                <w:noProof/>
                <w:sz w:val="18"/>
                <w:szCs w:val="18"/>
                <w:lang w:val="en-IE" w:eastAsia="en-IE"/>
              </w:rPr>
              <w:t> </w:t>
            </w:r>
          </w:p>
        </w:tc>
      </w:tr>
    </w:tbl>
    <w:p>
      <w:pPr>
        <w:rPr>
          <w:noProof/>
          <w:lang w:val="en-IE"/>
        </w:rPr>
      </w:pPr>
    </w:p>
    <w:p>
      <w:pPr>
        <w:rPr>
          <w:b/>
          <w:noProof/>
          <w:lang w:val="en-IE"/>
        </w:rPr>
      </w:pPr>
      <w:r>
        <w:rPr>
          <w:b/>
          <w:noProof/>
          <w:lang w:val="en-IE"/>
        </w:rPr>
        <w:t>FIJI</w:t>
      </w:r>
    </w:p>
    <w:p>
      <w:pPr>
        <w:rPr>
          <w:b/>
          <w:noProof/>
          <w:lang w:val="en-IE"/>
        </w:rPr>
      </w:pPr>
    </w:p>
    <w:tbl>
      <w:tblPr>
        <w:tblW w:w="5735" w:type="dxa"/>
        <w:tblInd w:w="108" w:type="dxa"/>
        <w:tblLook w:val="04A0" w:firstRow="1" w:lastRow="0" w:firstColumn="1" w:lastColumn="0" w:noHBand="0" w:noVBand="1"/>
      </w:tblPr>
      <w:tblGrid>
        <w:gridCol w:w="3282"/>
        <w:gridCol w:w="683"/>
        <w:gridCol w:w="624"/>
        <w:gridCol w:w="624"/>
        <w:gridCol w:w="683"/>
        <w:gridCol w:w="759"/>
      </w:tblGrid>
      <w:tr>
        <w:trPr>
          <w:trHeight w:val="210"/>
        </w:trPr>
        <w:tc>
          <w:tcPr>
            <w:tcW w:w="5735" w:type="dxa"/>
            <w:gridSpan w:val="6"/>
            <w:tcBorders>
              <w:top w:val="nil"/>
              <w:left w:val="nil"/>
              <w:bottom w:val="nil"/>
              <w:right w:val="nil"/>
            </w:tcBorders>
            <w:shd w:val="clear" w:color="000000" w:fill="FFFFFF"/>
            <w:noWrap/>
            <w:vAlign w:val="center"/>
            <w:hideMark/>
          </w:tcPr>
          <w:p>
            <w:pPr>
              <w:jc w:val="center"/>
              <w:rPr>
                <w:rFonts w:ascii="Tahoma" w:eastAsia="Times New Roman" w:hAnsi="Tahoma" w:cs="Tahoma"/>
                <w:b/>
                <w:bCs/>
                <w:noProof/>
                <w:sz w:val="16"/>
                <w:szCs w:val="16"/>
                <w:lang w:val="en-IE" w:eastAsia="en-IE"/>
              </w:rPr>
            </w:pPr>
            <w:r>
              <w:rPr>
                <w:rFonts w:ascii="Tahoma" w:eastAsia="Times New Roman" w:hAnsi="Tahoma" w:cs="Tahoma"/>
                <w:b/>
                <w:bCs/>
                <w:noProof/>
                <w:sz w:val="16"/>
                <w:szCs w:val="16"/>
                <w:lang w:val="en-IE" w:eastAsia="en-IE"/>
              </w:rPr>
              <w:t>Merchandise trade EU28 2014-2018</w:t>
            </w:r>
          </w:p>
        </w:tc>
      </w:tr>
      <w:tr>
        <w:trPr>
          <w:trHeight w:val="210"/>
        </w:trPr>
        <w:tc>
          <w:tcPr>
            <w:tcW w:w="3282" w:type="dxa"/>
            <w:tcBorders>
              <w:top w:val="single" w:sz="4" w:space="0" w:color="auto"/>
              <w:left w:val="nil"/>
              <w:bottom w:val="single" w:sz="4" w:space="0" w:color="auto"/>
              <w:right w:val="nil"/>
            </w:tcBorders>
            <w:shd w:val="clear" w:color="000000" w:fill="FFFFFF"/>
            <w:noWrap/>
            <w:vAlign w:val="bottom"/>
            <w:hideMark/>
          </w:tcPr>
          <w:p>
            <w:pPr>
              <w:rPr>
                <w:rFonts w:ascii="Tahoma" w:eastAsia="Times New Roman" w:hAnsi="Tahoma" w:cs="Tahoma"/>
                <w:b/>
                <w:bCs/>
                <w:noProof/>
                <w:sz w:val="16"/>
                <w:szCs w:val="16"/>
                <w:lang w:val="en-IE" w:eastAsia="en-IE"/>
              </w:rPr>
            </w:pPr>
            <w:r>
              <w:rPr>
                <w:rFonts w:ascii="Tahoma" w:eastAsia="Times New Roman" w:hAnsi="Tahoma" w:cs="Tahoma"/>
                <w:b/>
                <w:bCs/>
                <w:noProof/>
                <w:sz w:val="16"/>
                <w:szCs w:val="16"/>
                <w:lang w:val="en-IE" w:eastAsia="en-IE"/>
              </w:rPr>
              <w:t> </w:t>
            </w:r>
          </w:p>
        </w:tc>
        <w:tc>
          <w:tcPr>
            <w:tcW w:w="467" w:type="dxa"/>
            <w:tcBorders>
              <w:top w:val="single" w:sz="4" w:space="0" w:color="auto"/>
              <w:left w:val="nil"/>
              <w:bottom w:val="single" w:sz="4" w:space="0" w:color="auto"/>
              <w:right w:val="nil"/>
            </w:tcBorders>
            <w:shd w:val="clear" w:color="000000" w:fill="FFFFFF"/>
            <w:noWrap/>
            <w:vAlign w:val="bottom"/>
            <w:hideMark/>
          </w:tcPr>
          <w:p>
            <w:pPr>
              <w:jc w:val="center"/>
              <w:rPr>
                <w:rFonts w:ascii="Tahoma" w:eastAsia="Times New Roman" w:hAnsi="Tahoma" w:cs="Tahoma"/>
                <w:b/>
                <w:bCs/>
                <w:noProof/>
                <w:sz w:val="16"/>
                <w:szCs w:val="16"/>
                <w:lang w:val="en-IE" w:eastAsia="en-IE"/>
              </w:rPr>
            </w:pPr>
            <w:r>
              <w:rPr>
                <w:rFonts w:ascii="Tahoma" w:eastAsia="Times New Roman" w:hAnsi="Tahoma" w:cs="Tahoma"/>
                <w:b/>
                <w:bCs/>
                <w:noProof/>
                <w:sz w:val="16"/>
                <w:szCs w:val="16"/>
                <w:lang w:val="en-IE" w:eastAsia="en-IE"/>
              </w:rPr>
              <w:t>2014</w:t>
            </w:r>
          </w:p>
        </w:tc>
        <w:tc>
          <w:tcPr>
            <w:tcW w:w="408" w:type="dxa"/>
            <w:tcBorders>
              <w:top w:val="single" w:sz="4" w:space="0" w:color="auto"/>
              <w:left w:val="nil"/>
              <w:bottom w:val="single" w:sz="4" w:space="0" w:color="auto"/>
              <w:right w:val="nil"/>
            </w:tcBorders>
            <w:shd w:val="clear" w:color="000000" w:fill="FFFFFF"/>
            <w:noWrap/>
            <w:vAlign w:val="bottom"/>
            <w:hideMark/>
          </w:tcPr>
          <w:p>
            <w:pPr>
              <w:jc w:val="center"/>
              <w:rPr>
                <w:rFonts w:ascii="Tahoma" w:eastAsia="Times New Roman" w:hAnsi="Tahoma" w:cs="Tahoma"/>
                <w:b/>
                <w:bCs/>
                <w:noProof/>
                <w:sz w:val="16"/>
                <w:szCs w:val="16"/>
                <w:lang w:val="en-IE" w:eastAsia="en-IE"/>
              </w:rPr>
            </w:pPr>
            <w:r>
              <w:rPr>
                <w:rFonts w:ascii="Tahoma" w:eastAsia="Times New Roman" w:hAnsi="Tahoma" w:cs="Tahoma"/>
                <w:b/>
                <w:bCs/>
                <w:noProof/>
                <w:sz w:val="16"/>
                <w:szCs w:val="16"/>
                <w:lang w:val="en-IE" w:eastAsia="en-IE"/>
              </w:rPr>
              <w:t>2015</w:t>
            </w:r>
          </w:p>
        </w:tc>
        <w:tc>
          <w:tcPr>
            <w:tcW w:w="408" w:type="dxa"/>
            <w:tcBorders>
              <w:top w:val="single" w:sz="4" w:space="0" w:color="auto"/>
              <w:left w:val="nil"/>
              <w:bottom w:val="single" w:sz="4" w:space="0" w:color="auto"/>
              <w:right w:val="nil"/>
            </w:tcBorders>
            <w:shd w:val="clear" w:color="000000" w:fill="FFFFFF"/>
            <w:noWrap/>
            <w:vAlign w:val="bottom"/>
            <w:hideMark/>
          </w:tcPr>
          <w:p>
            <w:pPr>
              <w:jc w:val="center"/>
              <w:rPr>
                <w:rFonts w:ascii="Tahoma" w:eastAsia="Times New Roman" w:hAnsi="Tahoma" w:cs="Tahoma"/>
                <w:b/>
                <w:bCs/>
                <w:noProof/>
                <w:sz w:val="16"/>
                <w:szCs w:val="16"/>
                <w:lang w:val="en-IE" w:eastAsia="en-IE"/>
              </w:rPr>
            </w:pPr>
            <w:r>
              <w:rPr>
                <w:rFonts w:ascii="Tahoma" w:eastAsia="Times New Roman" w:hAnsi="Tahoma" w:cs="Tahoma"/>
                <w:b/>
                <w:bCs/>
                <w:noProof/>
                <w:sz w:val="16"/>
                <w:szCs w:val="16"/>
                <w:lang w:val="en-IE" w:eastAsia="en-IE"/>
              </w:rPr>
              <w:t>2016</w:t>
            </w:r>
          </w:p>
        </w:tc>
        <w:tc>
          <w:tcPr>
            <w:tcW w:w="467" w:type="dxa"/>
            <w:tcBorders>
              <w:top w:val="single" w:sz="4" w:space="0" w:color="auto"/>
              <w:left w:val="nil"/>
              <w:bottom w:val="single" w:sz="4" w:space="0" w:color="auto"/>
              <w:right w:val="nil"/>
            </w:tcBorders>
            <w:shd w:val="clear" w:color="000000" w:fill="FFFFFF"/>
            <w:noWrap/>
            <w:vAlign w:val="bottom"/>
            <w:hideMark/>
          </w:tcPr>
          <w:p>
            <w:pPr>
              <w:jc w:val="center"/>
              <w:rPr>
                <w:rFonts w:ascii="Tahoma" w:eastAsia="Times New Roman" w:hAnsi="Tahoma" w:cs="Tahoma"/>
                <w:b/>
                <w:bCs/>
                <w:noProof/>
                <w:sz w:val="16"/>
                <w:szCs w:val="16"/>
                <w:lang w:val="en-IE" w:eastAsia="en-IE"/>
              </w:rPr>
            </w:pPr>
            <w:r>
              <w:rPr>
                <w:rFonts w:ascii="Tahoma" w:eastAsia="Times New Roman" w:hAnsi="Tahoma" w:cs="Tahoma"/>
                <w:b/>
                <w:bCs/>
                <w:noProof/>
                <w:sz w:val="16"/>
                <w:szCs w:val="16"/>
                <w:lang w:val="en-IE" w:eastAsia="en-IE"/>
              </w:rPr>
              <w:t>2017</w:t>
            </w:r>
          </w:p>
        </w:tc>
        <w:tc>
          <w:tcPr>
            <w:tcW w:w="703" w:type="dxa"/>
            <w:tcBorders>
              <w:top w:val="single" w:sz="4" w:space="0" w:color="auto"/>
              <w:left w:val="nil"/>
              <w:bottom w:val="single" w:sz="4" w:space="0" w:color="auto"/>
              <w:right w:val="nil"/>
            </w:tcBorders>
            <w:shd w:val="clear" w:color="000000" w:fill="FFFFFF"/>
            <w:noWrap/>
            <w:vAlign w:val="bottom"/>
            <w:hideMark/>
          </w:tcPr>
          <w:p>
            <w:pPr>
              <w:jc w:val="center"/>
              <w:rPr>
                <w:rFonts w:ascii="Tahoma" w:eastAsia="Times New Roman" w:hAnsi="Tahoma" w:cs="Tahoma"/>
                <w:b/>
                <w:bCs/>
                <w:noProof/>
                <w:sz w:val="16"/>
                <w:szCs w:val="16"/>
                <w:lang w:val="en-IE" w:eastAsia="en-IE"/>
              </w:rPr>
            </w:pPr>
            <w:r>
              <w:rPr>
                <w:rFonts w:ascii="Tahoma" w:eastAsia="Times New Roman" w:hAnsi="Tahoma" w:cs="Tahoma"/>
                <w:b/>
                <w:bCs/>
                <w:noProof/>
                <w:sz w:val="16"/>
                <w:szCs w:val="16"/>
                <w:lang w:val="en-IE" w:eastAsia="en-IE"/>
              </w:rPr>
              <w:t>2018</w:t>
            </w:r>
          </w:p>
        </w:tc>
      </w:tr>
      <w:tr>
        <w:trPr>
          <w:trHeight w:val="210"/>
        </w:trPr>
        <w:tc>
          <w:tcPr>
            <w:tcW w:w="3282" w:type="dxa"/>
            <w:tcBorders>
              <w:top w:val="nil"/>
              <w:left w:val="nil"/>
              <w:bottom w:val="nil"/>
              <w:right w:val="nil"/>
            </w:tcBorders>
            <w:shd w:val="clear" w:color="000000" w:fill="FFFFFF"/>
            <w:noWrap/>
            <w:vAlign w:val="center"/>
            <w:hideMark/>
          </w:tcPr>
          <w:p>
            <w:pPr>
              <w:jc w:val="cente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EU28 trade with Fiji (mio €)</w:t>
            </w:r>
          </w:p>
        </w:tc>
        <w:tc>
          <w:tcPr>
            <w:tcW w:w="467" w:type="dxa"/>
            <w:tcBorders>
              <w:top w:val="nil"/>
              <w:left w:val="nil"/>
              <w:bottom w:val="nil"/>
              <w:right w:val="nil"/>
            </w:tcBorders>
            <w:shd w:val="clear" w:color="auto" w:fill="auto"/>
            <w:noWrap/>
            <w:vAlign w:val="center"/>
            <w:hideMark/>
          </w:tcPr>
          <w:p>
            <w:pPr>
              <w:jc w:val="center"/>
              <w:rPr>
                <w:rFonts w:ascii="Tahoma" w:eastAsia="Times New Roman" w:hAnsi="Tahoma" w:cs="Tahoma"/>
                <w:b/>
                <w:bCs/>
                <w:i/>
                <w:iCs/>
                <w:noProof/>
                <w:sz w:val="16"/>
                <w:szCs w:val="16"/>
                <w:lang w:val="en-IE" w:eastAsia="en-IE"/>
              </w:rPr>
            </w:pPr>
          </w:p>
        </w:tc>
        <w:tc>
          <w:tcPr>
            <w:tcW w:w="408" w:type="dxa"/>
            <w:tcBorders>
              <w:top w:val="nil"/>
              <w:left w:val="nil"/>
              <w:bottom w:val="nil"/>
              <w:right w:val="nil"/>
            </w:tcBorders>
            <w:shd w:val="clear" w:color="000000" w:fill="FFFFFF"/>
            <w:noWrap/>
            <w:vAlign w:val="center"/>
            <w:hideMark/>
          </w:tcPr>
          <w:p>
            <w:pP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 </w:t>
            </w:r>
          </w:p>
        </w:tc>
        <w:tc>
          <w:tcPr>
            <w:tcW w:w="408" w:type="dxa"/>
            <w:tcBorders>
              <w:top w:val="nil"/>
              <w:left w:val="nil"/>
              <w:bottom w:val="nil"/>
              <w:right w:val="nil"/>
            </w:tcBorders>
            <w:shd w:val="clear" w:color="000000" w:fill="FFFFFF"/>
            <w:noWrap/>
            <w:vAlign w:val="center"/>
            <w:hideMark/>
          </w:tcPr>
          <w:p>
            <w:pP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 </w:t>
            </w:r>
          </w:p>
        </w:tc>
        <w:tc>
          <w:tcPr>
            <w:tcW w:w="467" w:type="dxa"/>
            <w:tcBorders>
              <w:top w:val="nil"/>
              <w:left w:val="nil"/>
              <w:bottom w:val="nil"/>
              <w:right w:val="nil"/>
            </w:tcBorders>
            <w:shd w:val="clear" w:color="000000" w:fill="FFFFFF"/>
            <w:noWrap/>
            <w:vAlign w:val="center"/>
            <w:hideMark/>
          </w:tcPr>
          <w:p>
            <w:pP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 </w:t>
            </w:r>
          </w:p>
        </w:tc>
        <w:tc>
          <w:tcPr>
            <w:tcW w:w="703" w:type="dxa"/>
            <w:tcBorders>
              <w:top w:val="nil"/>
              <w:left w:val="nil"/>
              <w:bottom w:val="nil"/>
              <w:right w:val="nil"/>
            </w:tcBorders>
            <w:shd w:val="clear" w:color="000000" w:fill="FFFFFF"/>
            <w:noWrap/>
            <w:vAlign w:val="center"/>
            <w:hideMark/>
          </w:tcPr>
          <w:p>
            <w:pP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 </w:t>
            </w:r>
          </w:p>
        </w:tc>
      </w:tr>
      <w:tr>
        <w:trPr>
          <w:trHeight w:val="210"/>
        </w:trPr>
        <w:tc>
          <w:tcPr>
            <w:tcW w:w="3282"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Imports</w:t>
            </w:r>
          </w:p>
        </w:tc>
        <w:tc>
          <w:tcPr>
            <w:tcW w:w="467"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99</w:t>
            </w:r>
          </w:p>
        </w:tc>
        <w:tc>
          <w:tcPr>
            <w:tcW w:w="408"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86</w:t>
            </w:r>
          </w:p>
        </w:tc>
        <w:tc>
          <w:tcPr>
            <w:tcW w:w="408"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61</w:t>
            </w:r>
          </w:p>
        </w:tc>
        <w:tc>
          <w:tcPr>
            <w:tcW w:w="467"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95</w:t>
            </w:r>
          </w:p>
        </w:tc>
        <w:tc>
          <w:tcPr>
            <w:tcW w:w="703"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36</w:t>
            </w:r>
          </w:p>
        </w:tc>
      </w:tr>
      <w:tr>
        <w:trPr>
          <w:trHeight w:val="210"/>
        </w:trPr>
        <w:tc>
          <w:tcPr>
            <w:tcW w:w="3282"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Exports</w:t>
            </w:r>
          </w:p>
        </w:tc>
        <w:tc>
          <w:tcPr>
            <w:tcW w:w="467"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100</w:t>
            </w:r>
          </w:p>
        </w:tc>
        <w:tc>
          <w:tcPr>
            <w:tcW w:w="408"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177</w:t>
            </w:r>
          </w:p>
        </w:tc>
        <w:tc>
          <w:tcPr>
            <w:tcW w:w="408"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64</w:t>
            </w:r>
          </w:p>
        </w:tc>
        <w:tc>
          <w:tcPr>
            <w:tcW w:w="467"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64</w:t>
            </w:r>
          </w:p>
        </w:tc>
        <w:tc>
          <w:tcPr>
            <w:tcW w:w="703"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67</w:t>
            </w:r>
          </w:p>
        </w:tc>
      </w:tr>
      <w:tr>
        <w:trPr>
          <w:trHeight w:val="210"/>
        </w:trPr>
        <w:tc>
          <w:tcPr>
            <w:tcW w:w="3282"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Balance</w:t>
            </w:r>
          </w:p>
        </w:tc>
        <w:tc>
          <w:tcPr>
            <w:tcW w:w="467"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1</w:t>
            </w:r>
          </w:p>
        </w:tc>
        <w:tc>
          <w:tcPr>
            <w:tcW w:w="408"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90</w:t>
            </w:r>
          </w:p>
        </w:tc>
        <w:tc>
          <w:tcPr>
            <w:tcW w:w="408"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3</w:t>
            </w:r>
          </w:p>
        </w:tc>
        <w:tc>
          <w:tcPr>
            <w:tcW w:w="467"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-31</w:t>
            </w:r>
          </w:p>
        </w:tc>
        <w:tc>
          <w:tcPr>
            <w:tcW w:w="703"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31</w:t>
            </w:r>
          </w:p>
        </w:tc>
      </w:tr>
      <w:tr>
        <w:trPr>
          <w:trHeight w:val="210"/>
        </w:trPr>
        <w:tc>
          <w:tcPr>
            <w:tcW w:w="3282" w:type="dxa"/>
            <w:tcBorders>
              <w:top w:val="nil"/>
              <w:left w:val="nil"/>
              <w:bottom w:val="nil"/>
              <w:right w:val="nil"/>
            </w:tcBorders>
            <w:shd w:val="clear" w:color="000000" w:fill="FFFFFF"/>
            <w:noWrap/>
            <w:vAlign w:val="center"/>
            <w:hideMark/>
          </w:tcPr>
          <w:p>
            <w:pPr>
              <w:jc w:val="cente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Share Fiji in EU28 trade with Extra-EU28</w:t>
            </w:r>
          </w:p>
        </w:tc>
        <w:tc>
          <w:tcPr>
            <w:tcW w:w="467" w:type="dxa"/>
            <w:tcBorders>
              <w:top w:val="nil"/>
              <w:left w:val="nil"/>
              <w:bottom w:val="nil"/>
              <w:right w:val="nil"/>
            </w:tcBorders>
            <w:shd w:val="clear" w:color="auto" w:fill="auto"/>
            <w:noWrap/>
            <w:vAlign w:val="center"/>
            <w:hideMark/>
          </w:tcPr>
          <w:p>
            <w:pPr>
              <w:jc w:val="center"/>
              <w:rPr>
                <w:rFonts w:ascii="Tahoma" w:eastAsia="Times New Roman" w:hAnsi="Tahoma" w:cs="Tahoma"/>
                <w:b/>
                <w:bCs/>
                <w:i/>
                <w:iCs/>
                <w:noProof/>
                <w:sz w:val="16"/>
                <w:szCs w:val="16"/>
                <w:lang w:val="en-IE" w:eastAsia="en-IE"/>
              </w:rPr>
            </w:pPr>
          </w:p>
        </w:tc>
        <w:tc>
          <w:tcPr>
            <w:tcW w:w="408" w:type="dxa"/>
            <w:tcBorders>
              <w:top w:val="nil"/>
              <w:left w:val="nil"/>
              <w:bottom w:val="nil"/>
              <w:right w:val="nil"/>
            </w:tcBorders>
            <w:shd w:val="clear" w:color="000000" w:fill="FFFFFF"/>
            <w:noWrap/>
            <w:vAlign w:val="center"/>
            <w:hideMark/>
          </w:tcPr>
          <w:p>
            <w:pP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 </w:t>
            </w:r>
          </w:p>
        </w:tc>
        <w:tc>
          <w:tcPr>
            <w:tcW w:w="408" w:type="dxa"/>
            <w:tcBorders>
              <w:top w:val="nil"/>
              <w:left w:val="nil"/>
              <w:bottom w:val="nil"/>
              <w:right w:val="nil"/>
            </w:tcBorders>
            <w:shd w:val="clear" w:color="000000" w:fill="FFFFFF"/>
            <w:noWrap/>
            <w:vAlign w:val="center"/>
            <w:hideMark/>
          </w:tcPr>
          <w:p>
            <w:pP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 </w:t>
            </w:r>
          </w:p>
        </w:tc>
        <w:tc>
          <w:tcPr>
            <w:tcW w:w="467" w:type="dxa"/>
            <w:tcBorders>
              <w:top w:val="nil"/>
              <w:left w:val="nil"/>
              <w:bottom w:val="nil"/>
              <w:right w:val="nil"/>
            </w:tcBorders>
            <w:shd w:val="clear" w:color="000000" w:fill="FFFFFF"/>
            <w:noWrap/>
            <w:vAlign w:val="center"/>
            <w:hideMark/>
          </w:tcPr>
          <w:p>
            <w:pP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 </w:t>
            </w:r>
          </w:p>
        </w:tc>
        <w:tc>
          <w:tcPr>
            <w:tcW w:w="703" w:type="dxa"/>
            <w:tcBorders>
              <w:top w:val="nil"/>
              <w:left w:val="nil"/>
              <w:bottom w:val="nil"/>
              <w:right w:val="nil"/>
            </w:tcBorders>
            <w:shd w:val="clear" w:color="000000" w:fill="FFFFFF"/>
            <w:noWrap/>
            <w:vAlign w:val="center"/>
            <w:hideMark/>
          </w:tcPr>
          <w:p>
            <w:pP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 </w:t>
            </w:r>
          </w:p>
        </w:tc>
      </w:tr>
      <w:tr>
        <w:trPr>
          <w:trHeight w:val="210"/>
        </w:trPr>
        <w:tc>
          <w:tcPr>
            <w:tcW w:w="3282"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Imports</w:t>
            </w:r>
          </w:p>
        </w:tc>
        <w:tc>
          <w:tcPr>
            <w:tcW w:w="467"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c>
          <w:tcPr>
            <w:tcW w:w="408"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c>
          <w:tcPr>
            <w:tcW w:w="408"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c>
          <w:tcPr>
            <w:tcW w:w="467"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c>
          <w:tcPr>
            <w:tcW w:w="703"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r>
      <w:tr>
        <w:trPr>
          <w:trHeight w:val="210"/>
        </w:trPr>
        <w:tc>
          <w:tcPr>
            <w:tcW w:w="3282"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Exports</w:t>
            </w:r>
          </w:p>
        </w:tc>
        <w:tc>
          <w:tcPr>
            <w:tcW w:w="467"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c>
          <w:tcPr>
            <w:tcW w:w="408"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c>
          <w:tcPr>
            <w:tcW w:w="408"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c>
          <w:tcPr>
            <w:tcW w:w="467"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c>
          <w:tcPr>
            <w:tcW w:w="703"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r>
      <w:tr>
        <w:trPr>
          <w:trHeight w:val="210"/>
        </w:trPr>
        <w:tc>
          <w:tcPr>
            <w:tcW w:w="3282"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Total (I+E)</w:t>
            </w:r>
          </w:p>
        </w:tc>
        <w:tc>
          <w:tcPr>
            <w:tcW w:w="467"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c>
          <w:tcPr>
            <w:tcW w:w="408"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c>
          <w:tcPr>
            <w:tcW w:w="408"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c>
          <w:tcPr>
            <w:tcW w:w="467"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c>
          <w:tcPr>
            <w:tcW w:w="703"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r>
      <w:tr>
        <w:trPr>
          <w:trHeight w:val="210"/>
        </w:trPr>
        <w:tc>
          <w:tcPr>
            <w:tcW w:w="5735" w:type="dxa"/>
            <w:gridSpan w:val="6"/>
            <w:tcBorders>
              <w:top w:val="nil"/>
              <w:left w:val="nil"/>
              <w:bottom w:val="nil"/>
              <w:right w:val="nil"/>
            </w:tcBorders>
            <w:shd w:val="clear" w:color="000000" w:fill="FFFFFF"/>
            <w:noWrap/>
            <w:vAlign w:val="center"/>
            <w:hideMark/>
          </w:tcPr>
          <w:p>
            <w:pPr>
              <w:jc w:val="cente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Share EU28 in trade Fiji with world</w:t>
            </w:r>
          </w:p>
        </w:tc>
      </w:tr>
      <w:tr>
        <w:trPr>
          <w:trHeight w:val="210"/>
        </w:trPr>
        <w:tc>
          <w:tcPr>
            <w:tcW w:w="3282"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Imports</w:t>
            </w:r>
          </w:p>
        </w:tc>
        <w:tc>
          <w:tcPr>
            <w:tcW w:w="467"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7,2%</w:t>
            </w:r>
          </w:p>
        </w:tc>
        <w:tc>
          <w:tcPr>
            <w:tcW w:w="408"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5,1%</w:t>
            </w:r>
          </w:p>
        </w:tc>
        <w:tc>
          <w:tcPr>
            <w:tcW w:w="408"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3,8%</w:t>
            </w:r>
          </w:p>
        </w:tc>
        <w:tc>
          <w:tcPr>
            <w:tcW w:w="467"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3,2%</w:t>
            </w:r>
          </w:p>
        </w:tc>
        <w:tc>
          <w:tcPr>
            <w:tcW w:w="703"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2,9%</w:t>
            </w:r>
          </w:p>
        </w:tc>
      </w:tr>
      <w:tr>
        <w:trPr>
          <w:trHeight w:val="210"/>
        </w:trPr>
        <w:tc>
          <w:tcPr>
            <w:tcW w:w="3282"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Exports</w:t>
            </w:r>
          </w:p>
        </w:tc>
        <w:tc>
          <w:tcPr>
            <w:tcW w:w="467"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10,5%</w:t>
            </w:r>
          </w:p>
        </w:tc>
        <w:tc>
          <w:tcPr>
            <w:tcW w:w="408"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9,8%</w:t>
            </w:r>
          </w:p>
        </w:tc>
        <w:tc>
          <w:tcPr>
            <w:tcW w:w="408"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7,4%</w:t>
            </w:r>
          </w:p>
        </w:tc>
        <w:tc>
          <w:tcPr>
            <w:tcW w:w="467"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12,1%</w:t>
            </w:r>
          </w:p>
        </w:tc>
        <w:tc>
          <w:tcPr>
            <w:tcW w:w="703"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9,6%</w:t>
            </w:r>
          </w:p>
        </w:tc>
      </w:tr>
      <w:tr>
        <w:trPr>
          <w:trHeight w:val="210"/>
        </w:trPr>
        <w:tc>
          <w:tcPr>
            <w:tcW w:w="3282"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Total (I+E)</w:t>
            </w:r>
          </w:p>
        </w:tc>
        <w:tc>
          <w:tcPr>
            <w:tcW w:w="467"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8,0%</w:t>
            </w:r>
          </w:p>
        </w:tc>
        <w:tc>
          <w:tcPr>
            <w:tcW w:w="408"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6,3%</w:t>
            </w:r>
          </w:p>
        </w:tc>
        <w:tc>
          <w:tcPr>
            <w:tcW w:w="408"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4,7%</w:t>
            </w:r>
          </w:p>
        </w:tc>
        <w:tc>
          <w:tcPr>
            <w:tcW w:w="467"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5,4%</w:t>
            </w:r>
          </w:p>
        </w:tc>
        <w:tc>
          <w:tcPr>
            <w:tcW w:w="703"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4,2%</w:t>
            </w:r>
          </w:p>
        </w:tc>
      </w:tr>
      <w:tr>
        <w:trPr>
          <w:trHeight w:val="225"/>
        </w:trPr>
        <w:tc>
          <w:tcPr>
            <w:tcW w:w="4157" w:type="dxa"/>
            <w:gridSpan w:val="3"/>
            <w:tcBorders>
              <w:top w:val="single" w:sz="4" w:space="0" w:color="auto"/>
              <w:left w:val="nil"/>
              <w:bottom w:val="nil"/>
              <w:right w:val="nil"/>
            </w:tcBorders>
            <w:shd w:val="clear" w:color="000000" w:fill="FFFFFF"/>
            <w:noWrap/>
            <w:vAlign w:val="bottom"/>
            <w:hideMark/>
          </w:tcPr>
          <w:p>
            <w:pPr>
              <w:rPr>
                <w:rFonts w:ascii="Tahoma" w:eastAsia="Times New Roman" w:hAnsi="Tahoma" w:cs="Tahoma"/>
                <w:noProof/>
                <w:sz w:val="12"/>
                <w:szCs w:val="12"/>
                <w:lang w:val="en-IE" w:eastAsia="en-IE"/>
              </w:rPr>
            </w:pPr>
            <w:r>
              <w:rPr>
                <w:rFonts w:ascii="Tahoma" w:eastAsia="Times New Roman" w:hAnsi="Tahoma" w:cs="Tahoma"/>
                <w:noProof/>
                <w:sz w:val="12"/>
                <w:szCs w:val="12"/>
                <w:lang w:val="en-IE" w:eastAsia="en-IE"/>
              </w:rPr>
              <w:t xml:space="preserve">Source Trade G2 Statistics/ISDB </w:t>
            </w:r>
          </w:p>
        </w:tc>
        <w:tc>
          <w:tcPr>
            <w:tcW w:w="408" w:type="dxa"/>
            <w:tcBorders>
              <w:top w:val="single" w:sz="4" w:space="0" w:color="auto"/>
              <w:left w:val="nil"/>
              <w:bottom w:val="nil"/>
              <w:right w:val="nil"/>
            </w:tcBorders>
            <w:shd w:val="clear" w:color="000000" w:fill="FFFFFF"/>
            <w:noWrap/>
            <w:vAlign w:val="bottom"/>
            <w:hideMark/>
          </w:tcPr>
          <w:p>
            <w:pPr>
              <w:jc w:val="center"/>
              <w:rPr>
                <w:rFonts w:ascii="Tahoma" w:eastAsia="Times New Roman" w:hAnsi="Tahoma" w:cs="Tahoma"/>
                <w:noProof/>
                <w:sz w:val="18"/>
                <w:szCs w:val="18"/>
                <w:lang w:val="en-IE" w:eastAsia="en-IE"/>
              </w:rPr>
            </w:pPr>
            <w:r>
              <w:rPr>
                <w:rFonts w:ascii="Tahoma" w:eastAsia="Times New Roman" w:hAnsi="Tahoma" w:cs="Tahoma"/>
                <w:noProof/>
                <w:sz w:val="18"/>
                <w:szCs w:val="18"/>
                <w:lang w:val="en-IE" w:eastAsia="en-IE"/>
              </w:rPr>
              <w:t> </w:t>
            </w:r>
          </w:p>
        </w:tc>
        <w:tc>
          <w:tcPr>
            <w:tcW w:w="467" w:type="dxa"/>
            <w:tcBorders>
              <w:top w:val="single" w:sz="4" w:space="0" w:color="auto"/>
              <w:left w:val="nil"/>
              <w:bottom w:val="nil"/>
              <w:right w:val="nil"/>
            </w:tcBorders>
            <w:shd w:val="clear" w:color="000000" w:fill="FFFFFF"/>
            <w:noWrap/>
            <w:vAlign w:val="bottom"/>
            <w:hideMark/>
          </w:tcPr>
          <w:p>
            <w:pPr>
              <w:jc w:val="center"/>
              <w:rPr>
                <w:rFonts w:ascii="Tahoma" w:eastAsia="Times New Roman" w:hAnsi="Tahoma" w:cs="Tahoma"/>
                <w:noProof/>
                <w:sz w:val="18"/>
                <w:szCs w:val="18"/>
                <w:lang w:val="en-IE" w:eastAsia="en-IE"/>
              </w:rPr>
            </w:pPr>
            <w:r>
              <w:rPr>
                <w:rFonts w:ascii="Tahoma" w:eastAsia="Times New Roman" w:hAnsi="Tahoma" w:cs="Tahoma"/>
                <w:noProof/>
                <w:sz w:val="18"/>
                <w:szCs w:val="18"/>
                <w:lang w:val="en-IE" w:eastAsia="en-IE"/>
              </w:rPr>
              <w:t> </w:t>
            </w:r>
          </w:p>
        </w:tc>
        <w:tc>
          <w:tcPr>
            <w:tcW w:w="703" w:type="dxa"/>
            <w:tcBorders>
              <w:top w:val="single" w:sz="4" w:space="0" w:color="auto"/>
              <w:left w:val="nil"/>
              <w:bottom w:val="nil"/>
              <w:right w:val="nil"/>
            </w:tcBorders>
            <w:shd w:val="clear" w:color="000000" w:fill="FFFFFF"/>
            <w:noWrap/>
            <w:hideMark/>
          </w:tcPr>
          <w:p>
            <w:pPr>
              <w:jc w:val="right"/>
              <w:rPr>
                <w:rFonts w:ascii="Tahoma" w:eastAsia="Times New Roman" w:hAnsi="Tahoma" w:cs="Tahoma"/>
                <w:noProof/>
                <w:sz w:val="12"/>
                <w:szCs w:val="12"/>
                <w:lang w:val="en-IE" w:eastAsia="en-IE"/>
              </w:rPr>
            </w:pPr>
            <w:r>
              <w:rPr>
                <w:rFonts w:ascii="Tahoma" w:eastAsia="Times New Roman" w:hAnsi="Tahoma" w:cs="Tahoma"/>
                <w:noProof/>
                <w:sz w:val="12"/>
                <w:szCs w:val="12"/>
                <w:lang w:val="en-IE" w:eastAsia="en-IE"/>
              </w:rPr>
              <w:t>25-mars-19</w:t>
            </w:r>
          </w:p>
        </w:tc>
      </w:tr>
      <w:tr>
        <w:trPr>
          <w:trHeight w:val="210"/>
        </w:trPr>
        <w:tc>
          <w:tcPr>
            <w:tcW w:w="4565" w:type="dxa"/>
            <w:gridSpan w:val="4"/>
            <w:tcBorders>
              <w:top w:val="nil"/>
              <w:left w:val="nil"/>
              <w:bottom w:val="nil"/>
              <w:right w:val="nil"/>
            </w:tcBorders>
            <w:shd w:val="clear" w:color="000000" w:fill="FFFFFF"/>
            <w:noWrap/>
            <w:hideMark/>
          </w:tcPr>
          <w:p>
            <w:pPr>
              <w:rPr>
                <w:rFonts w:ascii="Tahoma" w:eastAsia="Times New Roman" w:hAnsi="Tahoma" w:cs="Tahoma"/>
                <w:noProof/>
                <w:color w:val="000000"/>
                <w:sz w:val="12"/>
                <w:szCs w:val="12"/>
                <w:lang w:val="en-IE" w:eastAsia="en-IE"/>
              </w:rPr>
            </w:pPr>
            <w:r>
              <w:rPr>
                <w:rFonts w:ascii="Tahoma" w:eastAsia="Times New Roman" w:hAnsi="Tahoma" w:cs="Tahoma"/>
                <w:noProof/>
                <w:color w:val="000000"/>
                <w:sz w:val="12"/>
                <w:szCs w:val="12"/>
                <w:lang w:val="en-IE" w:eastAsia="en-IE"/>
              </w:rPr>
              <w:t>Trade EU28: Eurostat COMEXT;  Trade Fiji: IMF Dots</w:t>
            </w:r>
          </w:p>
        </w:tc>
        <w:tc>
          <w:tcPr>
            <w:tcW w:w="467" w:type="dxa"/>
            <w:tcBorders>
              <w:top w:val="nil"/>
              <w:left w:val="nil"/>
              <w:bottom w:val="nil"/>
              <w:right w:val="nil"/>
            </w:tcBorders>
            <w:shd w:val="clear" w:color="000000" w:fill="FFFFFF"/>
            <w:noWrap/>
            <w:vAlign w:val="bottom"/>
            <w:hideMark/>
          </w:tcPr>
          <w:p>
            <w:pPr>
              <w:rPr>
                <w:rFonts w:ascii="Tahoma" w:eastAsia="Times New Roman" w:hAnsi="Tahoma" w:cs="Tahoma"/>
                <w:noProof/>
                <w:color w:val="000000"/>
                <w:sz w:val="16"/>
                <w:szCs w:val="16"/>
                <w:lang w:val="en-IE" w:eastAsia="en-IE"/>
              </w:rPr>
            </w:pPr>
            <w:r>
              <w:rPr>
                <w:rFonts w:ascii="Tahoma" w:eastAsia="Times New Roman" w:hAnsi="Tahoma" w:cs="Tahoma"/>
                <w:noProof/>
                <w:color w:val="000000"/>
                <w:sz w:val="16"/>
                <w:szCs w:val="16"/>
                <w:lang w:val="en-IE" w:eastAsia="en-IE"/>
              </w:rPr>
              <w:t> </w:t>
            </w:r>
          </w:p>
        </w:tc>
        <w:tc>
          <w:tcPr>
            <w:tcW w:w="703" w:type="dxa"/>
            <w:tcBorders>
              <w:top w:val="nil"/>
              <w:left w:val="nil"/>
              <w:bottom w:val="nil"/>
              <w:right w:val="nil"/>
            </w:tcBorders>
            <w:shd w:val="clear" w:color="000000" w:fill="FFFFFF"/>
            <w:noWrap/>
            <w:vAlign w:val="bottom"/>
            <w:hideMark/>
          </w:tcPr>
          <w:p>
            <w:pPr>
              <w:rPr>
                <w:rFonts w:ascii="Tahoma" w:eastAsia="Times New Roman" w:hAnsi="Tahoma" w:cs="Tahoma"/>
                <w:noProof/>
                <w:color w:val="000000"/>
                <w:sz w:val="16"/>
                <w:szCs w:val="16"/>
                <w:lang w:val="en-IE" w:eastAsia="en-IE"/>
              </w:rPr>
            </w:pPr>
            <w:r>
              <w:rPr>
                <w:rFonts w:ascii="Tahoma" w:eastAsia="Times New Roman" w:hAnsi="Tahoma" w:cs="Tahoma"/>
                <w:noProof/>
                <w:color w:val="000000"/>
                <w:sz w:val="16"/>
                <w:szCs w:val="16"/>
                <w:lang w:val="en-IE" w:eastAsia="en-IE"/>
              </w:rPr>
              <w:t> </w:t>
            </w:r>
          </w:p>
        </w:tc>
      </w:tr>
      <w:tr>
        <w:trPr>
          <w:trHeight w:val="210"/>
        </w:trPr>
        <w:tc>
          <w:tcPr>
            <w:tcW w:w="3282" w:type="dxa"/>
            <w:tcBorders>
              <w:top w:val="nil"/>
              <w:left w:val="nil"/>
              <w:bottom w:val="nil"/>
              <w:right w:val="nil"/>
            </w:tcBorders>
            <w:shd w:val="clear" w:color="000000" w:fill="FFFFFF"/>
            <w:noWrap/>
            <w:vAlign w:val="bottom"/>
            <w:hideMark/>
          </w:tcPr>
          <w:p>
            <w:pPr>
              <w:rPr>
                <w:rFonts w:ascii="Tahoma" w:eastAsia="Times New Roman" w:hAnsi="Tahoma" w:cs="Tahoma"/>
                <w:noProof/>
                <w:color w:val="000000"/>
                <w:sz w:val="16"/>
                <w:szCs w:val="16"/>
                <w:lang w:val="en-IE" w:eastAsia="en-IE"/>
              </w:rPr>
            </w:pPr>
            <w:r>
              <w:rPr>
                <w:rFonts w:ascii="Tahoma" w:eastAsia="Times New Roman" w:hAnsi="Tahoma" w:cs="Tahoma"/>
                <w:noProof/>
                <w:color w:val="000000"/>
                <w:sz w:val="16"/>
                <w:szCs w:val="16"/>
                <w:lang w:val="en-IE" w:eastAsia="en-IE"/>
              </w:rPr>
              <w:t> </w:t>
            </w:r>
          </w:p>
        </w:tc>
        <w:tc>
          <w:tcPr>
            <w:tcW w:w="467" w:type="dxa"/>
            <w:tcBorders>
              <w:top w:val="nil"/>
              <w:left w:val="nil"/>
              <w:bottom w:val="nil"/>
              <w:right w:val="nil"/>
            </w:tcBorders>
            <w:shd w:val="clear" w:color="000000" w:fill="FFFFFF"/>
            <w:noWrap/>
            <w:vAlign w:val="bottom"/>
            <w:hideMark/>
          </w:tcPr>
          <w:p>
            <w:pPr>
              <w:rPr>
                <w:rFonts w:ascii="Tahoma" w:eastAsia="Times New Roman" w:hAnsi="Tahoma" w:cs="Tahoma"/>
                <w:noProof/>
                <w:color w:val="000000"/>
                <w:sz w:val="16"/>
                <w:szCs w:val="16"/>
                <w:lang w:val="en-IE" w:eastAsia="en-IE"/>
              </w:rPr>
            </w:pPr>
            <w:r>
              <w:rPr>
                <w:rFonts w:ascii="Tahoma" w:eastAsia="Times New Roman" w:hAnsi="Tahoma" w:cs="Tahoma"/>
                <w:noProof/>
                <w:color w:val="000000"/>
                <w:sz w:val="16"/>
                <w:szCs w:val="16"/>
                <w:lang w:val="en-IE" w:eastAsia="en-IE"/>
              </w:rPr>
              <w:t> </w:t>
            </w:r>
          </w:p>
        </w:tc>
        <w:tc>
          <w:tcPr>
            <w:tcW w:w="408" w:type="dxa"/>
            <w:tcBorders>
              <w:top w:val="nil"/>
              <w:left w:val="nil"/>
              <w:bottom w:val="nil"/>
              <w:right w:val="nil"/>
            </w:tcBorders>
            <w:shd w:val="clear" w:color="000000" w:fill="FFFFFF"/>
            <w:noWrap/>
            <w:vAlign w:val="bottom"/>
            <w:hideMark/>
          </w:tcPr>
          <w:p>
            <w:pPr>
              <w:rPr>
                <w:rFonts w:ascii="Tahoma" w:eastAsia="Times New Roman" w:hAnsi="Tahoma" w:cs="Tahoma"/>
                <w:noProof/>
                <w:color w:val="000000"/>
                <w:sz w:val="16"/>
                <w:szCs w:val="16"/>
                <w:lang w:val="en-IE" w:eastAsia="en-IE"/>
              </w:rPr>
            </w:pPr>
            <w:r>
              <w:rPr>
                <w:rFonts w:ascii="Tahoma" w:eastAsia="Times New Roman" w:hAnsi="Tahoma" w:cs="Tahoma"/>
                <w:noProof/>
                <w:color w:val="000000"/>
                <w:sz w:val="16"/>
                <w:szCs w:val="16"/>
                <w:lang w:val="en-IE" w:eastAsia="en-IE"/>
              </w:rPr>
              <w:t> </w:t>
            </w:r>
          </w:p>
        </w:tc>
        <w:tc>
          <w:tcPr>
            <w:tcW w:w="408" w:type="dxa"/>
            <w:tcBorders>
              <w:top w:val="nil"/>
              <w:left w:val="nil"/>
              <w:bottom w:val="nil"/>
              <w:right w:val="nil"/>
            </w:tcBorders>
            <w:shd w:val="clear" w:color="000000" w:fill="FFFFFF"/>
            <w:noWrap/>
            <w:vAlign w:val="bottom"/>
            <w:hideMark/>
          </w:tcPr>
          <w:p>
            <w:pPr>
              <w:rPr>
                <w:rFonts w:ascii="Tahoma" w:eastAsia="Times New Roman" w:hAnsi="Tahoma" w:cs="Tahoma"/>
                <w:noProof/>
                <w:color w:val="000000"/>
                <w:sz w:val="16"/>
                <w:szCs w:val="16"/>
                <w:lang w:val="en-IE" w:eastAsia="en-IE"/>
              </w:rPr>
            </w:pPr>
            <w:r>
              <w:rPr>
                <w:rFonts w:ascii="Tahoma" w:eastAsia="Times New Roman" w:hAnsi="Tahoma" w:cs="Tahoma"/>
                <w:noProof/>
                <w:color w:val="000000"/>
                <w:sz w:val="16"/>
                <w:szCs w:val="16"/>
                <w:lang w:val="en-IE" w:eastAsia="en-IE"/>
              </w:rPr>
              <w:t> </w:t>
            </w:r>
          </w:p>
        </w:tc>
        <w:tc>
          <w:tcPr>
            <w:tcW w:w="467" w:type="dxa"/>
            <w:tcBorders>
              <w:top w:val="nil"/>
              <w:left w:val="nil"/>
              <w:bottom w:val="nil"/>
              <w:right w:val="nil"/>
            </w:tcBorders>
            <w:shd w:val="clear" w:color="000000" w:fill="FFFFFF"/>
            <w:noWrap/>
            <w:vAlign w:val="bottom"/>
            <w:hideMark/>
          </w:tcPr>
          <w:p>
            <w:pPr>
              <w:rPr>
                <w:rFonts w:ascii="Tahoma" w:eastAsia="Times New Roman" w:hAnsi="Tahoma" w:cs="Tahoma"/>
                <w:noProof/>
                <w:color w:val="000000"/>
                <w:sz w:val="16"/>
                <w:szCs w:val="16"/>
                <w:lang w:val="en-IE" w:eastAsia="en-IE"/>
              </w:rPr>
            </w:pPr>
            <w:r>
              <w:rPr>
                <w:rFonts w:ascii="Tahoma" w:eastAsia="Times New Roman" w:hAnsi="Tahoma" w:cs="Tahoma"/>
                <w:noProof/>
                <w:color w:val="000000"/>
                <w:sz w:val="16"/>
                <w:szCs w:val="16"/>
                <w:lang w:val="en-IE" w:eastAsia="en-IE"/>
              </w:rPr>
              <w:t> </w:t>
            </w:r>
          </w:p>
        </w:tc>
        <w:tc>
          <w:tcPr>
            <w:tcW w:w="703" w:type="dxa"/>
            <w:tcBorders>
              <w:top w:val="nil"/>
              <w:left w:val="nil"/>
              <w:bottom w:val="nil"/>
              <w:right w:val="nil"/>
            </w:tcBorders>
            <w:shd w:val="clear" w:color="000000" w:fill="FFFFFF"/>
            <w:noWrap/>
            <w:vAlign w:val="bottom"/>
            <w:hideMark/>
          </w:tcPr>
          <w:p>
            <w:pPr>
              <w:rPr>
                <w:rFonts w:ascii="Tahoma" w:eastAsia="Times New Roman" w:hAnsi="Tahoma" w:cs="Tahoma"/>
                <w:noProof/>
                <w:color w:val="000000"/>
                <w:sz w:val="16"/>
                <w:szCs w:val="16"/>
                <w:lang w:val="en-IE" w:eastAsia="en-IE"/>
              </w:rPr>
            </w:pPr>
            <w:r>
              <w:rPr>
                <w:rFonts w:ascii="Tahoma" w:eastAsia="Times New Roman" w:hAnsi="Tahoma" w:cs="Tahoma"/>
                <w:noProof/>
                <w:color w:val="000000"/>
                <w:sz w:val="16"/>
                <w:szCs w:val="16"/>
                <w:lang w:val="en-IE" w:eastAsia="en-IE"/>
              </w:rPr>
              <w:t> </w:t>
            </w:r>
          </w:p>
        </w:tc>
      </w:tr>
      <w:tr>
        <w:trPr>
          <w:trHeight w:val="225"/>
        </w:trPr>
        <w:tc>
          <w:tcPr>
            <w:tcW w:w="5735" w:type="dxa"/>
            <w:gridSpan w:val="6"/>
            <w:tcBorders>
              <w:top w:val="nil"/>
              <w:left w:val="nil"/>
              <w:bottom w:val="nil"/>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Total merchandise trade EU28 with Fiji (mio €)</w:t>
            </w:r>
          </w:p>
        </w:tc>
      </w:tr>
      <w:tr>
        <w:trPr>
          <w:trHeight w:val="225"/>
        </w:trPr>
        <w:tc>
          <w:tcPr>
            <w:tcW w:w="3749"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Fiji</w:t>
            </w:r>
          </w:p>
        </w:tc>
        <w:tc>
          <w:tcPr>
            <w:tcW w:w="408"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2017</w:t>
            </w:r>
          </w:p>
        </w:tc>
        <w:tc>
          <w:tcPr>
            <w:tcW w:w="408"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2018</w:t>
            </w:r>
          </w:p>
        </w:tc>
        <w:tc>
          <w:tcPr>
            <w:tcW w:w="1170" w:type="dxa"/>
            <w:gridSpan w:val="2"/>
            <w:tcBorders>
              <w:top w:val="single" w:sz="4" w:space="0" w:color="auto"/>
              <w:left w:val="nil"/>
              <w:bottom w:val="nil"/>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Growth</w:t>
            </w:r>
          </w:p>
        </w:tc>
      </w:tr>
      <w:tr>
        <w:trPr>
          <w:trHeight w:val="225"/>
        </w:trPr>
        <w:tc>
          <w:tcPr>
            <w:tcW w:w="3749" w:type="dxa"/>
            <w:gridSpan w:val="2"/>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08" w:type="dxa"/>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08" w:type="dxa"/>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67" w:type="dxa"/>
            <w:tcBorders>
              <w:top w:val="nil"/>
              <w:left w:val="nil"/>
              <w:bottom w:val="single" w:sz="4" w:space="0" w:color="auto"/>
              <w:right w:val="nil"/>
            </w:tcBorders>
            <w:shd w:val="clear" w:color="000000" w:fill="FFFFFF"/>
            <w:noWrap/>
            <w:vAlign w:val="bottom"/>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annual %</w:t>
            </w:r>
          </w:p>
        </w:tc>
      </w:tr>
      <w:tr>
        <w:trPr>
          <w:trHeight w:val="225"/>
        </w:trPr>
        <w:tc>
          <w:tcPr>
            <w:tcW w:w="3282"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Imports</w:t>
            </w:r>
          </w:p>
        </w:tc>
        <w:tc>
          <w:tcPr>
            <w:tcW w:w="467"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95</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36</w:t>
            </w:r>
          </w:p>
        </w:tc>
        <w:tc>
          <w:tcPr>
            <w:tcW w:w="467"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-59</w:t>
            </w:r>
          </w:p>
        </w:tc>
        <w:tc>
          <w:tcPr>
            <w:tcW w:w="703"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-62,1%</w:t>
            </w:r>
          </w:p>
        </w:tc>
      </w:tr>
      <w:tr>
        <w:trPr>
          <w:trHeight w:val="225"/>
        </w:trPr>
        <w:tc>
          <w:tcPr>
            <w:tcW w:w="3282"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Exports</w:t>
            </w:r>
          </w:p>
        </w:tc>
        <w:tc>
          <w:tcPr>
            <w:tcW w:w="467"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64</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67</w:t>
            </w:r>
          </w:p>
        </w:tc>
        <w:tc>
          <w:tcPr>
            <w:tcW w:w="467"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w:t>
            </w:r>
          </w:p>
        </w:tc>
        <w:tc>
          <w:tcPr>
            <w:tcW w:w="703"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3,5%</w:t>
            </w:r>
          </w:p>
        </w:tc>
      </w:tr>
      <w:tr>
        <w:trPr>
          <w:trHeight w:val="225"/>
        </w:trPr>
        <w:tc>
          <w:tcPr>
            <w:tcW w:w="3282"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Balance</w:t>
            </w:r>
          </w:p>
        </w:tc>
        <w:tc>
          <w:tcPr>
            <w:tcW w:w="467"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-31</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31</w:t>
            </w:r>
          </w:p>
        </w:tc>
        <w:tc>
          <w:tcPr>
            <w:tcW w:w="467"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61</w:t>
            </w:r>
          </w:p>
        </w:tc>
        <w:tc>
          <w:tcPr>
            <w:tcW w:w="703"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r>
      <w:tr>
        <w:trPr>
          <w:trHeight w:val="225"/>
        </w:trPr>
        <w:tc>
          <w:tcPr>
            <w:tcW w:w="3282" w:type="dxa"/>
            <w:tcBorders>
              <w:top w:val="nil"/>
              <w:left w:val="nil"/>
              <w:bottom w:val="single" w:sz="4" w:space="0" w:color="auto"/>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Total trade</w:t>
            </w:r>
          </w:p>
        </w:tc>
        <w:tc>
          <w:tcPr>
            <w:tcW w:w="467" w:type="dxa"/>
            <w:tcBorders>
              <w:top w:val="nil"/>
              <w:left w:val="nil"/>
              <w:bottom w:val="single" w:sz="4" w:space="0" w:color="auto"/>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08"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159</w:t>
            </w:r>
          </w:p>
        </w:tc>
        <w:tc>
          <w:tcPr>
            <w:tcW w:w="408"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103</w:t>
            </w:r>
          </w:p>
        </w:tc>
        <w:tc>
          <w:tcPr>
            <w:tcW w:w="467"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-57</w:t>
            </w:r>
          </w:p>
        </w:tc>
        <w:tc>
          <w:tcPr>
            <w:tcW w:w="703"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-35,7%</w:t>
            </w:r>
          </w:p>
        </w:tc>
      </w:tr>
      <w:tr>
        <w:trPr>
          <w:trHeight w:val="240"/>
        </w:trPr>
        <w:tc>
          <w:tcPr>
            <w:tcW w:w="4565" w:type="dxa"/>
            <w:gridSpan w:val="4"/>
            <w:tcBorders>
              <w:top w:val="single" w:sz="4" w:space="0" w:color="auto"/>
              <w:left w:val="nil"/>
              <w:bottom w:val="nil"/>
              <w:right w:val="nil"/>
            </w:tcBorders>
            <w:shd w:val="clear" w:color="000000" w:fill="FFFFFF"/>
            <w:noWrap/>
            <w:hideMark/>
          </w:tcPr>
          <w:p>
            <w:pPr>
              <w:rPr>
                <w:rFonts w:ascii="Arial" w:eastAsia="Times New Roman" w:hAnsi="Arial" w:cs="Arial"/>
                <w:noProof/>
                <w:sz w:val="12"/>
                <w:szCs w:val="12"/>
                <w:lang w:val="en-IE" w:eastAsia="en-IE"/>
              </w:rPr>
            </w:pPr>
            <w:r>
              <w:rPr>
                <w:rFonts w:ascii="Arial" w:eastAsia="Times New Roman" w:hAnsi="Arial" w:cs="Arial"/>
                <w:noProof/>
                <w:sz w:val="12"/>
                <w:szCs w:val="12"/>
                <w:lang w:val="en-IE" w:eastAsia="en-IE"/>
              </w:rPr>
              <w:t>Source Trade G2 Statistics/ISDB from Eurostat COMEXT</w:t>
            </w:r>
          </w:p>
        </w:tc>
        <w:tc>
          <w:tcPr>
            <w:tcW w:w="467" w:type="dxa"/>
            <w:tcBorders>
              <w:top w:val="nil"/>
              <w:left w:val="nil"/>
              <w:bottom w:val="nil"/>
              <w:right w:val="nil"/>
            </w:tcBorders>
            <w:shd w:val="clear" w:color="000000" w:fill="FFFFFF"/>
            <w:noWrap/>
            <w:vAlign w:val="bottom"/>
            <w:hideMark/>
          </w:tcPr>
          <w:p>
            <w:pPr>
              <w:rPr>
                <w:rFonts w:ascii="Arial" w:eastAsia="Times New Roman" w:hAnsi="Arial" w:cs="Arial"/>
                <w:noProof/>
                <w:sz w:val="18"/>
                <w:szCs w:val="18"/>
                <w:lang w:val="en-IE" w:eastAsia="en-IE"/>
              </w:rPr>
            </w:pPr>
            <w:r>
              <w:rPr>
                <w:rFonts w:ascii="Arial" w:eastAsia="Times New Roman" w:hAnsi="Arial" w:cs="Arial"/>
                <w:noProof/>
                <w:sz w:val="18"/>
                <w:szCs w:val="18"/>
                <w:lang w:val="en-IE" w:eastAsia="en-IE"/>
              </w:rPr>
              <w:t> </w:t>
            </w:r>
          </w:p>
        </w:tc>
        <w:tc>
          <w:tcPr>
            <w:tcW w:w="703" w:type="dxa"/>
            <w:tcBorders>
              <w:top w:val="nil"/>
              <w:left w:val="nil"/>
              <w:bottom w:val="nil"/>
              <w:right w:val="nil"/>
            </w:tcBorders>
            <w:shd w:val="clear" w:color="000000" w:fill="FFFFFF"/>
            <w:noWrap/>
            <w:vAlign w:val="bottom"/>
            <w:hideMark/>
          </w:tcPr>
          <w:p>
            <w:pPr>
              <w:rPr>
                <w:rFonts w:ascii="Arial" w:eastAsia="Times New Roman" w:hAnsi="Arial" w:cs="Arial"/>
                <w:noProof/>
                <w:sz w:val="18"/>
                <w:szCs w:val="18"/>
                <w:lang w:val="en-IE" w:eastAsia="en-IE"/>
              </w:rPr>
            </w:pPr>
            <w:r>
              <w:rPr>
                <w:rFonts w:ascii="Arial" w:eastAsia="Times New Roman" w:hAnsi="Arial" w:cs="Arial"/>
                <w:noProof/>
                <w:sz w:val="18"/>
                <w:szCs w:val="18"/>
                <w:lang w:val="en-IE" w:eastAsia="en-IE"/>
              </w:rPr>
              <w:t> </w:t>
            </w:r>
          </w:p>
        </w:tc>
      </w:tr>
      <w:tr>
        <w:trPr>
          <w:trHeight w:val="225"/>
        </w:trPr>
        <w:tc>
          <w:tcPr>
            <w:tcW w:w="5735" w:type="dxa"/>
            <w:gridSpan w:val="6"/>
            <w:tcBorders>
              <w:top w:val="nil"/>
              <w:left w:val="nil"/>
              <w:bottom w:val="nil"/>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Agrifood trade EU28 with Fiji (mio €)</w:t>
            </w:r>
          </w:p>
        </w:tc>
      </w:tr>
      <w:tr>
        <w:trPr>
          <w:trHeight w:val="255"/>
        </w:trPr>
        <w:tc>
          <w:tcPr>
            <w:tcW w:w="3749"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Fiji</w:t>
            </w:r>
          </w:p>
        </w:tc>
        <w:tc>
          <w:tcPr>
            <w:tcW w:w="408"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2017</w:t>
            </w:r>
          </w:p>
        </w:tc>
        <w:tc>
          <w:tcPr>
            <w:tcW w:w="408"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2018</w:t>
            </w:r>
          </w:p>
        </w:tc>
        <w:tc>
          <w:tcPr>
            <w:tcW w:w="1170" w:type="dxa"/>
            <w:gridSpan w:val="2"/>
            <w:tcBorders>
              <w:top w:val="single" w:sz="4" w:space="0" w:color="auto"/>
              <w:left w:val="nil"/>
              <w:bottom w:val="nil"/>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Growth</w:t>
            </w:r>
          </w:p>
        </w:tc>
      </w:tr>
      <w:tr>
        <w:trPr>
          <w:trHeight w:val="225"/>
        </w:trPr>
        <w:tc>
          <w:tcPr>
            <w:tcW w:w="3749" w:type="dxa"/>
            <w:gridSpan w:val="2"/>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08" w:type="dxa"/>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08" w:type="dxa"/>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67" w:type="dxa"/>
            <w:tcBorders>
              <w:top w:val="nil"/>
              <w:left w:val="nil"/>
              <w:bottom w:val="single" w:sz="4" w:space="0" w:color="auto"/>
              <w:right w:val="nil"/>
            </w:tcBorders>
            <w:shd w:val="clear" w:color="000000" w:fill="FFFFFF"/>
            <w:noWrap/>
            <w:vAlign w:val="bottom"/>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annual %</w:t>
            </w:r>
          </w:p>
        </w:tc>
      </w:tr>
      <w:tr>
        <w:trPr>
          <w:trHeight w:val="225"/>
        </w:trPr>
        <w:tc>
          <w:tcPr>
            <w:tcW w:w="3282"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Imports</w:t>
            </w:r>
          </w:p>
        </w:tc>
        <w:tc>
          <w:tcPr>
            <w:tcW w:w="467"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87</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25</w:t>
            </w:r>
          </w:p>
        </w:tc>
        <w:tc>
          <w:tcPr>
            <w:tcW w:w="467"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-62</w:t>
            </w:r>
          </w:p>
        </w:tc>
        <w:tc>
          <w:tcPr>
            <w:tcW w:w="703"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-71,8%</w:t>
            </w:r>
          </w:p>
        </w:tc>
      </w:tr>
      <w:tr>
        <w:trPr>
          <w:trHeight w:val="225"/>
        </w:trPr>
        <w:tc>
          <w:tcPr>
            <w:tcW w:w="3282"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Exports</w:t>
            </w:r>
          </w:p>
        </w:tc>
        <w:tc>
          <w:tcPr>
            <w:tcW w:w="467"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6</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13</w:t>
            </w:r>
          </w:p>
        </w:tc>
        <w:tc>
          <w:tcPr>
            <w:tcW w:w="467"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7</w:t>
            </w:r>
          </w:p>
        </w:tc>
        <w:tc>
          <w:tcPr>
            <w:tcW w:w="703"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113,2%</w:t>
            </w:r>
          </w:p>
        </w:tc>
      </w:tr>
      <w:tr>
        <w:trPr>
          <w:trHeight w:val="225"/>
        </w:trPr>
        <w:tc>
          <w:tcPr>
            <w:tcW w:w="3282"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Balance</w:t>
            </w:r>
          </w:p>
        </w:tc>
        <w:tc>
          <w:tcPr>
            <w:tcW w:w="467"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-81</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-12</w:t>
            </w:r>
          </w:p>
        </w:tc>
        <w:tc>
          <w:tcPr>
            <w:tcW w:w="467"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69</w:t>
            </w:r>
          </w:p>
        </w:tc>
        <w:tc>
          <w:tcPr>
            <w:tcW w:w="703"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r>
      <w:tr>
        <w:trPr>
          <w:trHeight w:val="225"/>
        </w:trPr>
        <w:tc>
          <w:tcPr>
            <w:tcW w:w="3282" w:type="dxa"/>
            <w:tcBorders>
              <w:top w:val="nil"/>
              <w:left w:val="nil"/>
              <w:bottom w:val="single" w:sz="4" w:space="0" w:color="auto"/>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Total trade</w:t>
            </w:r>
          </w:p>
        </w:tc>
        <w:tc>
          <w:tcPr>
            <w:tcW w:w="467"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08"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93</w:t>
            </w:r>
          </w:p>
        </w:tc>
        <w:tc>
          <w:tcPr>
            <w:tcW w:w="408"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37</w:t>
            </w:r>
          </w:p>
        </w:tc>
        <w:tc>
          <w:tcPr>
            <w:tcW w:w="467"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-56</w:t>
            </w:r>
          </w:p>
        </w:tc>
        <w:tc>
          <w:tcPr>
            <w:tcW w:w="703"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-59,8%</w:t>
            </w:r>
          </w:p>
        </w:tc>
      </w:tr>
      <w:tr>
        <w:trPr>
          <w:trHeight w:val="240"/>
        </w:trPr>
        <w:tc>
          <w:tcPr>
            <w:tcW w:w="4565" w:type="dxa"/>
            <w:gridSpan w:val="4"/>
            <w:tcBorders>
              <w:top w:val="single" w:sz="4" w:space="0" w:color="auto"/>
              <w:left w:val="nil"/>
              <w:bottom w:val="nil"/>
              <w:right w:val="nil"/>
            </w:tcBorders>
            <w:shd w:val="clear" w:color="000000" w:fill="FFFFFF"/>
            <w:noWrap/>
            <w:hideMark/>
          </w:tcPr>
          <w:p>
            <w:pPr>
              <w:rPr>
                <w:rFonts w:ascii="Arial" w:eastAsia="Times New Roman" w:hAnsi="Arial" w:cs="Arial"/>
                <w:noProof/>
                <w:sz w:val="12"/>
                <w:szCs w:val="12"/>
                <w:lang w:val="en-IE" w:eastAsia="en-IE"/>
              </w:rPr>
            </w:pPr>
            <w:r>
              <w:rPr>
                <w:rFonts w:ascii="Arial" w:eastAsia="Times New Roman" w:hAnsi="Arial" w:cs="Arial"/>
                <w:noProof/>
                <w:sz w:val="12"/>
                <w:szCs w:val="12"/>
                <w:lang w:val="en-IE" w:eastAsia="en-IE"/>
              </w:rPr>
              <w:t>Source Trade G2 Statistics/ISDB from Eurostat COMEXT</w:t>
            </w:r>
          </w:p>
        </w:tc>
        <w:tc>
          <w:tcPr>
            <w:tcW w:w="467" w:type="dxa"/>
            <w:tcBorders>
              <w:top w:val="nil"/>
              <w:left w:val="nil"/>
              <w:bottom w:val="nil"/>
              <w:right w:val="nil"/>
            </w:tcBorders>
            <w:shd w:val="clear" w:color="000000" w:fill="FFFFFF"/>
            <w:noWrap/>
            <w:vAlign w:val="bottom"/>
            <w:hideMark/>
          </w:tcPr>
          <w:p>
            <w:pPr>
              <w:rPr>
                <w:rFonts w:ascii="Arial" w:eastAsia="Times New Roman" w:hAnsi="Arial" w:cs="Arial"/>
                <w:noProof/>
                <w:sz w:val="18"/>
                <w:szCs w:val="18"/>
                <w:lang w:val="en-IE" w:eastAsia="en-IE"/>
              </w:rPr>
            </w:pPr>
            <w:r>
              <w:rPr>
                <w:rFonts w:ascii="Arial" w:eastAsia="Times New Roman" w:hAnsi="Arial" w:cs="Arial"/>
                <w:noProof/>
                <w:sz w:val="18"/>
                <w:szCs w:val="18"/>
                <w:lang w:val="en-IE" w:eastAsia="en-IE"/>
              </w:rPr>
              <w:t> </w:t>
            </w:r>
          </w:p>
        </w:tc>
        <w:tc>
          <w:tcPr>
            <w:tcW w:w="703" w:type="dxa"/>
            <w:tcBorders>
              <w:top w:val="nil"/>
              <w:left w:val="nil"/>
              <w:bottom w:val="nil"/>
              <w:right w:val="nil"/>
            </w:tcBorders>
            <w:shd w:val="clear" w:color="000000" w:fill="FFFFFF"/>
            <w:noWrap/>
            <w:vAlign w:val="bottom"/>
            <w:hideMark/>
          </w:tcPr>
          <w:p>
            <w:pPr>
              <w:rPr>
                <w:rFonts w:ascii="Arial" w:eastAsia="Times New Roman" w:hAnsi="Arial" w:cs="Arial"/>
                <w:noProof/>
                <w:sz w:val="18"/>
                <w:szCs w:val="18"/>
                <w:lang w:val="en-IE" w:eastAsia="en-IE"/>
              </w:rPr>
            </w:pPr>
            <w:r>
              <w:rPr>
                <w:rFonts w:ascii="Arial" w:eastAsia="Times New Roman" w:hAnsi="Arial" w:cs="Arial"/>
                <w:noProof/>
                <w:sz w:val="18"/>
                <w:szCs w:val="18"/>
                <w:lang w:val="en-IE" w:eastAsia="en-IE"/>
              </w:rPr>
              <w:t> </w:t>
            </w:r>
          </w:p>
        </w:tc>
      </w:tr>
      <w:tr>
        <w:trPr>
          <w:trHeight w:val="225"/>
        </w:trPr>
        <w:tc>
          <w:tcPr>
            <w:tcW w:w="5735" w:type="dxa"/>
            <w:gridSpan w:val="6"/>
            <w:tcBorders>
              <w:top w:val="nil"/>
              <w:left w:val="nil"/>
              <w:bottom w:val="nil"/>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NAMA trade EU28 with Fiji (mio €)</w:t>
            </w:r>
          </w:p>
        </w:tc>
      </w:tr>
      <w:tr>
        <w:trPr>
          <w:trHeight w:val="225"/>
        </w:trPr>
        <w:tc>
          <w:tcPr>
            <w:tcW w:w="3749"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Fiji</w:t>
            </w:r>
          </w:p>
        </w:tc>
        <w:tc>
          <w:tcPr>
            <w:tcW w:w="408"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2017</w:t>
            </w:r>
          </w:p>
        </w:tc>
        <w:tc>
          <w:tcPr>
            <w:tcW w:w="408"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2018</w:t>
            </w:r>
          </w:p>
        </w:tc>
        <w:tc>
          <w:tcPr>
            <w:tcW w:w="1170" w:type="dxa"/>
            <w:gridSpan w:val="2"/>
            <w:tcBorders>
              <w:top w:val="single" w:sz="4" w:space="0" w:color="auto"/>
              <w:left w:val="nil"/>
              <w:bottom w:val="nil"/>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Growth</w:t>
            </w:r>
          </w:p>
        </w:tc>
      </w:tr>
      <w:tr>
        <w:trPr>
          <w:trHeight w:val="225"/>
        </w:trPr>
        <w:tc>
          <w:tcPr>
            <w:tcW w:w="3749" w:type="dxa"/>
            <w:gridSpan w:val="2"/>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08" w:type="dxa"/>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08" w:type="dxa"/>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67" w:type="dxa"/>
            <w:tcBorders>
              <w:top w:val="nil"/>
              <w:left w:val="nil"/>
              <w:bottom w:val="single" w:sz="4" w:space="0" w:color="auto"/>
              <w:right w:val="nil"/>
            </w:tcBorders>
            <w:shd w:val="clear" w:color="000000" w:fill="FFFFFF"/>
            <w:noWrap/>
            <w:vAlign w:val="bottom"/>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annual %</w:t>
            </w:r>
          </w:p>
        </w:tc>
      </w:tr>
      <w:tr>
        <w:trPr>
          <w:trHeight w:val="225"/>
        </w:trPr>
        <w:tc>
          <w:tcPr>
            <w:tcW w:w="3749" w:type="dxa"/>
            <w:gridSpan w:val="2"/>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EU28 imports</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8</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11</w:t>
            </w:r>
          </w:p>
        </w:tc>
        <w:tc>
          <w:tcPr>
            <w:tcW w:w="467"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w:t>
            </w:r>
          </w:p>
        </w:tc>
        <w:tc>
          <w:tcPr>
            <w:tcW w:w="703"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42,5%</w:t>
            </w:r>
          </w:p>
        </w:tc>
      </w:tr>
      <w:tr>
        <w:trPr>
          <w:trHeight w:val="225"/>
        </w:trPr>
        <w:tc>
          <w:tcPr>
            <w:tcW w:w="3749" w:type="dxa"/>
            <w:gridSpan w:val="2"/>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EU28 exports</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58</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54</w:t>
            </w:r>
          </w:p>
        </w:tc>
        <w:tc>
          <w:tcPr>
            <w:tcW w:w="467"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-5</w:t>
            </w:r>
          </w:p>
        </w:tc>
        <w:tc>
          <w:tcPr>
            <w:tcW w:w="703"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-7,8%</w:t>
            </w:r>
          </w:p>
        </w:tc>
      </w:tr>
      <w:tr>
        <w:trPr>
          <w:trHeight w:val="225"/>
        </w:trPr>
        <w:tc>
          <w:tcPr>
            <w:tcW w:w="3282"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Balance</w:t>
            </w:r>
          </w:p>
        </w:tc>
        <w:tc>
          <w:tcPr>
            <w:tcW w:w="467"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50</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42</w:t>
            </w:r>
          </w:p>
        </w:tc>
        <w:tc>
          <w:tcPr>
            <w:tcW w:w="467"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-8</w:t>
            </w:r>
          </w:p>
        </w:tc>
        <w:tc>
          <w:tcPr>
            <w:tcW w:w="703"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r>
      <w:tr>
        <w:trPr>
          <w:trHeight w:val="225"/>
        </w:trPr>
        <w:tc>
          <w:tcPr>
            <w:tcW w:w="3282"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Total trade</w:t>
            </w:r>
          </w:p>
        </w:tc>
        <w:tc>
          <w:tcPr>
            <w:tcW w:w="467"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66</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65</w:t>
            </w:r>
          </w:p>
        </w:tc>
        <w:tc>
          <w:tcPr>
            <w:tcW w:w="467"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w:t>
            </w:r>
          </w:p>
        </w:tc>
        <w:tc>
          <w:tcPr>
            <w:tcW w:w="703"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-1,7%</w:t>
            </w:r>
          </w:p>
        </w:tc>
      </w:tr>
      <w:tr>
        <w:trPr>
          <w:trHeight w:val="240"/>
        </w:trPr>
        <w:tc>
          <w:tcPr>
            <w:tcW w:w="4565" w:type="dxa"/>
            <w:gridSpan w:val="4"/>
            <w:tcBorders>
              <w:top w:val="single" w:sz="4" w:space="0" w:color="auto"/>
              <w:left w:val="nil"/>
              <w:bottom w:val="nil"/>
              <w:right w:val="nil"/>
            </w:tcBorders>
            <w:shd w:val="clear" w:color="000000" w:fill="FFFFFF"/>
            <w:noWrap/>
            <w:hideMark/>
          </w:tcPr>
          <w:p>
            <w:pPr>
              <w:rPr>
                <w:rFonts w:ascii="Arial" w:eastAsia="Times New Roman" w:hAnsi="Arial" w:cs="Arial"/>
                <w:noProof/>
                <w:sz w:val="12"/>
                <w:szCs w:val="12"/>
                <w:lang w:val="en-IE" w:eastAsia="en-IE"/>
              </w:rPr>
            </w:pPr>
            <w:r>
              <w:rPr>
                <w:rFonts w:ascii="Arial" w:eastAsia="Times New Roman" w:hAnsi="Arial" w:cs="Arial"/>
                <w:noProof/>
                <w:sz w:val="12"/>
                <w:szCs w:val="12"/>
                <w:lang w:val="en-IE" w:eastAsia="en-IE"/>
              </w:rPr>
              <w:t>Source Trade G2 Statistics/ISDB from Eurostat COMEXT</w:t>
            </w:r>
          </w:p>
        </w:tc>
        <w:tc>
          <w:tcPr>
            <w:tcW w:w="467" w:type="dxa"/>
            <w:tcBorders>
              <w:top w:val="single" w:sz="4" w:space="0" w:color="auto"/>
              <w:left w:val="nil"/>
              <w:bottom w:val="nil"/>
              <w:right w:val="nil"/>
            </w:tcBorders>
            <w:shd w:val="clear" w:color="000000" w:fill="FFFFFF"/>
            <w:noWrap/>
            <w:vAlign w:val="bottom"/>
            <w:hideMark/>
          </w:tcPr>
          <w:p>
            <w:pPr>
              <w:rPr>
                <w:rFonts w:ascii="Arial" w:eastAsia="Times New Roman" w:hAnsi="Arial" w:cs="Arial"/>
                <w:noProof/>
                <w:sz w:val="18"/>
                <w:szCs w:val="18"/>
                <w:lang w:val="en-IE" w:eastAsia="en-IE"/>
              </w:rPr>
            </w:pPr>
            <w:r>
              <w:rPr>
                <w:rFonts w:ascii="Arial" w:eastAsia="Times New Roman" w:hAnsi="Arial" w:cs="Arial"/>
                <w:noProof/>
                <w:sz w:val="18"/>
                <w:szCs w:val="18"/>
                <w:lang w:val="en-IE" w:eastAsia="en-IE"/>
              </w:rPr>
              <w:t> </w:t>
            </w:r>
          </w:p>
        </w:tc>
        <w:tc>
          <w:tcPr>
            <w:tcW w:w="703" w:type="dxa"/>
            <w:tcBorders>
              <w:top w:val="nil"/>
              <w:left w:val="nil"/>
              <w:bottom w:val="nil"/>
              <w:right w:val="nil"/>
            </w:tcBorders>
            <w:shd w:val="clear" w:color="000000" w:fill="FFFFFF"/>
            <w:noWrap/>
            <w:vAlign w:val="bottom"/>
            <w:hideMark/>
          </w:tcPr>
          <w:p>
            <w:pPr>
              <w:rPr>
                <w:rFonts w:ascii="Arial" w:eastAsia="Times New Roman" w:hAnsi="Arial" w:cs="Arial"/>
                <w:noProof/>
                <w:sz w:val="18"/>
                <w:szCs w:val="18"/>
                <w:lang w:val="en-IE" w:eastAsia="en-IE"/>
              </w:rPr>
            </w:pPr>
            <w:r>
              <w:rPr>
                <w:rFonts w:ascii="Arial" w:eastAsia="Times New Roman" w:hAnsi="Arial" w:cs="Arial"/>
                <w:noProof/>
                <w:sz w:val="18"/>
                <w:szCs w:val="18"/>
                <w:lang w:val="en-IE" w:eastAsia="en-IE"/>
              </w:rPr>
              <w:t> </w:t>
            </w:r>
          </w:p>
        </w:tc>
      </w:tr>
      <w:tr>
        <w:trPr>
          <w:trHeight w:val="225"/>
        </w:trPr>
        <w:tc>
          <w:tcPr>
            <w:tcW w:w="4565" w:type="dxa"/>
            <w:gridSpan w:val="4"/>
            <w:tcBorders>
              <w:top w:val="nil"/>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Services trade EU28 with Fiji (mio €)</w:t>
            </w:r>
          </w:p>
        </w:tc>
        <w:tc>
          <w:tcPr>
            <w:tcW w:w="467" w:type="dxa"/>
            <w:tcBorders>
              <w:top w:val="nil"/>
              <w:left w:val="nil"/>
              <w:bottom w:val="nil"/>
              <w:right w:val="nil"/>
            </w:tcBorders>
            <w:shd w:val="clear" w:color="000000" w:fill="FFFFFF"/>
            <w:noWrap/>
            <w:vAlign w:val="center"/>
            <w:hideMark/>
          </w:tcPr>
          <w:p>
            <w:pP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 </w:t>
            </w:r>
          </w:p>
        </w:tc>
        <w:tc>
          <w:tcPr>
            <w:tcW w:w="703" w:type="dxa"/>
            <w:tcBorders>
              <w:top w:val="nil"/>
              <w:left w:val="nil"/>
              <w:bottom w:val="nil"/>
              <w:right w:val="nil"/>
            </w:tcBorders>
            <w:shd w:val="clear" w:color="000000" w:fill="FFFFFF"/>
            <w:noWrap/>
            <w:vAlign w:val="center"/>
            <w:hideMark/>
          </w:tcPr>
          <w:p>
            <w:pP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 </w:t>
            </w:r>
          </w:p>
        </w:tc>
      </w:tr>
      <w:tr>
        <w:trPr>
          <w:trHeight w:val="225"/>
        </w:trPr>
        <w:tc>
          <w:tcPr>
            <w:tcW w:w="3749"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Fiji</w:t>
            </w:r>
          </w:p>
        </w:tc>
        <w:tc>
          <w:tcPr>
            <w:tcW w:w="408" w:type="dxa"/>
            <w:vMerge w:val="restart"/>
            <w:tcBorders>
              <w:top w:val="nil"/>
              <w:left w:val="nil"/>
              <w:bottom w:val="single" w:sz="4" w:space="0" w:color="000000"/>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2016</w:t>
            </w:r>
          </w:p>
        </w:tc>
        <w:tc>
          <w:tcPr>
            <w:tcW w:w="408" w:type="dxa"/>
            <w:vMerge w:val="restart"/>
            <w:tcBorders>
              <w:top w:val="nil"/>
              <w:left w:val="nil"/>
              <w:bottom w:val="single" w:sz="4" w:space="0" w:color="000000"/>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2017</w:t>
            </w:r>
          </w:p>
        </w:tc>
        <w:tc>
          <w:tcPr>
            <w:tcW w:w="1170" w:type="dxa"/>
            <w:gridSpan w:val="2"/>
            <w:tcBorders>
              <w:top w:val="single" w:sz="4" w:space="0" w:color="auto"/>
              <w:left w:val="nil"/>
              <w:bottom w:val="nil"/>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Growth</w:t>
            </w:r>
          </w:p>
        </w:tc>
      </w:tr>
      <w:tr>
        <w:trPr>
          <w:trHeight w:val="225"/>
        </w:trPr>
        <w:tc>
          <w:tcPr>
            <w:tcW w:w="3749" w:type="dxa"/>
            <w:gridSpan w:val="2"/>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08" w:type="dxa"/>
            <w:vMerge/>
            <w:tcBorders>
              <w:top w:val="nil"/>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08" w:type="dxa"/>
            <w:vMerge/>
            <w:tcBorders>
              <w:top w:val="nil"/>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67" w:type="dxa"/>
            <w:tcBorders>
              <w:top w:val="nil"/>
              <w:left w:val="nil"/>
              <w:bottom w:val="single" w:sz="4" w:space="0" w:color="auto"/>
              <w:right w:val="nil"/>
            </w:tcBorders>
            <w:shd w:val="clear" w:color="000000" w:fill="FFFFFF"/>
            <w:noWrap/>
            <w:vAlign w:val="bottom"/>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annual %</w:t>
            </w:r>
          </w:p>
        </w:tc>
      </w:tr>
      <w:tr>
        <w:trPr>
          <w:trHeight w:val="225"/>
        </w:trPr>
        <w:tc>
          <w:tcPr>
            <w:tcW w:w="3282"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Imports</w:t>
            </w:r>
          </w:p>
        </w:tc>
        <w:tc>
          <w:tcPr>
            <w:tcW w:w="467"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49</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130</w:t>
            </w:r>
          </w:p>
        </w:tc>
        <w:tc>
          <w:tcPr>
            <w:tcW w:w="467"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80</w:t>
            </w:r>
          </w:p>
        </w:tc>
        <w:tc>
          <w:tcPr>
            <w:tcW w:w="703"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162,8%</w:t>
            </w:r>
          </w:p>
        </w:tc>
      </w:tr>
      <w:tr>
        <w:trPr>
          <w:trHeight w:val="225"/>
        </w:trPr>
        <w:tc>
          <w:tcPr>
            <w:tcW w:w="3282"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Exports</w:t>
            </w:r>
          </w:p>
        </w:tc>
        <w:tc>
          <w:tcPr>
            <w:tcW w:w="467"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153</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162</w:t>
            </w:r>
          </w:p>
        </w:tc>
        <w:tc>
          <w:tcPr>
            <w:tcW w:w="467"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9</w:t>
            </w:r>
          </w:p>
        </w:tc>
        <w:tc>
          <w:tcPr>
            <w:tcW w:w="703"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5,9%</w:t>
            </w:r>
          </w:p>
        </w:tc>
      </w:tr>
      <w:tr>
        <w:trPr>
          <w:trHeight w:val="225"/>
        </w:trPr>
        <w:tc>
          <w:tcPr>
            <w:tcW w:w="3282"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Balance</w:t>
            </w:r>
          </w:p>
        </w:tc>
        <w:tc>
          <w:tcPr>
            <w:tcW w:w="467"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104</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32</w:t>
            </w:r>
          </w:p>
        </w:tc>
        <w:tc>
          <w:tcPr>
            <w:tcW w:w="467"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-71</w:t>
            </w:r>
          </w:p>
        </w:tc>
        <w:tc>
          <w:tcPr>
            <w:tcW w:w="703"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r>
      <w:tr>
        <w:trPr>
          <w:trHeight w:val="225"/>
        </w:trPr>
        <w:tc>
          <w:tcPr>
            <w:tcW w:w="3282" w:type="dxa"/>
            <w:tcBorders>
              <w:top w:val="nil"/>
              <w:left w:val="nil"/>
              <w:bottom w:val="single" w:sz="4" w:space="0" w:color="auto"/>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Total trade</w:t>
            </w:r>
          </w:p>
        </w:tc>
        <w:tc>
          <w:tcPr>
            <w:tcW w:w="467" w:type="dxa"/>
            <w:tcBorders>
              <w:top w:val="nil"/>
              <w:left w:val="nil"/>
              <w:bottom w:val="single" w:sz="4" w:space="0" w:color="auto"/>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08"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202</w:t>
            </w:r>
          </w:p>
        </w:tc>
        <w:tc>
          <w:tcPr>
            <w:tcW w:w="408"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292</w:t>
            </w:r>
          </w:p>
        </w:tc>
        <w:tc>
          <w:tcPr>
            <w:tcW w:w="467"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89</w:t>
            </w:r>
          </w:p>
        </w:tc>
        <w:tc>
          <w:tcPr>
            <w:tcW w:w="703"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44,2%</w:t>
            </w:r>
          </w:p>
        </w:tc>
      </w:tr>
      <w:tr>
        <w:trPr>
          <w:trHeight w:val="240"/>
        </w:trPr>
        <w:tc>
          <w:tcPr>
            <w:tcW w:w="5032" w:type="dxa"/>
            <w:gridSpan w:val="5"/>
            <w:tcBorders>
              <w:top w:val="nil"/>
              <w:left w:val="nil"/>
              <w:bottom w:val="nil"/>
              <w:right w:val="nil"/>
            </w:tcBorders>
            <w:shd w:val="clear" w:color="000000" w:fill="FFFFFF"/>
            <w:noWrap/>
            <w:hideMark/>
          </w:tcPr>
          <w:p>
            <w:pPr>
              <w:rPr>
                <w:rFonts w:ascii="Arial" w:eastAsia="Times New Roman" w:hAnsi="Arial" w:cs="Arial"/>
                <w:noProof/>
                <w:sz w:val="12"/>
                <w:szCs w:val="12"/>
                <w:lang w:val="en-IE" w:eastAsia="en-IE"/>
              </w:rPr>
            </w:pPr>
            <w:r>
              <w:rPr>
                <w:rFonts w:ascii="Arial" w:eastAsia="Times New Roman" w:hAnsi="Arial" w:cs="Arial"/>
                <w:noProof/>
                <w:sz w:val="12"/>
                <w:szCs w:val="12"/>
                <w:lang w:val="en-IE" w:eastAsia="en-IE"/>
              </w:rPr>
              <w:t>Source Trade G2 Statistics/ISDB from Eurostat BOP statistics</w:t>
            </w:r>
          </w:p>
        </w:tc>
        <w:tc>
          <w:tcPr>
            <w:tcW w:w="703" w:type="dxa"/>
            <w:tcBorders>
              <w:top w:val="nil"/>
              <w:left w:val="nil"/>
              <w:bottom w:val="nil"/>
              <w:right w:val="nil"/>
            </w:tcBorders>
            <w:shd w:val="clear" w:color="000000" w:fill="FFFFFF"/>
            <w:noWrap/>
            <w:vAlign w:val="bottom"/>
            <w:hideMark/>
          </w:tcPr>
          <w:p>
            <w:pPr>
              <w:rPr>
                <w:rFonts w:ascii="Arial" w:eastAsia="Times New Roman" w:hAnsi="Arial" w:cs="Arial"/>
                <w:noProof/>
                <w:sz w:val="18"/>
                <w:szCs w:val="18"/>
                <w:lang w:val="en-IE" w:eastAsia="en-IE"/>
              </w:rPr>
            </w:pPr>
            <w:r>
              <w:rPr>
                <w:rFonts w:ascii="Arial" w:eastAsia="Times New Roman" w:hAnsi="Arial" w:cs="Arial"/>
                <w:noProof/>
                <w:sz w:val="18"/>
                <w:szCs w:val="18"/>
                <w:lang w:val="en-IE" w:eastAsia="en-IE"/>
              </w:rPr>
              <w:t> </w:t>
            </w:r>
          </w:p>
        </w:tc>
      </w:tr>
      <w:tr>
        <w:trPr>
          <w:trHeight w:val="240"/>
        </w:trPr>
        <w:tc>
          <w:tcPr>
            <w:tcW w:w="5735" w:type="dxa"/>
            <w:gridSpan w:val="6"/>
            <w:tcBorders>
              <w:top w:val="nil"/>
              <w:left w:val="nil"/>
              <w:bottom w:val="nil"/>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Services trade EU28 with Fiji (mio €)</w:t>
            </w:r>
          </w:p>
        </w:tc>
      </w:tr>
      <w:tr>
        <w:trPr>
          <w:trHeight w:val="225"/>
        </w:trPr>
        <w:tc>
          <w:tcPr>
            <w:tcW w:w="3282" w:type="dxa"/>
            <w:tcBorders>
              <w:top w:val="single" w:sz="4" w:space="0" w:color="auto"/>
              <w:left w:val="nil"/>
              <w:bottom w:val="single" w:sz="4" w:space="0" w:color="auto"/>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67" w:type="dxa"/>
            <w:tcBorders>
              <w:top w:val="single" w:sz="4" w:space="0" w:color="auto"/>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2013</w:t>
            </w:r>
          </w:p>
        </w:tc>
        <w:tc>
          <w:tcPr>
            <w:tcW w:w="408" w:type="dxa"/>
            <w:tcBorders>
              <w:top w:val="single" w:sz="4" w:space="0" w:color="auto"/>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2014</w:t>
            </w:r>
          </w:p>
        </w:tc>
        <w:tc>
          <w:tcPr>
            <w:tcW w:w="408" w:type="dxa"/>
            <w:tcBorders>
              <w:top w:val="single" w:sz="4" w:space="0" w:color="auto"/>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2015</w:t>
            </w:r>
          </w:p>
        </w:tc>
        <w:tc>
          <w:tcPr>
            <w:tcW w:w="467" w:type="dxa"/>
            <w:tcBorders>
              <w:top w:val="single" w:sz="4" w:space="0" w:color="auto"/>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2016</w:t>
            </w:r>
          </w:p>
        </w:tc>
        <w:tc>
          <w:tcPr>
            <w:tcW w:w="703" w:type="dxa"/>
            <w:tcBorders>
              <w:top w:val="single" w:sz="4" w:space="0" w:color="auto"/>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2017</w:t>
            </w:r>
          </w:p>
        </w:tc>
      </w:tr>
      <w:tr>
        <w:trPr>
          <w:trHeight w:val="225"/>
        </w:trPr>
        <w:tc>
          <w:tcPr>
            <w:tcW w:w="3282"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Imports</w:t>
            </w:r>
          </w:p>
        </w:tc>
        <w:tc>
          <w:tcPr>
            <w:tcW w:w="467"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100</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91</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58</w:t>
            </w:r>
          </w:p>
        </w:tc>
        <w:tc>
          <w:tcPr>
            <w:tcW w:w="467"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49</w:t>
            </w:r>
          </w:p>
        </w:tc>
        <w:tc>
          <w:tcPr>
            <w:tcW w:w="703"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130</w:t>
            </w:r>
          </w:p>
        </w:tc>
      </w:tr>
      <w:tr>
        <w:trPr>
          <w:trHeight w:val="225"/>
        </w:trPr>
        <w:tc>
          <w:tcPr>
            <w:tcW w:w="3282"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Exports</w:t>
            </w:r>
          </w:p>
        </w:tc>
        <w:tc>
          <w:tcPr>
            <w:tcW w:w="467"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66</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40</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233</w:t>
            </w:r>
          </w:p>
        </w:tc>
        <w:tc>
          <w:tcPr>
            <w:tcW w:w="467"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153</w:t>
            </w:r>
          </w:p>
        </w:tc>
        <w:tc>
          <w:tcPr>
            <w:tcW w:w="703"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162</w:t>
            </w:r>
          </w:p>
        </w:tc>
      </w:tr>
      <w:tr>
        <w:trPr>
          <w:trHeight w:val="225"/>
        </w:trPr>
        <w:tc>
          <w:tcPr>
            <w:tcW w:w="3282"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Balance</w:t>
            </w:r>
          </w:p>
        </w:tc>
        <w:tc>
          <w:tcPr>
            <w:tcW w:w="467"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-35</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-51</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175</w:t>
            </w:r>
          </w:p>
        </w:tc>
        <w:tc>
          <w:tcPr>
            <w:tcW w:w="467"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104</w:t>
            </w:r>
          </w:p>
        </w:tc>
        <w:tc>
          <w:tcPr>
            <w:tcW w:w="703"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32</w:t>
            </w:r>
          </w:p>
        </w:tc>
      </w:tr>
      <w:tr>
        <w:trPr>
          <w:trHeight w:val="225"/>
        </w:trPr>
        <w:tc>
          <w:tcPr>
            <w:tcW w:w="3282" w:type="dxa"/>
            <w:tcBorders>
              <w:top w:val="nil"/>
              <w:left w:val="nil"/>
              <w:bottom w:val="single" w:sz="4" w:space="0" w:color="auto"/>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Total trade</w:t>
            </w:r>
          </w:p>
        </w:tc>
        <w:tc>
          <w:tcPr>
            <w:tcW w:w="467"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166</w:t>
            </w:r>
          </w:p>
        </w:tc>
        <w:tc>
          <w:tcPr>
            <w:tcW w:w="408"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131</w:t>
            </w:r>
          </w:p>
        </w:tc>
        <w:tc>
          <w:tcPr>
            <w:tcW w:w="408"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291</w:t>
            </w:r>
          </w:p>
        </w:tc>
        <w:tc>
          <w:tcPr>
            <w:tcW w:w="467"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202</w:t>
            </w:r>
          </w:p>
        </w:tc>
        <w:tc>
          <w:tcPr>
            <w:tcW w:w="703"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292</w:t>
            </w:r>
          </w:p>
        </w:tc>
      </w:tr>
      <w:tr>
        <w:trPr>
          <w:trHeight w:val="225"/>
        </w:trPr>
        <w:tc>
          <w:tcPr>
            <w:tcW w:w="3282" w:type="dxa"/>
            <w:tcBorders>
              <w:top w:val="nil"/>
              <w:left w:val="nil"/>
              <w:bottom w:val="nil"/>
              <w:right w:val="nil"/>
            </w:tcBorders>
            <w:shd w:val="clear" w:color="000000" w:fill="FFFFFF"/>
            <w:noWrap/>
            <w:hideMark/>
          </w:tcPr>
          <w:p>
            <w:pPr>
              <w:rPr>
                <w:rFonts w:ascii="Arial" w:eastAsia="Times New Roman" w:hAnsi="Arial" w:cs="Arial"/>
                <w:noProof/>
                <w:sz w:val="12"/>
                <w:szCs w:val="12"/>
                <w:lang w:val="en-IE" w:eastAsia="en-IE"/>
              </w:rPr>
            </w:pPr>
            <w:r>
              <w:rPr>
                <w:rFonts w:ascii="Arial" w:eastAsia="Times New Roman" w:hAnsi="Arial" w:cs="Arial"/>
                <w:noProof/>
                <w:sz w:val="12"/>
                <w:szCs w:val="12"/>
                <w:lang w:val="en-IE" w:eastAsia="en-IE"/>
              </w:rPr>
              <w:t>Source Trade G2 Statistics/ISDB from Eurostat BOP statistics</w:t>
            </w:r>
          </w:p>
        </w:tc>
        <w:tc>
          <w:tcPr>
            <w:tcW w:w="467" w:type="dxa"/>
            <w:tcBorders>
              <w:top w:val="nil"/>
              <w:left w:val="nil"/>
              <w:bottom w:val="nil"/>
              <w:right w:val="nil"/>
            </w:tcBorders>
            <w:shd w:val="clear" w:color="000000" w:fill="FFFFFF"/>
            <w:noWrap/>
            <w:hideMark/>
          </w:tcPr>
          <w:p>
            <w:pPr>
              <w:rPr>
                <w:rFonts w:ascii="Arial" w:eastAsia="Times New Roman" w:hAnsi="Arial" w:cs="Arial"/>
                <w:noProof/>
                <w:sz w:val="12"/>
                <w:szCs w:val="12"/>
                <w:lang w:val="en-IE" w:eastAsia="en-IE"/>
              </w:rPr>
            </w:pPr>
            <w:r>
              <w:rPr>
                <w:rFonts w:ascii="Arial" w:eastAsia="Times New Roman" w:hAnsi="Arial" w:cs="Arial"/>
                <w:noProof/>
                <w:sz w:val="12"/>
                <w:szCs w:val="12"/>
                <w:lang w:val="en-IE" w:eastAsia="en-IE"/>
              </w:rPr>
              <w:t> </w:t>
            </w:r>
          </w:p>
        </w:tc>
        <w:tc>
          <w:tcPr>
            <w:tcW w:w="408"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703"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r>
      <w:tr>
        <w:trPr>
          <w:trHeight w:val="225"/>
        </w:trPr>
        <w:tc>
          <w:tcPr>
            <w:tcW w:w="5735" w:type="dxa"/>
            <w:gridSpan w:val="6"/>
            <w:tcBorders>
              <w:top w:val="nil"/>
              <w:left w:val="nil"/>
              <w:bottom w:val="nil"/>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FDI EU28 with Fiji (mio €)</w:t>
            </w:r>
          </w:p>
        </w:tc>
      </w:tr>
      <w:tr>
        <w:trPr>
          <w:trHeight w:val="225"/>
        </w:trPr>
        <w:tc>
          <w:tcPr>
            <w:tcW w:w="3282" w:type="dxa"/>
            <w:tcBorders>
              <w:top w:val="single" w:sz="4" w:space="0" w:color="auto"/>
              <w:left w:val="nil"/>
              <w:bottom w:val="single" w:sz="4" w:space="0" w:color="auto"/>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67" w:type="dxa"/>
            <w:tcBorders>
              <w:top w:val="single" w:sz="4" w:space="0" w:color="auto"/>
              <w:left w:val="nil"/>
              <w:bottom w:val="single" w:sz="4" w:space="0" w:color="auto"/>
              <w:right w:val="nil"/>
            </w:tcBorders>
            <w:shd w:val="clear" w:color="000000" w:fill="FFFFFF"/>
            <w:noWrap/>
            <w:vAlign w:val="bottom"/>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2013</w:t>
            </w:r>
          </w:p>
        </w:tc>
        <w:tc>
          <w:tcPr>
            <w:tcW w:w="408" w:type="dxa"/>
            <w:tcBorders>
              <w:top w:val="single" w:sz="4" w:space="0" w:color="auto"/>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2014</w:t>
            </w:r>
          </w:p>
        </w:tc>
        <w:tc>
          <w:tcPr>
            <w:tcW w:w="408" w:type="dxa"/>
            <w:tcBorders>
              <w:top w:val="single" w:sz="4" w:space="0" w:color="auto"/>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2015</w:t>
            </w:r>
          </w:p>
        </w:tc>
        <w:tc>
          <w:tcPr>
            <w:tcW w:w="467" w:type="dxa"/>
            <w:tcBorders>
              <w:top w:val="single" w:sz="4" w:space="0" w:color="auto"/>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2016</w:t>
            </w:r>
          </w:p>
        </w:tc>
        <w:tc>
          <w:tcPr>
            <w:tcW w:w="703" w:type="dxa"/>
            <w:tcBorders>
              <w:top w:val="single" w:sz="4" w:space="0" w:color="auto"/>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2017</w:t>
            </w:r>
          </w:p>
        </w:tc>
      </w:tr>
      <w:tr>
        <w:trPr>
          <w:trHeight w:val="225"/>
        </w:trPr>
        <w:tc>
          <w:tcPr>
            <w:tcW w:w="5735" w:type="dxa"/>
            <w:gridSpan w:val="6"/>
            <w:tcBorders>
              <w:top w:val="nil"/>
              <w:left w:val="nil"/>
              <w:bottom w:val="nil"/>
              <w:right w:val="nil"/>
            </w:tcBorders>
            <w:shd w:val="clear" w:color="000000" w:fill="FFFFFF"/>
            <w:noWrap/>
            <w:vAlign w:val="center"/>
            <w:hideMark/>
          </w:tcPr>
          <w:p>
            <w:pPr>
              <w:jc w:val="center"/>
              <w:rPr>
                <w:rFonts w:ascii="Arial" w:eastAsia="Times New Roman" w:hAnsi="Arial" w:cs="Arial"/>
                <w:b/>
                <w:bCs/>
                <w:i/>
                <w:iCs/>
                <w:noProof/>
                <w:sz w:val="16"/>
                <w:szCs w:val="16"/>
                <w:lang w:val="en-IE" w:eastAsia="en-IE"/>
              </w:rPr>
            </w:pPr>
            <w:r>
              <w:rPr>
                <w:rFonts w:ascii="Arial" w:eastAsia="Times New Roman" w:hAnsi="Arial" w:cs="Arial"/>
                <w:b/>
                <w:bCs/>
                <w:i/>
                <w:iCs/>
                <w:noProof/>
                <w:sz w:val="16"/>
                <w:szCs w:val="16"/>
                <w:lang w:val="en-IE" w:eastAsia="en-IE"/>
              </w:rPr>
              <w:t>FDI Stocks</w:t>
            </w:r>
          </w:p>
        </w:tc>
      </w:tr>
      <w:tr>
        <w:trPr>
          <w:trHeight w:val="225"/>
        </w:trPr>
        <w:tc>
          <w:tcPr>
            <w:tcW w:w="3282"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Inward</w:t>
            </w:r>
          </w:p>
        </w:tc>
        <w:tc>
          <w:tcPr>
            <w:tcW w:w="467"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0</w:t>
            </w:r>
          </w:p>
        </w:tc>
        <w:tc>
          <w:tcPr>
            <w:tcW w:w="703"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w:t>
            </w:r>
          </w:p>
        </w:tc>
      </w:tr>
      <w:tr>
        <w:trPr>
          <w:trHeight w:val="225"/>
        </w:trPr>
        <w:tc>
          <w:tcPr>
            <w:tcW w:w="3282"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Outward</w:t>
            </w:r>
          </w:p>
        </w:tc>
        <w:tc>
          <w:tcPr>
            <w:tcW w:w="467"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159</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195</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185</w:t>
            </w:r>
          </w:p>
        </w:tc>
        <w:tc>
          <w:tcPr>
            <w:tcW w:w="467"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146</w:t>
            </w:r>
          </w:p>
        </w:tc>
        <w:tc>
          <w:tcPr>
            <w:tcW w:w="703"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169</w:t>
            </w:r>
          </w:p>
        </w:tc>
      </w:tr>
      <w:tr>
        <w:trPr>
          <w:trHeight w:val="225"/>
        </w:trPr>
        <w:tc>
          <w:tcPr>
            <w:tcW w:w="5735" w:type="dxa"/>
            <w:gridSpan w:val="6"/>
            <w:tcBorders>
              <w:top w:val="nil"/>
              <w:left w:val="nil"/>
              <w:bottom w:val="nil"/>
              <w:right w:val="nil"/>
            </w:tcBorders>
            <w:shd w:val="clear" w:color="000000" w:fill="FFFFFF"/>
            <w:noWrap/>
            <w:vAlign w:val="center"/>
            <w:hideMark/>
          </w:tcPr>
          <w:p>
            <w:pPr>
              <w:jc w:val="center"/>
              <w:rPr>
                <w:rFonts w:ascii="Arial" w:eastAsia="Times New Roman" w:hAnsi="Arial" w:cs="Arial"/>
                <w:b/>
                <w:bCs/>
                <w:i/>
                <w:iCs/>
                <w:noProof/>
                <w:sz w:val="16"/>
                <w:szCs w:val="16"/>
                <w:lang w:val="en-IE" w:eastAsia="en-IE"/>
              </w:rPr>
            </w:pPr>
            <w:r>
              <w:rPr>
                <w:rFonts w:ascii="Arial" w:eastAsia="Times New Roman" w:hAnsi="Arial" w:cs="Arial"/>
                <w:b/>
                <w:bCs/>
                <w:i/>
                <w:iCs/>
                <w:noProof/>
                <w:sz w:val="16"/>
                <w:szCs w:val="16"/>
                <w:lang w:val="en-IE" w:eastAsia="en-IE"/>
              </w:rPr>
              <w:t>FDI Flows</w:t>
            </w:r>
          </w:p>
        </w:tc>
      </w:tr>
      <w:tr>
        <w:trPr>
          <w:trHeight w:val="225"/>
        </w:trPr>
        <w:tc>
          <w:tcPr>
            <w:tcW w:w="3282"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Inward</w:t>
            </w:r>
          </w:p>
        </w:tc>
        <w:tc>
          <w:tcPr>
            <w:tcW w:w="467"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-15</w:t>
            </w:r>
          </w:p>
        </w:tc>
        <w:tc>
          <w:tcPr>
            <w:tcW w:w="408"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703"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w:t>
            </w:r>
          </w:p>
        </w:tc>
      </w:tr>
      <w:tr>
        <w:trPr>
          <w:trHeight w:val="225"/>
        </w:trPr>
        <w:tc>
          <w:tcPr>
            <w:tcW w:w="3282"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Outward</w:t>
            </w:r>
          </w:p>
        </w:tc>
        <w:tc>
          <w:tcPr>
            <w:tcW w:w="467"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12</w:t>
            </w:r>
          </w:p>
        </w:tc>
        <w:tc>
          <w:tcPr>
            <w:tcW w:w="408"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19</w:t>
            </w:r>
          </w:p>
        </w:tc>
        <w:tc>
          <w:tcPr>
            <w:tcW w:w="408"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w:t>
            </w:r>
          </w:p>
        </w:tc>
        <w:tc>
          <w:tcPr>
            <w:tcW w:w="467"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44</w:t>
            </w:r>
          </w:p>
        </w:tc>
        <w:tc>
          <w:tcPr>
            <w:tcW w:w="703"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-34</w:t>
            </w:r>
          </w:p>
        </w:tc>
      </w:tr>
      <w:tr>
        <w:trPr>
          <w:trHeight w:val="225"/>
        </w:trPr>
        <w:tc>
          <w:tcPr>
            <w:tcW w:w="3282" w:type="dxa"/>
            <w:tcBorders>
              <w:top w:val="single" w:sz="4" w:space="0" w:color="auto"/>
              <w:left w:val="nil"/>
              <w:bottom w:val="nil"/>
              <w:right w:val="nil"/>
            </w:tcBorders>
            <w:shd w:val="clear" w:color="000000" w:fill="FFFFFF"/>
            <w:noWrap/>
            <w:hideMark/>
          </w:tcPr>
          <w:p>
            <w:pPr>
              <w:rPr>
                <w:rFonts w:ascii="Arial" w:eastAsia="Times New Roman" w:hAnsi="Arial" w:cs="Arial"/>
                <w:noProof/>
                <w:sz w:val="12"/>
                <w:szCs w:val="12"/>
                <w:lang w:val="en-IE" w:eastAsia="en-IE"/>
              </w:rPr>
            </w:pPr>
            <w:r>
              <w:rPr>
                <w:rFonts w:ascii="Arial" w:eastAsia="Times New Roman" w:hAnsi="Arial" w:cs="Arial"/>
                <w:noProof/>
                <w:sz w:val="12"/>
                <w:szCs w:val="12"/>
                <w:lang w:val="en-IE" w:eastAsia="en-IE"/>
              </w:rPr>
              <w:t>Source Trade G2 Statistics/ISDB from Eurostat BOP statistics</w:t>
            </w:r>
          </w:p>
        </w:tc>
        <w:tc>
          <w:tcPr>
            <w:tcW w:w="467" w:type="dxa"/>
            <w:tcBorders>
              <w:top w:val="nil"/>
              <w:left w:val="nil"/>
              <w:bottom w:val="nil"/>
              <w:right w:val="nil"/>
            </w:tcBorders>
            <w:shd w:val="clear" w:color="000000" w:fill="FFFFFF"/>
            <w:noWrap/>
            <w:hideMark/>
          </w:tcPr>
          <w:p>
            <w:pPr>
              <w:rPr>
                <w:rFonts w:ascii="Arial" w:eastAsia="Times New Roman" w:hAnsi="Arial" w:cs="Arial"/>
                <w:noProof/>
                <w:sz w:val="12"/>
                <w:szCs w:val="12"/>
                <w:lang w:val="en-IE" w:eastAsia="en-IE"/>
              </w:rPr>
            </w:pPr>
            <w:r>
              <w:rPr>
                <w:rFonts w:ascii="Arial" w:eastAsia="Times New Roman" w:hAnsi="Arial" w:cs="Arial"/>
                <w:noProof/>
                <w:sz w:val="12"/>
                <w:szCs w:val="12"/>
                <w:lang w:val="en-IE" w:eastAsia="en-IE"/>
              </w:rPr>
              <w:t> </w:t>
            </w:r>
          </w:p>
        </w:tc>
        <w:tc>
          <w:tcPr>
            <w:tcW w:w="408"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703"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r>
    </w:tbl>
    <w:p>
      <w:pPr>
        <w:rPr>
          <w:b/>
          <w:noProof/>
          <w:lang w:val="en-IE"/>
        </w:rPr>
      </w:pPr>
    </w:p>
    <w:p>
      <w:pPr>
        <w:rPr>
          <w:b/>
          <w:noProof/>
          <w:lang w:val="en-IE"/>
        </w:rPr>
      </w:pPr>
    </w:p>
    <w:p>
      <w:pPr>
        <w:rPr>
          <w:b/>
          <w:noProof/>
          <w:lang w:val="en-IE"/>
        </w:rPr>
      </w:pPr>
      <w:r>
        <w:rPr>
          <w:b/>
          <w:noProof/>
          <w:lang w:val="en-IE"/>
        </w:rPr>
        <w:t>PAPUA NEW GUINEA</w:t>
      </w:r>
    </w:p>
    <w:p>
      <w:pPr>
        <w:rPr>
          <w:b/>
          <w:noProof/>
          <w:lang w:val="en-IE"/>
        </w:rPr>
      </w:pPr>
    </w:p>
    <w:tbl>
      <w:tblPr>
        <w:tblW w:w="6990" w:type="dxa"/>
        <w:tblInd w:w="108" w:type="dxa"/>
        <w:tblLook w:val="04A0" w:firstRow="1" w:lastRow="0" w:firstColumn="1" w:lastColumn="0" w:noHBand="0" w:noVBand="1"/>
      </w:tblPr>
      <w:tblGrid>
        <w:gridCol w:w="4537"/>
        <w:gridCol w:w="683"/>
        <w:gridCol w:w="624"/>
        <w:gridCol w:w="624"/>
        <w:gridCol w:w="683"/>
        <w:gridCol w:w="732"/>
      </w:tblGrid>
      <w:tr>
        <w:trPr>
          <w:trHeight w:val="210"/>
        </w:trPr>
        <w:tc>
          <w:tcPr>
            <w:tcW w:w="6990" w:type="dxa"/>
            <w:gridSpan w:val="6"/>
            <w:tcBorders>
              <w:top w:val="nil"/>
              <w:left w:val="nil"/>
              <w:bottom w:val="nil"/>
              <w:right w:val="nil"/>
            </w:tcBorders>
            <w:shd w:val="clear" w:color="000000" w:fill="FFFFFF"/>
            <w:noWrap/>
            <w:vAlign w:val="center"/>
            <w:hideMark/>
          </w:tcPr>
          <w:p>
            <w:pPr>
              <w:jc w:val="center"/>
              <w:rPr>
                <w:rFonts w:ascii="Tahoma" w:eastAsia="Times New Roman" w:hAnsi="Tahoma" w:cs="Tahoma"/>
                <w:b/>
                <w:bCs/>
                <w:noProof/>
                <w:sz w:val="16"/>
                <w:szCs w:val="16"/>
                <w:lang w:val="en-IE" w:eastAsia="en-IE"/>
              </w:rPr>
            </w:pPr>
            <w:r>
              <w:rPr>
                <w:rFonts w:ascii="Tahoma" w:eastAsia="Times New Roman" w:hAnsi="Tahoma" w:cs="Tahoma"/>
                <w:b/>
                <w:bCs/>
                <w:noProof/>
                <w:sz w:val="16"/>
                <w:szCs w:val="16"/>
                <w:lang w:val="en-IE" w:eastAsia="en-IE"/>
              </w:rPr>
              <w:t>Merchandise trade EU28 2014-2018</w:t>
            </w:r>
          </w:p>
        </w:tc>
      </w:tr>
      <w:tr>
        <w:trPr>
          <w:trHeight w:val="210"/>
        </w:trPr>
        <w:tc>
          <w:tcPr>
            <w:tcW w:w="4537" w:type="dxa"/>
            <w:tcBorders>
              <w:top w:val="single" w:sz="4" w:space="0" w:color="auto"/>
              <w:left w:val="nil"/>
              <w:bottom w:val="single" w:sz="4" w:space="0" w:color="auto"/>
              <w:right w:val="nil"/>
            </w:tcBorders>
            <w:shd w:val="clear" w:color="000000" w:fill="FFFFFF"/>
            <w:noWrap/>
            <w:vAlign w:val="bottom"/>
            <w:hideMark/>
          </w:tcPr>
          <w:p>
            <w:pPr>
              <w:rPr>
                <w:rFonts w:ascii="Tahoma" w:eastAsia="Times New Roman" w:hAnsi="Tahoma" w:cs="Tahoma"/>
                <w:b/>
                <w:bCs/>
                <w:noProof/>
                <w:sz w:val="16"/>
                <w:szCs w:val="16"/>
                <w:lang w:val="en-IE" w:eastAsia="en-IE"/>
              </w:rPr>
            </w:pPr>
            <w:r>
              <w:rPr>
                <w:rFonts w:ascii="Tahoma" w:eastAsia="Times New Roman" w:hAnsi="Tahoma" w:cs="Tahoma"/>
                <w:b/>
                <w:bCs/>
                <w:noProof/>
                <w:sz w:val="16"/>
                <w:szCs w:val="16"/>
                <w:lang w:val="en-IE" w:eastAsia="en-IE"/>
              </w:rPr>
              <w:t> </w:t>
            </w:r>
          </w:p>
        </w:tc>
        <w:tc>
          <w:tcPr>
            <w:tcW w:w="467" w:type="dxa"/>
            <w:tcBorders>
              <w:top w:val="single" w:sz="4" w:space="0" w:color="auto"/>
              <w:left w:val="nil"/>
              <w:bottom w:val="single" w:sz="4" w:space="0" w:color="auto"/>
              <w:right w:val="nil"/>
            </w:tcBorders>
            <w:shd w:val="clear" w:color="000000" w:fill="FFFFFF"/>
            <w:noWrap/>
            <w:vAlign w:val="bottom"/>
            <w:hideMark/>
          </w:tcPr>
          <w:p>
            <w:pPr>
              <w:jc w:val="center"/>
              <w:rPr>
                <w:rFonts w:ascii="Tahoma" w:eastAsia="Times New Roman" w:hAnsi="Tahoma" w:cs="Tahoma"/>
                <w:b/>
                <w:bCs/>
                <w:noProof/>
                <w:sz w:val="16"/>
                <w:szCs w:val="16"/>
                <w:lang w:val="en-IE" w:eastAsia="en-IE"/>
              </w:rPr>
            </w:pPr>
            <w:r>
              <w:rPr>
                <w:rFonts w:ascii="Tahoma" w:eastAsia="Times New Roman" w:hAnsi="Tahoma" w:cs="Tahoma"/>
                <w:b/>
                <w:bCs/>
                <w:noProof/>
                <w:sz w:val="16"/>
                <w:szCs w:val="16"/>
                <w:lang w:val="en-IE" w:eastAsia="en-IE"/>
              </w:rPr>
              <w:t>2014</w:t>
            </w:r>
          </w:p>
        </w:tc>
        <w:tc>
          <w:tcPr>
            <w:tcW w:w="408" w:type="dxa"/>
            <w:tcBorders>
              <w:top w:val="single" w:sz="4" w:space="0" w:color="auto"/>
              <w:left w:val="nil"/>
              <w:bottom w:val="single" w:sz="4" w:space="0" w:color="auto"/>
              <w:right w:val="nil"/>
            </w:tcBorders>
            <w:shd w:val="clear" w:color="000000" w:fill="FFFFFF"/>
            <w:noWrap/>
            <w:vAlign w:val="bottom"/>
            <w:hideMark/>
          </w:tcPr>
          <w:p>
            <w:pPr>
              <w:jc w:val="center"/>
              <w:rPr>
                <w:rFonts w:ascii="Tahoma" w:eastAsia="Times New Roman" w:hAnsi="Tahoma" w:cs="Tahoma"/>
                <w:b/>
                <w:bCs/>
                <w:noProof/>
                <w:sz w:val="16"/>
                <w:szCs w:val="16"/>
                <w:lang w:val="en-IE" w:eastAsia="en-IE"/>
              </w:rPr>
            </w:pPr>
            <w:r>
              <w:rPr>
                <w:rFonts w:ascii="Tahoma" w:eastAsia="Times New Roman" w:hAnsi="Tahoma" w:cs="Tahoma"/>
                <w:b/>
                <w:bCs/>
                <w:noProof/>
                <w:sz w:val="16"/>
                <w:szCs w:val="16"/>
                <w:lang w:val="en-IE" w:eastAsia="en-IE"/>
              </w:rPr>
              <w:t>2015</w:t>
            </w:r>
          </w:p>
        </w:tc>
        <w:tc>
          <w:tcPr>
            <w:tcW w:w="408" w:type="dxa"/>
            <w:tcBorders>
              <w:top w:val="single" w:sz="4" w:space="0" w:color="auto"/>
              <w:left w:val="nil"/>
              <w:bottom w:val="single" w:sz="4" w:space="0" w:color="auto"/>
              <w:right w:val="nil"/>
            </w:tcBorders>
            <w:shd w:val="clear" w:color="000000" w:fill="FFFFFF"/>
            <w:noWrap/>
            <w:vAlign w:val="bottom"/>
            <w:hideMark/>
          </w:tcPr>
          <w:p>
            <w:pPr>
              <w:jc w:val="center"/>
              <w:rPr>
                <w:rFonts w:ascii="Tahoma" w:eastAsia="Times New Roman" w:hAnsi="Tahoma" w:cs="Tahoma"/>
                <w:b/>
                <w:bCs/>
                <w:noProof/>
                <w:sz w:val="16"/>
                <w:szCs w:val="16"/>
                <w:lang w:val="en-IE" w:eastAsia="en-IE"/>
              </w:rPr>
            </w:pPr>
            <w:r>
              <w:rPr>
                <w:rFonts w:ascii="Tahoma" w:eastAsia="Times New Roman" w:hAnsi="Tahoma" w:cs="Tahoma"/>
                <w:b/>
                <w:bCs/>
                <w:noProof/>
                <w:sz w:val="16"/>
                <w:szCs w:val="16"/>
                <w:lang w:val="en-IE" w:eastAsia="en-IE"/>
              </w:rPr>
              <w:t>2016</w:t>
            </w:r>
          </w:p>
        </w:tc>
        <w:tc>
          <w:tcPr>
            <w:tcW w:w="467" w:type="dxa"/>
            <w:tcBorders>
              <w:top w:val="single" w:sz="4" w:space="0" w:color="auto"/>
              <w:left w:val="nil"/>
              <w:bottom w:val="single" w:sz="4" w:space="0" w:color="auto"/>
              <w:right w:val="nil"/>
            </w:tcBorders>
            <w:shd w:val="clear" w:color="000000" w:fill="FFFFFF"/>
            <w:noWrap/>
            <w:vAlign w:val="bottom"/>
            <w:hideMark/>
          </w:tcPr>
          <w:p>
            <w:pPr>
              <w:jc w:val="center"/>
              <w:rPr>
                <w:rFonts w:ascii="Tahoma" w:eastAsia="Times New Roman" w:hAnsi="Tahoma" w:cs="Tahoma"/>
                <w:b/>
                <w:bCs/>
                <w:noProof/>
                <w:sz w:val="16"/>
                <w:szCs w:val="16"/>
                <w:lang w:val="en-IE" w:eastAsia="en-IE"/>
              </w:rPr>
            </w:pPr>
            <w:r>
              <w:rPr>
                <w:rFonts w:ascii="Tahoma" w:eastAsia="Times New Roman" w:hAnsi="Tahoma" w:cs="Tahoma"/>
                <w:b/>
                <w:bCs/>
                <w:noProof/>
                <w:sz w:val="16"/>
                <w:szCs w:val="16"/>
                <w:lang w:val="en-IE" w:eastAsia="en-IE"/>
              </w:rPr>
              <w:t>2017</w:t>
            </w:r>
          </w:p>
        </w:tc>
        <w:tc>
          <w:tcPr>
            <w:tcW w:w="703" w:type="dxa"/>
            <w:tcBorders>
              <w:top w:val="single" w:sz="4" w:space="0" w:color="auto"/>
              <w:left w:val="nil"/>
              <w:bottom w:val="single" w:sz="4" w:space="0" w:color="auto"/>
              <w:right w:val="nil"/>
            </w:tcBorders>
            <w:shd w:val="clear" w:color="000000" w:fill="FFFFFF"/>
            <w:noWrap/>
            <w:vAlign w:val="bottom"/>
            <w:hideMark/>
          </w:tcPr>
          <w:p>
            <w:pPr>
              <w:jc w:val="center"/>
              <w:rPr>
                <w:rFonts w:ascii="Tahoma" w:eastAsia="Times New Roman" w:hAnsi="Tahoma" w:cs="Tahoma"/>
                <w:b/>
                <w:bCs/>
                <w:noProof/>
                <w:sz w:val="16"/>
                <w:szCs w:val="16"/>
                <w:lang w:val="en-IE" w:eastAsia="en-IE"/>
              </w:rPr>
            </w:pPr>
            <w:r>
              <w:rPr>
                <w:rFonts w:ascii="Tahoma" w:eastAsia="Times New Roman" w:hAnsi="Tahoma" w:cs="Tahoma"/>
                <w:b/>
                <w:bCs/>
                <w:noProof/>
                <w:sz w:val="16"/>
                <w:szCs w:val="16"/>
                <w:lang w:val="en-IE" w:eastAsia="en-IE"/>
              </w:rPr>
              <w:t>2018</w:t>
            </w:r>
          </w:p>
        </w:tc>
      </w:tr>
      <w:tr>
        <w:trPr>
          <w:trHeight w:val="210"/>
        </w:trPr>
        <w:tc>
          <w:tcPr>
            <w:tcW w:w="4537" w:type="dxa"/>
            <w:tcBorders>
              <w:top w:val="nil"/>
              <w:left w:val="nil"/>
              <w:bottom w:val="nil"/>
              <w:right w:val="nil"/>
            </w:tcBorders>
            <w:shd w:val="clear" w:color="000000" w:fill="FFFFFF"/>
            <w:noWrap/>
            <w:vAlign w:val="center"/>
            <w:hideMark/>
          </w:tcPr>
          <w:p>
            <w:pPr>
              <w:jc w:val="cente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EU28 trade with Papua New Guinea (mio €)</w:t>
            </w:r>
          </w:p>
        </w:tc>
        <w:tc>
          <w:tcPr>
            <w:tcW w:w="467" w:type="dxa"/>
            <w:tcBorders>
              <w:top w:val="nil"/>
              <w:left w:val="nil"/>
              <w:bottom w:val="nil"/>
              <w:right w:val="nil"/>
            </w:tcBorders>
            <w:shd w:val="clear" w:color="auto" w:fill="auto"/>
            <w:noWrap/>
            <w:vAlign w:val="center"/>
            <w:hideMark/>
          </w:tcPr>
          <w:p>
            <w:pPr>
              <w:jc w:val="center"/>
              <w:rPr>
                <w:rFonts w:ascii="Tahoma" w:eastAsia="Times New Roman" w:hAnsi="Tahoma" w:cs="Tahoma"/>
                <w:b/>
                <w:bCs/>
                <w:i/>
                <w:iCs/>
                <w:noProof/>
                <w:sz w:val="16"/>
                <w:szCs w:val="16"/>
                <w:lang w:val="en-IE" w:eastAsia="en-IE"/>
              </w:rPr>
            </w:pPr>
          </w:p>
        </w:tc>
        <w:tc>
          <w:tcPr>
            <w:tcW w:w="408" w:type="dxa"/>
            <w:tcBorders>
              <w:top w:val="nil"/>
              <w:left w:val="nil"/>
              <w:bottom w:val="nil"/>
              <w:right w:val="nil"/>
            </w:tcBorders>
            <w:shd w:val="clear" w:color="000000" w:fill="FFFFFF"/>
            <w:noWrap/>
            <w:vAlign w:val="center"/>
            <w:hideMark/>
          </w:tcPr>
          <w:p>
            <w:pP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 </w:t>
            </w:r>
          </w:p>
        </w:tc>
        <w:tc>
          <w:tcPr>
            <w:tcW w:w="408" w:type="dxa"/>
            <w:tcBorders>
              <w:top w:val="nil"/>
              <w:left w:val="nil"/>
              <w:bottom w:val="nil"/>
              <w:right w:val="nil"/>
            </w:tcBorders>
            <w:shd w:val="clear" w:color="000000" w:fill="FFFFFF"/>
            <w:noWrap/>
            <w:vAlign w:val="center"/>
            <w:hideMark/>
          </w:tcPr>
          <w:p>
            <w:pP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 </w:t>
            </w:r>
          </w:p>
        </w:tc>
        <w:tc>
          <w:tcPr>
            <w:tcW w:w="467" w:type="dxa"/>
            <w:tcBorders>
              <w:top w:val="nil"/>
              <w:left w:val="nil"/>
              <w:bottom w:val="nil"/>
              <w:right w:val="nil"/>
            </w:tcBorders>
            <w:shd w:val="clear" w:color="000000" w:fill="FFFFFF"/>
            <w:noWrap/>
            <w:vAlign w:val="center"/>
            <w:hideMark/>
          </w:tcPr>
          <w:p>
            <w:pP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 </w:t>
            </w:r>
          </w:p>
        </w:tc>
        <w:tc>
          <w:tcPr>
            <w:tcW w:w="703" w:type="dxa"/>
            <w:tcBorders>
              <w:top w:val="nil"/>
              <w:left w:val="nil"/>
              <w:bottom w:val="nil"/>
              <w:right w:val="nil"/>
            </w:tcBorders>
            <w:shd w:val="clear" w:color="000000" w:fill="FFFFFF"/>
            <w:noWrap/>
            <w:vAlign w:val="center"/>
            <w:hideMark/>
          </w:tcPr>
          <w:p>
            <w:pP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 </w:t>
            </w:r>
          </w:p>
        </w:tc>
      </w:tr>
      <w:tr>
        <w:trPr>
          <w:trHeight w:val="210"/>
        </w:trPr>
        <w:tc>
          <w:tcPr>
            <w:tcW w:w="4537"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Imports</w:t>
            </w:r>
          </w:p>
        </w:tc>
        <w:tc>
          <w:tcPr>
            <w:tcW w:w="467"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794</w:t>
            </w:r>
          </w:p>
        </w:tc>
        <w:tc>
          <w:tcPr>
            <w:tcW w:w="408"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747</w:t>
            </w:r>
          </w:p>
        </w:tc>
        <w:tc>
          <w:tcPr>
            <w:tcW w:w="408"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685</w:t>
            </w:r>
          </w:p>
        </w:tc>
        <w:tc>
          <w:tcPr>
            <w:tcW w:w="467"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897</w:t>
            </w:r>
          </w:p>
        </w:tc>
        <w:tc>
          <w:tcPr>
            <w:tcW w:w="703"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879</w:t>
            </w:r>
          </w:p>
        </w:tc>
      </w:tr>
      <w:tr>
        <w:trPr>
          <w:trHeight w:val="210"/>
        </w:trPr>
        <w:tc>
          <w:tcPr>
            <w:tcW w:w="4537"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Exports</w:t>
            </w:r>
          </w:p>
        </w:tc>
        <w:tc>
          <w:tcPr>
            <w:tcW w:w="467"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135</w:t>
            </w:r>
          </w:p>
        </w:tc>
        <w:tc>
          <w:tcPr>
            <w:tcW w:w="408"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165</w:t>
            </w:r>
          </w:p>
        </w:tc>
        <w:tc>
          <w:tcPr>
            <w:tcW w:w="408"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214</w:t>
            </w:r>
          </w:p>
        </w:tc>
        <w:tc>
          <w:tcPr>
            <w:tcW w:w="467"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164</w:t>
            </w:r>
          </w:p>
        </w:tc>
        <w:tc>
          <w:tcPr>
            <w:tcW w:w="703"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127</w:t>
            </w:r>
          </w:p>
        </w:tc>
      </w:tr>
      <w:tr>
        <w:trPr>
          <w:trHeight w:val="210"/>
        </w:trPr>
        <w:tc>
          <w:tcPr>
            <w:tcW w:w="4537"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Balance</w:t>
            </w:r>
          </w:p>
        </w:tc>
        <w:tc>
          <w:tcPr>
            <w:tcW w:w="467"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-659</w:t>
            </w:r>
          </w:p>
        </w:tc>
        <w:tc>
          <w:tcPr>
            <w:tcW w:w="408"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-582</w:t>
            </w:r>
          </w:p>
        </w:tc>
        <w:tc>
          <w:tcPr>
            <w:tcW w:w="408"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-471</w:t>
            </w:r>
          </w:p>
        </w:tc>
        <w:tc>
          <w:tcPr>
            <w:tcW w:w="467"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-733</w:t>
            </w:r>
          </w:p>
        </w:tc>
        <w:tc>
          <w:tcPr>
            <w:tcW w:w="703"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-752</w:t>
            </w:r>
          </w:p>
        </w:tc>
      </w:tr>
      <w:tr>
        <w:trPr>
          <w:trHeight w:val="210"/>
        </w:trPr>
        <w:tc>
          <w:tcPr>
            <w:tcW w:w="4537" w:type="dxa"/>
            <w:tcBorders>
              <w:top w:val="nil"/>
              <w:left w:val="nil"/>
              <w:bottom w:val="nil"/>
              <w:right w:val="nil"/>
            </w:tcBorders>
            <w:shd w:val="clear" w:color="000000" w:fill="FFFFFF"/>
            <w:noWrap/>
            <w:vAlign w:val="center"/>
            <w:hideMark/>
          </w:tcPr>
          <w:p>
            <w:pPr>
              <w:jc w:val="cente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Share Papua New Guinea in EU28 trade with Extra-EU28</w:t>
            </w:r>
          </w:p>
        </w:tc>
        <w:tc>
          <w:tcPr>
            <w:tcW w:w="467" w:type="dxa"/>
            <w:tcBorders>
              <w:top w:val="nil"/>
              <w:left w:val="nil"/>
              <w:bottom w:val="nil"/>
              <w:right w:val="nil"/>
            </w:tcBorders>
            <w:shd w:val="clear" w:color="auto" w:fill="auto"/>
            <w:noWrap/>
            <w:vAlign w:val="center"/>
            <w:hideMark/>
          </w:tcPr>
          <w:p>
            <w:pPr>
              <w:jc w:val="center"/>
              <w:rPr>
                <w:rFonts w:ascii="Tahoma" w:eastAsia="Times New Roman" w:hAnsi="Tahoma" w:cs="Tahoma"/>
                <w:b/>
                <w:bCs/>
                <w:i/>
                <w:iCs/>
                <w:noProof/>
                <w:sz w:val="16"/>
                <w:szCs w:val="16"/>
                <w:lang w:val="en-IE" w:eastAsia="en-IE"/>
              </w:rPr>
            </w:pPr>
          </w:p>
        </w:tc>
        <w:tc>
          <w:tcPr>
            <w:tcW w:w="408" w:type="dxa"/>
            <w:tcBorders>
              <w:top w:val="nil"/>
              <w:left w:val="nil"/>
              <w:bottom w:val="nil"/>
              <w:right w:val="nil"/>
            </w:tcBorders>
            <w:shd w:val="clear" w:color="000000" w:fill="FFFFFF"/>
            <w:noWrap/>
            <w:vAlign w:val="center"/>
            <w:hideMark/>
          </w:tcPr>
          <w:p>
            <w:pP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 </w:t>
            </w:r>
          </w:p>
        </w:tc>
        <w:tc>
          <w:tcPr>
            <w:tcW w:w="408" w:type="dxa"/>
            <w:tcBorders>
              <w:top w:val="nil"/>
              <w:left w:val="nil"/>
              <w:bottom w:val="nil"/>
              <w:right w:val="nil"/>
            </w:tcBorders>
            <w:shd w:val="clear" w:color="000000" w:fill="FFFFFF"/>
            <w:noWrap/>
            <w:vAlign w:val="center"/>
            <w:hideMark/>
          </w:tcPr>
          <w:p>
            <w:pP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 </w:t>
            </w:r>
          </w:p>
        </w:tc>
        <w:tc>
          <w:tcPr>
            <w:tcW w:w="467" w:type="dxa"/>
            <w:tcBorders>
              <w:top w:val="nil"/>
              <w:left w:val="nil"/>
              <w:bottom w:val="nil"/>
              <w:right w:val="nil"/>
            </w:tcBorders>
            <w:shd w:val="clear" w:color="000000" w:fill="FFFFFF"/>
            <w:noWrap/>
            <w:vAlign w:val="center"/>
            <w:hideMark/>
          </w:tcPr>
          <w:p>
            <w:pP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 </w:t>
            </w:r>
          </w:p>
        </w:tc>
        <w:tc>
          <w:tcPr>
            <w:tcW w:w="703" w:type="dxa"/>
            <w:tcBorders>
              <w:top w:val="nil"/>
              <w:left w:val="nil"/>
              <w:bottom w:val="nil"/>
              <w:right w:val="nil"/>
            </w:tcBorders>
            <w:shd w:val="clear" w:color="000000" w:fill="FFFFFF"/>
            <w:noWrap/>
            <w:vAlign w:val="center"/>
            <w:hideMark/>
          </w:tcPr>
          <w:p>
            <w:pP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 </w:t>
            </w:r>
          </w:p>
        </w:tc>
      </w:tr>
      <w:tr>
        <w:trPr>
          <w:trHeight w:val="210"/>
        </w:trPr>
        <w:tc>
          <w:tcPr>
            <w:tcW w:w="4537"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Imports</w:t>
            </w:r>
          </w:p>
        </w:tc>
        <w:tc>
          <w:tcPr>
            <w:tcW w:w="467"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c>
          <w:tcPr>
            <w:tcW w:w="408"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c>
          <w:tcPr>
            <w:tcW w:w="408"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c>
          <w:tcPr>
            <w:tcW w:w="467"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c>
          <w:tcPr>
            <w:tcW w:w="703"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r>
      <w:tr>
        <w:trPr>
          <w:trHeight w:val="210"/>
        </w:trPr>
        <w:tc>
          <w:tcPr>
            <w:tcW w:w="4537"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Exports</w:t>
            </w:r>
          </w:p>
        </w:tc>
        <w:tc>
          <w:tcPr>
            <w:tcW w:w="467"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c>
          <w:tcPr>
            <w:tcW w:w="408"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c>
          <w:tcPr>
            <w:tcW w:w="408"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c>
          <w:tcPr>
            <w:tcW w:w="467"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c>
          <w:tcPr>
            <w:tcW w:w="703"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r>
      <w:tr>
        <w:trPr>
          <w:trHeight w:val="210"/>
        </w:trPr>
        <w:tc>
          <w:tcPr>
            <w:tcW w:w="4537"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Total (I+E)</w:t>
            </w:r>
          </w:p>
        </w:tc>
        <w:tc>
          <w:tcPr>
            <w:tcW w:w="467"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c>
          <w:tcPr>
            <w:tcW w:w="408"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c>
          <w:tcPr>
            <w:tcW w:w="408"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c>
          <w:tcPr>
            <w:tcW w:w="467"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c>
          <w:tcPr>
            <w:tcW w:w="703"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0,0%</w:t>
            </w:r>
          </w:p>
        </w:tc>
      </w:tr>
      <w:tr>
        <w:trPr>
          <w:trHeight w:val="210"/>
        </w:trPr>
        <w:tc>
          <w:tcPr>
            <w:tcW w:w="6990" w:type="dxa"/>
            <w:gridSpan w:val="6"/>
            <w:tcBorders>
              <w:top w:val="nil"/>
              <w:left w:val="nil"/>
              <w:bottom w:val="nil"/>
              <w:right w:val="nil"/>
            </w:tcBorders>
            <w:shd w:val="clear" w:color="000000" w:fill="FFFFFF"/>
            <w:noWrap/>
            <w:vAlign w:val="center"/>
            <w:hideMark/>
          </w:tcPr>
          <w:p>
            <w:pPr>
              <w:jc w:val="center"/>
              <w:rPr>
                <w:rFonts w:ascii="Tahoma" w:eastAsia="Times New Roman" w:hAnsi="Tahoma" w:cs="Tahoma"/>
                <w:b/>
                <w:bCs/>
                <w:i/>
                <w:iCs/>
                <w:noProof/>
                <w:sz w:val="16"/>
                <w:szCs w:val="16"/>
                <w:lang w:val="en-IE" w:eastAsia="en-IE"/>
              </w:rPr>
            </w:pPr>
            <w:r>
              <w:rPr>
                <w:rFonts w:ascii="Tahoma" w:eastAsia="Times New Roman" w:hAnsi="Tahoma" w:cs="Tahoma"/>
                <w:b/>
                <w:bCs/>
                <w:i/>
                <w:iCs/>
                <w:noProof/>
                <w:sz w:val="16"/>
                <w:szCs w:val="16"/>
                <w:lang w:val="en-IE" w:eastAsia="en-IE"/>
              </w:rPr>
              <w:t>Share EU28 in trade Papua New Guinea with world</w:t>
            </w:r>
          </w:p>
        </w:tc>
      </w:tr>
      <w:tr>
        <w:trPr>
          <w:trHeight w:val="210"/>
        </w:trPr>
        <w:tc>
          <w:tcPr>
            <w:tcW w:w="4537"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Imports</w:t>
            </w:r>
          </w:p>
        </w:tc>
        <w:tc>
          <w:tcPr>
            <w:tcW w:w="467"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3,2%</w:t>
            </w:r>
          </w:p>
        </w:tc>
        <w:tc>
          <w:tcPr>
            <w:tcW w:w="408"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3,7%</w:t>
            </w:r>
          </w:p>
        </w:tc>
        <w:tc>
          <w:tcPr>
            <w:tcW w:w="408"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5,3%</w:t>
            </w:r>
          </w:p>
        </w:tc>
        <w:tc>
          <w:tcPr>
            <w:tcW w:w="467"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4,0%</w:t>
            </w:r>
          </w:p>
        </w:tc>
        <w:tc>
          <w:tcPr>
            <w:tcW w:w="703"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3,1%</w:t>
            </w:r>
          </w:p>
        </w:tc>
      </w:tr>
      <w:tr>
        <w:trPr>
          <w:trHeight w:val="210"/>
        </w:trPr>
        <w:tc>
          <w:tcPr>
            <w:tcW w:w="4537"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Exports</w:t>
            </w:r>
          </w:p>
        </w:tc>
        <w:tc>
          <w:tcPr>
            <w:tcW w:w="467"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13,2%</w:t>
            </w:r>
          </w:p>
        </w:tc>
        <w:tc>
          <w:tcPr>
            <w:tcW w:w="408"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9,4%</w:t>
            </w:r>
          </w:p>
        </w:tc>
        <w:tc>
          <w:tcPr>
            <w:tcW w:w="408"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9,2%</w:t>
            </w:r>
          </w:p>
        </w:tc>
        <w:tc>
          <w:tcPr>
            <w:tcW w:w="467"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11,5%</w:t>
            </w:r>
          </w:p>
        </w:tc>
        <w:tc>
          <w:tcPr>
            <w:tcW w:w="703"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11,2%</w:t>
            </w:r>
          </w:p>
        </w:tc>
      </w:tr>
      <w:tr>
        <w:trPr>
          <w:trHeight w:val="210"/>
        </w:trPr>
        <w:tc>
          <w:tcPr>
            <w:tcW w:w="4537"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Total (I+E)</w:t>
            </w:r>
          </w:p>
        </w:tc>
        <w:tc>
          <w:tcPr>
            <w:tcW w:w="467"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8,1%</w:t>
            </w:r>
          </w:p>
        </w:tc>
        <w:tc>
          <w:tcPr>
            <w:tcW w:w="408"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6,8%</w:t>
            </w:r>
          </w:p>
        </w:tc>
        <w:tc>
          <w:tcPr>
            <w:tcW w:w="408"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7,5%</w:t>
            </w:r>
          </w:p>
        </w:tc>
        <w:tc>
          <w:tcPr>
            <w:tcW w:w="467"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8,3%</w:t>
            </w:r>
          </w:p>
        </w:tc>
        <w:tc>
          <w:tcPr>
            <w:tcW w:w="703" w:type="dxa"/>
            <w:tcBorders>
              <w:top w:val="nil"/>
              <w:left w:val="nil"/>
              <w:bottom w:val="nil"/>
              <w:right w:val="nil"/>
            </w:tcBorders>
            <w:shd w:val="clear" w:color="000000" w:fill="FFFFFF"/>
            <w:noWrap/>
            <w:vAlign w:val="bottom"/>
            <w:hideMark/>
          </w:tcPr>
          <w:p>
            <w:pPr>
              <w:jc w:val="right"/>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7,7%</w:t>
            </w:r>
          </w:p>
        </w:tc>
      </w:tr>
      <w:tr>
        <w:trPr>
          <w:trHeight w:val="225"/>
        </w:trPr>
        <w:tc>
          <w:tcPr>
            <w:tcW w:w="5412" w:type="dxa"/>
            <w:gridSpan w:val="3"/>
            <w:tcBorders>
              <w:top w:val="single" w:sz="4" w:space="0" w:color="auto"/>
              <w:left w:val="nil"/>
              <w:bottom w:val="nil"/>
              <w:right w:val="nil"/>
            </w:tcBorders>
            <w:shd w:val="clear" w:color="000000" w:fill="FFFFFF"/>
            <w:noWrap/>
            <w:vAlign w:val="bottom"/>
            <w:hideMark/>
          </w:tcPr>
          <w:p>
            <w:pPr>
              <w:rPr>
                <w:rFonts w:ascii="Tahoma" w:eastAsia="Times New Roman" w:hAnsi="Tahoma" w:cs="Tahoma"/>
                <w:noProof/>
                <w:sz w:val="12"/>
                <w:szCs w:val="12"/>
                <w:lang w:val="en-IE" w:eastAsia="en-IE"/>
              </w:rPr>
            </w:pPr>
            <w:r>
              <w:rPr>
                <w:rFonts w:ascii="Tahoma" w:eastAsia="Times New Roman" w:hAnsi="Tahoma" w:cs="Tahoma"/>
                <w:noProof/>
                <w:sz w:val="12"/>
                <w:szCs w:val="12"/>
                <w:lang w:val="en-IE" w:eastAsia="en-IE"/>
              </w:rPr>
              <w:t xml:space="preserve">Source Trade G2 Statistics/ISDB </w:t>
            </w:r>
          </w:p>
        </w:tc>
        <w:tc>
          <w:tcPr>
            <w:tcW w:w="408" w:type="dxa"/>
            <w:tcBorders>
              <w:top w:val="single" w:sz="4" w:space="0" w:color="auto"/>
              <w:left w:val="nil"/>
              <w:bottom w:val="nil"/>
              <w:right w:val="nil"/>
            </w:tcBorders>
            <w:shd w:val="clear" w:color="000000" w:fill="FFFFFF"/>
            <w:noWrap/>
            <w:vAlign w:val="bottom"/>
            <w:hideMark/>
          </w:tcPr>
          <w:p>
            <w:pPr>
              <w:jc w:val="center"/>
              <w:rPr>
                <w:rFonts w:ascii="Tahoma" w:eastAsia="Times New Roman" w:hAnsi="Tahoma" w:cs="Tahoma"/>
                <w:noProof/>
                <w:sz w:val="18"/>
                <w:szCs w:val="18"/>
                <w:lang w:val="en-IE" w:eastAsia="en-IE"/>
              </w:rPr>
            </w:pPr>
            <w:r>
              <w:rPr>
                <w:rFonts w:ascii="Tahoma" w:eastAsia="Times New Roman" w:hAnsi="Tahoma" w:cs="Tahoma"/>
                <w:noProof/>
                <w:sz w:val="18"/>
                <w:szCs w:val="18"/>
                <w:lang w:val="en-IE" w:eastAsia="en-IE"/>
              </w:rPr>
              <w:t> </w:t>
            </w:r>
          </w:p>
        </w:tc>
        <w:tc>
          <w:tcPr>
            <w:tcW w:w="467" w:type="dxa"/>
            <w:tcBorders>
              <w:top w:val="single" w:sz="4" w:space="0" w:color="auto"/>
              <w:left w:val="nil"/>
              <w:bottom w:val="nil"/>
              <w:right w:val="nil"/>
            </w:tcBorders>
            <w:shd w:val="clear" w:color="000000" w:fill="FFFFFF"/>
            <w:noWrap/>
            <w:vAlign w:val="bottom"/>
            <w:hideMark/>
          </w:tcPr>
          <w:p>
            <w:pPr>
              <w:jc w:val="center"/>
              <w:rPr>
                <w:rFonts w:ascii="Tahoma" w:eastAsia="Times New Roman" w:hAnsi="Tahoma" w:cs="Tahoma"/>
                <w:noProof/>
                <w:sz w:val="18"/>
                <w:szCs w:val="18"/>
                <w:lang w:val="en-IE" w:eastAsia="en-IE"/>
              </w:rPr>
            </w:pPr>
            <w:r>
              <w:rPr>
                <w:rFonts w:ascii="Tahoma" w:eastAsia="Times New Roman" w:hAnsi="Tahoma" w:cs="Tahoma"/>
                <w:noProof/>
                <w:sz w:val="18"/>
                <w:szCs w:val="18"/>
                <w:lang w:val="en-IE" w:eastAsia="en-IE"/>
              </w:rPr>
              <w:t> </w:t>
            </w:r>
          </w:p>
        </w:tc>
        <w:tc>
          <w:tcPr>
            <w:tcW w:w="703" w:type="dxa"/>
            <w:tcBorders>
              <w:top w:val="single" w:sz="4" w:space="0" w:color="auto"/>
              <w:left w:val="nil"/>
              <w:bottom w:val="nil"/>
              <w:right w:val="nil"/>
            </w:tcBorders>
            <w:shd w:val="clear" w:color="000000" w:fill="FFFFFF"/>
            <w:noWrap/>
            <w:hideMark/>
          </w:tcPr>
          <w:p>
            <w:pPr>
              <w:jc w:val="right"/>
              <w:rPr>
                <w:rFonts w:ascii="Tahoma" w:eastAsia="Times New Roman" w:hAnsi="Tahoma" w:cs="Tahoma"/>
                <w:noProof/>
                <w:sz w:val="12"/>
                <w:szCs w:val="12"/>
                <w:lang w:val="en-IE" w:eastAsia="en-IE"/>
              </w:rPr>
            </w:pPr>
            <w:r>
              <w:rPr>
                <w:rFonts w:ascii="Tahoma" w:eastAsia="Times New Roman" w:hAnsi="Tahoma" w:cs="Tahoma"/>
                <w:noProof/>
                <w:sz w:val="12"/>
                <w:szCs w:val="12"/>
                <w:lang w:val="en-IE" w:eastAsia="en-IE"/>
              </w:rPr>
              <w:t>25-mars-19</w:t>
            </w:r>
          </w:p>
        </w:tc>
      </w:tr>
      <w:tr>
        <w:trPr>
          <w:trHeight w:val="210"/>
        </w:trPr>
        <w:tc>
          <w:tcPr>
            <w:tcW w:w="6287" w:type="dxa"/>
            <w:gridSpan w:val="5"/>
            <w:tcBorders>
              <w:top w:val="nil"/>
              <w:left w:val="nil"/>
              <w:bottom w:val="nil"/>
              <w:right w:val="nil"/>
            </w:tcBorders>
            <w:shd w:val="clear" w:color="000000" w:fill="FFFFFF"/>
            <w:noWrap/>
            <w:hideMark/>
          </w:tcPr>
          <w:p>
            <w:pPr>
              <w:rPr>
                <w:rFonts w:ascii="Tahoma" w:eastAsia="Times New Roman" w:hAnsi="Tahoma" w:cs="Tahoma"/>
                <w:noProof/>
                <w:color w:val="000000"/>
                <w:sz w:val="12"/>
                <w:szCs w:val="12"/>
                <w:lang w:val="en-IE" w:eastAsia="en-IE"/>
              </w:rPr>
            </w:pPr>
            <w:r>
              <w:rPr>
                <w:rFonts w:ascii="Tahoma" w:eastAsia="Times New Roman" w:hAnsi="Tahoma" w:cs="Tahoma"/>
                <w:noProof/>
                <w:color w:val="000000"/>
                <w:sz w:val="12"/>
                <w:szCs w:val="12"/>
                <w:lang w:val="en-IE" w:eastAsia="en-IE"/>
              </w:rPr>
              <w:t>Trade EU28: Eurostat COMEXT;  Trade Papua New Guinea: IMF Dots</w:t>
            </w:r>
          </w:p>
        </w:tc>
        <w:tc>
          <w:tcPr>
            <w:tcW w:w="703" w:type="dxa"/>
            <w:tcBorders>
              <w:top w:val="nil"/>
              <w:left w:val="nil"/>
              <w:bottom w:val="nil"/>
              <w:right w:val="nil"/>
            </w:tcBorders>
            <w:shd w:val="clear" w:color="000000" w:fill="FFFFFF"/>
            <w:noWrap/>
            <w:vAlign w:val="bottom"/>
            <w:hideMark/>
          </w:tcPr>
          <w:p>
            <w:pPr>
              <w:rPr>
                <w:rFonts w:ascii="Tahoma" w:eastAsia="Times New Roman" w:hAnsi="Tahoma" w:cs="Tahoma"/>
                <w:noProof/>
                <w:color w:val="000000"/>
                <w:sz w:val="16"/>
                <w:szCs w:val="16"/>
                <w:lang w:val="en-IE" w:eastAsia="en-IE"/>
              </w:rPr>
            </w:pPr>
            <w:r>
              <w:rPr>
                <w:rFonts w:ascii="Tahoma" w:eastAsia="Times New Roman" w:hAnsi="Tahoma" w:cs="Tahoma"/>
                <w:noProof/>
                <w:color w:val="000000"/>
                <w:sz w:val="16"/>
                <w:szCs w:val="16"/>
                <w:lang w:val="en-IE" w:eastAsia="en-IE"/>
              </w:rPr>
              <w:t> </w:t>
            </w:r>
          </w:p>
        </w:tc>
      </w:tr>
      <w:tr>
        <w:trPr>
          <w:trHeight w:val="210"/>
        </w:trPr>
        <w:tc>
          <w:tcPr>
            <w:tcW w:w="4537" w:type="dxa"/>
            <w:tcBorders>
              <w:top w:val="nil"/>
              <w:left w:val="nil"/>
              <w:bottom w:val="nil"/>
              <w:right w:val="nil"/>
            </w:tcBorders>
            <w:shd w:val="clear" w:color="000000" w:fill="FFFFFF"/>
            <w:noWrap/>
            <w:vAlign w:val="bottom"/>
            <w:hideMark/>
          </w:tcPr>
          <w:p>
            <w:pPr>
              <w:rPr>
                <w:rFonts w:ascii="Tahoma" w:eastAsia="Times New Roman" w:hAnsi="Tahoma" w:cs="Tahoma"/>
                <w:noProof/>
                <w:color w:val="000000"/>
                <w:sz w:val="16"/>
                <w:szCs w:val="16"/>
                <w:lang w:val="en-IE" w:eastAsia="en-IE"/>
              </w:rPr>
            </w:pPr>
            <w:r>
              <w:rPr>
                <w:rFonts w:ascii="Tahoma" w:eastAsia="Times New Roman" w:hAnsi="Tahoma" w:cs="Tahoma"/>
                <w:noProof/>
                <w:color w:val="000000"/>
                <w:sz w:val="16"/>
                <w:szCs w:val="16"/>
                <w:lang w:val="en-IE" w:eastAsia="en-IE"/>
              </w:rPr>
              <w:t> </w:t>
            </w:r>
          </w:p>
        </w:tc>
        <w:tc>
          <w:tcPr>
            <w:tcW w:w="467" w:type="dxa"/>
            <w:tcBorders>
              <w:top w:val="nil"/>
              <w:left w:val="nil"/>
              <w:bottom w:val="nil"/>
              <w:right w:val="nil"/>
            </w:tcBorders>
            <w:shd w:val="clear" w:color="000000" w:fill="FFFFFF"/>
            <w:noWrap/>
            <w:vAlign w:val="bottom"/>
            <w:hideMark/>
          </w:tcPr>
          <w:p>
            <w:pPr>
              <w:rPr>
                <w:rFonts w:ascii="Tahoma" w:eastAsia="Times New Roman" w:hAnsi="Tahoma" w:cs="Tahoma"/>
                <w:noProof/>
                <w:color w:val="000000"/>
                <w:sz w:val="16"/>
                <w:szCs w:val="16"/>
                <w:lang w:val="en-IE" w:eastAsia="en-IE"/>
              </w:rPr>
            </w:pPr>
            <w:r>
              <w:rPr>
                <w:rFonts w:ascii="Tahoma" w:eastAsia="Times New Roman" w:hAnsi="Tahoma" w:cs="Tahoma"/>
                <w:noProof/>
                <w:color w:val="000000"/>
                <w:sz w:val="16"/>
                <w:szCs w:val="16"/>
                <w:lang w:val="en-IE" w:eastAsia="en-IE"/>
              </w:rPr>
              <w:t> </w:t>
            </w:r>
          </w:p>
        </w:tc>
        <w:tc>
          <w:tcPr>
            <w:tcW w:w="408" w:type="dxa"/>
            <w:tcBorders>
              <w:top w:val="nil"/>
              <w:left w:val="nil"/>
              <w:bottom w:val="nil"/>
              <w:right w:val="nil"/>
            </w:tcBorders>
            <w:shd w:val="clear" w:color="000000" w:fill="FFFFFF"/>
            <w:noWrap/>
            <w:vAlign w:val="bottom"/>
            <w:hideMark/>
          </w:tcPr>
          <w:p>
            <w:pPr>
              <w:rPr>
                <w:rFonts w:ascii="Tahoma" w:eastAsia="Times New Roman" w:hAnsi="Tahoma" w:cs="Tahoma"/>
                <w:noProof/>
                <w:color w:val="000000"/>
                <w:sz w:val="16"/>
                <w:szCs w:val="16"/>
                <w:lang w:val="en-IE" w:eastAsia="en-IE"/>
              </w:rPr>
            </w:pPr>
            <w:r>
              <w:rPr>
                <w:rFonts w:ascii="Tahoma" w:eastAsia="Times New Roman" w:hAnsi="Tahoma" w:cs="Tahoma"/>
                <w:noProof/>
                <w:color w:val="000000"/>
                <w:sz w:val="16"/>
                <w:szCs w:val="16"/>
                <w:lang w:val="en-IE" w:eastAsia="en-IE"/>
              </w:rPr>
              <w:t> </w:t>
            </w:r>
          </w:p>
        </w:tc>
        <w:tc>
          <w:tcPr>
            <w:tcW w:w="408" w:type="dxa"/>
            <w:tcBorders>
              <w:top w:val="nil"/>
              <w:left w:val="nil"/>
              <w:bottom w:val="nil"/>
              <w:right w:val="nil"/>
            </w:tcBorders>
            <w:shd w:val="clear" w:color="000000" w:fill="FFFFFF"/>
            <w:noWrap/>
            <w:vAlign w:val="bottom"/>
            <w:hideMark/>
          </w:tcPr>
          <w:p>
            <w:pPr>
              <w:rPr>
                <w:rFonts w:ascii="Tahoma" w:eastAsia="Times New Roman" w:hAnsi="Tahoma" w:cs="Tahoma"/>
                <w:noProof/>
                <w:color w:val="000000"/>
                <w:sz w:val="16"/>
                <w:szCs w:val="16"/>
                <w:lang w:val="en-IE" w:eastAsia="en-IE"/>
              </w:rPr>
            </w:pPr>
            <w:r>
              <w:rPr>
                <w:rFonts w:ascii="Tahoma" w:eastAsia="Times New Roman" w:hAnsi="Tahoma" w:cs="Tahoma"/>
                <w:noProof/>
                <w:color w:val="000000"/>
                <w:sz w:val="16"/>
                <w:szCs w:val="16"/>
                <w:lang w:val="en-IE" w:eastAsia="en-IE"/>
              </w:rPr>
              <w:t> </w:t>
            </w:r>
          </w:p>
        </w:tc>
        <w:tc>
          <w:tcPr>
            <w:tcW w:w="467" w:type="dxa"/>
            <w:tcBorders>
              <w:top w:val="nil"/>
              <w:left w:val="nil"/>
              <w:bottom w:val="nil"/>
              <w:right w:val="nil"/>
            </w:tcBorders>
            <w:shd w:val="clear" w:color="000000" w:fill="FFFFFF"/>
            <w:noWrap/>
            <w:vAlign w:val="bottom"/>
            <w:hideMark/>
          </w:tcPr>
          <w:p>
            <w:pPr>
              <w:rPr>
                <w:rFonts w:ascii="Tahoma" w:eastAsia="Times New Roman" w:hAnsi="Tahoma" w:cs="Tahoma"/>
                <w:noProof/>
                <w:color w:val="000000"/>
                <w:sz w:val="16"/>
                <w:szCs w:val="16"/>
                <w:lang w:val="en-IE" w:eastAsia="en-IE"/>
              </w:rPr>
            </w:pPr>
            <w:r>
              <w:rPr>
                <w:rFonts w:ascii="Tahoma" w:eastAsia="Times New Roman" w:hAnsi="Tahoma" w:cs="Tahoma"/>
                <w:noProof/>
                <w:color w:val="000000"/>
                <w:sz w:val="16"/>
                <w:szCs w:val="16"/>
                <w:lang w:val="en-IE" w:eastAsia="en-IE"/>
              </w:rPr>
              <w:t> </w:t>
            </w:r>
          </w:p>
        </w:tc>
        <w:tc>
          <w:tcPr>
            <w:tcW w:w="703" w:type="dxa"/>
            <w:tcBorders>
              <w:top w:val="nil"/>
              <w:left w:val="nil"/>
              <w:bottom w:val="nil"/>
              <w:right w:val="nil"/>
            </w:tcBorders>
            <w:shd w:val="clear" w:color="000000" w:fill="FFFFFF"/>
            <w:noWrap/>
            <w:vAlign w:val="bottom"/>
            <w:hideMark/>
          </w:tcPr>
          <w:p>
            <w:pPr>
              <w:rPr>
                <w:rFonts w:ascii="Tahoma" w:eastAsia="Times New Roman" w:hAnsi="Tahoma" w:cs="Tahoma"/>
                <w:noProof/>
                <w:color w:val="000000"/>
                <w:sz w:val="16"/>
                <w:szCs w:val="16"/>
                <w:lang w:val="en-IE" w:eastAsia="en-IE"/>
              </w:rPr>
            </w:pPr>
            <w:r>
              <w:rPr>
                <w:rFonts w:ascii="Tahoma" w:eastAsia="Times New Roman" w:hAnsi="Tahoma" w:cs="Tahoma"/>
                <w:noProof/>
                <w:color w:val="000000"/>
                <w:sz w:val="16"/>
                <w:szCs w:val="16"/>
                <w:lang w:val="en-IE" w:eastAsia="en-IE"/>
              </w:rPr>
              <w:t> </w:t>
            </w:r>
          </w:p>
        </w:tc>
      </w:tr>
      <w:tr>
        <w:trPr>
          <w:trHeight w:val="225"/>
        </w:trPr>
        <w:tc>
          <w:tcPr>
            <w:tcW w:w="6990" w:type="dxa"/>
            <w:gridSpan w:val="6"/>
            <w:tcBorders>
              <w:top w:val="nil"/>
              <w:left w:val="nil"/>
              <w:bottom w:val="nil"/>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Total merchandise trade EU28 with Papua New Guinea (mio €)</w:t>
            </w:r>
          </w:p>
        </w:tc>
      </w:tr>
      <w:tr>
        <w:trPr>
          <w:trHeight w:val="225"/>
        </w:trPr>
        <w:tc>
          <w:tcPr>
            <w:tcW w:w="5004"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Papua New Guinea</w:t>
            </w:r>
          </w:p>
        </w:tc>
        <w:tc>
          <w:tcPr>
            <w:tcW w:w="408"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2017</w:t>
            </w:r>
          </w:p>
        </w:tc>
        <w:tc>
          <w:tcPr>
            <w:tcW w:w="408"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2018</w:t>
            </w:r>
          </w:p>
        </w:tc>
        <w:tc>
          <w:tcPr>
            <w:tcW w:w="1170" w:type="dxa"/>
            <w:gridSpan w:val="2"/>
            <w:tcBorders>
              <w:top w:val="single" w:sz="4" w:space="0" w:color="auto"/>
              <w:left w:val="nil"/>
              <w:bottom w:val="nil"/>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Growth</w:t>
            </w:r>
          </w:p>
        </w:tc>
      </w:tr>
      <w:tr>
        <w:trPr>
          <w:trHeight w:val="225"/>
        </w:trPr>
        <w:tc>
          <w:tcPr>
            <w:tcW w:w="5004" w:type="dxa"/>
            <w:gridSpan w:val="2"/>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08" w:type="dxa"/>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08" w:type="dxa"/>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67" w:type="dxa"/>
            <w:tcBorders>
              <w:top w:val="nil"/>
              <w:left w:val="nil"/>
              <w:bottom w:val="single" w:sz="4" w:space="0" w:color="auto"/>
              <w:right w:val="nil"/>
            </w:tcBorders>
            <w:shd w:val="clear" w:color="000000" w:fill="FFFFFF"/>
            <w:noWrap/>
            <w:vAlign w:val="bottom"/>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annual %</w:t>
            </w:r>
          </w:p>
        </w:tc>
      </w:tr>
      <w:tr>
        <w:trPr>
          <w:trHeight w:val="225"/>
        </w:trPr>
        <w:tc>
          <w:tcPr>
            <w:tcW w:w="4537"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Imports</w:t>
            </w:r>
          </w:p>
        </w:tc>
        <w:tc>
          <w:tcPr>
            <w:tcW w:w="467"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897</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879</w:t>
            </w:r>
          </w:p>
        </w:tc>
        <w:tc>
          <w:tcPr>
            <w:tcW w:w="467"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-18</w:t>
            </w:r>
          </w:p>
        </w:tc>
        <w:tc>
          <w:tcPr>
            <w:tcW w:w="703"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-2,0%</w:t>
            </w:r>
          </w:p>
        </w:tc>
      </w:tr>
      <w:tr>
        <w:trPr>
          <w:trHeight w:val="225"/>
        </w:trPr>
        <w:tc>
          <w:tcPr>
            <w:tcW w:w="4537"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Exports</w:t>
            </w:r>
          </w:p>
        </w:tc>
        <w:tc>
          <w:tcPr>
            <w:tcW w:w="467"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164</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127</w:t>
            </w:r>
          </w:p>
        </w:tc>
        <w:tc>
          <w:tcPr>
            <w:tcW w:w="467"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-36</w:t>
            </w:r>
          </w:p>
        </w:tc>
        <w:tc>
          <w:tcPr>
            <w:tcW w:w="703"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-22,2%</w:t>
            </w:r>
          </w:p>
        </w:tc>
      </w:tr>
      <w:tr>
        <w:trPr>
          <w:trHeight w:val="225"/>
        </w:trPr>
        <w:tc>
          <w:tcPr>
            <w:tcW w:w="4537"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Balance</w:t>
            </w:r>
          </w:p>
        </w:tc>
        <w:tc>
          <w:tcPr>
            <w:tcW w:w="467"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-733</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-752</w:t>
            </w:r>
          </w:p>
        </w:tc>
        <w:tc>
          <w:tcPr>
            <w:tcW w:w="467"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-19</w:t>
            </w:r>
          </w:p>
        </w:tc>
        <w:tc>
          <w:tcPr>
            <w:tcW w:w="703"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r>
      <w:tr>
        <w:trPr>
          <w:trHeight w:val="225"/>
        </w:trPr>
        <w:tc>
          <w:tcPr>
            <w:tcW w:w="4537" w:type="dxa"/>
            <w:tcBorders>
              <w:top w:val="nil"/>
              <w:left w:val="nil"/>
              <w:bottom w:val="single" w:sz="4" w:space="0" w:color="auto"/>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Total trade</w:t>
            </w:r>
          </w:p>
        </w:tc>
        <w:tc>
          <w:tcPr>
            <w:tcW w:w="467" w:type="dxa"/>
            <w:tcBorders>
              <w:top w:val="nil"/>
              <w:left w:val="nil"/>
              <w:bottom w:val="single" w:sz="4" w:space="0" w:color="auto"/>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08"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1.060</w:t>
            </w:r>
          </w:p>
        </w:tc>
        <w:tc>
          <w:tcPr>
            <w:tcW w:w="408"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1.006</w:t>
            </w:r>
          </w:p>
        </w:tc>
        <w:tc>
          <w:tcPr>
            <w:tcW w:w="467"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-54</w:t>
            </w:r>
          </w:p>
        </w:tc>
        <w:tc>
          <w:tcPr>
            <w:tcW w:w="703"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-5,1%</w:t>
            </w:r>
          </w:p>
        </w:tc>
      </w:tr>
      <w:tr>
        <w:trPr>
          <w:trHeight w:val="240"/>
        </w:trPr>
        <w:tc>
          <w:tcPr>
            <w:tcW w:w="5820" w:type="dxa"/>
            <w:gridSpan w:val="4"/>
            <w:tcBorders>
              <w:top w:val="single" w:sz="4" w:space="0" w:color="auto"/>
              <w:left w:val="nil"/>
              <w:bottom w:val="nil"/>
              <w:right w:val="nil"/>
            </w:tcBorders>
            <w:shd w:val="clear" w:color="000000" w:fill="FFFFFF"/>
            <w:noWrap/>
            <w:hideMark/>
          </w:tcPr>
          <w:p>
            <w:pPr>
              <w:rPr>
                <w:rFonts w:ascii="Arial" w:eastAsia="Times New Roman" w:hAnsi="Arial" w:cs="Arial"/>
                <w:noProof/>
                <w:sz w:val="12"/>
                <w:szCs w:val="12"/>
                <w:lang w:val="en-IE" w:eastAsia="en-IE"/>
              </w:rPr>
            </w:pPr>
            <w:r>
              <w:rPr>
                <w:rFonts w:ascii="Arial" w:eastAsia="Times New Roman" w:hAnsi="Arial" w:cs="Arial"/>
                <w:noProof/>
                <w:sz w:val="12"/>
                <w:szCs w:val="12"/>
                <w:lang w:val="en-IE" w:eastAsia="en-IE"/>
              </w:rPr>
              <w:t>Source Trade G2 Statistics/ISDB from Eurostat COMEXT</w:t>
            </w:r>
          </w:p>
        </w:tc>
        <w:tc>
          <w:tcPr>
            <w:tcW w:w="467" w:type="dxa"/>
            <w:tcBorders>
              <w:top w:val="nil"/>
              <w:left w:val="nil"/>
              <w:bottom w:val="nil"/>
              <w:right w:val="nil"/>
            </w:tcBorders>
            <w:shd w:val="clear" w:color="000000" w:fill="FFFFFF"/>
            <w:noWrap/>
            <w:vAlign w:val="bottom"/>
            <w:hideMark/>
          </w:tcPr>
          <w:p>
            <w:pPr>
              <w:rPr>
                <w:rFonts w:ascii="Arial" w:eastAsia="Times New Roman" w:hAnsi="Arial" w:cs="Arial"/>
                <w:noProof/>
                <w:sz w:val="18"/>
                <w:szCs w:val="18"/>
                <w:lang w:val="en-IE" w:eastAsia="en-IE"/>
              </w:rPr>
            </w:pPr>
            <w:r>
              <w:rPr>
                <w:rFonts w:ascii="Arial" w:eastAsia="Times New Roman" w:hAnsi="Arial" w:cs="Arial"/>
                <w:noProof/>
                <w:sz w:val="18"/>
                <w:szCs w:val="18"/>
                <w:lang w:val="en-IE" w:eastAsia="en-IE"/>
              </w:rPr>
              <w:t> </w:t>
            </w:r>
          </w:p>
        </w:tc>
        <w:tc>
          <w:tcPr>
            <w:tcW w:w="703" w:type="dxa"/>
            <w:tcBorders>
              <w:top w:val="nil"/>
              <w:left w:val="nil"/>
              <w:bottom w:val="nil"/>
              <w:right w:val="nil"/>
            </w:tcBorders>
            <w:shd w:val="clear" w:color="000000" w:fill="FFFFFF"/>
            <w:noWrap/>
            <w:vAlign w:val="bottom"/>
            <w:hideMark/>
          </w:tcPr>
          <w:p>
            <w:pPr>
              <w:rPr>
                <w:rFonts w:ascii="Arial" w:eastAsia="Times New Roman" w:hAnsi="Arial" w:cs="Arial"/>
                <w:noProof/>
                <w:sz w:val="18"/>
                <w:szCs w:val="18"/>
                <w:lang w:val="en-IE" w:eastAsia="en-IE"/>
              </w:rPr>
            </w:pPr>
            <w:r>
              <w:rPr>
                <w:rFonts w:ascii="Arial" w:eastAsia="Times New Roman" w:hAnsi="Arial" w:cs="Arial"/>
                <w:noProof/>
                <w:sz w:val="18"/>
                <w:szCs w:val="18"/>
                <w:lang w:val="en-IE" w:eastAsia="en-IE"/>
              </w:rPr>
              <w:t> </w:t>
            </w:r>
          </w:p>
        </w:tc>
      </w:tr>
      <w:tr>
        <w:trPr>
          <w:trHeight w:val="225"/>
        </w:trPr>
        <w:tc>
          <w:tcPr>
            <w:tcW w:w="6990" w:type="dxa"/>
            <w:gridSpan w:val="6"/>
            <w:tcBorders>
              <w:top w:val="nil"/>
              <w:left w:val="nil"/>
              <w:bottom w:val="nil"/>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Agrifood trade EU28 with Papua New Guinea (mio €)</w:t>
            </w:r>
          </w:p>
        </w:tc>
      </w:tr>
      <w:tr>
        <w:trPr>
          <w:trHeight w:val="255"/>
        </w:trPr>
        <w:tc>
          <w:tcPr>
            <w:tcW w:w="5004"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Papua New Guinea</w:t>
            </w:r>
          </w:p>
        </w:tc>
        <w:tc>
          <w:tcPr>
            <w:tcW w:w="408"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2017</w:t>
            </w:r>
          </w:p>
        </w:tc>
        <w:tc>
          <w:tcPr>
            <w:tcW w:w="408"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2018</w:t>
            </w:r>
          </w:p>
        </w:tc>
        <w:tc>
          <w:tcPr>
            <w:tcW w:w="1170" w:type="dxa"/>
            <w:gridSpan w:val="2"/>
            <w:tcBorders>
              <w:top w:val="single" w:sz="4" w:space="0" w:color="auto"/>
              <w:left w:val="nil"/>
              <w:bottom w:val="nil"/>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Growth</w:t>
            </w:r>
          </w:p>
        </w:tc>
      </w:tr>
      <w:tr>
        <w:trPr>
          <w:trHeight w:val="225"/>
        </w:trPr>
        <w:tc>
          <w:tcPr>
            <w:tcW w:w="5004" w:type="dxa"/>
            <w:gridSpan w:val="2"/>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08" w:type="dxa"/>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08" w:type="dxa"/>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67" w:type="dxa"/>
            <w:tcBorders>
              <w:top w:val="nil"/>
              <w:left w:val="nil"/>
              <w:bottom w:val="single" w:sz="4" w:space="0" w:color="auto"/>
              <w:right w:val="nil"/>
            </w:tcBorders>
            <w:shd w:val="clear" w:color="000000" w:fill="FFFFFF"/>
            <w:noWrap/>
            <w:vAlign w:val="bottom"/>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annual %</w:t>
            </w:r>
          </w:p>
        </w:tc>
      </w:tr>
      <w:tr>
        <w:trPr>
          <w:trHeight w:val="225"/>
        </w:trPr>
        <w:tc>
          <w:tcPr>
            <w:tcW w:w="4537"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Imports</w:t>
            </w:r>
          </w:p>
        </w:tc>
        <w:tc>
          <w:tcPr>
            <w:tcW w:w="467"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612</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515</w:t>
            </w:r>
          </w:p>
        </w:tc>
        <w:tc>
          <w:tcPr>
            <w:tcW w:w="467"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-97</w:t>
            </w:r>
          </w:p>
        </w:tc>
        <w:tc>
          <w:tcPr>
            <w:tcW w:w="703"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-15,9%</w:t>
            </w:r>
          </w:p>
        </w:tc>
      </w:tr>
      <w:tr>
        <w:trPr>
          <w:trHeight w:val="225"/>
        </w:trPr>
        <w:tc>
          <w:tcPr>
            <w:tcW w:w="4537"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Exports</w:t>
            </w:r>
          </w:p>
        </w:tc>
        <w:tc>
          <w:tcPr>
            <w:tcW w:w="467"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12</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10</w:t>
            </w:r>
          </w:p>
        </w:tc>
        <w:tc>
          <w:tcPr>
            <w:tcW w:w="467"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w:t>
            </w:r>
          </w:p>
        </w:tc>
        <w:tc>
          <w:tcPr>
            <w:tcW w:w="703"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-18,8%</w:t>
            </w:r>
          </w:p>
        </w:tc>
      </w:tr>
      <w:tr>
        <w:trPr>
          <w:trHeight w:val="225"/>
        </w:trPr>
        <w:tc>
          <w:tcPr>
            <w:tcW w:w="4537"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Balance</w:t>
            </w:r>
          </w:p>
        </w:tc>
        <w:tc>
          <w:tcPr>
            <w:tcW w:w="467"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-600</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-505</w:t>
            </w:r>
          </w:p>
        </w:tc>
        <w:tc>
          <w:tcPr>
            <w:tcW w:w="467"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95</w:t>
            </w:r>
          </w:p>
        </w:tc>
        <w:tc>
          <w:tcPr>
            <w:tcW w:w="703"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r>
      <w:tr>
        <w:trPr>
          <w:trHeight w:val="225"/>
        </w:trPr>
        <w:tc>
          <w:tcPr>
            <w:tcW w:w="4537" w:type="dxa"/>
            <w:tcBorders>
              <w:top w:val="nil"/>
              <w:left w:val="nil"/>
              <w:bottom w:val="single" w:sz="4" w:space="0" w:color="auto"/>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Total trade</w:t>
            </w:r>
          </w:p>
        </w:tc>
        <w:tc>
          <w:tcPr>
            <w:tcW w:w="467"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08"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624</w:t>
            </w:r>
          </w:p>
        </w:tc>
        <w:tc>
          <w:tcPr>
            <w:tcW w:w="408"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524</w:t>
            </w:r>
          </w:p>
        </w:tc>
        <w:tc>
          <w:tcPr>
            <w:tcW w:w="467"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-99</w:t>
            </w:r>
          </w:p>
        </w:tc>
        <w:tc>
          <w:tcPr>
            <w:tcW w:w="703"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-15,9%</w:t>
            </w:r>
          </w:p>
        </w:tc>
      </w:tr>
      <w:tr>
        <w:trPr>
          <w:trHeight w:val="240"/>
        </w:trPr>
        <w:tc>
          <w:tcPr>
            <w:tcW w:w="5820" w:type="dxa"/>
            <w:gridSpan w:val="4"/>
            <w:tcBorders>
              <w:top w:val="single" w:sz="4" w:space="0" w:color="auto"/>
              <w:left w:val="nil"/>
              <w:bottom w:val="nil"/>
              <w:right w:val="nil"/>
            </w:tcBorders>
            <w:shd w:val="clear" w:color="000000" w:fill="FFFFFF"/>
            <w:noWrap/>
            <w:hideMark/>
          </w:tcPr>
          <w:p>
            <w:pPr>
              <w:rPr>
                <w:rFonts w:ascii="Arial" w:eastAsia="Times New Roman" w:hAnsi="Arial" w:cs="Arial"/>
                <w:noProof/>
                <w:sz w:val="12"/>
                <w:szCs w:val="12"/>
                <w:lang w:val="en-IE" w:eastAsia="en-IE"/>
              </w:rPr>
            </w:pPr>
            <w:r>
              <w:rPr>
                <w:rFonts w:ascii="Arial" w:eastAsia="Times New Roman" w:hAnsi="Arial" w:cs="Arial"/>
                <w:noProof/>
                <w:sz w:val="12"/>
                <w:szCs w:val="12"/>
                <w:lang w:val="en-IE" w:eastAsia="en-IE"/>
              </w:rPr>
              <w:t>Source Trade G2 Statistics/ISDB from Eurostat COMEXT</w:t>
            </w:r>
          </w:p>
        </w:tc>
        <w:tc>
          <w:tcPr>
            <w:tcW w:w="467" w:type="dxa"/>
            <w:tcBorders>
              <w:top w:val="nil"/>
              <w:left w:val="nil"/>
              <w:bottom w:val="nil"/>
              <w:right w:val="nil"/>
            </w:tcBorders>
            <w:shd w:val="clear" w:color="000000" w:fill="FFFFFF"/>
            <w:noWrap/>
            <w:vAlign w:val="bottom"/>
            <w:hideMark/>
          </w:tcPr>
          <w:p>
            <w:pPr>
              <w:rPr>
                <w:rFonts w:ascii="Arial" w:eastAsia="Times New Roman" w:hAnsi="Arial" w:cs="Arial"/>
                <w:noProof/>
                <w:sz w:val="18"/>
                <w:szCs w:val="18"/>
                <w:lang w:val="en-IE" w:eastAsia="en-IE"/>
              </w:rPr>
            </w:pPr>
            <w:r>
              <w:rPr>
                <w:rFonts w:ascii="Arial" w:eastAsia="Times New Roman" w:hAnsi="Arial" w:cs="Arial"/>
                <w:noProof/>
                <w:sz w:val="18"/>
                <w:szCs w:val="18"/>
                <w:lang w:val="en-IE" w:eastAsia="en-IE"/>
              </w:rPr>
              <w:t> </w:t>
            </w:r>
          </w:p>
        </w:tc>
        <w:tc>
          <w:tcPr>
            <w:tcW w:w="703" w:type="dxa"/>
            <w:tcBorders>
              <w:top w:val="nil"/>
              <w:left w:val="nil"/>
              <w:bottom w:val="nil"/>
              <w:right w:val="nil"/>
            </w:tcBorders>
            <w:shd w:val="clear" w:color="000000" w:fill="FFFFFF"/>
            <w:noWrap/>
            <w:vAlign w:val="bottom"/>
            <w:hideMark/>
          </w:tcPr>
          <w:p>
            <w:pPr>
              <w:rPr>
                <w:rFonts w:ascii="Arial" w:eastAsia="Times New Roman" w:hAnsi="Arial" w:cs="Arial"/>
                <w:noProof/>
                <w:sz w:val="18"/>
                <w:szCs w:val="18"/>
                <w:lang w:val="en-IE" w:eastAsia="en-IE"/>
              </w:rPr>
            </w:pPr>
            <w:r>
              <w:rPr>
                <w:rFonts w:ascii="Arial" w:eastAsia="Times New Roman" w:hAnsi="Arial" w:cs="Arial"/>
                <w:noProof/>
                <w:sz w:val="18"/>
                <w:szCs w:val="18"/>
                <w:lang w:val="en-IE" w:eastAsia="en-IE"/>
              </w:rPr>
              <w:t> </w:t>
            </w:r>
          </w:p>
        </w:tc>
      </w:tr>
      <w:tr>
        <w:trPr>
          <w:trHeight w:val="225"/>
        </w:trPr>
        <w:tc>
          <w:tcPr>
            <w:tcW w:w="6990" w:type="dxa"/>
            <w:gridSpan w:val="6"/>
            <w:tcBorders>
              <w:top w:val="nil"/>
              <w:left w:val="nil"/>
              <w:bottom w:val="nil"/>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NAMA trade EU28 with Papua New Guinea (mio €)</w:t>
            </w:r>
          </w:p>
        </w:tc>
      </w:tr>
      <w:tr>
        <w:trPr>
          <w:trHeight w:val="225"/>
        </w:trPr>
        <w:tc>
          <w:tcPr>
            <w:tcW w:w="5004"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Papua New Guinea</w:t>
            </w:r>
          </w:p>
        </w:tc>
        <w:tc>
          <w:tcPr>
            <w:tcW w:w="408"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2017</w:t>
            </w:r>
          </w:p>
        </w:tc>
        <w:tc>
          <w:tcPr>
            <w:tcW w:w="408" w:type="dxa"/>
            <w:vMerge w:val="restart"/>
            <w:tcBorders>
              <w:top w:val="single" w:sz="4" w:space="0" w:color="auto"/>
              <w:left w:val="nil"/>
              <w:bottom w:val="single" w:sz="4" w:space="0" w:color="000000"/>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2018</w:t>
            </w:r>
          </w:p>
        </w:tc>
        <w:tc>
          <w:tcPr>
            <w:tcW w:w="1170" w:type="dxa"/>
            <w:gridSpan w:val="2"/>
            <w:tcBorders>
              <w:top w:val="single" w:sz="4" w:space="0" w:color="auto"/>
              <w:left w:val="nil"/>
              <w:bottom w:val="nil"/>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Growth</w:t>
            </w:r>
          </w:p>
        </w:tc>
      </w:tr>
      <w:tr>
        <w:trPr>
          <w:trHeight w:val="225"/>
        </w:trPr>
        <w:tc>
          <w:tcPr>
            <w:tcW w:w="5004" w:type="dxa"/>
            <w:gridSpan w:val="2"/>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08" w:type="dxa"/>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08" w:type="dxa"/>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67" w:type="dxa"/>
            <w:tcBorders>
              <w:top w:val="nil"/>
              <w:left w:val="nil"/>
              <w:bottom w:val="single" w:sz="4" w:space="0" w:color="auto"/>
              <w:right w:val="nil"/>
            </w:tcBorders>
            <w:shd w:val="clear" w:color="000000" w:fill="FFFFFF"/>
            <w:noWrap/>
            <w:vAlign w:val="bottom"/>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annual %</w:t>
            </w:r>
          </w:p>
        </w:tc>
      </w:tr>
      <w:tr>
        <w:trPr>
          <w:trHeight w:val="225"/>
        </w:trPr>
        <w:tc>
          <w:tcPr>
            <w:tcW w:w="5004" w:type="dxa"/>
            <w:gridSpan w:val="2"/>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EU28 imports</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285</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364</w:t>
            </w:r>
          </w:p>
        </w:tc>
        <w:tc>
          <w:tcPr>
            <w:tcW w:w="467"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79</w:t>
            </w:r>
          </w:p>
        </w:tc>
        <w:tc>
          <w:tcPr>
            <w:tcW w:w="703"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27,9%</w:t>
            </w:r>
          </w:p>
        </w:tc>
      </w:tr>
      <w:tr>
        <w:trPr>
          <w:trHeight w:val="225"/>
        </w:trPr>
        <w:tc>
          <w:tcPr>
            <w:tcW w:w="5004" w:type="dxa"/>
            <w:gridSpan w:val="2"/>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EU28 exports</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152</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118</w:t>
            </w:r>
          </w:p>
        </w:tc>
        <w:tc>
          <w:tcPr>
            <w:tcW w:w="467"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-34</w:t>
            </w:r>
          </w:p>
        </w:tc>
        <w:tc>
          <w:tcPr>
            <w:tcW w:w="703"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-22,4%</w:t>
            </w:r>
          </w:p>
        </w:tc>
      </w:tr>
      <w:tr>
        <w:trPr>
          <w:trHeight w:val="225"/>
        </w:trPr>
        <w:tc>
          <w:tcPr>
            <w:tcW w:w="4537"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Balance</w:t>
            </w:r>
          </w:p>
        </w:tc>
        <w:tc>
          <w:tcPr>
            <w:tcW w:w="467"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-133</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-246</w:t>
            </w:r>
          </w:p>
        </w:tc>
        <w:tc>
          <w:tcPr>
            <w:tcW w:w="467"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-114</w:t>
            </w:r>
          </w:p>
        </w:tc>
        <w:tc>
          <w:tcPr>
            <w:tcW w:w="703"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r>
      <w:tr>
        <w:trPr>
          <w:trHeight w:val="225"/>
        </w:trPr>
        <w:tc>
          <w:tcPr>
            <w:tcW w:w="4537"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Total trade</w:t>
            </w:r>
          </w:p>
        </w:tc>
        <w:tc>
          <w:tcPr>
            <w:tcW w:w="467"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437</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482</w:t>
            </w:r>
          </w:p>
        </w:tc>
        <w:tc>
          <w:tcPr>
            <w:tcW w:w="467"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45</w:t>
            </w:r>
          </w:p>
        </w:tc>
        <w:tc>
          <w:tcPr>
            <w:tcW w:w="703"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10,4%</w:t>
            </w:r>
          </w:p>
        </w:tc>
      </w:tr>
      <w:tr>
        <w:trPr>
          <w:trHeight w:val="240"/>
        </w:trPr>
        <w:tc>
          <w:tcPr>
            <w:tcW w:w="5820" w:type="dxa"/>
            <w:gridSpan w:val="4"/>
            <w:tcBorders>
              <w:top w:val="single" w:sz="4" w:space="0" w:color="auto"/>
              <w:left w:val="nil"/>
              <w:bottom w:val="nil"/>
              <w:right w:val="nil"/>
            </w:tcBorders>
            <w:shd w:val="clear" w:color="000000" w:fill="FFFFFF"/>
            <w:noWrap/>
            <w:hideMark/>
          </w:tcPr>
          <w:p>
            <w:pPr>
              <w:rPr>
                <w:rFonts w:ascii="Arial" w:eastAsia="Times New Roman" w:hAnsi="Arial" w:cs="Arial"/>
                <w:noProof/>
                <w:sz w:val="12"/>
                <w:szCs w:val="12"/>
                <w:lang w:val="en-IE" w:eastAsia="en-IE"/>
              </w:rPr>
            </w:pPr>
            <w:r>
              <w:rPr>
                <w:rFonts w:ascii="Arial" w:eastAsia="Times New Roman" w:hAnsi="Arial" w:cs="Arial"/>
                <w:noProof/>
                <w:sz w:val="12"/>
                <w:szCs w:val="12"/>
                <w:lang w:val="en-IE" w:eastAsia="en-IE"/>
              </w:rPr>
              <w:t>Source Trade G2 Statistics/ISDB from Eurostat COMEXT</w:t>
            </w:r>
          </w:p>
        </w:tc>
        <w:tc>
          <w:tcPr>
            <w:tcW w:w="467" w:type="dxa"/>
            <w:tcBorders>
              <w:top w:val="single" w:sz="4" w:space="0" w:color="auto"/>
              <w:left w:val="nil"/>
              <w:bottom w:val="nil"/>
              <w:right w:val="nil"/>
            </w:tcBorders>
            <w:shd w:val="clear" w:color="000000" w:fill="FFFFFF"/>
            <w:noWrap/>
            <w:vAlign w:val="bottom"/>
            <w:hideMark/>
          </w:tcPr>
          <w:p>
            <w:pPr>
              <w:rPr>
                <w:rFonts w:ascii="Arial" w:eastAsia="Times New Roman" w:hAnsi="Arial" w:cs="Arial"/>
                <w:noProof/>
                <w:sz w:val="18"/>
                <w:szCs w:val="18"/>
                <w:lang w:val="en-IE" w:eastAsia="en-IE"/>
              </w:rPr>
            </w:pPr>
            <w:r>
              <w:rPr>
                <w:rFonts w:ascii="Arial" w:eastAsia="Times New Roman" w:hAnsi="Arial" w:cs="Arial"/>
                <w:noProof/>
                <w:sz w:val="18"/>
                <w:szCs w:val="18"/>
                <w:lang w:val="en-IE" w:eastAsia="en-IE"/>
              </w:rPr>
              <w:t> </w:t>
            </w:r>
          </w:p>
        </w:tc>
        <w:tc>
          <w:tcPr>
            <w:tcW w:w="703" w:type="dxa"/>
            <w:tcBorders>
              <w:top w:val="nil"/>
              <w:left w:val="nil"/>
              <w:bottom w:val="nil"/>
              <w:right w:val="nil"/>
            </w:tcBorders>
            <w:shd w:val="clear" w:color="000000" w:fill="FFFFFF"/>
            <w:noWrap/>
            <w:vAlign w:val="bottom"/>
            <w:hideMark/>
          </w:tcPr>
          <w:p>
            <w:pPr>
              <w:rPr>
                <w:rFonts w:ascii="Arial" w:eastAsia="Times New Roman" w:hAnsi="Arial" w:cs="Arial"/>
                <w:noProof/>
                <w:sz w:val="18"/>
                <w:szCs w:val="18"/>
                <w:lang w:val="en-IE" w:eastAsia="en-IE"/>
              </w:rPr>
            </w:pPr>
            <w:r>
              <w:rPr>
                <w:rFonts w:ascii="Arial" w:eastAsia="Times New Roman" w:hAnsi="Arial" w:cs="Arial"/>
                <w:noProof/>
                <w:sz w:val="18"/>
                <w:szCs w:val="18"/>
                <w:lang w:val="en-IE" w:eastAsia="en-IE"/>
              </w:rPr>
              <w:t> </w:t>
            </w:r>
          </w:p>
        </w:tc>
      </w:tr>
      <w:tr>
        <w:trPr>
          <w:trHeight w:val="225"/>
        </w:trPr>
        <w:tc>
          <w:tcPr>
            <w:tcW w:w="5820" w:type="dxa"/>
            <w:gridSpan w:val="4"/>
            <w:tcBorders>
              <w:top w:val="nil"/>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Services trade EU28 with Papua New Guinea (mio €)</w:t>
            </w:r>
          </w:p>
        </w:tc>
        <w:tc>
          <w:tcPr>
            <w:tcW w:w="467" w:type="dxa"/>
            <w:tcBorders>
              <w:top w:val="nil"/>
              <w:left w:val="nil"/>
              <w:bottom w:val="nil"/>
              <w:right w:val="nil"/>
            </w:tcBorders>
            <w:shd w:val="clear" w:color="000000" w:fill="FFFFFF"/>
            <w:noWrap/>
            <w:vAlign w:val="center"/>
            <w:hideMark/>
          </w:tcPr>
          <w:p>
            <w:pP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 </w:t>
            </w:r>
          </w:p>
        </w:tc>
        <w:tc>
          <w:tcPr>
            <w:tcW w:w="703" w:type="dxa"/>
            <w:tcBorders>
              <w:top w:val="nil"/>
              <w:left w:val="nil"/>
              <w:bottom w:val="nil"/>
              <w:right w:val="nil"/>
            </w:tcBorders>
            <w:shd w:val="clear" w:color="000000" w:fill="FFFFFF"/>
            <w:noWrap/>
            <w:vAlign w:val="center"/>
            <w:hideMark/>
          </w:tcPr>
          <w:p>
            <w:pP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 </w:t>
            </w:r>
          </w:p>
        </w:tc>
      </w:tr>
      <w:tr>
        <w:trPr>
          <w:trHeight w:val="225"/>
        </w:trPr>
        <w:tc>
          <w:tcPr>
            <w:tcW w:w="5004" w:type="dxa"/>
            <w:gridSpan w:val="2"/>
            <w:vMerge w:val="restart"/>
            <w:tcBorders>
              <w:top w:val="single" w:sz="4" w:space="0" w:color="auto"/>
              <w:left w:val="nil"/>
              <w:bottom w:val="single" w:sz="4" w:space="0" w:color="000000"/>
              <w:right w:val="nil"/>
            </w:tcBorders>
            <w:shd w:val="clear" w:color="000000" w:fill="FFFFFF"/>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Papua New Guinea</w:t>
            </w:r>
          </w:p>
        </w:tc>
        <w:tc>
          <w:tcPr>
            <w:tcW w:w="408" w:type="dxa"/>
            <w:vMerge w:val="restart"/>
            <w:tcBorders>
              <w:top w:val="nil"/>
              <w:left w:val="nil"/>
              <w:bottom w:val="single" w:sz="4" w:space="0" w:color="000000"/>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2016</w:t>
            </w:r>
          </w:p>
        </w:tc>
        <w:tc>
          <w:tcPr>
            <w:tcW w:w="408" w:type="dxa"/>
            <w:vMerge w:val="restart"/>
            <w:tcBorders>
              <w:top w:val="nil"/>
              <w:left w:val="nil"/>
              <w:bottom w:val="single" w:sz="4" w:space="0" w:color="000000"/>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2017</w:t>
            </w:r>
          </w:p>
        </w:tc>
        <w:tc>
          <w:tcPr>
            <w:tcW w:w="1170" w:type="dxa"/>
            <w:gridSpan w:val="2"/>
            <w:tcBorders>
              <w:top w:val="single" w:sz="4" w:space="0" w:color="auto"/>
              <w:left w:val="nil"/>
              <w:bottom w:val="nil"/>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Growth</w:t>
            </w:r>
          </w:p>
        </w:tc>
      </w:tr>
      <w:tr>
        <w:trPr>
          <w:trHeight w:val="225"/>
        </w:trPr>
        <w:tc>
          <w:tcPr>
            <w:tcW w:w="5004" w:type="dxa"/>
            <w:gridSpan w:val="2"/>
            <w:vMerge/>
            <w:tcBorders>
              <w:top w:val="single" w:sz="4" w:space="0" w:color="auto"/>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08" w:type="dxa"/>
            <w:vMerge/>
            <w:tcBorders>
              <w:top w:val="nil"/>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08" w:type="dxa"/>
            <w:vMerge/>
            <w:tcBorders>
              <w:top w:val="nil"/>
              <w:left w:val="nil"/>
              <w:bottom w:val="single" w:sz="4" w:space="0" w:color="000000"/>
              <w:right w:val="nil"/>
            </w:tcBorders>
            <w:vAlign w:val="center"/>
            <w:hideMark/>
          </w:tcPr>
          <w:p>
            <w:pPr>
              <w:rPr>
                <w:rFonts w:ascii="Arial" w:eastAsia="Times New Roman" w:hAnsi="Arial" w:cs="Arial"/>
                <w:b/>
                <w:bCs/>
                <w:noProof/>
                <w:sz w:val="16"/>
                <w:szCs w:val="16"/>
                <w:lang w:val="en-IE" w:eastAsia="en-IE"/>
              </w:rPr>
            </w:pPr>
          </w:p>
        </w:tc>
        <w:tc>
          <w:tcPr>
            <w:tcW w:w="467" w:type="dxa"/>
            <w:tcBorders>
              <w:top w:val="nil"/>
              <w:left w:val="nil"/>
              <w:bottom w:val="single" w:sz="4" w:space="0" w:color="auto"/>
              <w:right w:val="nil"/>
            </w:tcBorders>
            <w:shd w:val="clear" w:color="000000" w:fill="FFFFFF"/>
            <w:noWrap/>
            <w:vAlign w:val="bottom"/>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mio €</w:t>
            </w:r>
          </w:p>
        </w:tc>
        <w:tc>
          <w:tcPr>
            <w:tcW w:w="703" w:type="dxa"/>
            <w:tcBorders>
              <w:top w:val="nil"/>
              <w:left w:val="nil"/>
              <w:bottom w:val="single" w:sz="4" w:space="0" w:color="auto"/>
              <w:right w:val="nil"/>
            </w:tcBorders>
            <w:shd w:val="clear" w:color="000000" w:fill="FFFFFF"/>
            <w:noWrap/>
            <w:vAlign w:val="bottom"/>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annual %</w:t>
            </w:r>
          </w:p>
        </w:tc>
      </w:tr>
      <w:tr>
        <w:trPr>
          <w:trHeight w:val="225"/>
        </w:trPr>
        <w:tc>
          <w:tcPr>
            <w:tcW w:w="4537"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Imports</w:t>
            </w:r>
          </w:p>
        </w:tc>
        <w:tc>
          <w:tcPr>
            <w:tcW w:w="467"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43</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65</w:t>
            </w:r>
          </w:p>
        </w:tc>
        <w:tc>
          <w:tcPr>
            <w:tcW w:w="467"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21</w:t>
            </w:r>
          </w:p>
        </w:tc>
        <w:tc>
          <w:tcPr>
            <w:tcW w:w="703"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49,1%</w:t>
            </w:r>
          </w:p>
        </w:tc>
      </w:tr>
      <w:tr>
        <w:trPr>
          <w:trHeight w:val="225"/>
        </w:trPr>
        <w:tc>
          <w:tcPr>
            <w:tcW w:w="4537"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Exports</w:t>
            </w:r>
          </w:p>
        </w:tc>
        <w:tc>
          <w:tcPr>
            <w:tcW w:w="467"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224</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325</w:t>
            </w:r>
          </w:p>
        </w:tc>
        <w:tc>
          <w:tcPr>
            <w:tcW w:w="467"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101</w:t>
            </w:r>
          </w:p>
        </w:tc>
        <w:tc>
          <w:tcPr>
            <w:tcW w:w="703"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45,3%</w:t>
            </w:r>
          </w:p>
        </w:tc>
      </w:tr>
      <w:tr>
        <w:trPr>
          <w:trHeight w:val="225"/>
        </w:trPr>
        <w:tc>
          <w:tcPr>
            <w:tcW w:w="4537"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Balance</w:t>
            </w:r>
          </w:p>
        </w:tc>
        <w:tc>
          <w:tcPr>
            <w:tcW w:w="467"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180</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260</w:t>
            </w:r>
          </w:p>
        </w:tc>
        <w:tc>
          <w:tcPr>
            <w:tcW w:w="467"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80</w:t>
            </w:r>
          </w:p>
        </w:tc>
        <w:tc>
          <w:tcPr>
            <w:tcW w:w="703"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r>
      <w:tr>
        <w:trPr>
          <w:trHeight w:val="225"/>
        </w:trPr>
        <w:tc>
          <w:tcPr>
            <w:tcW w:w="4537" w:type="dxa"/>
            <w:tcBorders>
              <w:top w:val="nil"/>
              <w:left w:val="nil"/>
              <w:bottom w:val="single" w:sz="4" w:space="0" w:color="auto"/>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Total trade</w:t>
            </w:r>
          </w:p>
        </w:tc>
        <w:tc>
          <w:tcPr>
            <w:tcW w:w="467" w:type="dxa"/>
            <w:tcBorders>
              <w:top w:val="nil"/>
              <w:left w:val="nil"/>
              <w:bottom w:val="single" w:sz="4" w:space="0" w:color="auto"/>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08"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267</w:t>
            </w:r>
          </w:p>
        </w:tc>
        <w:tc>
          <w:tcPr>
            <w:tcW w:w="408"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390</w:t>
            </w:r>
          </w:p>
        </w:tc>
        <w:tc>
          <w:tcPr>
            <w:tcW w:w="467"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123</w:t>
            </w:r>
          </w:p>
        </w:tc>
        <w:tc>
          <w:tcPr>
            <w:tcW w:w="703"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45,9%</w:t>
            </w:r>
          </w:p>
        </w:tc>
      </w:tr>
      <w:tr>
        <w:trPr>
          <w:trHeight w:val="240"/>
        </w:trPr>
        <w:tc>
          <w:tcPr>
            <w:tcW w:w="6287" w:type="dxa"/>
            <w:gridSpan w:val="5"/>
            <w:tcBorders>
              <w:top w:val="nil"/>
              <w:left w:val="nil"/>
              <w:bottom w:val="nil"/>
              <w:right w:val="nil"/>
            </w:tcBorders>
            <w:shd w:val="clear" w:color="000000" w:fill="FFFFFF"/>
            <w:noWrap/>
            <w:hideMark/>
          </w:tcPr>
          <w:p>
            <w:pPr>
              <w:rPr>
                <w:rFonts w:ascii="Arial" w:eastAsia="Times New Roman" w:hAnsi="Arial" w:cs="Arial"/>
                <w:noProof/>
                <w:sz w:val="12"/>
                <w:szCs w:val="12"/>
                <w:lang w:val="en-IE" w:eastAsia="en-IE"/>
              </w:rPr>
            </w:pPr>
            <w:r>
              <w:rPr>
                <w:rFonts w:ascii="Arial" w:eastAsia="Times New Roman" w:hAnsi="Arial" w:cs="Arial"/>
                <w:noProof/>
                <w:sz w:val="12"/>
                <w:szCs w:val="12"/>
                <w:lang w:val="en-IE" w:eastAsia="en-IE"/>
              </w:rPr>
              <w:t>Source Trade G2 Statistics/ISDB from Eurostat BOP statistics</w:t>
            </w:r>
          </w:p>
        </w:tc>
        <w:tc>
          <w:tcPr>
            <w:tcW w:w="703" w:type="dxa"/>
            <w:tcBorders>
              <w:top w:val="nil"/>
              <w:left w:val="nil"/>
              <w:bottom w:val="nil"/>
              <w:right w:val="nil"/>
            </w:tcBorders>
            <w:shd w:val="clear" w:color="000000" w:fill="FFFFFF"/>
            <w:noWrap/>
            <w:vAlign w:val="bottom"/>
            <w:hideMark/>
          </w:tcPr>
          <w:p>
            <w:pPr>
              <w:rPr>
                <w:rFonts w:ascii="Arial" w:eastAsia="Times New Roman" w:hAnsi="Arial" w:cs="Arial"/>
                <w:noProof/>
                <w:sz w:val="18"/>
                <w:szCs w:val="18"/>
                <w:lang w:val="en-IE" w:eastAsia="en-IE"/>
              </w:rPr>
            </w:pPr>
            <w:r>
              <w:rPr>
                <w:rFonts w:ascii="Arial" w:eastAsia="Times New Roman" w:hAnsi="Arial" w:cs="Arial"/>
                <w:noProof/>
                <w:sz w:val="18"/>
                <w:szCs w:val="18"/>
                <w:lang w:val="en-IE" w:eastAsia="en-IE"/>
              </w:rPr>
              <w:t> </w:t>
            </w:r>
          </w:p>
        </w:tc>
      </w:tr>
      <w:tr>
        <w:trPr>
          <w:trHeight w:val="240"/>
        </w:trPr>
        <w:tc>
          <w:tcPr>
            <w:tcW w:w="6990" w:type="dxa"/>
            <w:gridSpan w:val="6"/>
            <w:tcBorders>
              <w:top w:val="nil"/>
              <w:left w:val="nil"/>
              <w:bottom w:val="nil"/>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Services trade EU28 with Papua New Guinea (mio €)</w:t>
            </w:r>
          </w:p>
        </w:tc>
      </w:tr>
      <w:tr>
        <w:trPr>
          <w:trHeight w:val="225"/>
        </w:trPr>
        <w:tc>
          <w:tcPr>
            <w:tcW w:w="4537" w:type="dxa"/>
            <w:tcBorders>
              <w:top w:val="single" w:sz="4" w:space="0" w:color="auto"/>
              <w:left w:val="nil"/>
              <w:bottom w:val="single" w:sz="4" w:space="0" w:color="auto"/>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67" w:type="dxa"/>
            <w:tcBorders>
              <w:top w:val="single" w:sz="4" w:space="0" w:color="auto"/>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2013</w:t>
            </w:r>
          </w:p>
        </w:tc>
        <w:tc>
          <w:tcPr>
            <w:tcW w:w="408" w:type="dxa"/>
            <w:tcBorders>
              <w:top w:val="single" w:sz="4" w:space="0" w:color="auto"/>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2014</w:t>
            </w:r>
          </w:p>
        </w:tc>
        <w:tc>
          <w:tcPr>
            <w:tcW w:w="408" w:type="dxa"/>
            <w:tcBorders>
              <w:top w:val="single" w:sz="4" w:space="0" w:color="auto"/>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2015</w:t>
            </w:r>
          </w:p>
        </w:tc>
        <w:tc>
          <w:tcPr>
            <w:tcW w:w="467" w:type="dxa"/>
            <w:tcBorders>
              <w:top w:val="single" w:sz="4" w:space="0" w:color="auto"/>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2016</w:t>
            </w:r>
          </w:p>
        </w:tc>
        <w:tc>
          <w:tcPr>
            <w:tcW w:w="703" w:type="dxa"/>
            <w:tcBorders>
              <w:top w:val="single" w:sz="4" w:space="0" w:color="auto"/>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2017</w:t>
            </w:r>
          </w:p>
        </w:tc>
      </w:tr>
      <w:tr>
        <w:trPr>
          <w:trHeight w:val="225"/>
        </w:trPr>
        <w:tc>
          <w:tcPr>
            <w:tcW w:w="4537"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Imports</w:t>
            </w:r>
          </w:p>
        </w:tc>
        <w:tc>
          <w:tcPr>
            <w:tcW w:w="467"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43</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42</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68</w:t>
            </w:r>
          </w:p>
        </w:tc>
        <w:tc>
          <w:tcPr>
            <w:tcW w:w="467"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43</w:t>
            </w:r>
          </w:p>
        </w:tc>
        <w:tc>
          <w:tcPr>
            <w:tcW w:w="703"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65</w:t>
            </w:r>
          </w:p>
        </w:tc>
      </w:tr>
      <w:tr>
        <w:trPr>
          <w:trHeight w:val="225"/>
        </w:trPr>
        <w:tc>
          <w:tcPr>
            <w:tcW w:w="4537"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Exports</w:t>
            </w:r>
          </w:p>
        </w:tc>
        <w:tc>
          <w:tcPr>
            <w:tcW w:w="467"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482</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176</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265</w:t>
            </w:r>
          </w:p>
        </w:tc>
        <w:tc>
          <w:tcPr>
            <w:tcW w:w="467"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224</w:t>
            </w:r>
          </w:p>
        </w:tc>
        <w:tc>
          <w:tcPr>
            <w:tcW w:w="703"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325</w:t>
            </w:r>
          </w:p>
        </w:tc>
      </w:tr>
      <w:tr>
        <w:trPr>
          <w:trHeight w:val="225"/>
        </w:trPr>
        <w:tc>
          <w:tcPr>
            <w:tcW w:w="4537" w:type="dxa"/>
            <w:tcBorders>
              <w:top w:val="nil"/>
              <w:left w:val="nil"/>
              <w:bottom w:val="nil"/>
              <w:right w:val="nil"/>
            </w:tcBorders>
            <w:shd w:val="clear" w:color="000000" w:fill="FFFFFF"/>
            <w:noWrap/>
            <w:vAlign w:val="bottom"/>
            <w:hideMark/>
          </w:tcPr>
          <w:p>
            <w:pPr>
              <w:rPr>
                <w:rFonts w:ascii="Tahoma" w:eastAsia="Times New Roman" w:hAnsi="Tahoma" w:cs="Tahoma"/>
                <w:noProof/>
                <w:sz w:val="16"/>
                <w:szCs w:val="16"/>
                <w:lang w:val="en-IE" w:eastAsia="en-IE"/>
              </w:rPr>
            </w:pPr>
            <w:r>
              <w:rPr>
                <w:rFonts w:ascii="Tahoma" w:eastAsia="Times New Roman" w:hAnsi="Tahoma" w:cs="Tahoma"/>
                <w:noProof/>
                <w:sz w:val="16"/>
                <w:szCs w:val="16"/>
                <w:lang w:val="en-IE" w:eastAsia="en-IE"/>
              </w:rPr>
              <w:t>Balance</w:t>
            </w:r>
          </w:p>
        </w:tc>
        <w:tc>
          <w:tcPr>
            <w:tcW w:w="467"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439</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134</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197</w:t>
            </w:r>
          </w:p>
        </w:tc>
        <w:tc>
          <w:tcPr>
            <w:tcW w:w="467"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180</w:t>
            </w:r>
          </w:p>
        </w:tc>
        <w:tc>
          <w:tcPr>
            <w:tcW w:w="703"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260</w:t>
            </w:r>
          </w:p>
        </w:tc>
      </w:tr>
      <w:tr>
        <w:trPr>
          <w:trHeight w:val="225"/>
        </w:trPr>
        <w:tc>
          <w:tcPr>
            <w:tcW w:w="4537" w:type="dxa"/>
            <w:tcBorders>
              <w:top w:val="nil"/>
              <w:left w:val="nil"/>
              <w:bottom w:val="single" w:sz="4" w:space="0" w:color="auto"/>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Total trade</w:t>
            </w:r>
          </w:p>
        </w:tc>
        <w:tc>
          <w:tcPr>
            <w:tcW w:w="467"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525</w:t>
            </w:r>
          </w:p>
        </w:tc>
        <w:tc>
          <w:tcPr>
            <w:tcW w:w="408"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217</w:t>
            </w:r>
          </w:p>
        </w:tc>
        <w:tc>
          <w:tcPr>
            <w:tcW w:w="408"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332</w:t>
            </w:r>
          </w:p>
        </w:tc>
        <w:tc>
          <w:tcPr>
            <w:tcW w:w="467"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267</w:t>
            </w:r>
          </w:p>
        </w:tc>
        <w:tc>
          <w:tcPr>
            <w:tcW w:w="703"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390</w:t>
            </w:r>
          </w:p>
        </w:tc>
      </w:tr>
      <w:tr>
        <w:trPr>
          <w:trHeight w:val="225"/>
        </w:trPr>
        <w:tc>
          <w:tcPr>
            <w:tcW w:w="4537" w:type="dxa"/>
            <w:tcBorders>
              <w:top w:val="nil"/>
              <w:left w:val="nil"/>
              <w:bottom w:val="nil"/>
              <w:right w:val="nil"/>
            </w:tcBorders>
            <w:shd w:val="clear" w:color="000000" w:fill="FFFFFF"/>
            <w:noWrap/>
            <w:hideMark/>
          </w:tcPr>
          <w:p>
            <w:pPr>
              <w:rPr>
                <w:rFonts w:ascii="Arial" w:eastAsia="Times New Roman" w:hAnsi="Arial" w:cs="Arial"/>
                <w:noProof/>
                <w:sz w:val="12"/>
                <w:szCs w:val="12"/>
                <w:lang w:val="en-IE" w:eastAsia="en-IE"/>
              </w:rPr>
            </w:pPr>
            <w:r>
              <w:rPr>
                <w:rFonts w:ascii="Arial" w:eastAsia="Times New Roman" w:hAnsi="Arial" w:cs="Arial"/>
                <w:noProof/>
                <w:sz w:val="12"/>
                <w:szCs w:val="12"/>
                <w:lang w:val="en-IE" w:eastAsia="en-IE"/>
              </w:rPr>
              <w:t>Source Trade G2 Statistics/ISDB from Eurostat BOP statistics</w:t>
            </w:r>
          </w:p>
        </w:tc>
        <w:tc>
          <w:tcPr>
            <w:tcW w:w="467" w:type="dxa"/>
            <w:tcBorders>
              <w:top w:val="nil"/>
              <w:left w:val="nil"/>
              <w:bottom w:val="nil"/>
              <w:right w:val="nil"/>
            </w:tcBorders>
            <w:shd w:val="clear" w:color="000000" w:fill="FFFFFF"/>
            <w:noWrap/>
            <w:hideMark/>
          </w:tcPr>
          <w:p>
            <w:pPr>
              <w:rPr>
                <w:rFonts w:ascii="Arial" w:eastAsia="Times New Roman" w:hAnsi="Arial" w:cs="Arial"/>
                <w:noProof/>
                <w:sz w:val="12"/>
                <w:szCs w:val="12"/>
                <w:lang w:val="en-IE" w:eastAsia="en-IE"/>
              </w:rPr>
            </w:pPr>
            <w:r>
              <w:rPr>
                <w:rFonts w:ascii="Arial" w:eastAsia="Times New Roman" w:hAnsi="Arial" w:cs="Arial"/>
                <w:noProof/>
                <w:sz w:val="12"/>
                <w:szCs w:val="12"/>
                <w:lang w:val="en-IE" w:eastAsia="en-IE"/>
              </w:rPr>
              <w:t> </w:t>
            </w:r>
          </w:p>
        </w:tc>
        <w:tc>
          <w:tcPr>
            <w:tcW w:w="408"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703"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r>
      <w:tr>
        <w:trPr>
          <w:trHeight w:val="225"/>
        </w:trPr>
        <w:tc>
          <w:tcPr>
            <w:tcW w:w="6990" w:type="dxa"/>
            <w:gridSpan w:val="6"/>
            <w:tcBorders>
              <w:top w:val="nil"/>
              <w:left w:val="nil"/>
              <w:bottom w:val="nil"/>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FDI EU28 with Papua New Guinea (mio €)</w:t>
            </w:r>
          </w:p>
        </w:tc>
      </w:tr>
      <w:tr>
        <w:trPr>
          <w:trHeight w:val="225"/>
        </w:trPr>
        <w:tc>
          <w:tcPr>
            <w:tcW w:w="4537" w:type="dxa"/>
            <w:tcBorders>
              <w:top w:val="single" w:sz="4" w:space="0" w:color="auto"/>
              <w:left w:val="nil"/>
              <w:bottom w:val="single" w:sz="4" w:space="0" w:color="auto"/>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67" w:type="dxa"/>
            <w:tcBorders>
              <w:top w:val="single" w:sz="4" w:space="0" w:color="auto"/>
              <w:left w:val="nil"/>
              <w:bottom w:val="single" w:sz="4" w:space="0" w:color="auto"/>
              <w:right w:val="nil"/>
            </w:tcBorders>
            <w:shd w:val="clear" w:color="000000" w:fill="FFFFFF"/>
            <w:noWrap/>
            <w:vAlign w:val="bottom"/>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2013</w:t>
            </w:r>
          </w:p>
        </w:tc>
        <w:tc>
          <w:tcPr>
            <w:tcW w:w="408" w:type="dxa"/>
            <w:tcBorders>
              <w:top w:val="single" w:sz="4" w:space="0" w:color="auto"/>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2014</w:t>
            </w:r>
          </w:p>
        </w:tc>
        <w:tc>
          <w:tcPr>
            <w:tcW w:w="408" w:type="dxa"/>
            <w:tcBorders>
              <w:top w:val="single" w:sz="4" w:space="0" w:color="auto"/>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2015</w:t>
            </w:r>
          </w:p>
        </w:tc>
        <w:tc>
          <w:tcPr>
            <w:tcW w:w="467" w:type="dxa"/>
            <w:tcBorders>
              <w:top w:val="single" w:sz="4" w:space="0" w:color="auto"/>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2016</w:t>
            </w:r>
          </w:p>
        </w:tc>
        <w:tc>
          <w:tcPr>
            <w:tcW w:w="703" w:type="dxa"/>
            <w:tcBorders>
              <w:top w:val="single" w:sz="4" w:space="0" w:color="auto"/>
              <w:left w:val="nil"/>
              <w:bottom w:val="single" w:sz="4" w:space="0" w:color="auto"/>
              <w:right w:val="nil"/>
            </w:tcBorders>
            <w:shd w:val="clear" w:color="000000" w:fill="FFFFFF"/>
            <w:noWrap/>
            <w:vAlign w:val="center"/>
            <w:hideMark/>
          </w:tcPr>
          <w:p>
            <w:pPr>
              <w:jc w:val="center"/>
              <w:rPr>
                <w:rFonts w:ascii="Arial" w:eastAsia="Times New Roman" w:hAnsi="Arial" w:cs="Arial"/>
                <w:b/>
                <w:bCs/>
                <w:noProof/>
                <w:sz w:val="16"/>
                <w:szCs w:val="16"/>
                <w:lang w:val="en-IE" w:eastAsia="en-IE"/>
              </w:rPr>
            </w:pPr>
            <w:r>
              <w:rPr>
                <w:rFonts w:ascii="Arial" w:eastAsia="Times New Roman" w:hAnsi="Arial" w:cs="Arial"/>
                <w:b/>
                <w:bCs/>
                <w:noProof/>
                <w:sz w:val="16"/>
                <w:szCs w:val="16"/>
                <w:lang w:val="en-IE" w:eastAsia="en-IE"/>
              </w:rPr>
              <w:t>2017</w:t>
            </w:r>
          </w:p>
        </w:tc>
      </w:tr>
      <w:tr>
        <w:trPr>
          <w:trHeight w:val="225"/>
        </w:trPr>
        <w:tc>
          <w:tcPr>
            <w:tcW w:w="6990" w:type="dxa"/>
            <w:gridSpan w:val="6"/>
            <w:tcBorders>
              <w:top w:val="nil"/>
              <w:left w:val="nil"/>
              <w:bottom w:val="nil"/>
              <w:right w:val="nil"/>
            </w:tcBorders>
            <w:shd w:val="clear" w:color="000000" w:fill="FFFFFF"/>
            <w:noWrap/>
            <w:vAlign w:val="center"/>
            <w:hideMark/>
          </w:tcPr>
          <w:p>
            <w:pPr>
              <w:jc w:val="center"/>
              <w:rPr>
                <w:rFonts w:ascii="Arial" w:eastAsia="Times New Roman" w:hAnsi="Arial" w:cs="Arial"/>
                <w:b/>
                <w:bCs/>
                <w:i/>
                <w:iCs/>
                <w:noProof/>
                <w:sz w:val="16"/>
                <w:szCs w:val="16"/>
                <w:lang w:val="en-IE" w:eastAsia="en-IE"/>
              </w:rPr>
            </w:pPr>
            <w:r>
              <w:rPr>
                <w:rFonts w:ascii="Arial" w:eastAsia="Times New Roman" w:hAnsi="Arial" w:cs="Arial"/>
                <w:b/>
                <w:bCs/>
                <w:i/>
                <w:iCs/>
                <w:noProof/>
                <w:sz w:val="16"/>
                <w:szCs w:val="16"/>
                <w:lang w:val="en-IE" w:eastAsia="en-IE"/>
              </w:rPr>
              <w:t>FDI Stocks</w:t>
            </w:r>
          </w:p>
        </w:tc>
      </w:tr>
      <w:tr>
        <w:trPr>
          <w:trHeight w:val="225"/>
        </w:trPr>
        <w:tc>
          <w:tcPr>
            <w:tcW w:w="4537"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Inward</w:t>
            </w:r>
          </w:p>
        </w:tc>
        <w:tc>
          <w:tcPr>
            <w:tcW w:w="467"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4</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2</w:t>
            </w:r>
          </w:p>
        </w:tc>
        <w:tc>
          <w:tcPr>
            <w:tcW w:w="467"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4</w:t>
            </w:r>
          </w:p>
        </w:tc>
        <w:tc>
          <w:tcPr>
            <w:tcW w:w="703"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13</w:t>
            </w:r>
          </w:p>
        </w:tc>
      </w:tr>
      <w:tr>
        <w:trPr>
          <w:trHeight w:val="225"/>
        </w:trPr>
        <w:tc>
          <w:tcPr>
            <w:tcW w:w="4537"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Outward</w:t>
            </w:r>
          </w:p>
        </w:tc>
        <w:tc>
          <w:tcPr>
            <w:tcW w:w="467"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660</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1.056</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1.441</w:t>
            </w:r>
          </w:p>
        </w:tc>
        <w:tc>
          <w:tcPr>
            <w:tcW w:w="467"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1.014</w:t>
            </w:r>
          </w:p>
        </w:tc>
        <w:tc>
          <w:tcPr>
            <w:tcW w:w="703"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1.680</w:t>
            </w:r>
          </w:p>
        </w:tc>
      </w:tr>
      <w:tr>
        <w:trPr>
          <w:trHeight w:val="225"/>
        </w:trPr>
        <w:tc>
          <w:tcPr>
            <w:tcW w:w="6990" w:type="dxa"/>
            <w:gridSpan w:val="6"/>
            <w:tcBorders>
              <w:top w:val="nil"/>
              <w:left w:val="nil"/>
              <w:bottom w:val="nil"/>
              <w:right w:val="nil"/>
            </w:tcBorders>
            <w:shd w:val="clear" w:color="000000" w:fill="FFFFFF"/>
            <w:noWrap/>
            <w:vAlign w:val="center"/>
            <w:hideMark/>
          </w:tcPr>
          <w:p>
            <w:pPr>
              <w:jc w:val="center"/>
              <w:rPr>
                <w:rFonts w:ascii="Arial" w:eastAsia="Times New Roman" w:hAnsi="Arial" w:cs="Arial"/>
                <w:b/>
                <w:bCs/>
                <w:i/>
                <w:iCs/>
                <w:noProof/>
                <w:sz w:val="16"/>
                <w:szCs w:val="16"/>
                <w:lang w:val="en-IE" w:eastAsia="en-IE"/>
              </w:rPr>
            </w:pPr>
            <w:r>
              <w:rPr>
                <w:rFonts w:ascii="Arial" w:eastAsia="Times New Roman" w:hAnsi="Arial" w:cs="Arial"/>
                <w:b/>
                <w:bCs/>
                <w:i/>
                <w:iCs/>
                <w:noProof/>
                <w:sz w:val="16"/>
                <w:szCs w:val="16"/>
                <w:lang w:val="en-IE" w:eastAsia="en-IE"/>
              </w:rPr>
              <w:t>FDI Flows</w:t>
            </w:r>
          </w:p>
        </w:tc>
      </w:tr>
      <w:tr>
        <w:trPr>
          <w:trHeight w:val="225"/>
        </w:trPr>
        <w:tc>
          <w:tcPr>
            <w:tcW w:w="4537"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Inward</w:t>
            </w:r>
          </w:p>
        </w:tc>
        <w:tc>
          <w:tcPr>
            <w:tcW w:w="467"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w:t>
            </w:r>
          </w:p>
        </w:tc>
        <w:tc>
          <w:tcPr>
            <w:tcW w:w="408"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w:t>
            </w:r>
          </w:p>
        </w:tc>
        <w:tc>
          <w:tcPr>
            <w:tcW w:w="467"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w:t>
            </w:r>
          </w:p>
        </w:tc>
        <w:tc>
          <w:tcPr>
            <w:tcW w:w="703" w:type="dxa"/>
            <w:tcBorders>
              <w:top w:val="nil"/>
              <w:left w:val="nil"/>
              <w:bottom w:val="nil"/>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8</w:t>
            </w:r>
          </w:p>
        </w:tc>
      </w:tr>
      <w:tr>
        <w:trPr>
          <w:trHeight w:val="225"/>
        </w:trPr>
        <w:tc>
          <w:tcPr>
            <w:tcW w:w="4537"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Outward</w:t>
            </w:r>
          </w:p>
        </w:tc>
        <w:tc>
          <w:tcPr>
            <w:tcW w:w="467"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133</w:t>
            </w:r>
          </w:p>
        </w:tc>
        <w:tc>
          <w:tcPr>
            <w:tcW w:w="408"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-87</w:t>
            </w:r>
          </w:p>
        </w:tc>
        <w:tc>
          <w:tcPr>
            <w:tcW w:w="408"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192</w:t>
            </w:r>
          </w:p>
        </w:tc>
        <w:tc>
          <w:tcPr>
            <w:tcW w:w="467"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80</w:t>
            </w:r>
          </w:p>
        </w:tc>
        <w:tc>
          <w:tcPr>
            <w:tcW w:w="703" w:type="dxa"/>
            <w:tcBorders>
              <w:top w:val="nil"/>
              <w:left w:val="nil"/>
              <w:bottom w:val="single" w:sz="4" w:space="0" w:color="auto"/>
              <w:right w:val="nil"/>
            </w:tcBorders>
            <w:shd w:val="clear" w:color="000000" w:fill="FFFFFF"/>
            <w:noWrap/>
            <w:vAlign w:val="bottom"/>
            <w:hideMark/>
          </w:tcPr>
          <w:p>
            <w:pPr>
              <w:jc w:val="right"/>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737</w:t>
            </w:r>
          </w:p>
        </w:tc>
      </w:tr>
      <w:tr>
        <w:trPr>
          <w:trHeight w:val="225"/>
        </w:trPr>
        <w:tc>
          <w:tcPr>
            <w:tcW w:w="4537" w:type="dxa"/>
            <w:tcBorders>
              <w:top w:val="single" w:sz="4" w:space="0" w:color="auto"/>
              <w:left w:val="nil"/>
              <w:bottom w:val="nil"/>
              <w:right w:val="nil"/>
            </w:tcBorders>
            <w:shd w:val="clear" w:color="000000" w:fill="FFFFFF"/>
            <w:noWrap/>
            <w:hideMark/>
          </w:tcPr>
          <w:p>
            <w:pPr>
              <w:rPr>
                <w:rFonts w:ascii="Arial" w:eastAsia="Times New Roman" w:hAnsi="Arial" w:cs="Arial"/>
                <w:noProof/>
                <w:sz w:val="12"/>
                <w:szCs w:val="12"/>
                <w:lang w:val="en-IE" w:eastAsia="en-IE"/>
              </w:rPr>
            </w:pPr>
            <w:r>
              <w:rPr>
                <w:rFonts w:ascii="Arial" w:eastAsia="Times New Roman" w:hAnsi="Arial" w:cs="Arial"/>
                <w:noProof/>
                <w:sz w:val="12"/>
                <w:szCs w:val="12"/>
                <w:lang w:val="en-IE" w:eastAsia="en-IE"/>
              </w:rPr>
              <w:t>Source Trade G2 Statistics/ISDB from Eurostat BOP statistics</w:t>
            </w:r>
          </w:p>
        </w:tc>
        <w:tc>
          <w:tcPr>
            <w:tcW w:w="467" w:type="dxa"/>
            <w:tcBorders>
              <w:top w:val="nil"/>
              <w:left w:val="nil"/>
              <w:bottom w:val="nil"/>
              <w:right w:val="nil"/>
            </w:tcBorders>
            <w:shd w:val="clear" w:color="000000" w:fill="FFFFFF"/>
            <w:noWrap/>
            <w:hideMark/>
          </w:tcPr>
          <w:p>
            <w:pPr>
              <w:rPr>
                <w:rFonts w:ascii="Arial" w:eastAsia="Times New Roman" w:hAnsi="Arial" w:cs="Arial"/>
                <w:noProof/>
                <w:sz w:val="12"/>
                <w:szCs w:val="12"/>
                <w:lang w:val="en-IE" w:eastAsia="en-IE"/>
              </w:rPr>
            </w:pPr>
            <w:r>
              <w:rPr>
                <w:rFonts w:ascii="Arial" w:eastAsia="Times New Roman" w:hAnsi="Arial" w:cs="Arial"/>
                <w:noProof/>
                <w:sz w:val="12"/>
                <w:szCs w:val="12"/>
                <w:lang w:val="en-IE" w:eastAsia="en-IE"/>
              </w:rPr>
              <w:t> </w:t>
            </w:r>
          </w:p>
        </w:tc>
        <w:tc>
          <w:tcPr>
            <w:tcW w:w="408"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08"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467"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c>
          <w:tcPr>
            <w:tcW w:w="703" w:type="dxa"/>
            <w:tcBorders>
              <w:top w:val="nil"/>
              <w:left w:val="nil"/>
              <w:bottom w:val="nil"/>
              <w:right w:val="nil"/>
            </w:tcBorders>
            <w:shd w:val="clear" w:color="000000" w:fill="FFFFFF"/>
            <w:noWrap/>
            <w:vAlign w:val="bottom"/>
            <w:hideMark/>
          </w:tcPr>
          <w:p>
            <w:pPr>
              <w:rPr>
                <w:rFonts w:ascii="Arial" w:eastAsia="Times New Roman" w:hAnsi="Arial" w:cs="Arial"/>
                <w:noProof/>
                <w:sz w:val="16"/>
                <w:szCs w:val="16"/>
                <w:lang w:val="en-IE" w:eastAsia="en-IE"/>
              </w:rPr>
            </w:pPr>
            <w:r>
              <w:rPr>
                <w:rFonts w:ascii="Arial" w:eastAsia="Times New Roman" w:hAnsi="Arial" w:cs="Arial"/>
                <w:noProof/>
                <w:sz w:val="16"/>
                <w:szCs w:val="16"/>
                <w:lang w:val="en-IE" w:eastAsia="en-IE"/>
              </w:rPr>
              <w:t> </w:t>
            </w:r>
          </w:p>
        </w:tc>
      </w:tr>
    </w:tbl>
    <w:p>
      <w:pPr>
        <w:rPr>
          <w:b/>
          <w:noProof/>
          <w:lang w:val="en-IE"/>
        </w:rPr>
      </w:pPr>
    </w:p>
    <w:sectPr>
      <w:headerReference w:type="even" r:id="rId60"/>
      <w:headerReference w:type="default" r:id="rId61"/>
      <w:footerReference w:type="even" r:id="rId62"/>
      <w:footerReference w:type="default" r:id="rId63"/>
      <w:headerReference w:type="first" r:id="rId64"/>
      <w:footerReference w:type="first" r:id="rId65"/>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EUAlbertina">
    <w:altName w:val="Calibri"/>
    <w:panose1 w:val="00000000000000000000"/>
    <w:charset w:val="00"/>
    <w:family w:val="roman"/>
    <w:notTrueType/>
    <w:pitch w:val="default"/>
    <w:sig w:usb0="00000003" w:usb1="00000000" w:usb2="00000000" w:usb3="00000000" w:csb0="00000001" w:csb1="00000000"/>
  </w:font>
  <w:font w:name="EC Square Sans Pro">
    <w:panose1 w:val="020B0506040000020004"/>
    <w:charset w:val="00"/>
    <w:family w:val="swiss"/>
    <w:pitch w:val="variable"/>
    <w:sig w:usb0="A00002BF" w:usb1="5000E0FB" w:usb2="00000000" w:usb3="00000000" w:csb0="0000019F" w:csb1="00000000"/>
  </w:font>
  <w:font w:name="Arial">
    <w:panose1 w:val="020B0604020202020204"/>
    <w:charset w:val="00"/>
    <w:family w:val="swiss"/>
    <w:pitch w:val="variable"/>
    <w:sig w:usb0="E0002AFF" w:usb1="C0007843" w:usb2="00000009" w:usb3="00000000" w:csb0="000001FF" w:csb1="00000000"/>
  </w:font>
  <w:font w:name="GillSans">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894084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id="1">
    <w:p>
      <w:pPr>
        <w:pStyle w:val="FootnoteText"/>
      </w:pPr>
      <w:r>
        <w:rPr>
          <w:rStyle w:val="FootnoteReference"/>
        </w:rPr>
        <w:footnoteRef/>
      </w:r>
      <w:r>
        <w:t xml:space="preserve">    Para. 6 (“Investment Protection”) of the Joint Interpretative Instrument on the Comprehensive Economic and Trade Agreement (CETA) between Canada and the European Union and its Member States (OJ L 11, 14 January 2017, pp. 3–8)</w:t>
      </w:r>
    </w:p>
  </w:footnote>
  <w:footnote w:id="2">
    <w:p>
      <w:pPr>
        <w:pStyle w:val="FootnoteText"/>
      </w:pPr>
      <w:r>
        <w:rPr>
          <w:rStyle w:val="FootnoteReference"/>
        </w:rPr>
        <w:footnoteRef/>
      </w:r>
      <w:r>
        <w:t xml:space="preserve">   Statement No 36 (“Statement by the Commission and the Council on investment protection and the Investment Court System (ICS)”) of the Statements entered in the Council minutes in the occasion of the signature of CETA (OJ L 11, 14 January 2017, pp. 9–22) </w:t>
      </w:r>
    </w:p>
  </w:footnote>
  <w:footnote w:id="3">
    <w:p>
      <w:pPr>
        <w:pStyle w:val="FootnoteText"/>
      </w:pPr>
      <w:r>
        <w:rPr>
          <w:rStyle w:val="FootnoteReference"/>
        </w:rPr>
        <w:footnoteRef/>
      </w:r>
      <w:r>
        <w:t xml:space="preserve"> </w:t>
      </w:r>
      <w:r>
        <w:tab/>
        <w:t xml:space="preserve">The Opinion of the Court is available at: </w:t>
      </w:r>
      <w:hyperlink r:id="rId1" w:history="1">
        <w:r>
          <w:rPr>
            <w:rStyle w:val="Hyperlink"/>
          </w:rPr>
          <w:t>http://curia.europa.eu/juris/document/document.jsf?text=&amp;docid=213502&amp;pageIndex=0&amp;doclang=EN&amp;mode=req&amp;dir=&amp;occ=first&amp;part=1&amp;cid=6942898</w:t>
        </w:r>
      </w:hyperlink>
      <w:r>
        <w:t xml:space="preserve">. </w:t>
      </w:r>
    </w:p>
  </w:footnote>
  <w:footnote w:id="4">
    <w:p>
      <w:pPr>
        <w:pStyle w:val="FootnoteText"/>
      </w:pPr>
      <w:r>
        <w:rPr>
          <w:rStyle w:val="FootnoteReference"/>
        </w:rPr>
        <w:footnoteRef/>
      </w:r>
      <w:r>
        <w:t xml:space="preserve"> Total 2018 trade in goods, imports and exports combined.</w:t>
      </w:r>
    </w:p>
  </w:footnote>
  <w:footnote w:id="5">
    <w:p>
      <w:pPr>
        <w:pStyle w:val="FootnoteText"/>
      </w:pPr>
      <w:r>
        <w:rPr>
          <w:rStyle w:val="FootnoteReference"/>
        </w:rPr>
        <w:footnoteRef/>
      </w:r>
      <w:r>
        <w:tab/>
      </w:r>
      <w:hyperlink r:id="rId2" w:history="1">
        <w:r>
          <w:rPr>
            <w:rStyle w:val="Hyperlink"/>
          </w:rPr>
          <w:t>http://trade.ec.europa.eu/doclib/press/index.cfm?id=1811</w:t>
        </w:r>
      </w:hyperlink>
      <w:r>
        <w:t xml:space="preserve"> </w:t>
      </w:r>
    </w:p>
  </w:footnote>
  <w:footnote w:id="6">
    <w:p>
      <w:pPr>
        <w:pStyle w:val="FootnoteText"/>
      </w:pPr>
      <w:r>
        <w:rPr>
          <w:rStyle w:val="FootnoteReference"/>
        </w:rPr>
        <w:footnoteRef/>
      </w:r>
      <w:r>
        <w:t xml:space="preserve"> </w:t>
      </w:r>
      <w:hyperlink r:id="rId3" w:history="1">
        <w:r>
          <w:rPr>
            <w:rStyle w:val="Hyperlink"/>
          </w:rPr>
          <w:t>http://trade.ec.europa.eu/consultations/index.cfm?consul_id=248</w:t>
        </w:r>
      </w:hyperlink>
      <w:r>
        <w:t>.</w:t>
      </w:r>
    </w:p>
    <w:p>
      <w:pPr>
        <w:pStyle w:val="FootnoteText"/>
      </w:pPr>
    </w:p>
  </w:footnote>
  <w:footnote w:id="7">
    <w:p>
      <w:pPr>
        <w:pStyle w:val="FootnoteText"/>
      </w:pPr>
      <w:r>
        <w:rPr>
          <w:rStyle w:val="FootnoteReference"/>
        </w:rPr>
        <w:footnoteRef/>
      </w:r>
      <w:r>
        <w:t xml:space="preserve"> </w:t>
      </w:r>
      <w:hyperlink r:id="rId4" w:history="1">
        <w:r>
          <w:rPr>
            <w:rStyle w:val="Hyperlink"/>
          </w:rPr>
          <w:t>https://open.canada.ca/data/en/dataset/c45c4cda-7134-4e65-8e99-5214eb07bcf3</w:t>
        </w:r>
      </w:hyperlink>
    </w:p>
    <w:p>
      <w:pPr>
        <w:pStyle w:val="FootnoteText"/>
      </w:pPr>
    </w:p>
  </w:footnote>
  <w:footnote w:id="8">
    <w:p>
      <w:pPr>
        <w:pStyle w:val="FootnoteText"/>
      </w:pPr>
      <w:r>
        <w:rPr>
          <w:rStyle w:val="FootnoteReference"/>
        </w:rPr>
        <w:footnoteRef/>
      </w:r>
      <w:r>
        <w:t xml:space="preserve"> </w:t>
      </w:r>
      <w:r>
        <w:tab/>
        <w:t>http://trade.ec.europa.eu/doclib/docs/2019/march/tradoc_157716.pdf</w:t>
      </w:r>
    </w:p>
  </w:footnote>
  <w:footnote w:id="9">
    <w:p>
      <w:pPr>
        <w:pStyle w:val="FootnoteText"/>
      </w:pPr>
      <w:r>
        <w:rPr>
          <w:rStyle w:val="FootnoteReference"/>
        </w:rPr>
        <w:footnoteRef/>
      </w:r>
      <w:r>
        <w:t xml:space="preserve"> The 2018 edition of the Implementation report covered activities over 2017-mid 2018.</w:t>
      </w:r>
    </w:p>
  </w:footnote>
  <w:footnote w:id="10">
    <w:p>
      <w:pPr>
        <w:pStyle w:val="FootnoteText"/>
      </w:pPr>
      <w:r>
        <w:rPr>
          <w:rStyle w:val="FootnoteReference"/>
        </w:rPr>
        <w:footnoteRef/>
      </w:r>
      <w:r>
        <w:t xml:space="preserve"> OJ L 338/1 2017 and OJ L148 2018</w:t>
      </w:r>
    </w:p>
  </w:footnote>
  <w:footnote w:id="11">
    <w:p>
      <w:pPr>
        <w:pStyle w:val="FootnoteText"/>
      </w:pPr>
      <w:r>
        <w:rPr>
          <w:rStyle w:val="FootnoteReference"/>
        </w:rPr>
        <w:footnoteRef/>
      </w:r>
      <w:r>
        <w:t xml:space="preserve"> </w:t>
      </w:r>
      <w:r>
        <w:rPr>
          <w:rFonts w:eastAsia="Calibri"/>
          <w:noProof/>
        </w:rPr>
        <w:t xml:space="preserve">OJ L31 of 1.2.2019 </w:t>
      </w:r>
    </w:p>
  </w:footnote>
  <w:footnote w:id="12">
    <w:p>
      <w:pPr>
        <w:pStyle w:val="FootnoteText"/>
      </w:pPr>
      <w:r>
        <w:rPr>
          <w:rStyle w:val="FootnoteReference"/>
        </w:rPr>
        <w:footnoteRef/>
      </w:r>
      <w:r>
        <w:t xml:space="preserve"> </w:t>
      </w:r>
      <w:r>
        <w:tab/>
      </w:r>
      <w:hyperlink r:id="rId5" w:history="1">
        <w:r>
          <w:rPr>
            <w:rStyle w:val="Hyperlink"/>
          </w:rPr>
          <w:t>http://trade.ec.europa.eu/doclib/docs/2018/july/tradoc_157105.PDF</w:t>
        </w:r>
      </w:hyperlink>
      <w:r>
        <w:t xml:space="preserve"> </w:t>
      </w:r>
    </w:p>
  </w:footnote>
  <w:footnote w:id="13">
    <w:p>
      <w:pPr>
        <w:pStyle w:val="FootnoteText"/>
      </w:pPr>
      <w:r>
        <w:rPr>
          <w:rStyle w:val="FootnoteReference"/>
        </w:rPr>
        <w:footnoteRef/>
      </w:r>
      <w:r>
        <w:t xml:space="preserve"> </w:t>
      </w:r>
      <w:r>
        <w:tab/>
      </w:r>
      <w:hyperlink r:id="rId6" w:history="1">
        <w:r>
          <w:rPr>
            <w:rStyle w:val="Hyperlink"/>
          </w:rPr>
          <w:t>http://trade.ec.europa.eu/doclib/docs/2018/december/tradoc_157586.pdf</w:t>
        </w:r>
      </w:hyperlink>
      <w:r>
        <w:t xml:space="preserve"> </w:t>
      </w:r>
    </w:p>
  </w:footnote>
  <w:footnote w:id="14">
    <w:p>
      <w:pPr>
        <w:pStyle w:val="FootnoteText"/>
      </w:pPr>
      <w:r>
        <w:rPr>
          <w:rStyle w:val="FootnoteReference"/>
        </w:rPr>
        <w:footnoteRef/>
      </w:r>
      <w:r>
        <w:t xml:space="preserve"> </w:t>
      </w:r>
      <w:r>
        <w:tab/>
      </w:r>
      <w:hyperlink r:id="rId7" w:history="1">
        <w:r>
          <w:rPr>
            <w:rStyle w:val="Hyperlink"/>
          </w:rPr>
          <w:t>http://trade.ec.europa.eu/doclib/docs/2019/july/tradoc_157992.pdf</w:t>
        </w:r>
      </w:hyperlink>
      <w:r>
        <w:t xml:space="preserve"> </w:t>
      </w:r>
    </w:p>
  </w:footnote>
  <w:footnote w:id="15">
    <w:p>
      <w:pPr>
        <w:pStyle w:val="FootnoteText"/>
      </w:pPr>
      <w:r>
        <w:rPr>
          <w:rStyle w:val="FootnoteReference"/>
          <w:szCs w:val="24"/>
        </w:rPr>
        <w:footnoteRef/>
      </w:r>
      <w:r>
        <w:tab/>
        <w:t>OJ L 354, 21.12.2012, p. 3.</w:t>
      </w:r>
    </w:p>
  </w:footnote>
  <w:footnote w:id="16">
    <w:p>
      <w:pPr>
        <w:pStyle w:val="FootnoteText"/>
      </w:pPr>
      <w:r>
        <w:rPr>
          <w:rStyle w:val="FootnoteReference"/>
          <w:szCs w:val="24"/>
        </w:rPr>
        <w:footnoteRef/>
      </w:r>
      <w:r>
        <w:tab/>
        <w:t>Trade Agreement with Colombia and Peru (</w:t>
      </w:r>
      <w:hyperlink r:id="rId8" w:history="1">
        <w:r>
          <w:rPr>
            <w:rStyle w:val="Hyperlink"/>
          </w:rPr>
          <w:t>http://www.consilium.europa.eu/en/docuents-publications/agreements-conventions/agreement/?aid=2011057</w:t>
        </w:r>
      </w:hyperlink>
      <w:r>
        <w:t>) and Protocol of Accession of Ecuador (</w:t>
      </w:r>
      <w:hyperlink r:id="rId9" w:history="1">
        <w:r>
          <w:rPr>
            <w:rStyle w:val="Hyperlink"/>
          </w:rPr>
          <w:t>http://www.consilium.europa.eu/en/documents-publications/treaties-agreements/agreement/?id=2016044</w:t>
        </w:r>
      </w:hyperlink>
      <w:r>
        <w:t>).</w:t>
      </w:r>
    </w:p>
  </w:footnote>
  <w:footnote w:id="17">
    <w:p>
      <w:pPr>
        <w:pStyle w:val="FootnoteText"/>
        <w:rPr>
          <w:lang w:val="en-US"/>
        </w:rPr>
      </w:pPr>
      <w:r>
        <w:rPr>
          <w:rStyle w:val="FootnoteReference"/>
          <w:sz w:val="24"/>
          <w:szCs w:val="24"/>
        </w:rPr>
        <w:footnoteRef/>
      </w:r>
      <w:r>
        <w:rPr>
          <w:lang w:val="en-US"/>
        </w:rPr>
        <w:tab/>
        <w:t>OJ L 17, 19.1.2013, p. 1.</w:t>
      </w:r>
    </w:p>
  </w:footnote>
  <w:footnote w:id="18">
    <w:p>
      <w:pPr>
        <w:pStyle w:val="FootnoteText"/>
        <w:rPr>
          <w:rFonts w:cs="Times New Roman"/>
        </w:rPr>
      </w:pPr>
      <w:r>
        <w:rPr>
          <w:rStyle w:val="FootnoteReference"/>
        </w:rPr>
        <w:footnoteRef/>
      </w:r>
      <w:r>
        <w:t xml:space="preserve"> </w:t>
      </w:r>
      <w:r>
        <w:tab/>
      </w:r>
      <w:r>
        <w:rPr>
          <w:rFonts w:cs="Times New Roman"/>
        </w:rPr>
        <w:t>Regulation (EU) No 19/2013 of the European Parliament and of the Council of 15 January 2013 implementing the bilateral safeguard clause and the stabilisation mechanism for bananas of the Trade Agreement between the European Union and its Member States, of the one part, and Colombia and Peru, of the other part as amended by Regulation (EU) 2017/540 of the European Parliament and of the Council of 15 March 2017.</w:t>
      </w:r>
    </w:p>
  </w:footnote>
  <w:footnote w:id="19">
    <w:p>
      <w:pPr>
        <w:pStyle w:val="FootnoteText"/>
        <w:rPr>
          <w:rFonts w:cs="Times New Roman"/>
        </w:rPr>
      </w:pPr>
      <w:r>
        <w:rPr>
          <w:rStyle w:val="FootnoteReference"/>
        </w:rPr>
        <w:footnoteRef/>
      </w:r>
      <w:r>
        <w:t xml:space="preserve"> </w:t>
      </w:r>
      <w:r>
        <w:rPr>
          <w:rFonts w:cs="Times New Roman"/>
        </w:rPr>
        <w:t>Commission Implementing Decision (EU) 2018/1888 of 3 December 2018 determining that a temporary suspension of the preferential customs duty pursuant to Article 15 of Regulation (EU) No 19/2013 of the European Parliament and of the Council and pursuant to Article 15 of Regulation (EU) No 20/2013 of the European Parliament and of the Council is not appropriate for imports of bananas originating in Guatemala and Peru (OJ L 308, 04.12.2018, p.49).</w:t>
      </w:r>
    </w:p>
  </w:footnote>
  <w:footnote w:id="20">
    <w:p>
      <w:pPr>
        <w:pStyle w:val="FootnoteText"/>
      </w:pPr>
      <w:r>
        <w:rPr>
          <w:rStyle w:val="FootnoteReference"/>
        </w:rPr>
        <w:footnoteRef/>
      </w:r>
      <w:r>
        <w:tab/>
        <w:t xml:space="preserve">OJ L 346, 15.12.2012, p. 3. Additional information on EU – Central America trade relations can be found at </w:t>
      </w:r>
      <w:hyperlink r:id="rId10" w:history="1">
        <w:r>
          <w:rPr>
            <w:rStyle w:val="Hyperlink"/>
          </w:rPr>
          <w:t>http://ec.europa.eu/trade/policy/countries-and-regions/regions/central-america/</w:t>
        </w:r>
      </w:hyperlink>
      <w:r>
        <w:t>.</w:t>
      </w:r>
    </w:p>
  </w:footnote>
  <w:footnote w:id="21">
    <w:p>
      <w:pPr>
        <w:pStyle w:val="FootnoteText"/>
        <w:rPr>
          <w:lang w:val="en-IE"/>
        </w:rPr>
      </w:pPr>
      <w:r>
        <w:rPr>
          <w:rStyle w:val="FootnoteReference"/>
        </w:rPr>
        <w:footnoteRef/>
      </w:r>
      <w:r>
        <w:t xml:space="preserve"> </w:t>
      </w:r>
      <w:r>
        <w:rPr>
          <w:lang w:val="en-IE"/>
        </w:rPr>
        <w:tab/>
      </w:r>
      <w:r>
        <w:t>OJ L 17, 19.1.2013, p. 13.</w:t>
      </w:r>
    </w:p>
  </w:footnote>
  <w:footnote w:id="22">
    <w:p>
      <w:pPr>
        <w:pStyle w:val="FootnoteText"/>
        <w:rPr>
          <w:rFonts w:cs="Times New Roman"/>
        </w:rPr>
      </w:pPr>
      <w:r>
        <w:rPr>
          <w:rStyle w:val="FootnoteReference"/>
        </w:rPr>
        <w:footnoteRef/>
      </w:r>
      <w:r>
        <w:t xml:space="preserve"> </w:t>
      </w:r>
      <w:r>
        <w:tab/>
      </w:r>
      <w:r>
        <w:rPr>
          <w:rFonts w:cs="Times New Roman"/>
        </w:rPr>
        <w:t>Regulation (EU) No 20/2013 of the European Parliament and of the Council of 15 January 2013 implementing the bilateral safeguard clause and the stabilisation mechanism for bananas of the Agreement establishing an Association between the European Union and its Member States, on the one hand, and Central America on the other, of the other part as amended by Regulation (EU) 2017/540 of the European Parliament and of the Council of 15 March 2017.</w:t>
      </w:r>
    </w:p>
  </w:footnote>
  <w:footnote w:id="23">
    <w:p>
      <w:pPr>
        <w:pStyle w:val="FootnoteText"/>
        <w:rPr>
          <w:rFonts w:cs="Times New Roman"/>
        </w:rPr>
      </w:pPr>
      <w:r>
        <w:rPr>
          <w:rStyle w:val="FootnoteReference"/>
        </w:rPr>
        <w:footnoteRef/>
      </w:r>
      <w:r>
        <w:t xml:space="preserve"> </w:t>
      </w:r>
      <w:r>
        <w:tab/>
      </w:r>
      <w:r>
        <w:rPr>
          <w:rFonts w:cs="Times New Roman"/>
        </w:rPr>
        <w:t>Commission Implementing Decision (EU) 2018/874 of 14 June 2018 determining that a temporary suspension of the preferential customs duty pursuant to Article 15 of Regulation (EU) No 20/2013 of the European Parliament and of the Council is not appropriate for imports of bananas originating in Nicaragua (OJ L 152, 15.06.2018, p.58) and</w:t>
      </w:r>
      <w:r>
        <w:t xml:space="preserve"> </w:t>
      </w:r>
      <w:r>
        <w:rPr>
          <w:rFonts w:cs="Times New Roman"/>
        </w:rPr>
        <w:t>Commission Implementing Decision (EU) 2018/1888 of 3 December 2018 determining that a temporary suspension of the preferential customs duty pursuant to Article 15 of Regulation (EU) No 19/2013 of the European Parliament and of the Council and pursuant to Article 15 of Regulation (EU) No 20/2013 of the European Parliament and of the Council is not appropriate for imports of bananas originating in Guatemala and Peru (OJ L 308, 04.12.2018, p.49).</w:t>
      </w:r>
    </w:p>
  </w:footnote>
  <w:footnote w:id="24">
    <w:p>
      <w:pPr>
        <w:pStyle w:val="FootnoteText"/>
      </w:pPr>
      <w:r>
        <w:rPr>
          <w:rStyle w:val="FootnoteReference"/>
        </w:rPr>
        <w:footnoteRef/>
      </w:r>
      <w:r>
        <w:t xml:space="preserve"> </w:t>
      </w:r>
      <w:r>
        <w:tab/>
        <w:t xml:space="preserve">The Commission in 2018 notified Ukraine of the amendment to the </w:t>
      </w:r>
      <w:r>
        <w:rPr>
          <w:i/>
          <w:iCs/>
        </w:rPr>
        <w:t>acquis</w:t>
      </w:r>
      <w:r>
        <w:t xml:space="preserve"> listed in Annex XVII, which in some cases also envisage revised dates for approximation. Exchanges continue with Ukraine and a formal decision to update the annex is envisaged for 2019.</w:t>
      </w:r>
    </w:p>
  </w:footnote>
  <w:footnote w:id="25">
    <w:p>
      <w:pPr>
        <w:pStyle w:val="FootnoteText"/>
      </w:pPr>
      <w:r>
        <w:rPr>
          <w:rStyle w:val="FootnoteReference"/>
        </w:rPr>
        <w:footnoteRef/>
      </w:r>
      <w:r>
        <w:t xml:space="preserve"> </w:t>
      </w:r>
      <w:r>
        <w:tab/>
      </w:r>
      <w:hyperlink r:id="rId11" w:history="1">
        <w:r>
          <w:rPr>
            <w:rStyle w:val="Hyperlink"/>
          </w:rPr>
          <w:t>https://ec.europa.eu/neighbourhood-enlargement/tenders/taiex_en</w:t>
        </w:r>
      </w:hyperlink>
      <w:r>
        <w:t xml:space="preserve"> </w:t>
      </w:r>
    </w:p>
  </w:footnote>
  <w:footnote w:id="26">
    <w:p>
      <w:pPr>
        <w:pStyle w:val="FootnoteText"/>
      </w:pPr>
      <w:r>
        <w:rPr>
          <w:rStyle w:val="FootnoteReference"/>
        </w:rPr>
        <w:footnoteRef/>
      </w:r>
      <w:r>
        <w:t xml:space="preserve"> </w:t>
      </w:r>
      <w:r>
        <w:tab/>
        <w:t>OJ L 20, 23.1.2019, p. 40.</w:t>
      </w:r>
    </w:p>
  </w:footnote>
  <w:footnote w:id="27">
    <w:p>
      <w:pPr>
        <w:pStyle w:val="FootnoteText"/>
      </w:pPr>
      <w:r>
        <w:rPr>
          <w:rStyle w:val="FootnoteReference"/>
        </w:rPr>
        <w:footnoteRef/>
      </w:r>
      <w:r>
        <w:t xml:space="preserve"> </w:t>
      </w:r>
      <w:r>
        <w:tab/>
        <w:t>The Convention of 20 May 1987 on a common transit procedure forms the basis for the movement of goods between the EU Member States, the four EFTA countries (Iceland, Norway, Liechtenstein and Switzerland), Turkey, North Macedonia and Serbia.</w:t>
      </w:r>
    </w:p>
  </w:footnote>
  <w:footnote w:id="28">
    <w:p>
      <w:pPr>
        <w:pStyle w:val="FootnoteText"/>
        <w:rPr>
          <w:lang w:val="en-US"/>
        </w:rPr>
      </w:pPr>
      <w:r>
        <w:rPr>
          <w:rStyle w:val="FootnoteReference"/>
        </w:rPr>
        <w:footnoteRef/>
      </w:r>
      <w:r>
        <w:t xml:space="preserve"> </w:t>
      </w:r>
      <w:r>
        <w:rPr>
          <w:lang w:val="en-US"/>
        </w:rPr>
        <w:t xml:space="preserve"> </w:t>
      </w:r>
      <w:r>
        <w:rPr>
          <w:lang w:val="en-US"/>
        </w:rPr>
        <w:tab/>
        <w:t>E-Bacchus is a database that, among other things, lists non-EU countries' geographical indications and names of origin protected in the EU in accordance with bilateral agreements on trade in wine concluded between the EU and the non-EU countries' concerned.</w:t>
      </w:r>
    </w:p>
  </w:footnote>
  <w:footnote w:id="29">
    <w:p>
      <w:pPr>
        <w:pStyle w:val="FootnoteText"/>
      </w:pPr>
      <w:r>
        <w:rPr>
          <w:rStyle w:val="FootnoteReference"/>
        </w:rPr>
        <w:footnoteRef/>
      </w:r>
      <w:r>
        <w:t xml:space="preserve"> </w:t>
      </w:r>
      <w:r>
        <w:tab/>
        <w:t>EU Rapid Alert System for non-food and feed products.</w:t>
      </w:r>
    </w:p>
  </w:footnote>
  <w:footnote w:id="30">
    <w:p>
      <w:pPr>
        <w:pStyle w:val="FootnoteText"/>
      </w:pPr>
      <w:r>
        <w:rPr>
          <w:rStyle w:val="FootnoteReference"/>
        </w:rPr>
        <w:footnoteRef/>
      </w:r>
      <w:r>
        <w:t xml:space="preserve"> </w:t>
      </w:r>
      <w:hyperlink r:id="rId12" w:history="1">
        <w:r>
          <w:rPr>
            <w:rStyle w:val="Hyperlink"/>
          </w:rPr>
          <w:t>http://trade.ec.europa.eu/doclib/docs/2018/november/tradoc_157498.11.2018%20final.pdf</w:t>
        </w:r>
      </w:hyperlink>
    </w:p>
  </w:footnote>
  <w:footnote w:id="31">
    <w:p>
      <w:pPr>
        <w:pStyle w:val="FootnoteText"/>
      </w:pPr>
      <w:r>
        <w:rPr>
          <w:rStyle w:val="FootnoteReference"/>
        </w:rPr>
        <w:footnoteRef/>
      </w:r>
      <w:r>
        <w:t xml:space="preserve"> </w:t>
      </w:r>
      <w:hyperlink r:id="rId13" w:history="1">
        <w:r>
          <w:rPr>
            <w:rStyle w:val="Hyperlink"/>
          </w:rPr>
          <w:t>http://trade.ec.europa.eu/doclib/docs/2018/november/tradoc_157499.11.2018%20final.pdf</w:t>
        </w:r>
      </w:hyperlink>
    </w:p>
  </w:footnote>
  <w:footnote w:id="32">
    <w:p>
      <w:pPr>
        <w:pStyle w:val="FootnoteText"/>
      </w:pPr>
      <w:r>
        <w:rPr>
          <w:rStyle w:val="FootnoteReference"/>
        </w:rPr>
        <w:footnoteRef/>
      </w:r>
      <w:r>
        <w:tab/>
        <w:t xml:space="preserve">The EU-Georgia Association Agreement was published in OJ L 261, 30.08.2014. </w:t>
      </w:r>
      <w:hyperlink r:id="rId14" w:history="1">
        <w:r>
          <w:rPr>
            <w:rStyle w:val="Hyperlink"/>
          </w:rPr>
          <w:t>http://eur-lex.europa.eu/legal-content/EN/TXT/PDF/?uri=OJ:L:2014:261:FULL&amp;from=EN</w:t>
        </w:r>
      </w:hyperlink>
      <w:r>
        <w:t xml:space="preserve"> </w:t>
      </w:r>
    </w:p>
  </w:footnote>
  <w:footnote w:id="33">
    <w:p>
      <w:pPr>
        <w:pStyle w:val="FootnoteText"/>
      </w:pPr>
      <w:r>
        <w:rPr>
          <w:rStyle w:val="FootnoteReference"/>
        </w:rPr>
        <w:footnoteRef/>
      </w:r>
      <w:r>
        <w:tab/>
        <w:t>When it comes to DCFTA application to breakaway regions Abkhazia and South-Ossetia</w:t>
      </w:r>
      <w:r>
        <w:rPr>
          <w:u w:val="single"/>
        </w:rPr>
        <w:t>,</w:t>
      </w:r>
      <w:r>
        <w:t xml:space="preserve"> the EU gives its full support to Georgia's territorial integrity, however, in accordance with Article 429 (Territorial application) of the Association Agreement, conditions enabling effective implementation of the DCFTA, and notably de facto government control over those territories, would need to be created in either Abkhazia or South Ossetia, which is not the case at present.</w:t>
      </w:r>
    </w:p>
  </w:footnote>
  <w:footnote w:id="34">
    <w:p>
      <w:pPr>
        <w:pStyle w:val="FootnoteText"/>
      </w:pPr>
      <w:r>
        <w:rPr>
          <w:rStyle w:val="FootnoteReference"/>
        </w:rPr>
        <w:footnoteRef/>
      </w:r>
      <w:r>
        <w:tab/>
        <w:t xml:space="preserve">Regulation </w:t>
      </w:r>
      <w:r>
        <w:rPr>
          <w:lang w:eastAsia="fr-BE"/>
        </w:rPr>
        <w:t>(EU) 2016/401 of the European Parliament and of the Council of 9 March 2016 implementing the anti-circumvention mechanism provided for in the Association Agreement between the European Union and the European Atomic Energy Community and their Member States, of the one part, and Georgia, of the other part (</w:t>
      </w:r>
      <w:r>
        <w:t xml:space="preserve">OJ L 77/2016). </w:t>
      </w:r>
      <w:r>
        <w:rPr>
          <w:lang w:eastAsia="fr-BE"/>
        </w:rPr>
        <w:t>According to its Article 4, the Commission shall submit annual report on implementation of this Regulation and Title IV (DCFTA) of the Association Agreement. The report shall, inter alia, include information about the application of the anti-circumvention mechanism and set out a summary of the statistics and the evolution of trade with Georgia.</w:t>
      </w:r>
    </w:p>
  </w:footnote>
  <w:footnote w:id="35">
    <w:p>
      <w:pPr>
        <w:pStyle w:val="FootnoteText"/>
      </w:pPr>
      <w:r>
        <w:rPr>
          <w:rStyle w:val="FootnoteReference"/>
        </w:rPr>
        <w:footnoteRef/>
      </w:r>
      <w:r>
        <w:tab/>
        <w:t xml:space="preserve">See </w:t>
      </w:r>
      <w:hyperlink r:id="rId15" w:history="1">
        <w:r>
          <w:rPr>
            <w:rStyle w:val="Hyperlink"/>
          </w:rPr>
          <w:t>http://www.dcfta.gov.ge/en/implementation</w:t>
        </w:r>
      </w:hyperlink>
      <w:r>
        <w:t xml:space="preserve"> </w:t>
      </w:r>
    </w:p>
  </w:footnote>
  <w:footnote w:id="36">
    <w:p>
      <w:pPr>
        <w:pStyle w:val="FootnoteText"/>
      </w:pPr>
      <w:r>
        <w:rPr>
          <w:rStyle w:val="FootnoteReference"/>
        </w:rPr>
        <w:footnoteRef/>
      </w:r>
      <w:r>
        <w:tab/>
        <w:t>OJ L 100, 19.4.2018.</w:t>
      </w:r>
    </w:p>
  </w:footnote>
  <w:footnote w:id="37">
    <w:p>
      <w:pPr>
        <w:pStyle w:val="FootnoteText"/>
      </w:pPr>
      <w:r>
        <w:rPr>
          <w:rStyle w:val="FootnoteReference"/>
        </w:rPr>
        <w:footnoteRef/>
      </w:r>
      <w:r>
        <w:tab/>
        <w:t>In accordance with the Association Agreement the first approximation stage relates to the setting up the institutional framework: executive body at central government level to be responsible for coherent policy in all areas related to public procurement and an impartial and independent body tasked with the review of decisions taken by the contracting authorities and entities as well as introduction of basic standards regulating the award of contracts.</w:t>
      </w:r>
    </w:p>
  </w:footnote>
  <w:footnote w:id="38">
    <w:p>
      <w:pPr>
        <w:pStyle w:val="FootnoteText"/>
      </w:pPr>
      <w:r>
        <w:rPr>
          <w:rStyle w:val="FootnoteReference"/>
        </w:rPr>
        <w:footnoteRef/>
      </w:r>
      <w:r>
        <w:tab/>
        <w:t xml:space="preserve">The Decision of the Joint Committee of the PEM Convention on Georgia accession was published in OJ L 329, 3.12.2016 </w:t>
      </w:r>
      <w:hyperlink r:id="rId16" w:history="1">
        <w:r>
          <w:rPr>
            <w:rFonts w:eastAsia="Times New Roman"/>
            <w:color w:val="0000FF" w:themeColor="hyperlink"/>
            <w:u w:val="single"/>
          </w:rPr>
          <w:t>http://eur-lex.europa.eu/legal-content/EN/TXT/?uri=CELEX:22016D2126</w:t>
        </w:r>
      </w:hyperlink>
    </w:p>
  </w:footnote>
  <w:footnote w:id="39">
    <w:p>
      <w:pPr>
        <w:pStyle w:val="FootnoteText"/>
      </w:pPr>
      <w:r>
        <w:rPr>
          <w:rStyle w:val="FootnoteReference"/>
        </w:rPr>
        <w:footnoteRef/>
      </w:r>
      <w:r>
        <w:tab/>
        <w:t>Council Decision (EU) 2017/2433 of 18 December 2017 on the position to be adopted on behalf of the European Union within the Customs Sub-Committee; OJ L 344, 23.12.2017, p. 21.</w:t>
      </w:r>
    </w:p>
  </w:footnote>
  <w:footnote w:id="40">
    <w:p>
      <w:pPr>
        <w:pStyle w:val="FootnoteText"/>
      </w:pPr>
      <w:r>
        <w:rPr>
          <w:rStyle w:val="FootnoteReference"/>
        </w:rPr>
        <w:footnoteRef/>
      </w:r>
      <w:r>
        <w:tab/>
        <w:t xml:space="preserve">The EU-Republic Moldova Association Agreement was published in OJ L 260, 30.08.2014. </w:t>
      </w:r>
      <w:hyperlink r:id="rId17" w:history="1">
        <w:r>
          <w:rPr>
            <w:rStyle w:val="Hyperlink"/>
          </w:rPr>
          <w:t>http://eur-lex.europa.eu/legal-content/EN/TXT/PDF/?uri=OJ:L:2014:260:FULL&amp;from=EN</w:t>
        </w:r>
      </w:hyperlink>
      <w:r>
        <w:t xml:space="preserve"> </w:t>
      </w:r>
    </w:p>
  </w:footnote>
  <w:footnote w:id="41">
    <w:p>
      <w:pPr>
        <w:pStyle w:val="FootnoteText"/>
        <w:rPr>
          <w:color w:val="000000" w:themeColor="text1"/>
        </w:rPr>
      </w:pPr>
      <w:r>
        <w:rPr>
          <w:rStyle w:val="FootnoteReference"/>
        </w:rPr>
        <w:footnoteRef/>
      </w:r>
      <w:r>
        <w:tab/>
        <w:t xml:space="preserve">Regulation (EU) No 2016/400 of the European Parliament and of the Council of 9 March 2016 implementing the safeguard clause and the anti-circumvention mechanism provided for in the Association Agreement between the European Union and the European Atomic Energy Community and their Member States, of the one part, and the Republic of Moldova, of the other part (OJ L 77, 23.03.2016). According to Article 14 of the Regulation, the Commission shall submit an annual report to the European Parliament and to the Council on the application and implementation of this Regulation and Title V of the Agreement. Furthermore, the report shall, inter alia, include information about the application </w:t>
      </w:r>
      <w:r>
        <w:rPr>
          <w:color w:val="000000"/>
        </w:rPr>
        <w:t xml:space="preserve">provisional and definitive safeguard measures, prior surveillance measures, the termination of investigations and proceedings without measures, and the application of the anti-circumvention mechanism. The report shall also set </w:t>
      </w:r>
      <w:r>
        <w:t>out a summary of the statistics and the evolution of trade with Moldova.</w:t>
      </w:r>
    </w:p>
  </w:footnote>
  <w:footnote w:id="42">
    <w:p>
      <w:pPr>
        <w:pStyle w:val="FootnoteText"/>
      </w:pPr>
      <w:r>
        <w:rPr>
          <w:rStyle w:val="FootnoteReference"/>
        </w:rPr>
        <w:footnoteRef/>
      </w:r>
      <w:r>
        <w:tab/>
        <w:t>Decision No 1/2018 of the EU-Republic of Moldova Association Council of 3 May 2018 as regards the amendment of Annex XXVI to the Association Agreement between the European Union and the European Atomic Energy Community and their Member States, of the one part, and the Republic of Moldova, of the other part [2018/984] , OJ L 176, 12.07.2018.</w:t>
      </w:r>
    </w:p>
    <w:p>
      <w:pPr>
        <w:pStyle w:val="FootnoteText"/>
        <w:ind w:firstLine="0"/>
      </w:pPr>
      <w:hyperlink r:id="rId18" w:history="1">
        <w:r>
          <w:rPr>
            <w:rStyle w:val="Hyperlink"/>
          </w:rPr>
          <w:t>https://eur-lex.europa.eu/legal-content/EN/TXT/PDF/?uri=CELEX:22018D0984</w:t>
        </w:r>
      </w:hyperlink>
      <w:r>
        <w:t xml:space="preserve"> </w:t>
      </w:r>
    </w:p>
  </w:footnote>
  <w:footnote w:id="43">
    <w:p>
      <w:pPr>
        <w:pStyle w:val="FootnoteText"/>
      </w:pPr>
      <w:r>
        <w:rPr>
          <w:rStyle w:val="FootnoteReference"/>
        </w:rPr>
        <w:footnoteRef/>
      </w:r>
      <w:r>
        <w:tab/>
      </w:r>
      <w:r>
        <w:rPr>
          <w:lang w:val="en"/>
        </w:rPr>
        <w:t>Council Decision (EU) 2017/0338 of 9 February 2018 on the position to be taken on behalf of the European Union, in the Association Committee meeting in Trade configuration established by the Association Agreement between the European Union and the European Atomic Energy Community and their Member States, of the one part, and the Republic of Moldova, of the other concerning the update of Annex XXVIII-A (Rules applicable to financial services), Annex XXVIII-B (Rules applicable to telecommunication services) and Annex XXVIII-D (Rules applicable to international maritime transport) to the Agreement.</w:t>
      </w:r>
    </w:p>
  </w:footnote>
  <w:footnote w:id="44">
    <w:p>
      <w:pPr>
        <w:pStyle w:val="FootnoteText"/>
        <w:jc w:val="left"/>
      </w:pPr>
      <w:r>
        <w:rPr>
          <w:rStyle w:val="FootnoteReference"/>
        </w:rPr>
        <w:footnoteRef/>
      </w:r>
      <w:r>
        <w:tab/>
        <w:t xml:space="preserve">Decision No 1/2018 of the EU-Moldova Association Committee in Trade configuration of 16 April 2018 giving a favourable opinion regarding the comprehensive roadmap on public procurement [2018/955], OJ L 168/10, 5.7.2018.  </w:t>
      </w:r>
      <w:hyperlink r:id="rId19" w:history="1">
        <w:r>
          <w:rPr>
            <w:rStyle w:val="Hyperlink"/>
          </w:rPr>
          <w:t>https://eur-lex.europa.eu/legal-content/EN/TXT/?toc=OJ%3AL%3A2018%3A168%3ATOC&amp;uri=uriserv%3AOJ.L_.2018.168.01.0010.01.ENG</w:t>
        </w:r>
      </w:hyperlink>
      <w:r>
        <w:t xml:space="preserve"> </w:t>
      </w:r>
    </w:p>
    <w:p>
      <w:pPr>
        <w:pStyle w:val="FootnoteText"/>
        <w:jc w:val="left"/>
      </w:pPr>
    </w:p>
  </w:footnote>
  <w:footnote w:id="45">
    <w:p>
      <w:pPr>
        <w:pStyle w:val="FootnoteText"/>
      </w:pPr>
      <w:r>
        <w:rPr>
          <w:rStyle w:val="FootnoteReference"/>
        </w:rPr>
        <w:footnoteRef/>
      </w:r>
      <w:r>
        <w:tab/>
      </w:r>
      <w:r>
        <w:rPr>
          <w:noProof/>
        </w:rPr>
        <w:t>According to the 2019 World Bank Doing Business Index, Moldova ranks as 47th out of 190 countries (down from 44</w:t>
      </w:r>
      <w:r>
        <w:rPr>
          <w:noProof/>
          <w:vertAlign w:val="superscript"/>
        </w:rPr>
        <w:t>th</w:t>
      </w:r>
      <w:r>
        <w:rPr>
          <w:noProof/>
        </w:rPr>
        <w:t xml:space="preserve"> in 2018). Corruption is widely spread which has been reflected by Transparency International in its 2017 Corruption Perceptions Index where Moldova has been ranked as 117th - out of 180 countries (+5 positions in comparison to the previous index) - with the score 33 (score 0 means highly corrupted and 100 very clean).</w:t>
      </w:r>
    </w:p>
  </w:footnote>
  <w:footnote w:id="46">
    <w:p>
      <w:pPr>
        <w:pStyle w:val="FootnoteText"/>
      </w:pPr>
      <w:r>
        <w:rPr>
          <w:rStyle w:val="FootnoteReference"/>
          <w:rFonts w:cs="Times New Roman"/>
        </w:rPr>
        <w:footnoteRef/>
      </w:r>
      <w:r>
        <w:tab/>
        <w:t>Despite what the above graph suggests, mineral fuels continuously accounted for more than 90% of Algerian exports since the entry into force of the Agreement. The discrepancy between the lines ‘EU imports’ and ‘EU imports of mineral fuels’ prior to 2009 is presumably due to a change in the reporting methods.</w:t>
      </w:r>
    </w:p>
  </w:footnote>
  <w:footnote w:id="47">
    <w:p>
      <w:pPr>
        <w:pStyle w:val="FootnoteText"/>
        <w:jc w:val="left"/>
      </w:pPr>
      <w:r>
        <w:rPr>
          <w:rStyle w:val="FootnoteReference"/>
        </w:rPr>
        <w:footnoteRef/>
      </w:r>
      <w:r>
        <w:tab/>
        <w:t>The DTF score is a measurement used by the World Bank to assess the absolute level of regulatory performance in economies over time. The higher the score, the better.</w:t>
      </w:r>
    </w:p>
  </w:footnote>
  <w:footnote w:id="48">
    <w:p>
      <w:pPr>
        <w:pStyle w:val="FootnoteText"/>
        <w:rPr>
          <w:rFonts w:cs="Times New Roman"/>
        </w:rPr>
      </w:pPr>
      <w:r>
        <w:rPr>
          <w:rStyle w:val="FootnoteReference"/>
          <w:rFonts w:cs="Times New Roman"/>
        </w:rPr>
        <w:footnoteRef/>
      </w:r>
      <w:r>
        <w:rPr>
          <w:rFonts w:cs="Times New Roman"/>
        </w:rPr>
        <w:t xml:space="preserve"> For more information see </w:t>
      </w:r>
      <w:hyperlink r:id="rId20" w:history="1">
        <w:r>
          <w:rPr>
            <w:rStyle w:val="Hyperlink"/>
            <w:rFonts w:cs="Times New Roman"/>
          </w:rPr>
          <w:t>http://www.consilium.europa.eu/en/meetings/international-ministerial-meetings/2018/05/14/algeria/</w:t>
        </w:r>
      </w:hyperlink>
      <w:r>
        <w:rPr>
          <w:rFonts w:cs="Times New Roman"/>
        </w:rPr>
        <w:t xml:space="preserve"> </w:t>
      </w:r>
    </w:p>
  </w:footnote>
  <w:footnote w:id="49">
    <w:p>
      <w:pPr>
        <w:pStyle w:val="FootnoteText"/>
      </w:pPr>
      <w:r>
        <w:rPr>
          <w:rStyle w:val="FootnoteReference"/>
        </w:rPr>
        <w:footnoteRef/>
      </w:r>
      <w:r>
        <w:tab/>
        <w:t xml:space="preserve">They can be downloaded here: </w:t>
      </w:r>
      <w:hyperlink r:id="rId21" w:history="1">
        <w:r>
          <w:rPr>
            <w:rStyle w:val="Hyperlink"/>
            <w:rFonts w:cs="Times New Roman"/>
          </w:rPr>
          <w:t>https://eeas.europa.eu/delegations/algeria/31985/les-nouvelles-priorites-du-partenariat-ue-algerie_en</w:t>
        </w:r>
      </w:hyperlink>
      <w:r>
        <w:t xml:space="preserve"> </w:t>
      </w:r>
    </w:p>
  </w:footnote>
  <w:footnote w:id="50">
    <w:p>
      <w:pPr>
        <w:pStyle w:val="FootnoteText"/>
      </w:pPr>
      <w:r>
        <w:rPr>
          <w:rStyle w:val="FootnoteReference"/>
          <w:rFonts w:cs="Times New Roman"/>
        </w:rPr>
        <w:footnoteRef/>
      </w:r>
      <w:r>
        <w:tab/>
        <w:t>See DG DEVCO for more information https://ec.europa.eu/europeaid/home_en</w:t>
      </w:r>
    </w:p>
  </w:footnote>
  <w:footnote w:id="51">
    <w:p>
      <w:pPr>
        <w:pStyle w:val="FootnoteText"/>
      </w:pPr>
      <w:r>
        <w:rPr>
          <w:rStyle w:val="FootnoteReference"/>
        </w:rPr>
        <w:footnoteRef/>
      </w:r>
      <w:r>
        <w:tab/>
        <w:t xml:space="preserve">Full statistics available here </w:t>
      </w:r>
      <w:hyperlink r:id="rId22" w:history="1">
        <w:r>
          <w:rPr>
            <w:rStyle w:val="Hyperlink"/>
          </w:rPr>
          <w:t>http://trade.ec.europa.eu/doclib/docs/2006/september/tradoc_122000.pdf</w:t>
        </w:r>
      </w:hyperlink>
      <w:r>
        <w:t xml:space="preserve"> </w:t>
      </w:r>
    </w:p>
  </w:footnote>
  <w:footnote w:id="52">
    <w:p>
      <w:pPr>
        <w:pStyle w:val="FootnoteText"/>
      </w:pPr>
      <w:r>
        <w:rPr>
          <w:rStyle w:val="FootnoteReference"/>
        </w:rPr>
        <w:footnoteRef/>
      </w:r>
      <w:r>
        <w:tab/>
        <w:t xml:space="preserve">The DTF score is a measurement used by the World Bank to assess the absolute level of regulatory performance in economies over time. </w:t>
      </w:r>
    </w:p>
  </w:footnote>
  <w:footnote w:id="53">
    <w:p>
      <w:pPr>
        <w:pStyle w:val="FootnoteText"/>
        <w:rPr>
          <w:rFonts w:cs="Times New Roman"/>
        </w:rPr>
      </w:pPr>
      <w:r>
        <w:rPr>
          <w:rStyle w:val="FootnoteReference"/>
          <w:rFonts w:cs="Times New Roman"/>
        </w:rPr>
        <w:footnoteRef/>
      </w:r>
      <w:r>
        <w:rPr>
          <w:rFonts w:cs="Times New Roman"/>
        </w:rPr>
        <w:tab/>
        <w:t xml:space="preserve">See </w:t>
      </w:r>
      <w:hyperlink r:id="rId23" w:history="1">
        <w:r>
          <w:rPr>
            <w:rStyle w:val="Hyperlink"/>
          </w:rPr>
          <w:t>http://www.consilium.europa.eu/media/23942/eu-egypt.pdf</w:t>
        </w:r>
      </w:hyperlink>
      <w:r>
        <w:rPr>
          <w:rFonts w:cs="Times New Roman"/>
        </w:rPr>
        <w:t xml:space="preserve"> </w:t>
      </w:r>
    </w:p>
  </w:footnote>
  <w:footnote w:id="54">
    <w:p>
      <w:pPr>
        <w:pStyle w:val="FootnoteText"/>
      </w:pPr>
      <w:r>
        <w:rPr>
          <w:rStyle w:val="FootnoteReference"/>
        </w:rPr>
        <w:footnoteRef/>
      </w:r>
      <w:r>
        <w:tab/>
      </w:r>
      <w:r>
        <w:rPr>
          <w:noProof/>
        </w:rPr>
        <w:t>This programme will end in 2020.</w:t>
      </w:r>
    </w:p>
  </w:footnote>
  <w:footnote w:id="55">
    <w:p>
      <w:pPr>
        <w:pStyle w:val="FootnoteText"/>
        <w:rPr>
          <w:rFonts w:cs="Times New Roman"/>
        </w:rPr>
      </w:pPr>
      <w:r>
        <w:rPr>
          <w:rStyle w:val="FootnoteReference"/>
          <w:rFonts w:cs="Times New Roman"/>
        </w:rPr>
        <w:footnoteRef/>
      </w:r>
      <w:r>
        <w:rPr>
          <w:rFonts w:cs="Times New Roman"/>
        </w:rPr>
        <w:tab/>
        <w:t xml:space="preserve">See: </w:t>
      </w:r>
      <w:hyperlink r:id="rId24" w:history="1">
        <w:r>
          <w:rPr>
            <w:rStyle w:val="Hyperlink"/>
          </w:rPr>
          <w:t>http://www.consilium.europa.eu/media/23942/eu-egypt.pdf</w:t>
        </w:r>
      </w:hyperlink>
      <w:r>
        <w:rPr>
          <w:rFonts w:cs="Times New Roman"/>
        </w:rPr>
        <w:t xml:space="preserve"> </w:t>
      </w:r>
    </w:p>
  </w:footnote>
  <w:footnote w:id="56">
    <w:p>
      <w:pPr>
        <w:pStyle w:val="FootnoteText"/>
      </w:pPr>
      <w:r>
        <w:rPr>
          <w:rStyle w:val="FootnoteReference"/>
          <w:rFonts w:cs="Times New Roman"/>
        </w:rPr>
        <w:footnoteRef/>
      </w:r>
      <w:r>
        <w:tab/>
        <w:t>Both Eurostat and IMF data was used for investment figures.</w:t>
      </w:r>
    </w:p>
  </w:footnote>
  <w:footnote w:id="57">
    <w:p>
      <w:pPr>
        <w:pStyle w:val="FootnoteText"/>
      </w:pPr>
      <w:r>
        <w:rPr>
          <w:rStyle w:val="FootnoteReference"/>
        </w:rPr>
        <w:footnoteRef/>
      </w:r>
      <w:r>
        <w:tab/>
        <w:t xml:space="preserve">The DTF score is a measurement used by the World Bank to assess the absolute level of regulatory performance in economies over time. </w:t>
      </w:r>
      <w:r>
        <w:br/>
        <w:t>The higher the score, the better.</w:t>
      </w:r>
    </w:p>
  </w:footnote>
  <w:footnote w:id="58">
    <w:p>
      <w:pPr>
        <w:pStyle w:val="FootnoteText"/>
      </w:pPr>
      <w:r>
        <w:rPr>
          <w:rStyle w:val="FootnoteReference"/>
        </w:rPr>
        <w:footnoteRef/>
      </w:r>
      <w:r>
        <w:t xml:space="preserve"> </w:t>
      </w:r>
      <w:hyperlink r:id="rId25" w:history="1">
        <w:r>
          <w:rPr>
            <w:rStyle w:val="Hyperlink"/>
          </w:rPr>
          <w:t>https://trade.ec.europa.eu/doclib/docs/2018/december/tradoc_157588.pdf</w:t>
        </w:r>
      </w:hyperlink>
      <w:r>
        <w:t xml:space="preserve"> </w:t>
      </w:r>
    </w:p>
  </w:footnote>
  <w:footnote w:id="59">
    <w:p>
      <w:pPr>
        <w:pStyle w:val="FootnoteText"/>
      </w:pPr>
      <w:r>
        <w:rPr>
          <w:rStyle w:val="FootnoteReference"/>
          <w:rFonts w:cs="Times New Roman"/>
        </w:rPr>
        <w:footnoteRef/>
      </w:r>
      <w:r>
        <w:tab/>
        <w:t>The DTF score is a measurement used by the World Bank to assess the absolute level of regulatory performance in economies over time. The higher score the better.</w:t>
      </w:r>
    </w:p>
  </w:footnote>
  <w:footnote w:id="60">
    <w:p>
      <w:pPr>
        <w:pStyle w:val="FootnoteText"/>
      </w:pPr>
      <w:r>
        <w:rPr>
          <w:rStyle w:val="FootnoteReference"/>
        </w:rPr>
        <w:footnoteRef/>
      </w:r>
      <w:r>
        <w:t xml:space="preserve"> </w:t>
      </w:r>
      <w:r>
        <w:tab/>
        <w:t xml:space="preserve">According to UNHCR data, see </w:t>
      </w:r>
      <w:hyperlink r:id="rId26" w:history="1">
        <w:r>
          <w:rPr>
            <w:rStyle w:val="Hyperlink"/>
          </w:rPr>
          <w:t>http://data2.unhcr.org/en/situations/syria/location/36</w:t>
        </w:r>
      </w:hyperlink>
      <w:r>
        <w:t xml:space="preserve"> </w:t>
      </w:r>
    </w:p>
  </w:footnote>
  <w:footnote w:id="61">
    <w:p>
      <w:pPr>
        <w:pStyle w:val="FootnoteText"/>
        <w:rPr>
          <w:rFonts w:cs="Times New Roman"/>
        </w:rPr>
      </w:pPr>
      <w:r>
        <w:rPr>
          <w:rStyle w:val="FootnoteReference"/>
          <w:rFonts w:cs="Times New Roman"/>
        </w:rPr>
        <w:footnoteRef/>
      </w:r>
      <w:r>
        <w:rPr>
          <w:rFonts w:cs="Times New Roman"/>
        </w:rPr>
        <w:tab/>
        <w:t xml:space="preserve">See </w:t>
      </w:r>
      <w:hyperlink r:id="rId27" w:history="1">
        <w:r>
          <w:rPr>
            <w:rStyle w:val="Hyperlink"/>
            <w:rFonts w:cs="Times New Roman"/>
          </w:rPr>
          <w:t>http://www.consilium.europa.eu/en/press/press-releases/2016/12/20/eu-jordan-partnership-priorities-and-compact/</w:t>
        </w:r>
      </w:hyperlink>
      <w:r>
        <w:rPr>
          <w:rFonts w:cs="Times New Roman"/>
        </w:rPr>
        <w:t xml:space="preserve"> </w:t>
      </w:r>
    </w:p>
  </w:footnote>
  <w:footnote w:id="62">
    <w:p>
      <w:pPr>
        <w:pStyle w:val="FootnoteText"/>
      </w:pPr>
      <w:r>
        <w:rPr>
          <w:rStyle w:val="FootnoteReference"/>
          <w:rFonts w:cs="Times New Roman"/>
        </w:rPr>
        <w:footnoteRef/>
      </w:r>
      <w:r>
        <w:tab/>
        <w:t>See http://data.consilium.europa.eu/doc/document/ST-12384-2016-ADD-1/en/pdf</w:t>
      </w:r>
    </w:p>
  </w:footnote>
  <w:footnote w:id="63">
    <w:p>
      <w:pPr>
        <w:pStyle w:val="FootnoteText"/>
        <w:rPr>
          <w:rFonts w:cs="Times New Roman"/>
        </w:rPr>
      </w:pPr>
      <w:r>
        <w:rPr>
          <w:rStyle w:val="FootnoteReference"/>
          <w:rFonts w:cs="Times New Roman"/>
        </w:rPr>
        <w:footnoteRef/>
      </w:r>
      <w:r>
        <w:rPr>
          <w:rFonts w:cs="Times New Roman"/>
        </w:rPr>
        <w:tab/>
        <w:t xml:space="preserve">For more information see </w:t>
      </w:r>
      <w:hyperlink r:id="rId28" w:history="1">
        <w:r>
          <w:rPr>
            <w:rStyle w:val="Hyperlink"/>
            <w:rFonts w:cs="Times New Roman"/>
          </w:rPr>
          <w:t>https://ec.europa.eu/taxation_customs/business/calculation-customs-duties/rules-origin/general-aspects-preferential-origin/arrangements-list/paneuromediterranean-cumulation-pem-convention_en</w:t>
        </w:r>
      </w:hyperlink>
      <w:r>
        <w:rPr>
          <w:rFonts w:cs="Times New Roman"/>
        </w:rPr>
        <w:t xml:space="preserve"> </w:t>
      </w:r>
    </w:p>
  </w:footnote>
  <w:footnote w:id="64">
    <w:p>
      <w:pPr>
        <w:pStyle w:val="FootnoteText"/>
        <w:rPr>
          <w:rFonts w:cs="Times New Roman"/>
        </w:rPr>
      </w:pPr>
      <w:r>
        <w:rPr>
          <w:rStyle w:val="FootnoteReference"/>
          <w:rFonts w:cs="Times New Roman"/>
        </w:rPr>
        <w:footnoteRef/>
      </w:r>
      <w:r>
        <w:rPr>
          <w:rFonts w:cs="Times New Roman"/>
        </w:rPr>
        <w:tab/>
      </w:r>
      <w:r>
        <w:t>The DTF score is a measurement used by the World Bank to assess the absolute level of regulatory performance in economies over time. The higher the score, the better.</w:t>
      </w:r>
    </w:p>
  </w:footnote>
  <w:footnote w:id="65">
    <w:p>
      <w:pPr>
        <w:pStyle w:val="FootnoteText"/>
      </w:pPr>
      <w:r>
        <w:rPr>
          <w:rStyle w:val="FootnoteReference"/>
          <w:rFonts w:cs="Times New Roman"/>
        </w:rPr>
        <w:footnoteRef/>
      </w:r>
      <w:r>
        <w:tab/>
        <w:t>The Agadir Agreement for establishing a Mediterranean Free Trade Area was signed on 25 February 2004 and entered into force in 2007. Agadir member countries include Morocco, Tunisia, Egypt and Jordan.</w:t>
      </w:r>
    </w:p>
  </w:footnote>
  <w:footnote w:id="66">
    <w:p>
      <w:pPr>
        <w:pStyle w:val="FootnoteText"/>
        <w:rPr>
          <w:rFonts w:cs="Times New Roman"/>
        </w:rPr>
      </w:pPr>
      <w:r>
        <w:rPr>
          <w:rStyle w:val="FootnoteReference"/>
          <w:rFonts w:cs="Times New Roman"/>
        </w:rPr>
        <w:footnoteRef/>
      </w:r>
      <w:r>
        <w:rPr>
          <w:rFonts w:cs="Times New Roman"/>
        </w:rPr>
        <w:tab/>
        <w:t xml:space="preserve">See in the following paragraph. For more information see </w:t>
      </w:r>
      <w:hyperlink r:id="rId29" w:history="1">
        <w:r>
          <w:rPr>
            <w:rStyle w:val="Hyperlink"/>
            <w:rFonts w:cs="Times New Roman"/>
          </w:rPr>
          <w:t>https://eeas.europa.eu/headquarters/headquarters-Homepage/26716/european-union-and-lebanon-set-joint-working-group-trade-and-investment_en</w:t>
        </w:r>
      </w:hyperlink>
      <w:r>
        <w:rPr>
          <w:rFonts w:cs="Times New Roman"/>
        </w:rPr>
        <w:t xml:space="preserve"> </w:t>
      </w:r>
    </w:p>
  </w:footnote>
  <w:footnote w:id="67">
    <w:p>
      <w:pPr>
        <w:pStyle w:val="FootnoteText"/>
        <w:rPr>
          <w:lang w:val="fr-BE"/>
        </w:rPr>
      </w:pPr>
      <w:r>
        <w:rPr>
          <w:rStyle w:val="FootnoteReference"/>
        </w:rPr>
        <w:footnoteRef/>
      </w:r>
      <w:r>
        <w:rPr>
          <w:lang w:val="fr-BE"/>
        </w:rPr>
        <w:tab/>
      </w:r>
      <w:r>
        <w:rPr>
          <w:lang w:val="fr-FR"/>
        </w:rPr>
        <w:t>Conférence économique pour le développement, par les réformes et avec les entreprises</w:t>
      </w:r>
    </w:p>
  </w:footnote>
  <w:footnote w:id="68">
    <w:p>
      <w:pPr>
        <w:pStyle w:val="FootnoteText"/>
      </w:pPr>
      <w:r>
        <w:rPr>
          <w:rStyle w:val="FootnoteReference"/>
          <w:rFonts w:cs="Times New Roman"/>
        </w:rPr>
        <w:footnoteRef/>
      </w:r>
      <w:r>
        <w:tab/>
        <w:t xml:space="preserve">More information can be found here: </w:t>
      </w:r>
      <w:hyperlink r:id="rId30" w:history="1">
        <w:r>
          <w:rPr>
            <w:rStyle w:val="Hyperlink"/>
            <w:rFonts w:cs="Times New Roman"/>
          </w:rPr>
          <w:t>https://ec.europa.eu/neighbourhood-enlargement/tenders/taiex_en</w:t>
        </w:r>
      </w:hyperlink>
      <w:r>
        <w:t xml:space="preserve"> </w:t>
      </w:r>
    </w:p>
  </w:footnote>
  <w:footnote w:id="69">
    <w:p>
      <w:pPr>
        <w:pStyle w:val="FootnoteText"/>
      </w:pPr>
      <w:r>
        <w:rPr>
          <w:rStyle w:val="FootnoteReference"/>
          <w:rFonts w:cs="Times New Roman"/>
        </w:rPr>
        <w:footnoteRef/>
      </w:r>
      <w:r>
        <w:tab/>
        <w:t xml:space="preserve">The DTF score is a measurement used by the World Bank to assess the absolute score of regulatory performance in economies over time. </w:t>
      </w:r>
    </w:p>
  </w:footnote>
  <w:footnote w:id="70">
    <w:p>
      <w:pPr>
        <w:pStyle w:val="FootnoteText"/>
      </w:pPr>
      <w:r>
        <w:rPr>
          <w:rStyle w:val="FootnoteReference"/>
          <w:rFonts w:cs="Times New Roman"/>
        </w:rPr>
        <w:footnoteRef/>
      </w:r>
      <w:r>
        <w:tab/>
        <w:t>This designation shall not be construed as recognition of a State of Palestine and is without prejudice to the individual positions of EU Member States on this issue</w:t>
      </w:r>
    </w:p>
  </w:footnote>
  <w:footnote w:id="71">
    <w:p>
      <w:pPr>
        <w:pStyle w:val="FootnoteText"/>
      </w:pPr>
      <w:r>
        <w:rPr>
          <w:rStyle w:val="FootnoteReference"/>
        </w:rPr>
        <w:footnoteRef/>
      </w:r>
      <w:r>
        <w:tab/>
      </w:r>
      <w:r>
        <w:rPr>
          <w:rFonts w:cs="Times New Roman"/>
        </w:rPr>
        <w:t>More information can be found at</w:t>
      </w:r>
      <w:r>
        <w:rPr>
          <w:rFonts w:cs="Times New Roman"/>
          <w:sz w:val="16"/>
          <w:szCs w:val="16"/>
        </w:rPr>
        <w:t>:</w:t>
      </w:r>
      <w:r>
        <w:t xml:space="preserve"> </w:t>
      </w:r>
      <w:hyperlink r:id="rId31" w:history="1">
        <w:r>
          <w:rPr>
            <w:rStyle w:val="Hyperlink"/>
          </w:rPr>
          <w:t>https://ec.europa.eu/taxation_customs/business/calculation-customs-duties/rules-origin/general-aspects-preferential-origin/arrangements-list/paneuromediterranean-cumulation-pem-convention_en</w:t>
        </w:r>
      </w:hyperlink>
      <w:r>
        <w:t xml:space="preserve"> </w:t>
      </w:r>
    </w:p>
  </w:footnote>
  <w:footnote w:id="72">
    <w:p>
      <w:pPr>
        <w:pStyle w:val="FootnoteText"/>
      </w:pPr>
      <w:r>
        <w:rPr>
          <w:rStyle w:val="FootnoteReference"/>
        </w:rPr>
        <w:footnoteRef/>
      </w:r>
      <w:r>
        <w:tab/>
      </w:r>
      <w:r>
        <w:rPr>
          <w:rFonts w:cs="Times New Roman"/>
        </w:rPr>
        <w:t xml:space="preserve">The DTF score is a measurement used by the World Bank to assess the absolute score of regulatory performance in economies over time. </w:t>
      </w:r>
      <w:r>
        <w:t>The higher the score, the better.</w:t>
      </w:r>
    </w:p>
  </w:footnote>
  <w:footnote w:id="73">
    <w:p>
      <w:pPr>
        <w:pStyle w:val="FootnoteText"/>
        <w:rPr>
          <w:rFonts w:cs="Times New Roman"/>
        </w:rPr>
      </w:pPr>
      <w:r>
        <w:rPr>
          <w:rStyle w:val="FootnoteReference"/>
          <w:rFonts w:cs="Times New Roman"/>
        </w:rPr>
        <w:footnoteRef/>
      </w:r>
      <w:r>
        <w:rPr>
          <w:rFonts w:cs="Times New Roman"/>
        </w:rPr>
        <w:tab/>
        <w:t xml:space="preserve">The Agadir Agreement for establishing a Mediterranean Free Trade Area was signed on 25 February 2004 and entered into force in 2007. Agadir member countries include Morocco, Tunisia, Egypt and Jordan. </w:t>
      </w:r>
    </w:p>
  </w:footnote>
  <w:footnote w:id="74">
    <w:p>
      <w:pPr>
        <w:pStyle w:val="FootnoteText"/>
        <w:rPr>
          <w:rFonts w:cs="Times New Roman"/>
        </w:rPr>
      </w:pPr>
      <w:r>
        <w:rPr>
          <w:rStyle w:val="FootnoteReference"/>
          <w:rFonts w:cs="Times New Roman"/>
        </w:rPr>
        <w:footnoteRef/>
      </w:r>
      <w:r>
        <w:rPr>
          <w:rFonts w:cs="Times New Roman"/>
        </w:rPr>
        <w:tab/>
        <w:t>For more information see http://trade.ec.europa.eu/doclib/docs/2018/june/tradoc_156946.pdf</w:t>
      </w:r>
    </w:p>
  </w:footnote>
  <w:footnote w:id="75">
    <w:p>
      <w:pPr>
        <w:pStyle w:val="FootnoteText"/>
      </w:pPr>
      <w:r>
        <w:rPr>
          <w:rStyle w:val="FootnoteReference"/>
        </w:rPr>
        <w:footnoteRef/>
      </w:r>
      <w:r>
        <w:tab/>
        <w:t xml:space="preserve">For more information see </w:t>
      </w:r>
      <w:hyperlink r:id="rId32" w:history="1">
        <w:r>
          <w:rPr>
            <w:rStyle w:val="Hyperlink"/>
          </w:rPr>
          <w:t>http://trade.ec.europa.eu/doclib/docs/2006/september/tradoc_111593.pdf</w:t>
        </w:r>
      </w:hyperlink>
      <w:r>
        <w:t>.</w:t>
      </w:r>
    </w:p>
  </w:footnote>
  <w:footnote w:id="76">
    <w:p>
      <w:pPr>
        <w:pStyle w:val="FootnoteText"/>
        <w:rPr>
          <w:lang w:val="en-US"/>
        </w:rPr>
      </w:pPr>
      <w:r>
        <w:rPr>
          <w:rStyle w:val="FootnoteReference"/>
        </w:rPr>
        <w:footnoteRef/>
      </w:r>
      <w:r>
        <w:tab/>
        <w:t xml:space="preserve">Tunisian </w:t>
      </w:r>
      <w:r>
        <w:rPr>
          <w:lang w:val="en-US"/>
        </w:rPr>
        <w:t>Foreign Investment Promotion Agency, 2017.</w:t>
      </w:r>
    </w:p>
  </w:footnote>
  <w:footnote w:id="77">
    <w:p>
      <w:pPr>
        <w:pStyle w:val="FootnoteText"/>
      </w:pPr>
      <w:r>
        <w:rPr>
          <w:rStyle w:val="FootnoteReference"/>
        </w:rPr>
        <w:footnoteRef/>
      </w:r>
      <w:r>
        <w:tab/>
        <w:t xml:space="preserve">The DTF score is a measurement used by the World Bank to assess the absolute level of regulatory performance in economies over time. </w:t>
      </w:r>
    </w:p>
  </w:footnote>
  <w:footnote w:id="78">
    <w:p>
      <w:pPr>
        <w:pStyle w:val="FootnoteText"/>
      </w:pPr>
      <w:r>
        <w:rPr>
          <w:rStyle w:val="FootnoteReference"/>
        </w:rPr>
        <w:footnoteRef/>
      </w:r>
      <w:r>
        <w:tab/>
      </w:r>
      <w:hyperlink r:id="rId33" w:history="1">
        <w:r>
          <w:rPr>
            <w:rStyle w:val="Hyperlink"/>
          </w:rPr>
          <w:t>http://europa.eu/rapid/press-release_IP-16-3192_en.htm</w:t>
        </w:r>
      </w:hyperlink>
      <w:r>
        <w:t xml:space="preserve"> </w:t>
      </w:r>
    </w:p>
  </w:footnote>
  <w:footnote w:id="79">
    <w:p>
      <w:pPr>
        <w:pStyle w:val="FootnoteText"/>
      </w:pPr>
      <w:r>
        <w:rPr>
          <w:rStyle w:val="FootnoteReference"/>
        </w:rPr>
        <w:footnoteRef/>
      </w:r>
      <w:r>
        <w:t xml:space="preserve"> See http://ec.europa.eu/trade/policy/countries-and-regions/regions/western-balkans/ for more information</w:t>
      </w:r>
    </w:p>
  </w:footnote>
  <w:footnote w:id="80">
    <w:p>
      <w:pPr>
        <w:pStyle w:val="FootnoteText"/>
      </w:pPr>
      <w:r>
        <w:rPr>
          <w:rStyle w:val="FootnoteReference"/>
        </w:rPr>
        <w:footnoteRef/>
      </w:r>
      <w:r>
        <w:t xml:space="preserve"> </w:t>
      </w:r>
      <w:r>
        <w:tab/>
        <w:t xml:space="preserve">The designation is without prejudice to position on status and is in line with UNSCR 1244/1999 and the ICJ Opinion on the Kosovo Declaration of independence. </w:t>
      </w:r>
    </w:p>
  </w:footnote>
  <w:footnote w:id="81">
    <w:p>
      <w:pPr>
        <w:pStyle w:val="FootnoteText"/>
      </w:pPr>
      <w:r>
        <w:rPr>
          <w:rStyle w:val="FootnoteReference"/>
        </w:rPr>
        <w:footnoteRef/>
      </w:r>
      <w:r>
        <w:t xml:space="preserve"> </w:t>
      </w:r>
      <w:r>
        <w:tab/>
        <w:t xml:space="preserve">UNCTAD, World Investment Report 2018 </w:t>
      </w:r>
      <w:hyperlink r:id="rId34" w:history="1">
        <w:r>
          <w:rPr>
            <w:rStyle w:val="Hyperlink"/>
          </w:rPr>
          <w:t>https://unctad.org/en/PublicationsLibrary/wir2018_en.pdf page 50</w:t>
        </w:r>
      </w:hyperlink>
      <w:r>
        <w:t>. Top 5 economies in hosting FDI flows in 2017 in Latin America were Brasil, México, Colombia, Argentina and Peru. However, Chile was top economy on FDI outflows in 2017.</w:t>
      </w:r>
    </w:p>
  </w:footnote>
  <w:footnote w:id="82">
    <w:p>
      <w:pPr>
        <w:pStyle w:val="FootnoteText"/>
      </w:pPr>
      <w:r>
        <w:rPr>
          <w:rStyle w:val="FootnoteReference"/>
        </w:rPr>
        <w:footnoteRef/>
      </w:r>
      <w:r>
        <w:t xml:space="preserve"> </w:t>
      </w:r>
      <w:r>
        <w:tab/>
      </w:r>
      <w:r>
        <w:rPr>
          <w:rStyle w:val="Hyperlink"/>
        </w:rPr>
        <w:t>https://www.weforum.org/reports/the-global-competitveness-report-2018</w:t>
      </w:r>
    </w:p>
  </w:footnote>
  <w:footnote w:id="83">
    <w:p>
      <w:pPr>
        <w:pStyle w:val="FootnoteText"/>
        <w:rPr>
          <w:rStyle w:val="Hyperlink"/>
        </w:rPr>
      </w:pPr>
      <w:r>
        <w:rPr>
          <w:rStyle w:val="FootnoteReference"/>
        </w:rPr>
        <w:footnoteRef/>
      </w:r>
      <w:r>
        <w:t xml:space="preserve"> </w:t>
      </w:r>
      <w:r>
        <w:tab/>
      </w:r>
      <w:r>
        <w:rPr>
          <w:rStyle w:val="Hyperlink"/>
        </w:rPr>
        <w:t>http://www.doingbusiness.org/en/data/exploreeconomies/chile#</w:t>
      </w:r>
    </w:p>
    <w:p>
      <w:pPr>
        <w:pStyle w:val="FootnoteText"/>
      </w:pPr>
    </w:p>
  </w:footnote>
  <w:footnote w:id="84">
    <w:p>
      <w:pPr>
        <w:pStyle w:val="FootnoteText"/>
        <w:rPr>
          <w:lang w:val="es-ES"/>
        </w:rPr>
      </w:pPr>
      <w:r>
        <w:rPr>
          <w:rStyle w:val="FootnoteReference"/>
        </w:rPr>
        <w:footnoteRef/>
      </w:r>
      <w:r>
        <w:rPr>
          <w:lang w:val="es-ES"/>
        </w:rPr>
        <w:t xml:space="preserve"> “Inversion Extranjera Directa en Mexico y en el Mundo” 4 June 2018 Secretaria de Economia</w:t>
      </w:r>
    </w:p>
  </w:footnote>
  <w:footnote w:id="85">
    <w:p>
      <w:pPr>
        <w:pStyle w:val="FootnoteText"/>
      </w:pPr>
      <w:r>
        <w:rPr>
          <w:rStyle w:val="FootnoteReference"/>
        </w:rPr>
        <w:footnoteRef/>
      </w:r>
      <w:r>
        <w:tab/>
        <w:t>See: http://madb.europa.eu/madb/barriers_crossTables.htm?isSps=false</w:t>
      </w:r>
    </w:p>
  </w:footnote>
  <w:footnote w:id="86">
    <w:p>
      <w:pPr>
        <w:pStyle w:val="FootnoteText"/>
      </w:pPr>
      <w:r>
        <w:rPr>
          <w:rStyle w:val="FootnoteReference"/>
        </w:rPr>
        <w:footnoteRef/>
      </w:r>
      <w:r>
        <w:t xml:space="preserve"> </w:t>
      </w:r>
      <w:hyperlink r:id="rId35" w:history="1">
        <w:r>
          <w:rPr>
            <w:rStyle w:val="Hyperlink"/>
          </w:rPr>
          <w:t>http://trade.ec.europa.eu/doclib/docs/2018/april/tradoc_156791.pdf</w:t>
        </w:r>
      </w:hyperlink>
      <w:r>
        <w:t xml:space="preserve"> </w:t>
      </w:r>
    </w:p>
  </w:footnote>
  <w:footnote w:id="87">
    <w:p>
      <w:pPr>
        <w:pStyle w:val="FootnoteText"/>
        <w:rPr>
          <w:rStyle w:val="Strong"/>
          <w:rFonts w:asciiTheme="minorHAnsi" w:hAnsiTheme="minorHAnsi"/>
          <w:b w:val="0"/>
          <w:bCs w:val="0"/>
          <w:sz w:val="16"/>
          <w:szCs w:val="16"/>
        </w:rPr>
      </w:pPr>
      <w:r>
        <w:rPr>
          <w:rStyle w:val="FootnoteReference"/>
        </w:rPr>
        <w:footnoteRef/>
      </w:r>
      <w:r>
        <w:t xml:space="preserve"> </w:t>
      </w:r>
      <w:r>
        <w:tab/>
      </w:r>
      <w:r>
        <w:rPr>
          <w:rStyle w:val="Strong"/>
          <w:b w:val="0"/>
          <w:sz w:val="16"/>
          <w:szCs w:val="16"/>
        </w:rPr>
        <w:t>Agreement in the form of an Exchange of Letters between the European Union and the Kingdom of Norway concerning additional trade preferences in agricultural products, OJ L 129/3, 25.05.2018</w:t>
      </w:r>
    </w:p>
    <w:p>
      <w:pPr>
        <w:pStyle w:val="FootnoteText"/>
        <w:ind w:firstLine="0"/>
      </w:pPr>
      <w:hyperlink r:id="rId36" w:history="1">
        <w:r>
          <w:rPr>
            <w:rStyle w:val="Hyperlink"/>
            <w:sz w:val="16"/>
            <w:szCs w:val="16"/>
          </w:rPr>
          <w:t>https://eur-lex.europa.eu/legal-content/EN/TXT/?uri=uriserv:OJ.L_.2018.129.01.0003.01.ENG&amp;toc=OJ:L:2018:129:TOC</w:t>
        </w:r>
      </w:hyperlink>
    </w:p>
    <w:p>
      <w:pPr>
        <w:pStyle w:val="FootnoteText"/>
      </w:pPr>
    </w:p>
  </w:footnote>
  <w:footnote w:id="88">
    <w:p>
      <w:pPr>
        <w:pStyle w:val="FootnoteText"/>
        <w:rPr>
          <w:rFonts w:asciiTheme="minorHAnsi" w:hAnsiTheme="minorHAnsi"/>
        </w:rPr>
      </w:pPr>
      <w:r>
        <w:rPr>
          <w:rStyle w:val="FootnoteReference"/>
        </w:rPr>
        <w:footnoteRef/>
      </w:r>
      <w:r>
        <w:t xml:space="preserve"> </w:t>
      </w:r>
      <w:r>
        <w:tab/>
      </w:r>
      <w:hyperlink r:id="rId37" w:history="1">
        <w:r>
          <w:rPr>
            <w:rStyle w:val="Hyperlink"/>
          </w:rPr>
          <w:t>https://eeas.europa.eu/diplomatic-network/european-economic-area-eea/348/european-economic-area-eea_en</w:t>
        </w:r>
      </w:hyperlink>
    </w:p>
    <w:p>
      <w:pPr>
        <w:pStyle w:val="FootnoteText"/>
        <w:ind w:left="0" w:firstLine="0"/>
      </w:pPr>
    </w:p>
  </w:footnote>
  <w:footnote w:id="89">
    <w:p>
      <w:pPr>
        <w:pStyle w:val="FootnoteText"/>
      </w:pPr>
      <w:r>
        <w:rPr>
          <w:rStyle w:val="FootnoteReference"/>
        </w:rPr>
        <w:footnoteRef/>
      </w:r>
      <w:r>
        <w:t xml:space="preserve"> </w:t>
      </w:r>
      <w:r>
        <w:tab/>
        <w:t>on the free movement of goods, the free movement of capital and services including company law, the free movement of persons and horizontal and flanking policies</w:t>
      </w:r>
    </w:p>
  </w:footnote>
  <w:footnote w:id="90">
    <w:p>
      <w:pPr>
        <w:pStyle w:val="FootnoteText"/>
      </w:pPr>
      <w:r>
        <w:rPr>
          <w:rStyle w:val="FootnoteReference"/>
        </w:rPr>
        <w:footnoteRef/>
      </w:r>
      <w:r>
        <w:t xml:space="preserve"> </w:t>
      </w:r>
      <w:hyperlink r:id="rId38" w:history="1">
        <w:r>
          <w:rPr>
            <w:rStyle w:val="Hyperlink"/>
          </w:rPr>
          <w:t>https://www.consilium.europa.eu/fr/press/press-releases/2018/11/20/conclusions-of-the-50th-meeting-of-the-eea-council/pdf</w:t>
        </w:r>
      </w:hyperlink>
    </w:p>
  </w:footnote>
  <w:footnote w:id="91">
    <w:p>
      <w:pPr>
        <w:pStyle w:val="FootnoteText"/>
      </w:pPr>
      <w:r>
        <w:rPr>
          <w:rStyle w:val="FootnoteReference"/>
        </w:rPr>
        <w:footnoteRef/>
      </w:r>
      <w:r>
        <w:t xml:space="preserve"> </w:t>
      </w:r>
      <w:r>
        <w:tab/>
        <w:t>which still offers a more preferential treatment than the EEA for a few products</w:t>
      </w:r>
    </w:p>
  </w:footnote>
  <w:footnote w:id="92">
    <w:p>
      <w:pPr>
        <w:pStyle w:val="FootnoteText"/>
      </w:pPr>
      <w:r>
        <w:rPr>
          <w:rStyle w:val="FootnoteReference"/>
        </w:rPr>
        <w:footnoteRef/>
      </w:r>
      <w:r>
        <w:t xml:space="preserve"> </w:t>
      </w:r>
      <w:hyperlink r:id="rId39" w:history="1">
        <w:r>
          <w:rPr>
            <w:rStyle w:val="Hyperlink"/>
          </w:rPr>
          <w:t>https://www.consilium.europa.eu/fr/press/press-releases/2018/11/20/conclusions-of-the-50th-meeting-of-the-eea-council/pdf</w:t>
        </w:r>
      </w:hyperlink>
    </w:p>
  </w:footnote>
  <w:footnote w:id="93">
    <w:p>
      <w:pPr>
        <w:pStyle w:val="FootnoteText"/>
      </w:pPr>
      <w:r>
        <w:rPr>
          <w:rStyle w:val="FootnoteReference"/>
        </w:rPr>
        <w:footnoteRef/>
      </w:r>
      <w:r>
        <w:t xml:space="preserve"> </w:t>
      </w:r>
      <w:r>
        <w:tab/>
      </w:r>
      <w:hyperlink r:id="rId40" w:history="1">
        <w:r>
          <w:rPr>
            <w:rStyle w:val="Hyperlink"/>
          </w:rPr>
          <w:t>https://www.consilium.europa.eu/en/press/press-releases/2018/12/11/council-conclusions-on-a-homogeneous-extended-single-market-and-eu-relations-with-non-eu-western-european-countries/</w:t>
        </w:r>
      </w:hyperlink>
    </w:p>
  </w:footnote>
  <w:footnote w:id="94">
    <w:p>
      <w:pPr>
        <w:pStyle w:val="FootnoteText"/>
      </w:pPr>
      <w:r>
        <w:rPr>
          <w:rStyle w:val="FootnoteReference"/>
        </w:rPr>
        <w:footnoteRef/>
      </w:r>
      <w:r>
        <w:tab/>
      </w:r>
      <w:hyperlink r:id="rId41" w:history="1">
        <w:r>
          <w:rPr>
            <w:rStyle w:val="Hyperlink"/>
          </w:rPr>
          <w:t>https://eur-lex.europa.eu/legal-content/en/ALL/?uri=OJ:L:1972:300:TOC</w:t>
        </w:r>
      </w:hyperlink>
      <w:r>
        <w:t xml:space="preserve"> </w:t>
      </w:r>
    </w:p>
  </w:footnote>
  <w:footnote w:id="95">
    <w:p>
      <w:pPr>
        <w:pStyle w:val="FootnoteText"/>
      </w:pPr>
      <w:r>
        <w:rPr>
          <w:rStyle w:val="FootnoteReference"/>
        </w:rPr>
        <w:footnoteRef/>
      </w:r>
      <w:r>
        <w:tab/>
      </w:r>
      <w:hyperlink r:id="rId42" w:history="1">
        <w:r>
          <w:rPr>
            <w:rStyle w:val="Hyperlink"/>
          </w:rPr>
          <w:t>https://eur-lex.europa.eu/legal-content/EN/TXT/?uri=CELEX%3A22002A0430%2801%29</w:t>
        </w:r>
      </w:hyperlink>
      <w:r>
        <w:t xml:space="preserve"> </w:t>
      </w:r>
    </w:p>
  </w:footnote>
  <w:footnote w:id="96">
    <w:p>
      <w:pPr>
        <w:pStyle w:val="FootnoteText"/>
      </w:pPr>
      <w:r>
        <w:rPr>
          <w:rStyle w:val="FootnoteReference"/>
        </w:rPr>
        <w:footnoteRef/>
      </w:r>
      <w:r>
        <w:tab/>
      </w:r>
      <w:hyperlink r:id="rId43" w:history="1">
        <w:r>
          <w:rPr>
            <w:rStyle w:val="Hyperlink"/>
          </w:rPr>
          <w:t>http://trade.ec.europa.eu/doclib/docs/2013/december/tradoc_152006.pdf</w:t>
        </w:r>
      </w:hyperlink>
      <w:r>
        <w:t xml:space="preserve"> </w:t>
      </w:r>
    </w:p>
  </w:footnote>
  <w:footnote w:id="97">
    <w:p>
      <w:pPr>
        <w:pStyle w:val="FootnoteText"/>
      </w:pPr>
      <w:r>
        <w:rPr>
          <w:rStyle w:val="FootnoteReference"/>
        </w:rPr>
        <w:footnoteRef/>
      </w:r>
      <w:r>
        <w:tab/>
      </w:r>
      <w:hyperlink r:id="rId44" w:history="1">
        <w:r>
          <w:rPr>
            <w:rStyle w:val="Hyperlink"/>
          </w:rPr>
          <w:t>https://eur-lex.europa.eu/legal-content/EN/ALL/?uri=CELEX:22002A0430(06)</w:t>
        </w:r>
      </w:hyperlink>
      <w:r>
        <w:t xml:space="preserve"> </w:t>
      </w:r>
    </w:p>
  </w:footnote>
  <w:footnote w:id="98">
    <w:p>
      <w:pPr>
        <w:pStyle w:val="FootnoteText"/>
      </w:pPr>
      <w:r>
        <w:rPr>
          <w:rStyle w:val="FootnoteReference"/>
        </w:rPr>
        <w:footnoteRef/>
      </w:r>
      <w:r>
        <w:tab/>
      </w:r>
      <w:hyperlink r:id="rId45" w:history="1">
        <w:r>
          <w:rPr>
            <w:rStyle w:val="Hyperlink"/>
          </w:rPr>
          <w:t>https://eur-lex.europa.eu/legal-content/EN/TXT/?uri=uriserv:OJ.L_.2002.114.01.0132.01.ENG</w:t>
        </w:r>
      </w:hyperlink>
    </w:p>
  </w:footnote>
  <w:footnote w:id="99">
    <w:p>
      <w:pPr>
        <w:pStyle w:val="FootnoteText"/>
      </w:pPr>
      <w:r>
        <w:rPr>
          <w:rStyle w:val="FootnoteReference"/>
        </w:rPr>
        <w:footnoteRef/>
      </w:r>
      <w:r>
        <w:tab/>
      </w:r>
      <w:hyperlink r:id="rId46" w:history="1">
        <w:r>
          <w:rPr>
            <w:rStyle w:val="Hyperlink"/>
          </w:rPr>
          <w:t>https://eur-lex.europa.eu/legal-content/EN/TXT/?uri=CELEX%3A22002A0430%2801%29</w:t>
        </w:r>
      </w:hyperlink>
    </w:p>
  </w:footnote>
  <w:footnote w:id="100">
    <w:p>
      <w:pPr>
        <w:pStyle w:val="FootnoteText"/>
      </w:pPr>
      <w:r>
        <w:rPr>
          <w:rStyle w:val="FootnoteReference"/>
        </w:rPr>
        <w:footnoteRef/>
      </w:r>
      <w:r>
        <w:t xml:space="preserve"> </w:t>
      </w:r>
      <w:r>
        <w:tab/>
      </w:r>
      <w:hyperlink r:id="rId47" w:history="1">
        <w:r>
          <w:rPr>
            <w:rStyle w:val="Hyperlink"/>
          </w:rPr>
          <w:t>https://www.consilium.europa.eu/en/press/press-releases/2019/02/19/council-conclusions-on-eu-relations-with-the-swiss-confederation/</w:t>
        </w:r>
      </w:hyperlink>
    </w:p>
  </w:footnote>
  <w:footnote w:id="101">
    <w:p>
      <w:pPr>
        <w:pStyle w:val="FootnoteText"/>
      </w:pPr>
      <w:r>
        <w:rPr>
          <w:rStyle w:val="FootnoteReference"/>
        </w:rPr>
        <w:footnoteRef/>
      </w:r>
      <w:r>
        <w:tab/>
      </w:r>
      <w:hyperlink r:id="rId48" w:history="1">
        <w:r>
          <w:rPr>
            <w:rStyle w:val="Hyperlink"/>
          </w:rPr>
          <w:t>http://eur-lex.europa.eu/LexUriServ/LexUriServ.do?uri=CELEX:21996D0213(01):EN:HTML</w:t>
        </w:r>
      </w:hyperlink>
      <w:r>
        <w:t xml:space="preserve"> </w:t>
      </w:r>
    </w:p>
  </w:footnote>
  <w:footnote w:id="102">
    <w:p>
      <w:pPr>
        <w:pStyle w:val="FootnoteText"/>
      </w:pPr>
      <w:r>
        <w:rPr>
          <w:rStyle w:val="FootnoteReference"/>
        </w:rPr>
        <w:footnoteRef/>
      </w:r>
      <w:r>
        <w:tab/>
      </w:r>
      <w:hyperlink r:id="rId49" w:history="1">
        <w:r>
          <w:rPr>
            <w:rStyle w:val="Hyperlink"/>
          </w:rPr>
          <w:t>http://eur-lex.europa.eu/LexUriServ/LexUriServ.do?uri=CELEX:21996A0907(01):en:HTML</w:t>
        </w:r>
      </w:hyperlink>
      <w:r>
        <w:t xml:space="preserve"> </w:t>
      </w:r>
    </w:p>
  </w:footnote>
  <w:footnote w:id="103">
    <w:p>
      <w:pPr>
        <w:pStyle w:val="FootnoteText"/>
      </w:pPr>
      <w:r>
        <w:rPr>
          <w:rStyle w:val="FootnoteReference"/>
        </w:rPr>
        <w:footnoteRef/>
      </w:r>
      <w:r>
        <w:tab/>
      </w:r>
      <w:hyperlink r:id="rId50" w:history="1">
        <w:r>
          <w:rPr>
            <w:rStyle w:val="Hyperlink"/>
          </w:rPr>
          <w:t>http://eur-lex.europa.eu/legal-content/en/ALL/?uri=OJ:L:1998:086:TOC</w:t>
        </w:r>
      </w:hyperlink>
      <w:r>
        <w:t xml:space="preserve"> </w:t>
      </w:r>
    </w:p>
  </w:footnote>
  <w:footnote w:id="104">
    <w:p>
      <w:pPr>
        <w:pStyle w:val="FootnoteText"/>
      </w:pPr>
      <w:r>
        <w:rPr>
          <w:rStyle w:val="FootnoteReference"/>
        </w:rPr>
        <w:footnoteRef/>
      </w:r>
      <w:r>
        <w:tab/>
      </w:r>
      <w:hyperlink r:id="rId51" w:history="1">
        <w:r>
          <w:rPr>
            <w:rStyle w:val="Hyperlink"/>
          </w:rPr>
          <w:t>http://eur-lex.europa.eu/legal-content/EN/TXT/PDF/?uri=CELEX:22006D0999&amp;from=EN</w:t>
        </w:r>
      </w:hyperlink>
      <w:r>
        <w:t xml:space="preserve"> </w:t>
      </w:r>
    </w:p>
  </w:footnote>
  <w:footnote w:id="105">
    <w:p>
      <w:pPr>
        <w:pStyle w:val="FootnoteText"/>
      </w:pPr>
      <w:r>
        <w:rPr>
          <w:rStyle w:val="FootnoteReference"/>
        </w:rPr>
        <w:footnoteRef/>
      </w:r>
      <w:r>
        <w:tab/>
        <w:t xml:space="preserve">World Bank: Evaluation of the EU - Turkey Customs Union, March 2014 </w:t>
      </w:r>
    </w:p>
  </w:footnote>
  <w:footnote w:id="106">
    <w:p>
      <w:pPr>
        <w:pStyle w:val="FootnoteText"/>
      </w:pPr>
      <w:r>
        <w:rPr>
          <w:rStyle w:val="FootnoteReference"/>
        </w:rPr>
        <w:footnoteRef/>
      </w:r>
      <w:r>
        <w:t xml:space="preserve"> Botswana, Eswatini, Lesotho, Namibia and South Africa</w:t>
      </w:r>
    </w:p>
  </w:footnote>
  <w:footnote w:id="107">
    <w:p>
      <w:pPr>
        <w:pStyle w:val="FootnoteText"/>
      </w:pPr>
      <w:r>
        <w:rPr>
          <w:rStyle w:val="FootnoteReference"/>
        </w:rPr>
        <w:footnoteRef/>
      </w:r>
      <w:r>
        <w:t xml:space="preserve"> For South African exports with a value above </w:t>
      </w:r>
      <w:r>
        <w:rPr>
          <w:lang w:val="en-US"/>
        </w:rPr>
        <w:t>€10 million</w:t>
      </w:r>
    </w:p>
  </w:footnote>
  <w:footnote w:id="108">
    <w:p>
      <w:pPr>
        <w:pStyle w:val="FootnoteText"/>
        <w:rPr>
          <w:rFonts w:cs="Times New Roman"/>
        </w:rPr>
      </w:pPr>
      <w:r>
        <w:rPr>
          <w:rStyle w:val="FootnoteReference"/>
          <w:rFonts w:cs="Times New Roman"/>
        </w:rPr>
        <w:footnoteRef/>
      </w:r>
      <w:r>
        <w:rPr>
          <w:rFonts w:cs="Times New Roman"/>
        </w:rPr>
        <w:t xml:space="preserve"> For EU exports of products/product groups with a value of at least </w:t>
      </w:r>
      <w:r>
        <w:rPr>
          <w:rFonts w:cs="Times New Roman"/>
          <w:lang w:val="en-US"/>
        </w:rPr>
        <w:t>€10 million or more</w:t>
      </w:r>
    </w:p>
  </w:footnote>
  <w:footnote w:id="109">
    <w:p>
      <w:pPr>
        <w:pStyle w:val="FootnoteText"/>
        <w:rPr>
          <w:rFonts w:cs="Times New Roman"/>
        </w:rPr>
      </w:pPr>
      <w:r>
        <w:rPr>
          <w:rStyle w:val="FootnoteReference"/>
          <w:rFonts w:cs="Times New Roman"/>
        </w:rPr>
        <w:footnoteRef/>
      </w:r>
      <w:r>
        <w:rPr>
          <w:rFonts w:cs="Times New Roman"/>
        </w:rPr>
        <w:t xml:space="preserve"> For EU exports of products/product groups with a value of at least </w:t>
      </w:r>
      <w:r>
        <w:rPr>
          <w:rFonts w:cs="Times New Roman"/>
          <w:lang w:val="en-US"/>
        </w:rPr>
        <w:t>€10 million or more</w:t>
      </w:r>
    </w:p>
  </w:footnote>
  <w:footnote w:id="110">
    <w:p>
      <w:pPr>
        <w:pStyle w:val="FootnoteText"/>
        <w:rPr>
          <w:rFonts w:cs="Times New Roman"/>
          <w:sz w:val="18"/>
          <w:szCs w:val="18"/>
        </w:rPr>
      </w:pPr>
      <w:r>
        <w:rPr>
          <w:rStyle w:val="FootnoteReference"/>
          <w:rFonts w:cs="Times New Roman"/>
          <w:sz w:val="18"/>
          <w:szCs w:val="18"/>
        </w:rPr>
        <w:footnoteRef/>
      </w:r>
      <w:r>
        <w:rPr>
          <w:rFonts w:cs="Times New Roman"/>
          <w:sz w:val="18"/>
          <w:szCs w:val="18"/>
        </w:rPr>
        <w:t xml:space="preserve"> SADC EPA States have the possibility to use non-originating materials through the rules on cumulation of origin. This means that in certain circumstances, a factory in for example Botswana can use materials from another country and further process them. In calculating whether the final product can be considered to originate in Botswana within the meaning of the EPA, the materials from the other country are considered to be Botswana inputs and count towards the originating status of the final product. The SADC EPA allows SADC EPA States to cumulate with originating materials products from other countries party to the EPA, as well as many other countries (ACP and others).</w:t>
      </w:r>
    </w:p>
  </w:footnote>
  <w:footnote w:id="111">
    <w:p>
      <w:pPr>
        <w:pStyle w:val="FootnoteText"/>
        <w:rPr>
          <w:rFonts w:cs="Times New Roman"/>
          <w:sz w:val="18"/>
          <w:szCs w:val="18"/>
        </w:rPr>
      </w:pPr>
      <w:r>
        <w:rPr>
          <w:rStyle w:val="FootnoteReference"/>
          <w:rFonts w:cs="Times New Roman"/>
          <w:sz w:val="18"/>
          <w:szCs w:val="18"/>
        </w:rPr>
        <w:footnoteRef/>
      </w:r>
      <w:r>
        <w:rPr>
          <w:rFonts w:cs="Times New Roman"/>
          <w:sz w:val="18"/>
          <w:szCs w:val="18"/>
        </w:rPr>
        <w:t xml:space="preserve"> More on the European Development Fund: </w:t>
      </w:r>
      <w:hyperlink r:id="rId52" w:history="1">
        <w:r>
          <w:rPr>
            <w:rStyle w:val="Hyperlink"/>
            <w:rFonts w:cs="Times New Roman"/>
            <w:sz w:val="18"/>
            <w:szCs w:val="18"/>
          </w:rPr>
          <w:t>https://ec.europa.eu/europeaid/funding/funding-instruments-programming/funding-instruments/european-development-fund_en</w:t>
        </w:r>
      </w:hyperlink>
      <w:r>
        <w:rPr>
          <w:rFonts w:cs="Times New Roman"/>
          <w:sz w:val="18"/>
          <w:szCs w:val="18"/>
        </w:rPr>
        <w:t xml:space="preserve"> </w:t>
      </w:r>
    </w:p>
  </w:footnote>
  <w:footnote w:id="112">
    <w:p>
      <w:pPr>
        <w:pStyle w:val="FootnoteText"/>
      </w:pPr>
      <w:r>
        <w:rPr>
          <w:rStyle w:val="FootnoteReference"/>
        </w:rPr>
        <w:footnoteRef/>
      </w:r>
      <w:r>
        <w:t xml:space="preserve"> </w:t>
      </w:r>
      <w:r>
        <w:tab/>
        <w:t>The ESA countries were not in a position to table a common regional market access offer and each country presented an individual offer based on its specificities.</w:t>
      </w:r>
    </w:p>
  </w:footnote>
  <w:footnote w:id="113">
    <w:p>
      <w:pPr>
        <w:pStyle w:val="FootnoteText"/>
      </w:pPr>
      <w:r>
        <w:rPr>
          <w:rStyle w:val="FootnoteReference"/>
        </w:rPr>
        <w:footnoteRef/>
      </w:r>
      <w:r>
        <w:t xml:space="preserve"> </w:t>
      </w:r>
      <w:r>
        <w:tab/>
        <w:t xml:space="preserve">More details can be found here: </w:t>
      </w:r>
      <w:hyperlink r:id="rId53" w:history="1">
        <w:r>
          <w:rPr>
            <w:rStyle w:val="Hyperlink"/>
          </w:rPr>
          <w:t>http://trade.ec.europa.eu/doclib/docs/2012/march/tradoc_149213.pdf</w:t>
        </w:r>
      </w:hyperlink>
      <w:r>
        <w:t xml:space="preserve"> </w:t>
      </w:r>
    </w:p>
  </w:footnote>
  <w:footnote w:id="114">
    <w:p>
      <w:pPr>
        <w:pStyle w:val="FootnoteText"/>
        <w:jc w:val="left"/>
      </w:pPr>
      <w:r>
        <w:rPr>
          <w:rStyle w:val="FootnoteReference"/>
        </w:rPr>
        <w:footnoteRef/>
      </w:r>
      <w:r>
        <w:t xml:space="preserve">Government of Mauritius, </w:t>
      </w:r>
      <w:hyperlink r:id="rId54" w:history="1">
        <w:r>
          <w:rPr>
            <w:rStyle w:val="Hyperlink"/>
          </w:rPr>
          <w:t>https://www.bom.mu/sites/default/files/di_2018q4_website.pdf</w:t>
        </w:r>
      </w:hyperlink>
    </w:p>
  </w:footnote>
  <w:footnote w:id="115">
    <w:p>
      <w:pPr>
        <w:pStyle w:val="FootnoteText"/>
      </w:pPr>
      <w:r>
        <w:rPr>
          <w:rStyle w:val="FootnoteReference"/>
        </w:rPr>
        <w:footnoteRef/>
      </w:r>
      <w:r>
        <w:t xml:space="preserve"> </w:t>
      </w:r>
      <w:hyperlink r:id="rId55" w:history="1">
        <w:r>
          <w:rPr>
            <w:rStyle w:val="Hyperlink"/>
          </w:rPr>
          <w:t>https://sts.sc/index.html</w:t>
        </w:r>
      </w:hyperlink>
      <w:r>
        <w:t xml:space="preserve"> </w:t>
      </w:r>
    </w:p>
  </w:footnote>
  <w:footnote w:id="116">
    <w:p>
      <w:pPr>
        <w:pStyle w:val="FootnoteText"/>
        <w:rPr>
          <w:rFonts w:cs="Times New Roman"/>
          <w:sz w:val="18"/>
          <w:szCs w:val="18"/>
        </w:rPr>
      </w:pPr>
      <w:r>
        <w:rPr>
          <w:rStyle w:val="FootnoteReference"/>
          <w:sz w:val="18"/>
          <w:szCs w:val="18"/>
        </w:rPr>
        <w:footnoteRef/>
      </w:r>
      <w:r>
        <w:rPr>
          <w:rFonts w:cs="Times New Roman"/>
          <w:sz w:val="18"/>
          <w:szCs w:val="18"/>
        </w:rPr>
        <w:t xml:space="preserve"> The full name of the agreement, "Interim Economic Partnership Agreement" reflects the fact that the objective on both sides for an agreement in Eastern and Southern Africa was a comprehensive, regional agreement. However, negotiations for a regional EPA with the ESA4 and seven other ESA countries have come to a halt, and the Commission focused its efforts on the agreement already implemented by the ESA4.</w:t>
      </w:r>
    </w:p>
  </w:footnote>
  <w:footnote w:id="117">
    <w:p>
      <w:pPr>
        <w:pStyle w:val="FootnoteText"/>
      </w:pPr>
      <w:r>
        <w:rPr>
          <w:rStyle w:val="FootnoteReference"/>
        </w:rPr>
        <w:footnoteRef/>
      </w:r>
      <w:r>
        <w:rPr>
          <w:rFonts w:cs="Times New Roman"/>
          <w:sz w:val="18"/>
          <w:szCs w:val="18"/>
        </w:rPr>
        <w:t xml:space="preserve"> </w:t>
      </w:r>
      <w:r>
        <w:rPr>
          <w:rFonts w:cs="Times New Roman"/>
          <w:sz w:val="18"/>
          <w:szCs w:val="18"/>
        </w:rPr>
        <w:tab/>
        <w:t>Djibouti, Ethiopia, Eritrea, Sudan and Malawi</w:t>
      </w:r>
    </w:p>
  </w:footnote>
  <w:footnote w:id="118">
    <w:p>
      <w:pPr>
        <w:pStyle w:val="FootnoteText"/>
        <w:rPr>
          <w:rFonts w:cs="Times New Roman"/>
        </w:rPr>
      </w:pPr>
      <w:r>
        <w:rPr>
          <w:rStyle w:val="FootnoteReference"/>
          <w:rFonts w:cs="Times New Roman"/>
        </w:rPr>
        <w:footnoteRef/>
      </w:r>
      <w:r>
        <w:rPr>
          <w:rFonts w:cs="Times New Roman"/>
        </w:rPr>
        <w:t xml:space="preserve"> The official name of the agreement ("stepping-stone agreement") reflects the fact that the initial and ultimate objective for economic partnership in West Africa is a comprehensive, regional agreement. It is also called "interim EPA". </w:t>
      </w:r>
    </w:p>
  </w:footnote>
  <w:footnote w:id="119">
    <w:p>
      <w:pPr>
        <w:pStyle w:val="FootnoteText"/>
        <w:rPr>
          <w:rFonts w:cs="Times New Roman"/>
        </w:rPr>
      </w:pPr>
      <w:r>
        <w:rPr>
          <w:rStyle w:val="FootnoteReference"/>
          <w:rFonts w:cs="Times New Roman"/>
        </w:rPr>
        <w:footnoteRef/>
      </w:r>
      <w:r>
        <w:rPr>
          <w:rFonts w:cs="Times New Roman"/>
        </w:rPr>
        <w:t xml:space="preserve"> The Economic Partnership Agreement was signed in December 2014 by the European Union and 13 West African Countries. In 2018, the Gambia and Mauretania signed the agreement, making Nigeria the only remaining country opposed to the EPA. The agreement will enter into provisional application if the 16 West African Countries sign the agreement and 2/3 of these countries ratify it. </w:t>
      </w:r>
    </w:p>
  </w:footnote>
  <w:footnote w:id="120">
    <w:p>
      <w:pPr>
        <w:pStyle w:val="FootnoteText"/>
        <w:rPr>
          <w:rFonts w:cs="Times New Roman"/>
          <w:lang w:val="fr-FR"/>
        </w:rPr>
      </w:pPr>
      <w:r>
        <w:rPr>
          <w:rStyle w:val="FootnoteReference"/>
          <w:rFonts w:cs="Times New Roman"/>
        </w:rPr>
        <w:footnoteRef/>
      </w:r>
      <w:r>
        <w:rPr>
          <w:rFonts w:cs="Times New Roman"/>
          <w:lang w:val="fr-FR"/>
        </w:rPr>
        <w:t xml:space="preserve"> Eurocham </w:t>
      </w:r>
      <w:r>
        <w:rPr>
          <w:rFonts w:eastAsia="Calibri" w:cs="Times New Roman"/>
          <w:lang w:val="fr-FR"/>
        </w:rPr>
        <w:t>Côte d’Ivoire</w:t>
      </w:r>
      <w:r>
        <w:rPr>
          <w:rFonts w:cs="Times New Roman"/>
          <w:lang w:val="fr-FR"/>
        </w:rPr>
        <w:t xml:space="preserve">, 2019: </w:t>
      </w:r>
      <w:hyperlink r:id="rId56" w:history="1">
        <w:r>
          <w:rPr>
            <w:rStyle w:val="Hyperlink"/>
            <w:lang w:val="fr-FR"/>
          </w:rPr>
          <w:t>https://eurochamci.com/assets/files/livre-blanc-2019-version-numerique.pdf</w:t>
        </w:r>
      </w:hyperlink>
      <w:r>
        <w:rPr>
          <w:rFonts w:cs="Times New Roman"/>
          <w:lang w:val="fr-FR"/>
        </w:rPr>
        <w:t xml:space="preserve">  </w:t>
      </w:r>
    </w:p>
  </w:footnote>
  <w:footnote w:id="121">
    <w:p>
      <w:pPr>
        <w:pStyle w:val="FootnoteText"/>
        <w:rPr>
          <w:rFonts w:cs="Times New Roman"/>
          <w:sz w:val="18"/>
          <w:szCs w:val="18"/>
        </w:rPr>
      </w:pPr>
      <w:r>
        <w:rPr>
          <w:rStyle w:val="FootnoteReference"/>
          <w:rFonts w:cs="Times New Roman"/>
          <w:sz w:val="18"/>
          <w:szCs w:val="18"/>
        </w:rPr>
        <w:footnoteRef/>
      </w:r>
      <w:r>
        <w:rPr>
          <w:rFonts w:cs="Times New Roman"/>
          <w:sz w:val="18"/>
          <w:szCs w:val="18"/>
        </w:rPr>
        <w:t xml:space="preserve"> The official name of the agreement ("stepping-stone agreement") reflects the fact that the initial and ultimate objective for an economic partnership in West Africa is a comprehensive, regional agreement. It is also called "interim EPA"</w:t>
      </w:r>
    </w:p>
  </w:footnote>
  <w:footnote w:id="122">
    <w:p>
      <w:pPr>
        <w:pStyle w:val="FootnoteText"/>
        <w:rPr>
          <w:rFonts w:cs="Times New Roman"/>
          <w:sz w:val="18"/>
          <w:szCs w:val="18"/>
        </w:rPr>
      </w:pPr>
      <w:r>
        <w:rPr>
          <w:rStyle w:val="FootnoteReference"/>
          <w:rFonts w:cs="Times New Roman"/>
          <w:sz w:val="18"/>
          <w:szCs w:val="18"/>
        </w:rPr>
        <w:footnoteRef/>
      </w:r>
      <w:r>
        <w:rPr>
          <w:rFonts w:cs="Times New Roman"/>
          <w:sz w:val="18"/>
          <w:szCs w:val="18"/>
        </w:rPr>
        <w:t xml:space="preserve"> The Economic Partnership Agreement was signed in December 2014 by the European Union and 13 West African Countries. The agreement will enter into provisional application if the 16 West African Countries sign the agreement and 2/3 of these countries ratify it. In 2018, both the Gambia and Mauritania signed the agreement, which means that only Nigeria’s signature is still missing.</w:t>
      </w:r>
    </w:p>
  </w:footnote>
  <w:footnote w:id="123">
    <w:p>
      <w:pPr>
        <w:pStyle w:val="FootnoteText"/>
      </w:pPr>
      <w:r>
        <w:rPr>
          <w:rStyle w:val="FootnoteReference"/>
        </w:rPr>
        <w:footnoteRef/>
      </w:r>
      <w:r>
        <w:t xml:space="preserve"> Source: COMTRADE, Reporter data for China, accessed May 2019</w:t>
      </w:r>
    </w:p>
  </w:footnote>
  <w:footnote w:id="124">
    <w:p>
      <w:pPr>
        <w:pStyle w:val="FootnoteText"/>
        <w:rPr>
          <w:sz w:val="16"/>
          <w:szCs w:val="16"/>
        </w:rPr>
      </w:pPr>
      <w:r>
        <w:rPr>
          <w:rStyle w:val="FootnoteReference"/>
          <w:sz w:val="16"/>
          <w:szCs w:val="16"/>
        </w:rPr>
        <w:footnoteRef/>
      </w:r>
      <w:r>
        <w:rPr>
          <w:sz w:val="16"/>
          <w:szCs w:val="16"/>
        </w:rPr>
        <w:t xml:space="preserve"> Mo Ibrahim Index on African Governance 2018. Available at: </w:t>
      </w:r>
      <w:hyperlink r:id="rId57" w:history="1">
        <w:r>
          <w:rPr>
            <w:rStyle w:val="Hyperlink"/>
            <w:sz w:val="16"/>
            <w:szCs w:val="16"/>
          </w:rPr>
          <w:t>http://iiag.online/</w:t>
        </w:r>
      </w:hyperlink>
      <w:r>
        <w:rPr>
          <w:rStyle w:val="Hyperlink"/>
          <w:sz w:val="16"/>
          <w:szCs w:val="16"/>
        </w:rPr>
        <w:t xml:space="preserve"> </w:t>
      </w:r>
    </w:p>
  </w:footnote>
  <w:footnote w:id="125">
    <w:p>
      <w:pPr>
        <w:pStyle w:val="FootnoteText"/>
        <w:rPr>
          <w:sz w:val="16"/>
          <w:szCs w:val="16"/>
        </w:rPr>
      </w:pPr>
      <w:r>
        <w:rPr>
          <w:rStyle w:val="FootnoteReference"/>
          <w:sz w:val="16"/>
          <w:szCs w:val="16"/>
        </w:rPr>
        <w:footnoteRef/>
      </w:r>
      <w:r>
        <w:rPr>
          <w:sz w:val="16"/>
          <w:szCs w:val="16"/>
        </w:rPr>
        <w:t xml:space="preserve"> Ernst and Young, 'Turning tides EY Attractiveness Program Africa, 2018'. Available at: </w:t>
      </w:r>
      <w:hyperlink r:id="rId58" w:history="1">
        <w:r>
          <w:rPr>
            <w:rStyle w:val="Hyperlink"/>
            <w:sz w:val="16"/>
            <w:szCs w:val="16"/>
          </w:rPr>
          <w:t>https://www.ey.com/Publication/vwLUAssets/ey-Africa-Attractiveness-2018/$FILE/ey-Africa-Attractiveness-2018.pdf</w:t>
        </w:r>
      </w:hyperlink>
      <w:r>
        <w:rPr>
          <w:sz w:val="16"/>
          <w:szCs w:val="16"/>
        </w:rPr>
        <w:t xml:space="preserve"> </w:t>
      </w:r>
    </w:p>
  </w:footnote>
  <w:footnote w:id="126">
    <w:p>
      <w:pPr>
        <w:pStyle w:val="FootnoteText"/>
        <w:rPr>
          <w:rFonts w:cs="Times New Roman"/>
        </w:rPr>
      </w:pPr>
      <w:r>
        <w:rPr>
          <w:rStyle w:val="FootnoteReference"/>
        </w:rPr>
        <w:footnoteRef/>
      </w:r>
      <w:r>
        <w:rPr>
          <w:rFonts w:cs="Times New Roman"/>
        </w:rPr>
        <w:t xml:space="preserve"> The 2018 Budget law estimate total yearly customs revenue at €670 million, including exports and imports taxes, stamp duties, etc. This would mean that losses due to EPA preferences amount to only 1.6% of total customs revenue. The IMF estimates customs revenues at €1.14 billion in 2017, also including VAT on imports.0</w:t>
      </w:r>
    </w:p>
  </w:footnote>
  <w:footnote w:id="127">
    <w:p>
      <w:pPr>
        <w:pStyle w:val="FootnoteText"/>
      </w:pPr>
      <w:r>
        <w:rPr>
          <w:rStyle w:val="FootnoteReference"/>
        </w:rPr>
        <w:footnoteRef/>
      </w:r>
      <w:r>
        <w:t xml:space="preserve"> </w:t>
      </w:r>
      <w:r>
        <w:rPr>
          <w:rFonts w:cs="Times New Roman"/>
        </w:rPr>
        <w:t>Antigua and Barbuda, Bahamas, Barbados, Belize, Dominica, Dominican Republic, Grenada, Guyana, Jamaica, St. Kitts and Nevis, Saint Lucia, St. Vincent and the Grenadines, Suriname, and Trinidad and Tobago.</w:t>
      </w:r>
    </w:p>
  </w:footnote>
  <w:footnote w:id="128">
    <w:p>
      <w:pPr>
        <w:pStyle w:val="FootnoteText"/>
      </w:pPr>
      <w:r>
        <w:rPr>
          <w:rStyle w:val="FootnoteReference"/>
        </w:rPr>
        <w:footnoteRef/>
      </w:r>
      <w:r>
        <w:t xml:space="preserve"> Note that the CARIFORUM countries submitted individual market access schedules and not one single regional offer. Hence figures and information provided here are an average over all 14 market access schedules. A factsheet on the EU-CARIFORUM EPA can be found here: </w:t>
      </w:r>
      <w:hyperlink r:id="rId59" w:history="1">
        <w:r>
          <w:rPr>
            <w:rStyle w:val="Hyperlink"/>
          </w:rPr>
          <w:t>http://trade.ec.europa.eu/doclib/docs/2012/april/tradoc_149286.pdf</w:t>
        </w:r>
      </w:hyperlink>
    </w:p>
  </w:footnote>
  <w:footnote w:id="129">
    <w:p>
      <w:pPr>
        <w:pStyle w:val="FootnoteText"/>
      </w:pPr>
      <w:r>
        <w:rPr>
          <w:rStyle w:val="FootnoteReference"/>
        </w:rPr>
        <w:footnoteRef/>
      </w:r>
      <w:r>
        <w:t xml:space="preserve"> </w:t>
      </w:r>
      <w:r>
        <w:tab/>
        <w:t xml:space="preserve">According to the Central Bank of the Dominican Republic, total investment from Spain has been USD 292.4 million; however, the Spanish Embassy recorded only €50.6 million due to different accounting methodologies e.g. the embassy only takes into account direct flows from companies in Spain and excludes investment in real estate. </w:t>
      </w:r>
    </w:p>
    <w:p>
      <w:pPr>
        <w:pStyle w:val="FootnoteText"/>
      </w:pPr>
    </w:p>
  </w:footnote>
  <w:footnote w:id="130">
    <w:p>
      <w:pPr>
        <w:pStyle w:val="FootnoteText"/>
      </w:pPr>
      <w:r>
        <w:rPr>
          <w:rStyle w:val="FootnoteReference"/>
        </w:rPr>
        <w:footnoteRef/>
      </w:r>
      <w:r>
        <w:t xml:space="preserve"> The other countries of the region are: Cook Islands, Kiribati, Marshall Islands, Micronesia, Nauru, Niue, Palau, Samoa, Solomon Islands, Tonga, Tuvalu, and Vanuatu.</w:t>
      </w:r>
    </w:p>
  </w:footnote>
  <w:footnote w:id="131">
    <w:p>
      <w:pPr>
        <w:pStyle w:val="FootnoteText"/>
      </w:pPr>
      <w:r>
        <w:rPr>
          <w:rStyle w:val="FootnoteReference"/>
        </w:rPr>
        <w:footnoteRef/>
      </w:r>
      <w:r>
        <w:t xml:space="preserve"> </w:t>
      </w:r>
      <w:hyperlink r:id="rId60" w:history="1">
        <w:r>
          <w:rPr>
            <w:rStyle w:val="Hyperlink"/>
          </w:rPr>
          <w:t>https://www.total.com/en/media/news/press-releases/total-and-state-papua-new-guinea-sign-gas-agreement-papua-lng-project</w:t>
        </w:r>
      </w:hyperlink>
      <w:r>
        <w:t xml:space="preserve"> </w:t>
      </w:r>
    </w:p>
  </w:footnote>
  <w:footnote w:id="132">
    <w:p>
      <w:pPr>
        <w:pStyle w:val="FootnoteText"/>
      </w:pPr>
      <w:r>
        <w:rPr>
          <w:rStyle w:val="FootnoteReference"/>
        </w:rPr>
        <w:footnoteRef/>
      </w:r>
      <w:r>
        <w:t xml:space="preserve">  PNG Trade Report 2018, p. 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33597"/>
    <w:multiLevelType w:val="hybridMultilevel"/>
    <w:tmpl w:val="FC248B3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21C257C"/>
    <w:multiLevelType w:val="hybridMultilevel"/>
    <w:tmpl w:val="63263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5A4DAE"/>
    <w:multiLevelType w:val="multilevel"/>
    <w:tmpl w:val="A02E90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A506F5"/>
    <w:multiLevelType w:val="hybridMultilevel"/>
    <w:tmpl w:val="92402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3312E2"/>
    <w:multiLevelType w:val="hybridMultilevel"/>
    <w:tmpl w:val="4B209420"/>
    <w:lvl w:ilvl="0" w:tplc="BD8E7A14">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0FFB4197"/>
    <w:multiLevelType w:val="multilevel"/>
    <w:tmpl w:val="05DC17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79A2B01"/>
    <w:multiLevelType w:val="hybridMultilevel"/>
    <w:tmpl w:val="4C1C247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7DF7DC1"/>
    <w:multiLevelType w:val="hybridMultilevel"/>
    <w:tmpl w:val="76F2815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A2A03BD"/>
    <w:multiLevelType w:val="hybridMultilevel"/>
    <w:tmpl w:val="D16A7FCA"/>
    <w:lvl w:ilvl="0" w:tplc="1809000F">
      <w:start w:val="2"/>
      <w:numFmt w:val="decimal"/>
      <w:lvlText w:val="%1."/>
      <w:lvlJc w:val="left"/>
      <w:pPr>
        <w:ind w:left="72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1E416CD6"/>
    <w:multiLevelType w:val="hybridMultilevel"/>
    <w:tmpl w:val="B83E970A"/>
    <w:lvl w:ilvl="0" w:tplc="1C02C2CC">
      <w:numFmt w:val="bullet"/>
      <w:lvlText w:val="•"/>
      <w:lvlJc w:val="left"/>
      <w:pPr>
        <w:ind w:left="840" w:hanging="360"/>
      </w:pPr>
      <w:rPr>
        <w:rFonts w:ascii="Times New Roman" w:eastAsia="Calibri" w:hAnsi="Times New Roman" w:cs="Times New Roman"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0">
    <w:nsid w:val="23BC22DF"/>
    <w:multiLevelType w:val="multilevel"/>
    <w:tmpl w:val="0C50A16A"/>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570"/>
        </w:tabs>
        <w:ind w:left="4570" w:hanging="60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920"/>
        </w:tabs>
        <w:ind w:left="1920" w:hanging="840"/>
      </w:pPr>
      <w:rPr>
        <w:rFonts w:hint="default"/>
      </w:rPr>
    </w:lvl>
    <w:lvl w:ilvl="3">
      <w:start w:val="1"/>
      <w:numFmt w:val="decimal"/>
      <w:lvlText w:val="%1.%2.%3.%4."/>
      <w:lvlJc w:val="left"/>
      <w:pPr>
        <w:tabs>
          <w:tab w:val="num" w:pos="2880"/>
        </w:tabs>
        <w:ind w:left="2880"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261D5A22"/>
    <w:multiLevelType w:val="multilevel"/>
    <w:tmpl w:val="8FE02A06"/>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570"/>
        </w:tabs>
        <w:ind w:left="4570" w:hanging="60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920"/>
        </w:tabs>
        <w:ind w:left="1920" w:hanging="840"/>
      </w:pPr>
      <w:rPr>
        <w:rFonts w:hint="default"/>
      </w:rPr>
    </w:lvl>
    <w:lvl w:ilvl="3">
      <w:start w:val="1"/>
      <w:numFmt w:val="decimal"/>
      <w:lvlText w:val="%1.%2.%3.%4."/>
      <w:lvlJc w:val="left"/>
      <w:pPr>
        <w:tabs>
          <w:tab w:val="num" w:pos="2880"/>
        </w:tabs>
        <w:ind w:left="2880"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29002384"/>
    <w:multiLevelType w:val="hybridMultilevel"/>
    <w:tmpl w:val="4FC83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A571562"/>
    <w:multiLevelType w:val="hybridMultilevel"/>
    <w:tmpl w:val="018CC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B134489"/>
    <w:multiLevelType w:val="multilevel"/>
    <w:tmpl w:val="05DC17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D27773F"/>
    <w:multiLevelType w:val="hybridMultilevel"/>
    <w:tmpl w:val="DBB8C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30A4591"/>
    <w:multiLevelType w:val="multilevel"/>
    <w:tmpl w:val="0C50A16A"/>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570"/>
        </w:tabs>
        <w:ind w:left="4570" w:hanging="60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920"/>
        </w:tabs>
        <w:ind w:left="1920" w:hanging="840"/>
      </w:pPr>
      <w:rPr>
        <w:rFonts w:hint="default"/>
      </w:rPr>
    </w:lvl>
    <w:lvl w:ilvl="3">
      <w:start w:val="1"/>
      <w:numFmt w:val="decimal"/>
      <w:lvlText w:val="%1.%2.%3.%4."/>
      <w:lvlJc w:val="left"/>
      <w:pPr>
        <w:tabs>
          <w:tab w:val="num" w:pos="2880"/>
        </w:tabs>
        <w:ind w:left="2880"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nsid w:val="35D72656"/>
    <w:multiLevelType w:val="hybridMultilevel"/>
    <w:tmpl w:val="E3E42588"/>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39B923A3"/>
    <w:multiLevelType w:val="multilevel"/>
    <w:tmpl w:val="D91A5496"/>
    <w:lvl w:ilvl="0">
      <w:start w:val="2"/>
      <w:numFmt w:val="decimal"/>
      <w:lvlText w:val="%1"/>
      <w:lvlJc w:val="left"/>
      <w:pPr>
        <w:ind w:left="360" w:hanging="360"/>
      </w:pPr>
      <w:rPr>
        <w:rFonts w:hint="default"/>
      </w:rPr>
    </w:lvl>
    <w:lvl w:ilvl="1">
      <w:start w:val="3"/>
      <w:numFmt w:val="decimal"/>
      <w:lvlText w:val="%1.%2"/>
      <w:lvlJc w:val="left"/>
      <w:pPr>
        <w:ind w:left="4330" w:hanging="360"/>
      </w:pPr>
      <w:rPr>
        <w:rFonts w:hint="default"/>
      </w:rPr>
    </w:lvl>
    <w:lvl w:ilvl="2">
      <w:start w:val="1"/>
      <w:numFmt w:val="decimal"/>
      <w:lvlText w:val="%1.%2.%3"/>
      <w:lvlJc w:val="left"/>
      <w:pPr>
        <w:ind w:left="8660" w:hanging="720"/>
      </w:pPr>
      <w:rPr>
        <w:rFonts w:hint="default"/>
      </w:rPr>
    </w:lvl>
    <w:lvl w:ilvl="3">
      <w:start w:val="1"/>
      <w:numFmt w:val="decimal"/>
      <w:lvlText w:val="%1.%2.%3.%4"/>
      <w:lvlJc w:val="left"/>
      <w:pPr>
        <w:ind w:left="12630" w:hanging="720"/>
      </w:pPr>
      <w:rPr>
        <w:rFonts w:hint="default"/>
      </w:rPr>
    </w:lvl>
    <w:lvl w:ilvl="4">
      <w:start w:val="1"/>
      <w:numFmt w:val="decimal"/>
      <w:lvlText w:val="%1.%2.%3.%4.%5"/>
      <w:lvlJc w:val="left"/>
      <w:pPr>
        <w:ind w:left="16960" w:hanging="1080"/>
      </w:pPr>
      <w:rPr>
        <w:rFonts w:hint="default"/>
      </w:rPr>
    </w:lvl>
    <w:lvl w:ilvl="5">
      <w:start w:val="1"/>
      <w:numFmt w:val="decimal"/>
      <w:lvlText w:val="%1.%2.%3.%4.%5.%6"/>
      <w:lvlJc w:val="left"/>
      <w:pPr>
        <w:ind w:left="20930" w:hanging="1080"/>
      </w:pPr>
      <w:rPr>
        <w:rFonts w:hint="default"/>
      </w:rPr>
    </w:lvl>
    <w:lvl w:ilvl="6">
      <w:start w:val="1"/>
      <w:numFmt w:val="decimal"/>
      <w:lvlText w:val="%1.%2.%3.%4.%5.%6.%7"/>
      <w:lvlJc w:val="left"/>
      <w:pPr>
        <w:ind w:left="25260" w:hanging="1440"/>
      </w:pPr>
      <w:rPr>
        <w:rFonts w:hint="default"/>
      </w:rPr>
    </w:lvl>
    <w:lvl w:ilvl="7">
      <w:start w:val="1"/>
      <w:numFmt w:val="decimal"/>
      <w:lvlText w:val="%1.%2.%3.%4.%5.%6.%7.%8"/>
      <w:lvlJc w:val="left"/>
      <w:pPr>
        <w:ind w:left="29230" w:hanging="1440"/>
      </w:pPr>
      <w:rPr>
        <w:rFonts w:hint="default"/>
      </w:rPr>
    </w:lvl>
    <w:lvl w:ilvl="8">
      <w:start w:val="1"/>
      <w:numFmt w:val="decimal"/>
      <w:lvlText w:val="%1.%2.%3.%4.%5.%6.%7.%8.%9"/>
      <w:lvlJc w:val="left"/>
      <w:pPr>
        <w:ind w:left="-31976" w:hanging="1800"/>
      </w:pPr>
      <w:rPr>
        <w:rFonts w:hint="default"/>
      </w:rPr>
    </w:lvl>
  </w:abstractNum>
  <w:abstractNum w:abstractNumId="19">
    <w:nsid w:val="3A785E48"/>
    <w:multiLevelType w:val="hybridMultilevel"/>
    <w:tmpl w:val="68CE4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ABF79D6"/>
    <w:multiLevelType w:val="hybridMultilevel"/>
    <w:tmpl w:val="C0504C7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nsid w:val="3E4C3C64"/>
    <w:multiLevelType w:val="hybridMultilevel"/>
    <w:tmpl w:val="F0EE97E2"/>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nsid w:val="441E7512"/>
    <w:multiLevelType w:val="hybridMultilevel"/>
    <w:tmpl w:val="2B1067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46AB6208"/>
    <w:multiLevelType w:val="hybridMultilevel"/>
    <w:tmpl w:val="8964674E"/>
    <w:lvl w:ilvl="0" w:tplc="0809000F">
      <w:start w:val="1"/>
      <w:numFmt w:val="decimal"/>
      <w:lvlText w:val="%1."/>
      <w:lvlJc w:val="left"/>
      <w:pPr>
        <w:ind w:left="720" w:hanging="360"/>
      </w:pPr>
    </w:lvl>
    <w:lvl w:ilvl="1" w:tplc="9C284E42">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80B2341"/>
    <w:multiLevelType w:val="hybridMultilevel"/>
    <w:tmpl w:val="FBD24BAE"/>
    <w:lvl w:ilvl="0" w:tplc="E356D86C">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4A432656"/>
    <w:multiLevelType w:val="multilevel"/>
    <w:tmpl w:val="F058F1D2"/>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570"/>
        </w:tabs>
        <w:ind w:left="4570" w:hanging="60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920"/>
        </w:tabs>
        <w:ind w:left="1920" w:hanging="840"/>
      </w:pPr>
      <w:rPr>
        <w:rFonts w:hint="default"/>
      </w:rPr>
    </w:lvl>
    <w:lvl w:ilvl="3">
      <w:start w:val="1"/>
      <w:numFmt w:val="decimal"/>
      <w:lvlText w:val="%1.%2.%3.%4."/>
      <w:lvlJc w:val="left"/>
      <w:pPr>
        <w:tabs>
          <w:tab w:val="num" w:pos="2880"/>
        </w:tabs>
        <w:ind w:left="2880"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nsid w:val="4A432EA0"/>
    <w:multiLevelType w:val="hybridMultilevel"/>
    <w:tmpl w:val="CA9EC41A"/>
    <w:lvl w:ilvl="0" w:tplc="300A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AB12460"/>
    <w:multiLevelType w:val="hybridMultilevel"/>
    <w:tmpl w:val="4D10C49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BC92B3C"/>
    <w:multiLevelType w:val="hybridMultilevel"/>
    <w:tmpl w:val="8E062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C437939"/>
    <w:multiLevelType w:val="hybridMultilevel"/>
    <w:tmpl w:val="F1723954"/>
    <w:lvl w:ilvl="0" w:tplc="5D2A746C">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0">
    <w:nsid w:val="4CD83411"/>
    <w:multiLevelType w:val="hybridMultilevel"/>
    <w:tmpl w:val="9FFE7E3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nsid w:val="53FE719A"/>
    <w:multiLevelType w:val="hybridMultilevel"/>
    <w:tmpl w:val="879AA612"/>
    <w:lvl w:ilvl="0" w:tplc="81505CDA">
      <w:start w:val="3"/>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nsid w:val="5722798A"/>
    <w:multiLevelType w:val="hybridMultilevel"/>
    <w:tmpl w:val="ED5C94C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3">
    <w:nsid w:val="58196EEC"/>
    <w:multiLevelType w:val="hybridMultilevel"/>
    <w:tmpl w:val="5E22C75E"/>
    <w:lvl w:ilvl="0" w:tplc="1809000F">
      <w:start w:val="6"/>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4">
    <w:nsid w:val="583C4E4C"/>
    <w:multiLevelType w:val="hybridMultilevel"/>
    <w:tmpl w:val="FD8A2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8951777"/>
    <w:multiLevelType w:val="multilevel"/>
    <w:tmpl w:val="DBA0218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C671A01"/>
    <w:multiLevelType w:val="hybridMultilevel"/>
    <w:tmpl w:val="974499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nsid w:val="5CDE0D5D"/>
    <w:multiLevelType w:val="hybridMultilevel"/>
    <w:tmpl w:val="CD8CF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CFD2FBA"/>
    <w:multiLevelType w:val="hybridMultilevel"/>
    <w:tmpl w:val="5826026E"/>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nsid w:val="5E6E6875"/>
    <w:multiLevelType w:val="hybridMultilevel"/>
    <w:tmpl w:val="94807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7E05772"/>
    <w:multiLevelType w:val="multilevel"/>
    <w:tmpl w:val="0C50A16A"/>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570"/>
        </w:tabs>
        <w:ind w:left="4570" w:hanging="60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920"/>
        </w:tabs>
        <w:ind w:left="1920" w:hanging="840"/>
      </w:pPr>
      <w:rPr>
        <w:rFonts w:hint="default"/>
      </w:rPr>
    </w:lvl>
    <w:lvl w:ilvl="3">
      <w:start w:val="1"/>
      <w:numFmt w:val="decimal"/>
      <w:lvlText w:val="%1.%2.%3.%4."/>
      <w:lvlJc w:val="left"/>
      <w:pPr>
        <w:tabs>
          <w:tab w:val="num" w:pos="2880"/>
        </w:tabs>
        <w:ind w:left="2880"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nsid w:val="6E214109"/>
    <w:multiLevelType w:val="hybridMultilevel"/>
    <w:tmpl w:val="69FEB8A0"/>
    <w:lvl w:ilvl="0" w:tplc="4C98C984">
      <w:start w:val="4"/>
      <w:numFmt w:val="decimal"/>
      <w:lvlText w:val="%1."/>
      <w:lvlJc w:val="left"/>
      <w:pPr>
        <w:ind w:left="2520" w:hanging="360"/>
      </w:pPr>
      <w:rPr>
        <w:rFonts w:hint="default"/>
      </w:rPr>
    </w:lvl>
    <w:lvl w:ilvl="1" w:tplc="18090019" w:tentative="1">
      <w:start w:val="1"/>
      <w:numFmt w:val="lowerLetter"/>
      <w:lvlText w:val="%2."/>
      <w:lvlJc w:val="left"/>
      <w:pPr>
        <w:ind w:left="3240" w:hanging="360"/>
      </w:pPr>
    </w:lvl>
    <w:lvl w:ilvl="2" w:tplc="1809001B" w:tentative="1">
      <w:start w:val="1"/>
      <w:numFmt w:val="lowerRoman"/>
      <w:lvlText w:val="%3."/>
      <w:lvlJc w:val="right"/>
      <w:pPr>
        <w:ind w:left="3960" w:hanging="180"/>
      </w:pPr>
    </w:lvl>
    <w:lvl w:ilvl="3" w:tplc="1809000F" w:tentative="1">
      <w:start w:val="1"/>
      <w:numFmt w:val="decimal"/>
      <w:lvlText w:val="%4."/>
      <w:lvlJc w:val="left"/>
      <w:pPr>
        <w:ind w:left="4680" w:hanging="360"/>
      </w:pPr>
    </w:lvl>
    <w:lvl w:ilvl="4" w:tplc="18090019" w:tentative="1">
      <w:start w:val="1"/>
      <w:numFmt w:val="lowerLetter"/>
      <w:lvlText w:val="%5."/>
      <w:lvlJc w:val="left"/>
      <w:pPr>
        <w:ind w:left="5400" w:hanging="360"/>
      </w:pPr>
    </w:lvl>
    <w:lvl w:ilvl="5" w:tplc="1809001B" w:tentative="1">
      <w:start w:val="1"/>
      <w:numFmt w:val="lowerRoman"/>
      <w:lvlText w:val="%6."/>
      <w:lvlJc w:val="right"/>
      <w:pPr>
        <w:ind w:left="6120" w:hanging="180"/>
      </w:pPr>
    </w:lvl>
    <w:lvl w:ilvl="6" w:tplc="1809000F">
      <w:start w:val="1"/>
      <w:numFmt w:val="decimal"/>
      <w:lvlText w:val="%7."/>
      <w:lvlJc w:val="left"/>
      <w:pPr>
        <w:ind w:left="6840" w:hanging="360"/>
      </w:pPr>
    </w:lvl>
    <w:lvl w:ilvl="7" w:tplc="18090019" w:tentative="1">
      <w:start w:val="1"/>
      <w:numFmt w:val="lowerLetter"/>
      <w:lvlText w:val="%8."/>
      <w:lvlJc w:val="left"/>
      <w:pPr>
        <w:ind w:left="7560" w:hanging="360"/>
      </w:pPr>
    </w:lvl>
    <w:lvl w:ilvl="8" w:tplc="1809001B" w:tentative="1">
      <w:start w:val="1"/>
      <w:numFmt w:val="lowerRoman"/>
      <w:lvlText w:val="%9."/>
      <w:lvlJc w:val="right"/>
      <w:pPr>
        <w:ind w:left="8280" w:hanging="180"/>
      </w:pPr>
    </w:lvl>
  </w:abstractNum>
  <w:abstractNum w:abstractNumId="42">
    <w:nsid w:val="6EB277CF"/>
    <w:multiLevelType w:val="hybridMultilevel"/>
    <w:tmpl w:val="468A70CC"/>
    <w:lvl w:ilvl="0" w:tplc="1809000F">
      <w:start w:val="2"/>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3">
    <w:nsid w:val="706B7EE5"/>
    <w:multiLevelType w:val="hybridMultilevel"/>
    <w:tmpl w:val="0F7EDACE"/>
    <w:lvl w:ilvl="0" w:tplc="7DF6A622">
      <w:start w:val="2"/>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4">
    <w:nsid w:val="70751576"/>
    <w:multiLevelType w:val="hybridMultilevel"/>
    <w:tmpl w:val="ECFE69E0"/>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45">
    <w:nsid w:val="72CA1298"/>
    <w:multiLevelType w:val="hybridMultilevel"/>
    <w:tmpl w:val="2D34B1FC"/>
    <w:lvl w:ilvl="0" w:tplc="BD8E7A14">
      <w:start w:val="1"/>
      <w:numFmt w:val="bullet"/>
      <w:lvlText w:val=""/>
      <w:lvlJc w:val="left"/>
      <w:pPr>
        <w:ind w:left="720" w:hanging="72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6">
    <w:nsid w:val="7CD67CA2"/>
    <w:multiLevelType w:val="hybridMultilevel"/>
    <w:tmpl w:val="61625C0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25"/>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3"/>
  </w:num>
  <w:num w:numId="28">
    <w:abstractNumId w:val="17"/>
  </w:num>
  <w:num w:numId="29">
    <w:abstractNumId w:val="21"/>
  </w:num>
  <w:num w:numId="30">
    <w:abstractNumId w:val="0"/>
  </w:num>
  <w:num w:numId="31">
    <w:abstractNumId w:val="38"/>
  </w:num>
  <w:num w:numId="32">
    <w:abstractNumId w:val="27"/>
  </w:num>
  <w:num w:numId="33">
    <w:abstractNumId w:val="20"/>
  </w:num>
  <w:num w:numId="34">
    <w:abstractNumId w:val="9"/>
  </w:num>
  <w:num w:numId="35">
    <w:abstractNumId w:val="6"/>
  </w:num>
  <w:num w:numId="36">
    <w:abstractNumId w:val="44"/>
  </w:num>
  <w:num w:numId="37">
    <w:abstractNumId w:val="34"/>
  </w:num>
  <w:num w:numId="38">
    <w:abstractNumId w:val="19"/>
  </w:num>
  <w:num w:numId="39">
    <w:abstractNumId w:val="37"/>
  </w:num>
  <w:num w:numId="40">
    <w:abstractNumId w:val="36"/>
  </w:num>
  <w:num w:numId="41">
    <w:abstractNumId w:val="23"/>
  </w:num>
  <w:num w:numId="42">
    <w:abstractNumId w:val="30"/>
  </w:num>
  <w:num w:numId="43">
    <w:abstractNumId w:val="14"/>
  </w:num>
  <w:num w:numId="44">
    <w:abstractNumId w:val="32"/>
  </w:num>
  <w:num w:numId="45">
    <w:abstractNumId w:val="1"/>
  </w:num>
  <w:num w:numId="46">
    <w:abstractNumId w:val="12"/>
  </w:num>
  <w:num w:numId="47">
    <w:abstractNumId w:val="13"/>
  </w:num>
  <w:num w:numId="48">
    <w:abstractNumId w:val="39"/>
  </w:num>
  <w:num w:numId="49">
    <w:abstractNumId w:val="4"/>
  </w:num>
  <w:num w:numId="50">
    <w:abstractNumId w:val="11"/>
  </w:num>
  <w:num w:numId="51">
    <w:abstractNumId w:val="5"/>
  </w:num>
  <w:num w:numId="52">
    <w:abstractNumId w:val="28"/>
  </w:num>
  <w:num w:numId="53">
    <w:abstractNumId w:val="15"/>
  </w:num>
  <w:num w:numId="54">
    <w:abstractNumId w:val="26"/>
  </w:num>
  <w:num w:numId="55">
    <w:abstractNumId w:val="22"/>
  </w:num>
  <w:num w:numId="56">
    <w:abstractNumId w:val="46"/>
  </w:num>
  <w:num w:numId="57">
    <w:abstractNumId w:val="24"/>
  </w:num>
  <w:num w:numId="58">
    <w:abstractNumId w:val="31"/>
  </w:num>
  <w:num w:numId="59">
    <w:abstractNumId w:val="41"/>
  </w:num>
  <w:num w:numId="60">
    <w:abstractNumId w:val="2"/>
  </w:num>
  <w:num w:numId="61">
    <w:abstractNumId w:val="10"/>
  </w:num>
  <w:num w:numId="62">
    <w:abstractNumId w:val="16"/>
  </w:num>
  <w:num w:numId="63">
    <w:abstractNumId w:val="40"/>
  </w:num>
  <w:num w:numId="64">
    <w:abstractNumId w:val="43"/>
  </w:num>
  <w:num w:numId="65">
    <w:abstractNumId w:val="45"/>
  </w:num>
  <w:num w:numId="66">
    <w:abstractNumId w:val="33"/>
  </w:num>
  <w:num w:numId="67">
    <w:abstractNumId w:val="35"/>
  </w:num>
  <w:num w:numId="68">
    <w:abstractNumId w:val="29"/>
  </w:num>
  <w:num w:numId="69">
    <w:abstractNumId w:val="42"/>
  </w:num>
  <w:num w:numId="70">
    <w:abstractNumId w:val="18"/>
  </w:num>
  <w:num w:numId="71">
    <w:abstractNumId w:val="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088816CF-2288-42B1-A13F-EC97190BBBD1"/>
    <w:docVar w:name="LW_COVERPAGE_TYPE" w:val="1"/>
    <w:docVar w:name="LW_CROSSREFERENCE" w:val="{COM(2019) 455 final}"/>
    <w:docVar w:name="LW_DocType" w:val="NORMAL"/>
    <w:docVar w:name="LW_EMISSION" w:val="14.10.2019"/>
    <w:docVar w:name="LW_EMISSION_ISODATE" w:val="2019-10-14"/>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on Implementation of Free Trade Agreements_x000d__x000b__x000d__x000b_1 January 2018 - 31 December 2018_x000d__x000b_"/>
    <w:docVar w:name="LW_PART_NBR" w:val="1"/>
    <w:docVar w:name="LW_PART_NBR_TOTAL" w:val="1"/>
    <w:docVar w:name="LW_REF.INST.NEW" w:val="SWD"/>
    <w:docVar w:name="LW_REF.INST.NEW_ADOPTED" w:val="final"/>
    <w:docVar w:name="LW_REF.INST.NEW_TEXT" w:val="(2019) 37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FMT:Bold&gt;Individual reports and info sheets on implementation of EU Free Trade Agreements&lt;/FMT&gt;"/>
    <w:docVar w:name="LW_TYPE.DOC.CP" w:val="COMMISSION STAFF WORKING DOCUMENT"/>
    <w:docVar w:name="LW_TYPEACTEPRINCIPAL.CP" w:val="REPORT FROM THE COMMISSION TO THE EUROPEAN PARLIAMENT, THE COUNCIL, THE EUROPEAN ECONOMIC AND SOCIAL COMMITTEE AND THE COMMITTEE OF THE REGIONS_x000b_"/>
  </w:docVar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rPr>
  </w:style>
  <w:style w:type="paragraph" w:styleId="Heading1">
    <w:name w:val="heading 1"/>
    <w:basedOn w:val="Normal"/>
    <w:next w:val="Text1"/>
    <w:link w:val="Heading1Char"/>
    <w:qFormat/>
    <w:pPr>
      <w:keepNext/>
      <w:tabs>
        <w:tab w:val="num" w:pos="480"/>
      </w:tabs>
      <w:spacing w:before="360" w:after="240"/>
      <w:ind w:left="480" w:hanging="480"/>
      <w:jc w:val="both"/>
      <w:outlineLvl w:val="0"/>
    </w:pPr>
    <w:rPr>
      <w:rFonts w:eastAsia="Times New Roman"/>
      <w:b/>
      <w:smallCaps/>
      <w:szCs w:val="20"/>
    </w:rPr>
  </w:style>
  <w:style w:type="paragraph" w:styleId="Heading2">
    <w:name w:val="heading 2"/>
    <w:basedOn w:val="Normal"/>
    <w:next w:val="Normal"/>
    <w:link w:val="Heading2Char"/>
    <w:qFormat/>
    <w:pPr>
      <w:keepNext/>
      <w:tabs>
        <w:tab w:val="num" w:pos="4570"/>
      </w:tabs>
      <w:spacing w:before="360" w:after="240"/>
      <w:ind w:left="4570" w:hanging="600"/>
      <w:jc w:val="both"/>
      <w:outlineLvl w:val="1"/>
    </w:pPr>
    <w:rPr>
      <w:b/>
      <w:noProof/>
      <w:szCs w:val="20"/>
      <w:lang w:eastAsia="en-GB"/>
    </w:rPr>
  </w:style>
  <w:style w:type="paragraph" w:styleId="Heading3">
    <w:name w:val="heading 3"/>
    <w:basedOn w:val="Normal"/>
    <w:next w:val="Normal"/>
    <w:link w:val="Heading3Char"/>
    <w:qFormat/>
    <w:pPr>
      <w:keepNext/>
      <w:tabs>
        <w:tab w:val="num" w:pos="1920"/>
      </w:tabs>
      <w:spacing w:before="360" w:after="240"/>
      <w:ind w:left="1920" w:hanging="840"/>
      <w:jc w:val="both"/>
      <w:outlineLvl w:val="2"/>
    </w:pPr>
    <w:rPr>
      <w:rFonts w:eastAsia="Times New Roman"/>
      <w:i/>
      <w:szCs w:val="20"/>
    </w:rPr>
  </w:style>
  <w:style w:type="paragraph" w:styleId="Heading4">
    <w:name w:val="heading 4"/>
    <w:basedOn w:val="Normal"/>
    <w:next w:val="Normal"/>
    <w:link w:val="Heading4Char"/>
    <w:qFormat/>
    <w:pPr>
      <w:keepNext/>
      <w:tabs>
        <w:tab w:val="num" w:pos="2880"/>
      </w:tabs>
      <w:spacing w:after="240"/>
      <w:ind w:left="2880" w:hanging="960"/>
      <w:jc w:val="both"/>
      <w:outlineLvl w:val="3"/>
    </w:pPr>
    <w:rPr>
      <w:rFonts w:eastAsia="Times New Roman"/>
      <w:szCs w:val="20"/>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jc w:val="both"/>
    </w:pPr>
    <w:rPr>
      <w:szCs w:val="22"/>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sz w:val="24"/>
      <w:szCs w:val="24"/>
      <w:lang w:val="en-GB"/>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sz w:val="24"/>
      <w:szCs w:val="24"/>
      <w:lang w:val="en-GB"/>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FooterCoverPageChar">
    <w:name w:val="Footer Cover Page Char"/>
    <w:basedOn w:val="DefaultParagraphFont"/>
    <w:link w:val="FooterCoverPage"/>
    <w:rPr>
      <w:sz w:val="24"/>
      <w:szCs w:val="24"/>
      <w:lang w:val="en-GB"/>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character" w:customStyle="1" w:styleId="FooterSensitivityChar">
    <w:name w:val="Footer Sensitivity Char"/>
    <w:basedOn w:val="DefaultParagraphFont"/>
    <w:link w:val="FooterSensitivity"/>
    <w:rPr>
      <w:b/>
      <w:sz w:val="32"/>
      <w:szCs w:val="24"/>
      <w:lang w:val="en-GB"/>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basedOn w:val="DefaultParagraphFont"/>
    <w:link w:val="HeaderCoverPage"/>
    <w:rPr>
      <w:sz w:val="24"/>
      <w:szCs w:val="24"/>
      <w:lang w:val="en-GB"/>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b/>
      <w:sz w:val="32"/>
      <w:szCs w:val="24"/>
      <w:lang w:val="en-GB"/>
    </w:rPr>
  </w:style>
  <w:style w:type="character" w:customStyle="1" w:styleId="Heading1Char">
    <w:name w:val="Heading 1 Char"/>
    <w:basedOn w:val="DefaultParagraphFont"/>
    <w:link w:val="Heading1"/>
    <w:rPr>
      <w:rFonts w:eastAsia="Times New Roman"/>
      <w:b/>
      <w:smallCaps/>
      <w:sz w:val="24"/>
      <w:lang w:val="en-GB"/>
    </w:rPr>
  </w:style>
  <w:style w:type="character" w:customStyle="1" w:styleId="Heading2Char">
    <w:name w:val="Heading 2 Char"/>
    <w:basedOn w:val="DefaultParagraphFont"/>
    <w:link w:val="Heading2"/>
    <w:rPr>
      <w:b/>
      <w:noProof/>
      <w:sz w:val="24"/>
      <w:lang w:val="en-GB" w:eastAsia="en-GB"/>
    </w:rPr>
  </w:style>
  <w:style w:type="character" w:customStyle="1" w:styleId="Heading3Char">
    <w:name w:val="Heading 3 Char"/>
    <w:basedOn w:val="DefaultParagraphFont"/>
    <w:link w:val="Heading3"/>
    <w:rPr>
      <w:rFonts w:eastAsia="Times New Roman"/>
      <w:i/>
      <w:sz w:val="24"/>
      <w:lang w:val="en-GB"/>
    </w:rPr>
  </w:style>
  <w:style w:type="character" w:customStyle="1" w:styleId="Heading4Char">
    <w:name w:val="Heading 4 Char"/>
    <w:basedOn w:val="DefaultParagraphFont"/>
    <w:link w:val="Heading4"/>
    <w:rPr>
      <w:rFonts w:eastAsia="Times New Roman"/>
      <w:sz w:val="24"/>
      <w:lang w:val="en-GB"/>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sz w:val="24"/>
      <w:szCs w:val="24"/>
      <w:lang w:val="en-GB"/>
    </w:rPr>
  </w:style>
  <w:style w:type="table" w:styleId="TableGrid">
    <w:name w:val="Table Grid"/>
    <w:basedOn w:val="TableNormal"/>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pPr>
      <w:spacing w:after="24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GB"/>
    </w:rPr>
  </w:style>
  <w:style w:type="paragraph" w:styleId="FootnoteText">
    <w:name w:val="footnote text"/>
    <w:aliases w:val="fn,footnote text,Footnotes,Footnote ak,ft,fn cafc,fn Char,footnote text Char,Footnotes Char,Footnote ak Char,Footnotes Char Char,fn Char Char,footnote text Char Char Char Ch,Footnote ak Char Char,C,f,footnote citation,Cha,Fußnote,Carattere"/>
    <w:basedOn w:val="Normal"/>
    <w:link w:val="FootnoteTextChar"/>
    <w:uiPriority w:val="99"/>
    <w:unhideWhenUsed/>
    <w:qFormat/>
    <w:pPr>
      <w:ind w:left="300" w:hanging="300"/>
      <w:jc w:val="both"/>
    </w:pPr>
    <w:rPr>
      <w:rFonts w:cstheme="minorBidi"/>
      <w:sz w:val="20"/>
      <w:szCs w:val="20"/>
    </w:rPr>
  </w:style>
  <w:style w:type="character" w:customStyle="1" w:styleId="FootnoteTextChar">
    <w:name w:val="Footnote Text Char"/>
    <w:aliases w:val="fn Char1,footnote text Char1,Footnotes Char1,Footnote ak Char1,ft Char,fn cafc Char,fn Char Char1,footnote text Char Char,Footnotes Char Char1,Footnote ak Char Char1,Footnotes Char Char Char,fn Char Char Char,C Char,f Char,Cha Char"/>
    <w:basedOn w:val="DefaultParagraphFont"/>
    <w:link w:val="FootnoteText"/>
    <w:uiPriority w:val="99"/>
    <w:rPr>
      <w:rFonts w:cstheme="minorBidi"/>
      <w:lang w:val="en-GB"/>
    </w:rPr>
  </w:style>
  <w:style w:type="character" w:styleId="FootnoteReference">
    <w:name w:val="footnote reference"/>
    <w:aliases w:val="Ref,de nota al pie,Footnote Reference1,Ref1,de nota al pie1,註腳內容,de nota al pie + (Asian) MS Mincho,11 pt,-E Fußnotenzeichen,16 Point,Superscript 6 Point,註?腳內—e,ftref,(NECG) Footnote Reference,fr,Footnote symbol,BVI fnr,Times 10 Point"/>
    <w:basedOn w:val="DefaultParagraphFont"/>
    <w:link w:val="ftrefCharCharCharCharCharCharCharCharChar"/>
    <w:uiPriority w:val="99"/>
    <w:unhideWhenUsed/>
    <w:rPr>
      <w:vertAlign w:val="superscript"/>
    </w:rPr>
  </w:style>
  <w:style w:type="character" w:styleId="Hyperlink">
    <w:name w:val="Hyperlink"/>
    <w:basedOn w:val="DefaultParagraphFont"/>
    <w:uiPriority w:val="99"/>
    <w:unhideWhenUsed/>
    <w:rPr>
      <w:color w:val="0000FF" w:themeColor="hyperlink"/>
      <w:u w:val="single"/>
    </w:r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pPr>
      <w:spacing w:after="240"/>
    </w:pPr>
    <w:rPr>
      <w:rFonts w:eastAsia="Calibri"/>
      <w:noProof/>
      <w:sz w:val="20"/>
      <w:szCs w:val="20"/>
    </w:rPr>
  </w:style>
  <w:style w:type="character" w:customStyle="1" w:styleId="CommentTextChar">
    <w:name w:val="Comment Text Char"/>
    <w:basedOn w:val="DefaultParagraphFont"/>
    <w:link w:val="CommentText"/>
    <w:uiPriority w:val="99"/>
    <w:rPr>
      <w:rFonts w:eastAsia="Calibri"/>
      <w:noProof/>
      <w:lang w:val="en-GB"/>
    </w:rPr>
  </w:style>
  <w:style w:type="numbering" w:customStyle="1" w:styleId="NoList1">
    <w:name w:val="No List1"/>
    <w:next w:val="NoList"/>
    <w:uiPriority w:val="99"/>
    <w:semiHidden/>
    <w:unhideWhenUsed/>
  </w:style>
  <w:style w:type="paragraph" w:customStyle="1" w:styleId="Text1">
    <w:name w:val="Text 1"/>
    <w:basedOn w:val="Normal"/>
    <w:pPr>
      <w:spacing w:after="240"/>
      <w:ind w:left="482"/>
      <w:jc w:val="both"/>
    </w:pPr>
    <w:rPr>
      <w:rFonts w:eastAsia="Times New Roman"/>
      <w:szCs w:val="20"/>
    </w:rPr>
  </w:style>
  <w:style w:type="paragraph" w:customStyle="1" w:styleId="Titreobjet">
    <w:name w:val="Titre objet"/>
    <w:basedOn w:val="Normal"/>
    <w:next w:val="Normal"/>
    <w:pPr>
      <w:spacing w:before="360" w:after="360"/>
      <w:jc w:val="center"/>
    </w:pPr>
    <w:rPr>
      <w:rFonts w:eastAsia="Times New Roman"/>
      <w:b/>
      <w:szCs w:val="20"/>
      <w:lang w:eastAsia="en-GB"/>
    </w:rPr>
  </w:style>
  <w:style w:type="paragraph" w:customStyle="1" w:styleId="Typedudocument">
    <w:name w:val="Type du document"/>
    <w:basedOn w:val="Normal"/>
    <w:next w:val="Titreobjet"/>
    <w:link w:val="TypedudocumentChar"/>
    <w:pPr>
      <w:spacing w:before="360" w:after="240"/>
      <w:jc w:val="center"/>
    </w:pPr>
    <w:rPr>
      <w:rFonts w:eastAsia="Times New Roman"/>
      <w:b/>
      <w:szCs w:val="20"/>
      <w:lang w:eastAsia="en-GB"/>
    </w:rPr>
  </w:style>
  <w:style w:type="character" w:customStyle="1" w:styleId="TypedudocumentChar">
    <w:name w:val="Type du document Char"/>
    <w:link w:val="Typedudocument"/>
    <w:rPr>
      <w:rFonts w:eastAsia="Times New Roman"/>
      <w:b/>
      <w:sz w:val="24"/>
      <w:lang w:val="en-GB" w:eastAsia="en-GB"/>
    </w:rPr>
  </w:style>
  <w:style w:type="paragraph" w:customStyle="1" w:styleId="Default">
    <w:name w:val="Default"/>
    <w:pPr>
      <w:autoSpaceDE w:val="0"/>
      <w:autoSpaceDN w:val="0"/>
      <w:adjustRightInd w:val="0"/>
    </w:pPr>
    <w:rPr>
      <w:rFonts w:ascii="EUAlbertina" w:hAnsi="EUAlbertina" w:cs="EUAlbertina"/>
      <w:color w:val="000000"/>
      <w:sz w:val="24"/>
      <w:szCs w:val="24"/>
      <w:lang w:val="en-GB"/>
    </w:rPr>
  </w:style>
  <w:style w:type="paragraph" w:customStyle="1" w:styleId="CM1">
    <w:name w:val="CM1"/>
    <w:basedOn w:val="Default"/>
    <w:next w:val="Default"/>
    <w:uiPriority w:val="99"/>
    <w:rPr>
      <w:rFonts w:cstheme="minorBidi"/>
      <w:color w:val="auto"/>
    </w:rPr>
  </w:style>
  <w:style w:type="paragraph" w:customStyle="1" w:styleId="CM3">
    <w:name w:val="CM3"/>
    <w:basedOn w:val="Default"/>
    <w:next w:val="Default"/>
    <w:uiPriority w:val="99"/>
    <w:rPr>
      <w:rFonts w:cstheme="minorBidi"/>
      <w:color w:val="auto"/>
    </w:rPr>
  </w:style>
  <w:style w:type="paragraph" w:styleId="NoSpacing">
    <w:name w:val="No Spacing"/>
    <w:uiPriority w:val="1"/>
    <w:qFormat/>
    <w:rPr>
      <w:rFonts w:asciiTheme="minorHAnsi" w:hAnsiTheme="minorHAnsi" w:cstheme="minorBidi"/>
      <w:sz w:val="22"/>
      <w:szCs w:val="22"/>
      <w:lang w:val="en-GB"/>
    </w:rPr>
  </w:style>
  <w:style w:type="paragraph" w:styleId="ListParagraph">
    <w:name w:val="List Paragraph"/>
    <w:basedOn w:val="Normal"/>
    <w:link w:val="ListParagraphChar"/>
    <w:uiPriority w:val="34"/>
    <w:qFormat/>
    <w:pPr>
      <w:spacing w:after="200" w:line="276" w:lineRule="auto"/>
      <w:ind w:left="720"/>
      <w:contextualSpacing/>
    </w:pPr>
    <w:rPr>
      <w:rFonts w:asciiTheme="minorHAnsi" w:hAnsiTheme="minorHAnsi" w:cstheme="minorBidi"/>
      <w:sz w:val="22"/>
      <w:szCs w:val="22"/>
    </w:rPr>
  </w:style>
  <w:style w:type="paragraph" w:styleId="PlainText">
    <w:name w:val="Plain Text"/>
    <w:basedOn w:val="Normal"/>
    <w:link w:val="PlainTextChar"/>
    <w:uiPriority w:val="99"/>
    <w:unhideWhenUsed/>
    <w:pPr>
      <w:spacing w:after="240"/>
    </w:pPr>
    <w:rPr>
      <w:rFonts w:ascii="Calibri" w:eastAsia="Times New Roman" w:hAnsi="Calibri"/>
      <w:sz w:val="22"/>
      <w:szCs w:val="21"/>
      <w:lang w:eastAsia="en-GB"/>
    </w:rPr>
  </w:style>
  <w:style w:type="character" w:customStyle="1" w:styleId="PlainTextChar">
    <w:name w:val="Plain Text Char"/>
    <w:basedOn w:val="DefaultParagraphFont"/>
    <w:link w:val="PlainText"/>
    <w:uiPriority w:val="99"/>
    <w:rPr>
      <w:rFonts w:ascii="Calibri" w:eastAsia="Times New Roman" w:hAnsi="Calibri"/>
      <w:sz w:val="22"/>
      <w:szCs w:val="21"/>
      <w:lang w:val="en-GB" w:eastAsia="en-GB"/>
    </w:rPr>
  </w:style>
  <w:style w:type="paragraph" w:styleId="CommentSubject">
    <w:name w:val="annotation subject"/>
    <w:basedOn w:val="CommentText"/>
    <w:next w:val="CommentText"/>
    <w:link w:val="CommentSubjectChar"/>
    <w:uiPriority w:val="99"/>
    <w:semiHidden/>
    <w:unhideWhenUsed/>
    <w:pPr>
      <w:jc w:val="both"/>
    </w:pPr>
    <w:rPr>
      <w:rFonts w:eastAsia="Times New Roman"/>
      <w:b/>
      <w:bCs/>
      <w:noProof w:val="0"/>
    </w:rPr>
  </w:style>
  <w:style w:type="character" w:customStyle="1" w:styleId="CommentSubjectChar">
    <w:name w:val="Comment Subject Char"/>
    <w:basedOn w:val="CommentTextChar"/>
    <w:link w:val="CommentSubject"/>
    <w:uiPriority w:val="99"/>
    <w:semiHidden/>
    <w:rPr>
      <w:rFonts w:eastAsia="Times New Roman"/>
      <w:b/>
      <w:bCs/>
      <w:noProof/>
      <w:lang w:val="en-GB"/>
    </w:rPr>
  </w:style>
  <w:style w:type="table" w:customStyle="1" w:styleId="TableGrid1">
    <w:name w:val="Table Grid1"/>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Pr>
      <w:rFonts w:eastAsia="Times New Roman"/>
      <w:sz w:val="24"/>
      <w:lang w:val="en-GB"/>
    </w:rPr>
  </w:style>
  <w:style w:type="character" w:styleId="FollowedHyperlink">
    <w:name w:val="FollowedHyperlink"/>
    <w:basedOn w:val="DefaultParagraphFont"/>
    <w:uiPriority w:val="99"/>
    <w:semiHidden/>
    <w:unhideWhenUsed/>
    <w:rPr>
      <w:color w:val="800080" w:themeColor="followedHyperlink"/>
      <w:u w:val="single"/>
    </w:rPr>
  </w:style>
  <w:style w:type="character" w:styleId="Strong">
    <w:name w:val="Strong"/>
    <w:basedOn w:val="DefaultParagraphFont"/>
    <w:uiPriority w:val="22"/>
    <w:qFormat/>
    <w:rPr>
      <w:b/>
      <w:bCs/>
    </w:rPr>
  </w:style>
  <w:style w:type="numbering" w:customStyle="1" w:styleId="NoList2">
    <w:name w:val="No List2"/>
    <w:next w:val="NoList"/>
    <w:uiPriority w:val="99"/>
    <w:semiHidden/>
    <w:unhideWhenUsed/>
  </w:style>
  <w:style w:type="paragraph" w:customStyle="1" w:styleId="ManualHeading1">
    <w:name w:val="Manual Heading 1"/>
    <w:basedOn w:val="Normal"/>
    <w:next w:val="Text1"/>
    <w:pPr>
      <w:keepNext/>
      <w:tabs>
        <w:tab w:val="left" w:pos="850"/>
      </w:tabs>
      <w:spacing w:before="360" w:after="120"/>
      <w:ind w:left="850" w:hanging="850"/>
      <w:jc w:val="both"/>
      <w:outlineLvl w:val="0"/>
    </w:pPr>
    <w:rPr>
      <w:rFonts w:eastAsia="Times New Roman"/>
      <w:b/>
      <w:smallCaps/>
      <w:noProof/>
      <w:szCs w:val="20"/>
      <w:lang w:eastAsia="en-GB"/>
    </w:rPr>
  </w:style>
  <w:style w:type="paragraph" w:customStyle="1" w:styleId="ManualHeading2">
    <w:name w:val="Manual Heading 2"/>
    <w:basedOn w:val="Normal"/>
    <w:next w:val="Text1"/>
    <w:pPr>
      <w:keepNext/>
      <w:tabs>
        <w:tab w:val="left" w:pos="850"/>
      </w:tabs>
      <w:spacing w:before="120" w:after="120"/>
      <w:ind w:left="850" w:hanging="850"/>
      <w:jc w:val="both"/>
      <w:outlineLvl w:val="1"/>
    </w:pPr>
    <w:rPr>
      <w:rFonts w:eastAsia="Times New Roman"/>
      <w:b/>
      <w:noProof/>
      <w:szCs w:val="20"/>
      <w:lang w:eastAsia="en-GB"/>
    </w:rPr>
  </w:style>
  <w:style w:type="table" w:customStyle="1" w:styleId="TableGrid2">
    <w:name w:val="Table Grid2"/>
    <w:basedOn w:val="TableNormal"/>
    <w:next w:val="TableGrid"/>
    <w:uiPriority w:val="59"/>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utexte">
    <w:name w:val="Corps du texte_"/>
    <w:link w:val="Corpsdutexte0"/>
    <w:rPr>
      <w:sz w:val="23"/>
      <w:szCs w:val="23"/>
      <w:shd w:val="clear" w:color="auto" w:fill="FFFFFF"/>
    </w:rPr>
  </w:style>
  <w:style w:type="paragraph" w:customStyle="1" w:styleId="Corpsdutexte0">
    <w:name w:val="Corps du texte"/>
    <w:basedOn w:val="Normal"/>
    <w:link w:val="Corpsdutexte"/>
    <w:pPr>
      <w:widowControl w:val="0"/>
      <w:shd w:val="clear" w:color="auto" w:fill="FFFFFF"/>
      <w:spacing w:after="1380" w:line="274" w:lineRule="exact"/>
      <w:ind w:hanging="360"/>
    </w:pPr>
    <w:rPr>
      <w:sz w:val="23"/>
      <w:szCs w:val="23"/>
      <w:lang w:val="en-US"/>
    </w:rPr>
  </w:style>
  <w:style w:type="character" w:customStyle="1" w:styleId="En-tteoupieddepage">
    <w:name w:val="En-tête ou pied de page_"/>
    <w:link w:val="En-tteoupieddepage0"/>
    <w:rPr>
      <w:shd w:val="clear" w:color="auto" w:fill="FFFFFF"/>
    </w:rPr>
  </w:style>
  <w:style w:type="character" w:customStyle="1" w:styleId="En-tteoupieddepage115pt">
    <w:name w:val="En-tête ou pied de page + 11.5 pt"/>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paragraph" w:customStyle="1" w:styleId="En-tteoupieddepage0">
    <w:name w:val="En-tête ou pied de page"/>
    <w:basedOn w:val="Normal"/>
    <w:link w:val="En-tteoupieddepage"/>
    <w:pPr>
      <w:widowControl w:val="0"/>
      <w:shd w:val="clear" w:color="auto" w:fill="FFFFFF"/>
      <w:spacing w:after="240"/>
    </w:pPr>
    <w:rPr>
      <w:sz w:val="20"/>
      <w:szCs w:val="20"/>
      <w:lang w:val="en-US"/>
    </w:rPr>
  </w:style>
  <w:style w:type="character" w:customStyle="1" w:styleId="Corpsdutexte12">
    <w:name w:val="Corps du texte (12)_"/>
    <w:link w:val="Corpsdutexte120"/>
    <w:rPr>
      <w:sz w:val="21"/>
      <w:szCs w:val="21"/>
      <w:shd w:val="clear" w:color="auto" w:fill="FFFFFF"/>
    </w:rPr>
  </w:style>
  <w:style w:type="paragraph" w:customStyle="1" w:styleId="Corpsdutexte120">
    <w:name w:val="Corps du texte (12)"/>
    <w:basedOn w:val="Normal"/>
    <w:link w:val="Corpsdutexte12"/>
    <w:pPr>
      <w:widowControl w:val="0"/>
      <w:shd w:val="clear" w:color="auto" w:fill="FFFFFF"/>
      <w:spacing w:after="240" w:line="0" w:lineRule="atLeast"/>
    </w:pPr>
    <w:rPr>
      <w:sz w:val="21"/>
      <w:szCs w:val="21"/>
      <w:lang w:val="en-US"/>
    </w:rPr>
  </w:style>
  <w:style w:type="paragraph" w:customStyle="1" w:styleId="TechnicalBlock">
    <w:name w:val="Technical Block"/>
    <w:basedOn w:val="Normal"/>
    <w:link w:val="TechnicalBlockChar"/>
    <w:pPr>
      <w:spacing w:after="240" w:line="276" w:lineRule="auto"/>
      <w:jc w:val="center"/>
    </w:pPr>
    <w:rPr>
      <w:rFonts w:ascii="Calibri" w:eastAsia="Calibri" w:hAnsi="Calibri"/>
      <w:sz w:val="22"/>
      <w:szCs w:val="22"/>
    </w:rPr>
  </w:style>
  <w:style w:type="character" w:customStyle="1" w:styleId="TechnicalBlockChar">
    <w:name w:val="Technical Block Char"/>
    <w:basedOn w:val="DefaultParagraphFont"/>
    <w:link w:val="TechnicalBlock"/>
    <w:rPr>
      <w:rFonts w:ascii="Calibri" w:eastAsia="Calibri" w:hAnsi="Calibri"/>
      <w:sz w:val="22"/>
      <w:szCs w:val="22"/>
      <w:lang w:val="en-GB"/>
    </w:rPr>
  </w:style>
  <w:style w:type="paragraph" w:customStyle="1" w:styleId="EntText">
    <w:name w:val="EntText"/>
    <w:basedOn w:val="Normal"/>
    <w:pPr>
      <w:spacing w:before="120" w:after="120" w:line="360" w:lineRule="auto"/>
    </w:pPr>
    <w:rPr>
      <w:rFonts w:eastAsia="Times New Roman"/>
    </w:rPr>
  </w:style>
  <w:style w:type="paragraph" w:customStyle="1" w:styleId="Lignefinal">
    <w:name w:val="Ligne final"/>
    <w:basedOn w:val="Normal"/>
    <w:next w:val="Normal"/>
    <w:pPr>
      <w:pBdr>
        <w:bottom w:val="single" w:sz="4" w:space="0" w:color="000000"/>
      </w:pBdr>
      <w:spacing w:before="360" w:after="120" w:line="360" w:lineRule="auto"/>
      <w:ind w:left="3400" w:right="3400"/>
      <w:jc w:val="center"/>
    </w:pPr>
    <w:rPr>
      <w:rFonts w:eastAsia="Times New Roman"/>
      <w:b/>
    </w:rPr>
  </w:style>
  <w:style w:type="paragraph" w:customStyle="1" w:styleId="pj">
    <w:name w:val="p.j."/>
    <w:basedOn w:val="Normal"/>
    <w:link w:val="pjChar"/>
    <w:pPr>
      <w:spacing w:before="1200" w:after="120"/>
      <w:ind w:left="1440" w:hanging="1440"/>
    </w:pPr>
    <w:rPr>
      <w:rFonts w:ascii="Calibri" w:eastAsia="Calibri" w:hAnsi="Calibri"/>
      <w:szCs w:val="22"/>
    </w:rPr>
  </w:style>
  <w:style w:type="character" w:customStyle="1" w:styleId="pjChar">
    <w:name w:val="p.j. Char"/>
    <w:basedOn w:val="TechnicalBlockChar"/>
    <w:link w:val="pj"/>
    <w:rPr>
      <w:rFonts w:ascii="Calibri" w:eastAsia="Calibri" w:hAnsi="Calibri"/>
      <w:sz w:val="24"/>
      <w:szCs w:val="22"/>
      <w:lang w:val="en-GB"/>
    </w:rPr>
  </w:style>
  <w:style w:type="paragraph" w:customStyle="1" w:styleId="HeaderCouncil">
    <w:name w:val="Header Council"/>
    <w:basedOn w:val="Normal"/>
    <w:link w:val="HeaderCouncilChar"/>
    <w:pPr>
      <w:spacing w:after="240" w:line="276" w:lineRule="auto"/>
    </w:pPr>
    <w:rPr>
      <w:rFonts w:ascii="Calibri" w:eastAsia="Calibri" w:hAnsi="Calibri"/>
      <w:sz w:val="2"/>
      <w:szCs w:val="22"/>
    </w:rPr>
  </w:style>
  <w:style w:type="character" w:customStyle="1" w:styleId="HeaderCouncilChar">
    <w:name w:val="Header Council Char"/>
    <w:basedOn w:val="pjChar"/>
    <w:link w:val="HeaderCouncil"/>
    <w:rPr>
      <w:rFonts w:ascii="Calibri" w:eastAsia="Calibri" w:hAnsi="Calibri"/>
      <w:sz w:val="2"/>
      <w:szCs w:val="22"/>
      <w:lang w:val="en-GB"/>
    </w:rPr>
  </w:style>
  <w:style w:type="paragraph" w:customStyle="1" w:styleId="HeaderCouncilLarge">
    <w:name w:val="Header Council Large"/>
    <w:basedOn w:val="Normal"/>
    <w:link w:val="HeaderCouncilLargeChar"/>
    <w:pPr>
      <w:spacing w:after="440" w:line="276" w:lineRule="auto"/>
    </w:pPr>
    <w:rPr>
      <w:rFonts w:ascii="Calibri" w:eastAsia="Calibri" w:hAnsi="Calibri"/>
      <w:sz w:val="2"/>
      <w:szCs w:val="22"/>
    </w:rPr>
  </w:style>
  <w:style w:type="character" w:customStyle="1" w:styleId="HeaderCouncilLargeChar">
    <w:name w:val="Header Council Large Char"/>
    <w:basedOn w:val="pjChar"/>
    <w:link w:val="HeaderCouncilLarge"/>
    <w:rPr>
      <w:rFonts w:ascii="Calibri" w:eastAsia="Calibri" w:hAnsi="Calibri"/>
      <w:sz w:val="2"/>
      <w:szCs w:val="22"/>
      <w:lang w:val="en-GB"/>
    </w:rPr>
  </w:style>
  <w:style w:type="paragraph" w:customStyle="1" w:styleId="FooterCouncil">
    <w:name w:val="Footer Council"/>
    <w:basedOn w:val="Normal"/>
    <w:link w:val="FooterCouncilChar"/>
    <w:pPr>
      <w:spacing w:after="240" w:line="276" w:lineRule="auto"/>
    </w:pPr>
    <w:rPr>
      <w:rFonts w:ascii="Calibri" w:eastAsia="Calibri" w:hAnsi="Calibri"/>
      <w:sz w:val="2"/>
      <w:szCs w:val="22"/>
    </w:rPr>
  </w:style>
  <w:style w:type="character" w:customStyle="1" w:styleId="FooterCouncilChar">
    <w:name w:val="Footer Council Char"/>
    <w:basedOn w:val="pjChar"/>
    <w:link w:val="FooterCouncil"/>
    <w:rPr>
      <w:rFonts w:ascii="Calibri" w:eastAsia="Calibri" w:hAnsi="Calibri"/>
      <w:sz w:val="2"/>
      <w:szCs w:val="22"/>
      <w:lang w:val="en-GB"/>
    </w:rPr>
  </w:style>
  <w:style w:type="paragraph" w:customStyle="1" w:styleId="FooterText">
    <w:name w:val="Footer Text"/>
    <w:basedOn w:val="Normal"/>
    <w:pPr>
      <w:spacing w:after="240"/>
    </w:pPr>
    <w:rPr>
      <w:rFonts w:eastAsia="Times New Roman"/>
    </w:rPr>
  </w:style>
  <w:style w:type="character" w:customStyle="1" w:styleId="st1">
    <w:name w:val="st1"/>
    <w:basedOn w:val="DefaultParagraphFont"/>
  </w:style>
  <w:style w:type="paragraph" w:styleId="EndnoteText">
    <w:name w:val="endnote text"/>
    <w:basedOn w:val="Normal"/>
    <w:link w:val="EndnoteTextChar"/>
    <w:uiPriority w:val="99"/>
    <w:semiHidden/>
    <w:unhideWhenUsed/>
    <w:pPr>
      <w:spacing w:after="240"/>
    </w:pPr>
    <w:rPr>
      <w:rFonts w:ascii="Calibri" w:eastAsia="Calibri" w:hAnsi="Calibri"/>
      <w:sz w:val="20"/>
      <w:szCs w:val="20"/>
    </w:rPr>
  </w:style>
  <w:style w:type="character" w:customStyle="1" w:styleId="EndnoteTextChar">
    <w:name w:val="Endnote Text Char"/>
    <w:basedOn w:val="DefaultParagraphFont"/>
    <w:link w:val="EndnoteText"/>
    <w:uiPriority w:val="99"/>
    <w:semiHidden/>
    <w:rPr>
      <w:rFonts w:ascii="Calibri" w:eastAsia="Calibri" w:hAnsi="Calibri"/>
      <w:lang w:val="en-GB"/>
    </w:rPr>
  </w:style>
  <w:style w:type="character" w:styleId="EndnoteReference">
    <w:name w:val="endnote reference"/>
    <w:basedOn w:val="DefaultParagraphFont"/>
    <w:uiPriority w:val="99"/>
    <w:semiHidden/>
    <w:unhideWhenUsed/>
    <w:rPr>
      <w:vertAlign w:val="superscript"/>
    </w:rPr>
  </w:style>
  <w:style w:type="character" w:customStyle="1" w:styleId="ListParagraphChar">
    <w:name w:val="List Paragraph Char"/>
    <w:link w:val="ListParagraph"/>
    <w:uiPriority w:val="34"/>
    <w:rPr>
      <w:rFonts w:asciiTheme="minorHAnsi" w:hAnsiTheme="minorHAnsi" w:cstheme="minorBidi"/>
      <w:sz w:val="22"/>
      <w:szCs w:val="22"/>
      <w:lang w:val="en-GB"/>
    </w:rPr>
  </w:style>
  <w:style w:type="table" w:customStyle="1" w:styleId="TableGrid3">
    <w:name w:val="Table Grid3"/>
    <w:basedOn w:val="TableNormal"/>
    <w:next w:val="TableGrid"/>
    <w:uiPriority w:val="3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4">
    <w:name w:val="CM4"/>
    <w:basedOn w:val="Default"/>
    <w:next w:val="Default"/>
    <w:uiPriority w:val="99"/>
    <w:rPr>
      <w:rFonts w:cstheme="minorBidi"/>
      <w:color w:val="auto"/>
    </w:rPr>
  </w:style>
  <w:style w:type="table" w:customStyle="1" w:styleId="TableGrid6">
    <w:name w:val="Table Grid6"/>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Pr>
      <w:rFonts w:asciiTheme="minorHAnsi" w:hAnsiTheme="minorHAnsi" w:cstheme="minorBid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Pr>
      <w:rFonts w:asciiTheme="minorHAnsi" w:hAnsiTheme="minorHAnsi" w:cstheme="minorBid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unhideWhenUsed/>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style>
  <w:style w:type="table" w:customStyle="1" w:styleId="TableGrid11">
    <w:name w:val="Table Grid11"/>
    <w:basedOn w:val="TableNormal"/>
    <w:next w:val="TableGrid"/>
    <w:uiPriority w:val="59"/>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style>
  <w:style w:type="paragraph" w:customStyle="1" w:styleId="ChapterHead">
    <w:name w:val="ChapterHead"/>
    <w:basedOn w:val="Normal"/>
    <w:qFormat/>
    <w:pPr>
      <w:spacing w:after="240"/>
    </w:pPr>
  </w:style>
  <w:style w:type="paragraph" w:customStyle="1" w:styleId="Heaidng3">
    <w:name w:val="Heaidng 3"/>
    <w:basedOn w:val="Normal"/>
    <w:pPr>
      <w:spacing w:after="120" w:line="276" w:lineRule="auto"/>
      <w:ind w:firstLine="720"/>
      <w:jc w:val="both"/>
    </w:pPr>
    <w:rPr>
      <w:rFonts w:eastAsia="Times New Roman"/>
      <w:b/>
      <w:i/>
      <w:noProof/>
      <w:lang w:eastAsia="fr-BE"/>
    </w:rPr>
  </w:style>
  <w:style w:type="paragraph" w:customStyle="1" w:styleId="Heaeding3">
    <w:name w:val="Heaeding 3"/>
    <w:basedOn w:val="Normal"/>
    <w:pPr>
      <w:spacing w:after="120" w:line="276" w:lineRule="auto"/>
      <w:ind w:firstLine="720"/>
      <w:jc w:val="both"/>
    </w:pPr>
    <w:rPr>
      <w:rFonts w:eastAsia="Times New Roman"/>
      <w:b/>
      <w:i/>
      <w:noProof/>
      <w:lang w:eastAsia="fr-BE"/>
    </w:rPr>
  </w:style>
  <w:style w:type="paragraph" w:customStyle="1" w:styleId="Heaidng1">
    <w:name w:val="Heaidng 1"/>
    <w:basedOn w:val="Normal"/>
    <w:pPr>
      <w:spacing w:before="240" w:after="120" w:line="276" w:lineRule="auto"/>
    </w:pPr>
    <w:rPr>
      <w:b/>
      <w:bCs/>
      <w:noProof/>
    </w:rPr>
  </w:style>
  <w:style w:type="paragraph" w:styleId="NormalWeb">
    <w:name w:val="Normal (Web)"/>
    <w:basedOn w:val="Normal"/>
    <w:uiPriority w:val="99"/>
    <w:unhideWhenUsed/>
    <w:pPr>
      <w:spacing w:before="100" w:beforeAutospacing="1" w:after="100" w:afterAutospacing="1"/>
    </w:pPr>
    <w:rPr>
      <w:rFonts w:eastAsia="Times New Roman"/>
      <w:lang w:eastAsia="en-GB"/>
    </w:rPr>
  </w:style>
  <w:style w:type="paragraph" w:styleId="TOCHeading">
    <w:name w:val="TOC Heading"/>
    <w:basedOn w:val="Heading1"/>
    <w:next w:val="Normal"/>
    <w:uiPriority w:val="39"/>
    <w:unhideWhenUsed/>
    <w:qFormat/>
    <w:pPr>
      <w:keepLines/>
      <w:tabs>
        <w:tab w:val="clear" w:pos="480"/>
      </w:tabs>
      <w:spacing w:before="240" w:after="0" w:line="259" w:lineRule="auto"/>
      <w:ind w:left="0" w:firstLine="0"/>
      <w:jc w:val="left"/>
      <w:outlineLvl w:val="9"/>
    </w:pPr>
    <w:rPr>
      <w:rFonts w:asciiTheme="majorHAnsi" w:eastAsiaTheme="majorEastAsia" w:hAnsiTheme="majorHAnsi" w:cstheme="majorBidi"/>
      <w:b w:val="0"/>
      <w:smallCaps w:val="0"/>
      <w:color w:val="365F91" w:themeColor="accent1" w:themeShade="BF"/>
      <w:sz w:val="32"/>
      <w:szCs w:val="32"/>
      <w:lang w:val="en-US"/>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40"/>
    </w:pPr>
  </w:style>
  <w:style w:type="paragraph" w:styleId="TOC3">
    <w:name w:val="toc 3"/>
    <w:basedOn w:val="Normal"/>
    <w:next w:val="Normal"/>
    <w:autoRedefine/>
    <w:uiPriority w:val="39"/>
    <w:unhideWhenUsed/>
    <w:pPr>
      <w:spacing w:after="100"/>
      <w:ind w:left="480"/>
    </w:pPr>
  </w:style>
  <w:style w:type="paragraph" w:styleId="TOC4">
    <w:name w:val="toc 4"/>
    <w:basedOn w:val="Normal"/>
    <w:next w:val="Normal"/>
    <w:autoRedefine/>
    <w:uiPriority w:val="39"/>
    <w:unhideWhenUsed/>
    <w:pPr>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pPr>
      <w:spacing w:after="100" w:line="259" w:lineRule="auto"/>
      <w:ind w:left="1760"/>
    </w:pPr>
    <w:rPr>
      <w:rFonts w:asciiTheme="minorHAnsi" w:eastAsiaTheme="minorEastAsia" w:hAnsiTheme="minorHAnsi" w:cstheme="minorBidi"/>
      <w:sz w:val="22"/>
      <w:szCs w:val="22"/>
      <w:lang w:eastAsia="en-GB"/>
    </w:rPr>
  </w:style>
  <w:style w:type="character" w:customStyle="1" w:styleId="bold2">
    <w:name w:val="bold2"/>
    <w:basedOn w:val="DefaultParagraphFont"/>
    <w:rPr>
      <w:b/>
      <w:bCs/>
    </w:rPr>
  </w:style>
  <w:style w:type="numbering" w:customStyle="1" w:styleId="NoList5">
    <w:name w:val="No List5"/>
    <w:next w:val="NoList"/>
    <w:uiPriority w:val="99"/>
    <w:semiHidden/>
    <w:unhideWhenUsed/>
  </w:style>
  <w:style w:type="table" w:customStyle="1" w:styleId="TableGrid12">
    <w:name w:val="Table Grid12"/>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style>
  <w:style w:type="table" w:customStyle="1" w:styleId="TableGrid13">
    <w:name w:val="Table Grid13"/>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style>
  <w:style w:type="table" w:customStyle="1" w:styleId="TableGrid21">
    <w:name w:val="Table Grid21"/>
    <w:basedOn w:val="TableNormal"/>
    <w:next w:val="TableGrid"/>
    <w:uiPriority w:val="59"/>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Pr>
      <w:rFonts w:asciiTheme="minorHAnsi" w:hAnsiTheme="minorHAnsi" w:cstheme="minorBid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Pr>
      <w:rFonts w:asciiTheme="minorHAnsi" w:hAnsiTheme="minorHAnsi" w:cstheme="minorBid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unhideWhenUsed/>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style>
  <w:style w:type="table" w:customStyle="1" w:styleId="TableGrid111">
    <w:name w:val="Table Grid111"/>
    <w:basedOn w:val="TableNormal"/>
    <w:next w:val="TableGrid"/>
    <w:uiPriority w:val="59"/>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style>
  <w:style w:type="paragraph" w:customStyle="1" w:styleId="Noi">
    <w:name w:val="Noi"/>
    <w:basedOn w:val="Text1"/>
  </w:style>
  <w:style w:type="paragraph" w:customStyle="1" w:styleId="Char">
    <w:name w:val="Char"/>
    <w:basedOn w:val="Normal"/>
    <w:next w:val="Normal"/>
    <w:pPr>
      <w:spacing w:after="160" w:line="240" w:lineRule="exact"/>
    </w:pPr>
    <w:rPr>
      <w:rFonts w:ascii="Tahoma" w:eastAsia="Times New Roman" w:hAnsi="Tahoma"/>
      <w:szCs w:val="20"/>
      <w:lang w:val="en-US"/>
    </w:rPr>
  </w:style>
  <w:style w:type="character" w:styleId="PlaceholderText">
    <w:name w:val="Placeholder Text"/>
    <w:basedOn w:val="DefaultParagraphFont"/>
    <w:uiPriority w:val="99"/>
    <w:semiHidden/>
    <w:rPr>
      <w:color w:val="808080"/>
    </w:rPr>
  </w:style>
  <w:style w:type="paragraph" w:styleId="Caption">
    <w:name w:val="caption"/>
    <w:basedOn w:val="Normal"/>
    <w:next w:val="Normal"/>
    <w:uiPriority w:val="35"/>
    <w:unhideWhenUsed/>
    <w:qFormat/>
    <w:pPr>
      <w:spacing w:after="200"/>
    </w:pPr>
    <w:rPr>
      <w:i/>
      <w:iCs/>
      <w:color w:val="1F497D" w:themeColor="text2"/>
      <w:sz w:val="18"/>
      <w:szCs w:val="18"/>
    </w:rPr>
  </w:style>
  <w:style w:type="paragraph" w:customStyle="1" w:styleId="Pa8">
    <w:name w:val="Pa8"/>
    <w:basedOn w:val="Default"/>
    <w:next w:val="Default"/>
    <w:uiPriority w:val="99"/>
    <w:pPr>
      <w:spacing w:line="241" w:lineRule="atLeast"/>
    </w:pPr>
    <w:rPr>
      <w:rFonts w:ascii="EC Square Sans Pro" w:hAnsi="EC Square Sans Pro" w:cstheme="minorBidi"/>
      <w:color w:val="auto"/>
    </w:rPr>
  </w:style>
  <w:style w:type="paragraph" w:customStyle="1" w:styleId="ftrefCharCharCharCharCharCharCharCharChar">
    <w:name w:val="ftref Char Char Char Char Char Char Char Char Char"/>
    <w:aliases w:val="Footnote Char Char Char Char Char Char Char Char Char,BVI fnr Char Char Char Char Char Char Char Char Char,BVI fnr Char Char Char Char Char Char Char Char Char Char"/>
    <w:basedOn w:val="Normal"/>
    <w:link w:val="FootnoteReference"/>
    <w:uiPriority w:val="99"/>
    <w:pPr>
      <w:spacing w:after="160" w:line="240" w:lineRule="exact"/>
    </w:pPr>
    <w:rPr>
      <w:sz w:val="20"/>
      <w:szCs w:val="20"/>
      <w:vertAlign w:val="superscript"/>
      <w:lang w:val="en-US"/>
    </w:rPr>
  </w:style>
  <w:style w:type="character" w:customStyle="1" w:styleId="Bodytext2">
    <w:name w:val="Body text (2)"/>
    <w:basedOn w:val="DefaultParagraphFont"/>
    <w:rPr>
      <w:rFonts w:ascii="Arial" w:eastAsia="Arial" w:hAnsi="Arial" w:cs="Arial"/>
      <w:b w:val="0"/>
      <w:bCs w:val="0"/>
      <w:i w:val="0"/>
      <w:iCs w:val="0"/>
      <w:smallCaps w:val="0"/>
      <w:strike w:val="0"/>
      <w:color w:val="000000"/>
      <w:spacing w:val="0"/>
      <w:w w:val="100"/>
      <w:position w:val="0"/>
      <w:sz w:val="14"/>
      <w:szCs w:val="14"/>
      <w:u w:val="none"/>
      <w:lang w:val="en-US" w:eastAsia="en-US" w:bidi="en-US"/>
    </w:rPr>
  </w:style>
  <w:style w:type="character" w:customStyle="1" w:styleId="A4">
    <w:name w:val="A4"/>
    <w:uiPriority w:val="99"/>
    <w:rPr>
      <w:rFonts w:ascii="GillSans" w:hAnsi="GillSans" w:cs="GillSans" w:hint="default"/>
      <w:color w:val="000000"/>
    </w:rPr>
  </w:style>
  <w:style w:type="character" w:customStyle="1" w:styleId="Bodytext29pt">
    <w:name w:val="Body text|2 + 9 pt"/>
    <w:basedOn w:val="DefaultParagraphFont"/>
    <w:semiHidden/>
    <w:unhideWhenUsed/>
    <w:rPr>
      <w:rFonts w:ascii="Arial" w:eastAsia="Arial" w:hAnsi="Arial" w:cs="Arial"/>
      <w:b w:val="0"/>
      <w:bCs w:val="0"/>
      <w:i w:val="0"/>
      <w:iCs w:val="0"/>
      <w:smallCaps w:val="0"/>
      <w:strike w:val="0"/>
      <w:color w:val="000000"/>
      <w:spacing w:val="0"/>
      <w:w w:val="100"/>
      <w:position w:val="0"/>
      <w:sz w:val="18"/>
      <w:szCs w:val="18"/>
      <w:u w:val="none"/>
      <w:lang w:val="en-US" w:eastAsia="en-US" w:bidi="en-US"/>
    </w:rPr>
  </w:style>
  <w:style w:type="character" w:customStyle="1" w:styleId="Bodytext20">
    <w:name w:val="Body text|2_"/>
    <w:basedOn w:val="DefaultParagraphFont"/>
    <w:link w:val="Bodytext21"/>
    <w:rPr>
      <w:rFonts w:ascii="Arial" w:eastAsia="Arial" w:hAnsi="Arial" w:cs="Arial"/>
      <w:shd w:val="clear" w:color="auto" w:fill="FFFFFF"/>
    </w:rPr>
  </w:style>
  <w:style w:type="paragraph" w:customStyle="1" w:styleId="Bodytext21">
    <w:name w:val="Body text|2"/>
    <w:basedOn w:val="Normal"/>
    <w:link w:val="Bodytext20"/>
    <w:qFormat/>
    <w:pPr>
      <w:widowControl w:val="0"/>
      <w:shd w:val="clear" w:color="auto" w:fill="FFFFFF"/>
      <w:spacing w:before="840" w:after="620" w:line="268" w:lineRule="exact"/>
    </w:pPr>
    <w:rPr>
      <w:rFonts w:ascii="Arial" w:eastAsia="Arial" w:hAnsi="Arial" w:cs="Arial"/>
      <w:sz w:val="20"/>
      <w:szCs w:val="20"/>
      <w:lang w:val="en-US"/>
    </w:rPr>
  </w:style>
  <w:style w:type="paragraph" w:customStyle="1" w:styleId="Heading20">
    <w:name w:val="Heading2"/>
    <w:basedOn w:val="Heading3"/>
    <w:pPr>
      <w:ind w:left="0" w:firstLine="0"/>
    </w:pPr>
  </w:style>
  <w:style w:type="paragraph" w:customStyle="1" w:styleId="Heading21">
    <w:name w:val="Heading  2"/>
    <w:basedOn w:val="Heading20"/>
  </w:style>
  <w:style w:type="character" w:styleId="Emphasis">
    <w:name w:val="Emphasis"/>
    <w:qFormat/>
    <w:rPr>
      <w:i/>
      <w:iCs/>
    </w:rPr>
  </w:style>
  <w:style w:type="paragraph" w:customStyle="1" w:styleId="LTTTitle2">
    <w:name w:val="LTT Title 2"/>
    <w:basedOn w:val="Normal"/>
    <w:qFormat/>
    <w:pPr>
      <w:pBdr>
        <w:bottom w:val="single" w:sz="6" w:space="1" w:color="auto"/>
      </w:pBdr>
      <w:spacing w:before="480" w:after="320"/>
    </w:pPr>
    <w:rPr>
      <w:rFonts w:ascii="Calibri" w:eastAsia="Times New Roman" w:hAnsi="Calibri" w:cs="Calibri"/>
      <w:b/>
      <w:szCs w:val="20"/>
      <w:lang w:eastAsia="en-GB"/>
    </w:rPr>
  </w:style>
  <w:style w:type="paragraph" w:styleId="Title">
    <w:name w:val="Title"/>
    <w:basedOn w:val="Normal"/>
    <w:next w:val="Normal"/>
    <w:link w:val="TitleChar"/>
    <w:pPr>
      <w:spacing w:before="3200" w:after="480" w:line="264" w:lineRule="auto"/>
      <w:jc w:val="center"/>
    </w:pPr>
    <w:rPr>
      <w:rFonts w:eastAsia="Times New Roman"/>
      <w:b/>
      <w:kern w:val="28"/>
      <w:sz w:val="48"/>
      <w:szCs w:val="20"/>
      <w:lang w:eastAsia="en-GB"/>
    </w:rPr>
  </w:style>
  <w:style w:type="character" w:customStyle="1" w:styleId="TitleChar">
    <w:name w:val="Title Char"/>
    <w:basedOn w:val="DefaultParagraphFont"/>
    <w:link w:val="Title"/>
    <w:rPr>
      <w:rFonts w:eastAsia="Times New Roman"/>
      <w:b/>
      <w:kern w:val="28"/>
      <w:sz w:val="48"/>
      <w:lang w:val="en-GB" w:eastAsia="en-GB"/>
    </w:rPr>
  </w:style>
  <w:style w:type="paragraph" w:customStyle="1" w:styleId="ZDGName">
    <w:name w:val="Z_DGName"/>
    <w:basedOn w:val="Normal"/>
    <w:uiPriority w:val="99"/>
    <w:semiHidden/>
    <w:pPr>
      <w:widowControl w:val="0"/>
      <w:ind w:right="85"/>
    </w:pPr>
    <w:rPr>
      <w:rFonts w:eastAsia="Times New Roman"/>
      <w:sz w:val="22"/>
      <w:szCs w:val="20"/>
      <w:lang w:eastAsia="en-GB"/>
    </w:rPr>
  </w:style>
  <w:style w:type="paragraph" w:customStyle="1" w:styleId="ZCom">
    <w:name w:val="Z_Com"/>
    <w:basedOn w:val="Normal"/>
    <w:next w:val="Normal"/>
    <w:uiPriority w:val="99"/>
    <w:semiHidden/>
    <w:pPr>
      <w:widowControl w:val="0"/>
      <w:spacing w:before="90"/>
      <w:ind w:right="85"/>
      <w:jc w:val="both"/>
    </w:pPr>
    <w:rPr>
      <w:rFonts w:eastAsia="Times New Roman"/>
      <w:sz w:val="22"/>
      <w:szCs w:val="20"/>
      <w:lang w:eastAsia="en-GB"/>
    </w:rPr>
  </w:style>
  <w:style w:type="paragraph" w:customStyle="1" w:styleId="ZFlag">
    <w:name w:val="Z_Flag"/>
    <w:basedOn w:val="Normal"/>
    <w:next w:val="Normal"/>
    <w:uiPriority w:val="99"/>
    <w:semiHidden/>
    <w:pPr>
      <w:widowControl w:val="0"/>
      <w:spacing w:line="264" w:lineRule="auto"/>
      <w:ind w:right="85"/>
      <w:jc w:val="both"/>
    </w:pPr>
    <w:rPr>
      <w:rFonts w:eastAsia="Times New Roman"/>
      <w:sz w:val="22"/>
      <w:szCs w:val="20"/>
      <w:lang w:eastAsia="en-GB"/>
    </w:rPr>
  </w:style>
  <w:style w:type="table" w:customStyle="1" w:styleId="TableLetterhead">
    <w:name w:val="Table Letterhead"/>
    <w:basedOn w:val="TableNormal"/>
    <w:uiPriority w:val="99"/>
    <w:rPr>
      <w:rFonts w:eastAsia="Times New Roman"/>
      <w:sz w:val="24"/>
      <w:lang w:val="en-GB" w:eastAsia="en-GB"/>
    </w:rPr>
    <w:tblPr>
      <w:tblCellMar>
        <w:left w:w="0" w:type="dxa"/>
        <w:bottom w:w="340" w:type="dxa"/>
        <w:right w:w="0" w:type="dxa"/>
      </w:tblCellMar>
    </w:tblPr>
  </w:style>
  <w:style w:type="paragraph" w:customStyle="1" w:styleId="msonormal0">
    <w:name w:val="msonormal"/>
    <w:basedOn w:val="Normal"/>
    <w:pPr>
      <w:spacing w:before="100" w:beforeAutospacing="1" w:after="100" w:afterAutospacing="1"/>
    </w:pPr>
    <w:rPr>
      <w:rFonts w:eastAsia="Times New Roman"/>
      <w:lang w:val="en-IE" w:eastAsia="en-IE"/>
    </w:rPr>
  </w:style>
  <w:style w:type="paragraph" w:customStyle="1" w:styleId="xl65">
    <w:name w:val="xl65"/>
    <w:basedOn w:val="Normal"/>
    <w:pPr>
      <w:spacing w:before="100" w:beforeAutospacing="1" w:after="100" w:afterAutospacing="1"/>
      <w:jc w:val="center"/>
      <w:textAlignment w:val="center"/>
    </w:pPr>
    <w:rPr>
      <w:rFonts w:eastAsia="Times New Roman"/>
      <w:b/>
      <w:bCs/>
      <w:sz w:val="16"/>
      <w:szCs w:val="16"/>
      <w:lang w:val="en-IE" w:eastAsia="en-IE"/>
    </w:rPr>
  </w:style>
  <w:style w:type="paragraph" w:customStyle="1" w:styleId="xl66">
    <w:name w:val="xl66"/>
    <w:basedOn w:val="Normal"/>
    <w:pPr>
      <w:spacing w:before="100" w:beforeAutospacing="1" w:after="100" w:afterAutospacing="1"/>
    </w:pPr>
    <w:rPr>
      <w:rFonts w:eastAsia="Times New Roman"/>
      <w:b/>
      <w:bCs/>
      <w:sz w:val="16"/>
      <w:szCs w:val="16"/>
      <w:lang w:val="en-IE" w:eastAsia="en-IE"/>
    </w:rPr>
  </w:style>
  <w:style w:type="paragraph" w:customStyle="1" w:styleId="xl67">
    <w:name w:val="xl67"/>
    <w:basedOn w:val="Normal"/>
    <w:pPr>
      <w:spacing w:before="100" w:beforeAutospacing="1" w:after="100" w:afterAutospacing="1"/>
    </w:pPr>
    <w:rPr>
      <w:rFonts w:eastAsia="Times New Roman"/>
      <w:sz w:val="16"/>
      <w:szCs w:val="16"/>
      <w:lang w:val="en-IE" w:eastAsia="en-IE"/>
    </w:rPr>
  </w:style>
  <w:style w:type="paragraph" w:customStyle="1" w:styleId="xl68">
    <w:name w:val="xl68"/>
    <w:basedOn w:val="Normal"/>
    <w:pPr>
      <w:pBdr>
        <w:bottom w:val="single" w:sz="4" w:space="0" w:color="auto"/>
      </w:pBdr>
      <w:spacing w:before="100" w:beforeAutospacing="1" w:after="100" w:afterAutospacing="1"/>
    </w:pPr>
    <w:rPr>
      <w:rFonts w:eastAsia="Times New Roman"/>
      <w:sz w:val="16"/>
      <w:szCs w:val="16"/>
      <w:lang w:val="en-IE" w:eastAsia="en-IE"/>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70">
    <w:name w:val="xl70"/>
    <w:basedOn w:val="Normal"/>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6"/>
      <w:szCs w:val="16"/>
      <w:lang w:val="en-IE" w:eastAsia="en-IE"/>
    </w:rPr>
  </w:style>
  <w:style w:type="paragraph" w:customStyle="1" w:styleId="xl71">
    <w:name w:val="xl71"/>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6"/>
      <w:szCs w:val="16"/>
      <w:lang w:val="en-IE" w:eastAsia="en-IE"/>
    </w:rPr>
  </w:style>
  <w:style w:type="paragraph" w:customStyle="1" w:styleId="xl72">
    <w:name w:val="xl72"/>
    <w:basedOn w:val="Normal"/>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b/>
      <w:bCs/>
      <w:sz w:val="16"/>
      <w:szCs w:val="16"/>
      <w:lang w:val="en-IE" w:eastAsia="en-IE"/>
    </w:rPr>
  </w:style>
  <w:style w:type="paragraph" w:customStyle="1" w:styleId="xl73">
    <w:name w:val="xl73"/>
    <w:basedOn w:val="Normal"/>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74">
    <w:name w:val="xl74"/>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75">
    <w:name w:val="xl75"/>
    <w:basedOn w:val="Normal"/>
    <w:pPr>
      <w:pBdr>
        <w:left w:val="single" w:sz="8" w:space="0" w:color="auto"/>
      </w:pBdr>
      <w:spacing w:before="100" w:beforeAutospacing="1" w:after="100" w:afterAutospacing="1"/>
    </w:pPr>
    <w:rPr>
      <w:rFonts w:eastAsia="Times New Roman"/>
      <w:sz w:val="16"/>
      <w:szCs w:val="16"/>
      <w:lang w:val="en-IE" w:eastAsia="en-IE"/>
    </w:rPr>
  </w:style>
  <w:style w:type="paragraph" w:customStyle="1" w:styleId="xl76">
    <w:name w:val="xl76"/>
    <w:basedOn w:val="Normal"/>
    <w:pPr>
      <w:pBdr>
        <w:right w:val="single" w:sz="8" w:space="0" w:color="auto"/>
      </w:pBdr>
      <w:spacing w:before="100" w:beforeAutospacing="1" w:after="100" w:afterAutospacing="1"/>
    </w:pPr>
    <w:rPr>
      <w:rFonts w:eastAsia="Times New Roman"/>
      <w:sz w:val="16"/>
      <w:szCs w:val="16"/>
      <w:lang w:val="en-IE" w:eastAsia="en-IE"/>
    </w:rPr>
  </w:style>
  <w:style w:type="paragraph" w:customStyle="1" w:styleId="xl77">
    <w:name w:val="xl77"/>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78">
    <w:name w:val="xl78"/>
    <w:basedOn w:val="Normal"/>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eastAsia="Times New Roman"/>
      <w:b/>
      <w:bCs/>
      <w:sz w:val="16"/>
      <w:szCs w:val="16"/>
      <w:lang w:val="en-IE" w:eastAsia="en-IE"/>
    </w:rPr>
  </w:style>
  <w:style w:type="paragraph" w:customStyle="1" w:styleId="xl79">
    <w:name w:val="xl79"/>
    <w:basedOn w:val="Normal"/>
    <w:pPr>
      <w:pBdr>
        <w:top w:val="single" w:sz="4" w:space="0" w:color="auto"/>
        <w:left w:val="single" w:sz="8" w:space="0" w:color="auto"/>
        <w:right w:val="single" w:sz="8" w:space="0" w:color="auto"/>
      </w:pBdr>
      <w:spacing w:before="100" w:beforeAutospacing="1" w:after="100" w:afterAutospacing="1"/>
      <w:textAlignment w:val="top"/>
    </w:pPr>
    <w:rPr>
      <w:rFonts w:eastAsia="Times New Roman"/>
      <w:b/>
      <w:bCs/>
      <w:sz w:val="16"/>
      <w:szCs w:val="16"/>
      <w:lang w:val="en-IE" w:eastAsia="en-IE"/>
    </w:rPr>
  </w:style>
  <w:style w:type="paragraph" w:customStyle="1" w:styleId="xl80">
    <w:name w:val="xl80"/>
    <w:basedOn w:val="Normal"/>
    <w:pPr>
      <w:pBdr>
        <w:left w:val="single" w:sz="8" w:space="0" w:color="auto"/>
        <w:right w:val="single" w:sz="8" w:space="0" w:color="auto"/>
      </w:pBdr>
      <w:spacing w:before="100" w:beforeAutospacing="1" w:after="100" w:afterAutospacing="1"/>
      <w:textAlignment w:val="top"/>
    </w:pPr>
    <w:rPr>
      <w:rFonts w:eastAsia="Times New Roman"/>
      <w:sz w:val="16"/>
      <w:szCs w:val="16"/>
      <w:lang w:val="en-IE" w:eastAsia="en-IE"/>
    </w:rPr>
  </w:style>
  <w:style w:type="paragraph" w:customStyle="1" w:styleId="xl81">
    <w:name w:val="xl81"/>
    <w:basedOn w:val="Normal"/>
    <w:pPr>
      <w:pBdr>
        <w:left w:val="single" w:sz="8" w:space="0" w:color="auto"/>
        <w:right w:val="single" w:sz="8" w:space="0" w:color="auto"/>
      </w:pBdr>
      <w:spacing w:before="100" w:beforeAutospacing="1" w:after="100" w:afterAutospacing="1"/>
      <w:textAlignment w:val="top"/>
    </w:pPr>
    <w:rPr>
      <w:rFonts w:eastAsia="Times New Roman"/>
      <w:b/>
      <w:bCs/>
      <w:sz w:val="16"/>
      <w:szCs w:val="16"/>
      <w:lang w:val="en-IE" w:eastAsia="en-IE"/>
    </w:rPr>
  </w:style>
  <w:style w:type="paragraph" w:customStyle="1" w:styleId="xl82">
    <w:name w:val="xl82"/>
    <w:basedOn w:val="Normal"/>
    <w:pPr>
      <w:pBdr>
        <w:left w:val="single" w:sz="8" w:space="0" w:color="auto"/>
        <w:bottom w:val="single" w:sz="4" w:space="0" w:color="auto"/>
        <w:right w:val="single" w:sz="8" w:space="0" w:color="auto"/>
      </w:pBdr>
      <w:spacing w:before="100" w:beforeAutospacing="1" w:after="100" w:afterAutospacing="1"/>
      <w:textAlignment w:val="top"/>
    </w:pPr>
    <w:rPr>
      <w:rFonts w:eastAsia="Times New Roman"/>
      <w:sz w:val="16"/>
      <w:szCs w:val="16"/>
      <w:lang w:val="en-IE" w:eastAsia="en-IE"/>
    </w:rPr>
  </w:style>
  <w:style w:type="paragraph" w:customStyle="1" w:styleId="xl83">
    <w:name w:val="xl83"/>
    <w:basedOn w:val="Normal"/>
    <w:pPr>
      <w:pBdr>
        <w:left w:val="single" w:sz="8" w:space="0" w:color="auto"/>
        <w:right w:val="single" w:sz="8" w:space="0" w:color="auto"/>
      </w:pBdr>
      <w:spacing w:before="100" w:beforeAutospacing="1" w:after="100" w:afterAutospacing="1"/>
      <w:textAlignment w:val="top"/>
    </w:pPr>
    <w:rPr>
      <w:rFonts w:eastAsia="Times New Roman"/>
      <w:sz w:val="16"/>
      <w:szCs w:val="16"/>
      <w:lang w:val="en-IE" w:eastAsia="en-IE"/>
    </w:rPr>
  </w:style>
  <w:style w:type="paragraph" w:customStyle="1" w:styleId="xl84">
    <w:name w:val="xl84"/>
    <w:basedOn w:val="Normal"/>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eastAsia="Times New Roman"/>
      <w:b/>
      <w:bCs/>
      <w:sz w:val="16"/>
      <w:szCs w:val="16"/>
      <w:lang w:val="en-IE" w:eastAsia="en-IE"/>
    </w:rPr>
  </w:style>
  <w:style w:type="paragraph" w:customStyle="1" w:styleId="xl85">
    <w:name w:val="xl85"/>
    <w:basedOn w:val="Normal"/>
    <w:pPr>
      <w:pBdr>
        <w:top w:val="single" w:sz="4" w:space="0" w:color="auto"/>
        <w:left w:val="single" w:sz="8" w:space="0" w:color="auto"/>
        <w:right w:val="single" w:sz="8" w:space="0" w:color="auto"/>
      </w:pBdr>
      <w:spacing w:before="100" w:beforeAutospacing="1" w:after="100" w:afterAutospacing="1"/>
      <w:textAlignment w:val="top"/>
    </w:pPr>
    <w:rPr>
      <w:rFonts w:eastAsia="Times New Roman"/>
      <w:b/>
      <w:bCs/>
      <w:sz w:val="16"/>
      <w:szCs w:val="16"/>
      <w:lang w:val="en-IE" w:eastAsia="en-IE"/>
    </w:rPr>
  </w:style>
  <w:style w:type="paragraph" w:customStyle="1" w:styleId="xl86">
    <w:name w:val="xl86"/>
    <w:basedOn w:val="Normal"/>
    <w:pPr>
      <w:pBdr>
        <w:top w:val="single" w:sz="4" w:space="0" w:color="auto"/>
        <w:left w:val="single" w:sz="8" w:space="0" w:color="auto"/>
        <w:right w:val="single" w:sz="8" w:space="0" w:color="auto"/>
      </w:pBdr>
      <w:spacing w:before="100" w:beforeAutospacing="1" w:after="100" w:afterAutospacing="1"/>
    </w:pPr>
    <w:rPr>
      <w:rFonts w:eastAsia="Times New Roman"/>
      <w:b/>
      <w:bCs/>
      <w:sz w:val="16"/>
      <w:szCs w:val="16"/>
      <w:lang w:val="en-IE" w:eastAsia="en-IE"/>
    </w:rPr>
  </w:style>
  <w:style w:type="paragraph" w:customStyle="1" w:styleId="xl87">
    <w:name w:val="xl87"/>
    <w:basedOn w:val="Normal"/>
    <w:pPr>
      <w:pBdr>
        <w:left w:val="single" w:sz="8" w:space="0" w:color="auto"/>
        <w:right w:val="single" w:sz="8" w:space="0" w:color="auto"/>
      </w:pBdr>
      <w:spacing w:before="100" w:beforeAutospacing="1" w:after="100" w:afterAutospacing="1"/>
    </w:pPr>
    <w:rPr>
      <w:rFonts w:eastAsia="Times New Roman"/>
      <w:sz w:val="16"/>
      <w:szCs w:val="16"/>
      <w:lang w:val="en-IE" w:eastAsia="en-IE"/>
    </w:rPr>
  </w:style>
  <w:style w:type="paragraph" w:customStyle="1" w:styleId="xl88">
    <w:name w:val="xl88"/>
    <w:basedOn w:val="Normal"/>
    <w:pPr>
      <w:pBdr>
        <w:left w:val="single" w:sz="8" w:space="0" w:color="auto"/>
        <w:right w:val="single" w:sz="8" w:space="0" w:color="auto"/>
      </w:pBdr>
      <w:spacing w:before="100" w:beforeAutospacing="1" w:after="100" w:afterAutospacing="1"/>
    </w:pPr>
    <w:rPr>
      <w:rFonts w:eastAsia="Times New Roman"/>
      <w:b/>
      <w:bCs/>
      <w:sz w:val="16"/>
      <w:szCs w:val="16"/>
      <w:lang w:val="en-IE" w:eastAsia="en-IE"/>
    </w:rPr>
  </w:style>
  <w:style w:type="paragraph" w:customStyle="1" w:styleId="xl89">
    <w:name w:val="xl89"/>
    <w:basedOn w:val="Normal"/>
    <w:pPr>
      <w:pBdr>
        <w:left w:val="single" w:sz="8" w:space="0" w:color="auto"/>
        <w:bottom w:val="single" w:sz="4" w:space="0" w:color="auto"/>
        <w:right w:val="single" w:sz="8" w:space="0" w:color="auto"/>
      </w:pBdr>
      <w:spacing w:before="100" w:beforeAutospacing="1" w:after="100" w:afterAutospacing="1"/>
    </w:pPr>
    <w:rPr>
      <w:rFonts w:eastAsia="Times New Roman"/>
      <w:sz w:val="16"/>
      <w:szCs w:val="16"/>
      <w:lang w:val="en-IE" w:eastAsia="en-IE"/>
    </w:rPr>
  </w:style>
  <w:style w:type="paragraph" w:customStyle="1" w:styleId="xl90">
    <w:name w:val="xl90"/>
    <w:basedOn w:val="Normal"/>
    <w:pPr>
      <w:pBdr>
        <w:top w:val="single" w:sz="4" w:space="0" w:color="auto"/>
        <w:left w:val="single" w:sz="8" w:space="0" w:color="auto"/>
        <w:bottom w:val="single" w:sz="4" w:space="0" w:color="auto"/>
        <w:right w:val="single" w:sz="8" w:space="0" w:color="auto"/>
      </w:pBdr>
      <w:spacing w:before="100" w:beforeAutospacing="1" w:after="100" w:afterAutospacing="1"/>
    </w:pPr>
    <w:rPr>
      <w:rFonts w:eastAsia="Times New Roman"/>
      <w:b/>
      <w:bCs/>
      <w:sz w:val="16"/>
      <w:szCs w:val="16"/>
      <w:lang w:val="en-IE" w:eastAsia="en-IE"/>
    </w:rPr>
  </w:style>
  <w:style w:type="paragraph" w:customStyle="1" w:styleId="xl91">
    <w:name w:val="xl91"/>
    <w:basedOn w:val="Normal"/>
    <w:pPr>
      <w:pBdr>
        <w:top w:val="single" w:sz="4" w:space="0" w:color="auto"/>
        <w:left w:val="single" w:sz="8" w:space="0" w:color="auto"/>
        <w:right w:val="single" w:sz="4"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92">
    <w:name w:val="xl92"/>
    <w:basedOn w:val="Normal"/>
    <w:pPr>
      <w:pBdr>
        <w:left w:val="single" w:sz="8" w:space="0" w:color="auto"/>
        <w:right w:val="single" w:sz="4"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93">
    <w:name w:val="xl93"/>
    <w:basedOn w:val="Normal"/>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94">
    <w:name w:val="xl94"/>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95">
    <w:name w:val="xl95"/>
    <w:basedOn w:val="Normal"/>
    <w:pPr>
      <w:pBdr>
        <w:left w:val="single" w:sz="4" w:space="0" w:color="auto"/>
        <w:right w:val="single" w:sz="4"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96">
    <w:name w:val="xl96"/>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97">
    <w:name w:val="xl97"/>
    <w:basedOn w:val="Normal"/>
    <w:pPr>
      <w:pBdr>
        <w:top w:val="single" w:sz="4" w:space="0" w:color="auto"/>
        <w:left w:val="single" w:sz="4" w:space="0" w:color="auto"/>
        <w:right w:val="single" w:sz="8"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98">
    <w:name w:val="xl98"/>
    <w:basedOn w:val="Normal"/>
    <w:pPr>
      <w:pBdr>
        <w:left w:val="single" w:sz="4" w:space="0" w:color="auto"/>
        <w:right w:val="single" w:sz="8"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99">
    <w:name w:val="xl99"/>
    <w:basedOn w:val="Normal"/>
    <w:pPr>
      <w:pBdr>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100">
    <w:name w:val="xl100"/>
    <w:basedOn w:val="Normal"/>
    <w:pPr>
      <w:pBdr>
        <w:top w:val="single" w:sz="4" w:space="0" w:color="auto"/>
        <w:left w:val="single" w:sz="4" w:space="0" w:color="auto"/>
        <w:right w:val="single" w:sz="8"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101">
    <w:name w:val="xl101"/>
    <w:basedOn w:val="Normal"/>
    <w:pPr>
      <w:pBdr>
        <w:left w:val="single" w:sz="4" w:space="0" w:color="auto"/>
        <w:right w:val="single" w:sz="8"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102">
    <w:name w:val="xl102"/>
    <w:basedOn w:val="Normal"/>
    <w:pPr>
      <w:pBdr>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103">
    <w:name w:val="xl103"/>
    <w:basedOn w:val="Normal"/>
    <w:pPr>
      <w:pBdr>
        <w:top w:val="single" w:sz="4" w:space="0" w:color="auto"/>
        <w:left w:val="single" w:sz="4" w:space="0" w:color="auto"/>
        <w:right w:val="single" w:sz="8"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104">
    <w:name w:val="xl104"/>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105">
    <w:name w:val="xl105"/>
    <w:basedOn w:val="Normal"/>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16"/>
      <w:szCs w:val="16"/>
      <w:lang w:val="en-IE" w:eastAsia="en-IE"/>
    </w:rPr>
  </w:style>
  <w:style w:type="paragraph" w:customStyle="1" w:styleId="xl106">
    <w:name w:val="xl106"/>
    <w:basedOn w:val="Normal"/>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16"/>
      <w:szCs w:val="16"/>
      <w:lang w:val="en-IE" w:eastAsia="en-IE"/>
    </w:rPr>
  </w:style>
  <w:style w:type="paragraph" w:customStyle="1" w:styleId="xl107">
    <w:name w:val="xl107"/>
    <w:basedOn w:val="Normal"/>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16"/>
      <w:szCs w:val="16"/>
      <w:lang w:val="en-IE" w:eastAsia="en-IE"/>
    </w:rPr>
  </w:style>
  <w:style w:type="paragraph" w:customStyle="1" w:styleId="xl108">
    <w:name w:val="xl108"/>
    <w:basedOn w:val="Normal"/>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eastAsia="Times New Roman"/>
      <w:sz w:val="16"/>
      <w:szCs w:val="16"/>
      <w:lang w:val="en-IE" w:eastAsia="en-IE"/>
    </w:rPr>
  </w:style>
  <w:style w:type="paragraph" w:customStyle="1" w:styleId="xl109">
    <w:name w:val="xl109"/>
    <w:basedOn w:val="Normal"/>
    <w:pPr>
      <w:pBdr>
        <w:left w:val="single" w:sz="4" w:space="0" w:color="auto"/>
        <w:right w:val="single" w:sz="8" w:space="0" w:color="auto"/>
      </w:pBdr>
      <w:shd w:val="clear" w:color="000000" w:fill="FFFFFF"/>
      <w:spacing w:before="100" w:beforeAutospacing="1" w:after="100" w:afterAutospacing="1"/>
      <w:jc w:val="center"/>
      <w:textAlignment w:val="center"/>
    </w:pPr>
    <w:rPr>
      <w:rFonts w:eastAsia="Times New Roman"/>
      <w:sz w:val="16"/>
      <w:szCs w:val="16"/>
      <w:lang w:val="en-IE" w:eastAsia="en-IE"/>
    </w:rPr>
  </w:style>
  <w:style w:type="paragraph" w:customStyle="1" w:styleId="xl110">
    <w:name w:val="xl110"/>
    <w:basedOn w:val="Normal"/>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eastAsia="Times New Roman"/>
      <w:sz w:val="16"/>
      <w:szCs w:val="16"/>
      <w:lang w:val="en-IE" w:eastAsia="en-IE"/>
    </w:rPr>
  </w:style>
  <w:style w:type="paragraph" w:customStyle="1" w:styleId="xl111">
    <w:name w:val="xl111"/>
    <w:basedOn w:val="Normal"/>
    <w:pPr>
      <w:pBdr>
        <w:top w:val="single" w:sz="4" w:space="0" w:color="auto"/>
        <w:left w:val="single" w:sz="8" w:space="0" w:color="auto"/>
        <w:right w:val="single" w:sz="4"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112">
    <w:name w:val="xl112"/>
    <w:basedOn w:val="Normal"/>
    <w:pPr>
      <w:pBdr>
        <w:left w:val="single" w:sz="8" w:space="0" w:color="auto"/>
        <w:right w:val="single" w:sz="4"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113">
    <w:name w:val="xl113"/>
    <w:basedOn w:val="Normal"/>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114">
    <w:name w:val="xl114"/>
    <w:basedOn w:val="Normal"/>
    <w:pPr>
      <w:pBdr>
        <w:left w:val="single" w:sz="4" w:space="0" w:color="auto"/>
        <w:right w:val="single" w:sz="8"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115">
    <w:name w:val="xl115"/>
    <w:basedOn w:val="Normal"/>
    <w:pPr>
      <w:pBdr>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SecurityMarking">
    <w:name w:val="SecurityMarking"/>
    <w:basedOn w:val="Normal"/>
    <w:pPr>
      <w:spacing w:line="276" w:lineRule="auto"/>
      <w:ind w:left="5103"/>
    </w:pPr>
    <w:rPr>
      <w:sz w:val="28"/>
      <w:szCs w:val="22"/>
    </w:rPr>
  </w:style>
  <w:style w:type="paragraph" w:customStyle="1" w:styleId="DateMarking">
    <w:name w:val="DateMarking"/>
    <w:basedOn w:val="Normal"/>
    <w:pPr>
      <w:spacing w:line="276" w:lineRule="auto"/>
      <w:ind w:left="5103"/>
    </w:pPr>
    <w:rPr>
      <w:i/>
      <w:sz w:val="28"/>
      <w:szCs w:val="22"/>
    </w:rPr>
  </w:style>
  <w:style w:type="paragraph" w:customStyle="1" w:styleId="ReleasableTo">
    <w:name w:val="ReleasableTo"/>
    <w:basedOn w:val="Normal"/>
    <w:pPr>
      <w:spacing w:line="276" w:lineRule="auto"/>
      <w:ind w:left="5103"/>
    </w:pPr>
    <w:rPr>
      <w:i/>
      <w:sz w:val="28"/>
      <w:szCs w:val="22"/>
    </w:rPr>
  </w:style>
  <w:style w:type="paragraph" w:customStyle="1" w:styleId="HeaderSensitivityRight">
    <w:name w:val="Header Sensitivity Right"/>
    <w:basedOn w:val="Normal"/>
    <w:pPr>
      <w:spacing w:after="120"/>
      <w:jc w:val="right"/>
    </w:pPr>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rPr>
  </w:style>
  <w:style w:type="paragraph" w:styleId="Heading1">
    <w:name w:val="heading 1"/>
    <w:basedOn w:val="Normal"/>
    <w:next w:val="Text1"/>
    <w:link w:val="Heading1Char"/>
    <w:qFormat/>
    <w:pPr>
      <w:keepNext/>
      <w:tabs>
        <w:tab w:val="num" w:pos="480"/>
      </w:tabs>
      <w:spacing w:before="360" w:after="240"/>
      <w:ind w:left="480" w:hanging="480"/>
      <w:jc w:val="both"/>
      <w:outlineLvl w:val="0"/>
    </w:pPr>
    <w:rPr>
      <w:rFonts w:eastAsia="Times New Roman"/>
      <w:b/>
      <w:smallCaps/>
      <w:szCs w:val="20"/>
    </w:rPr>
  </w:style>
  <w:style w:type="paragraph" w:styleId="Heading2">
    <w:name w:val="heading 2"/>
    <w:basedOn w:val="Normal"/>
    <w:next w:val="Normal"/>
    <w:link w:val="Heading2Char"/>
    <w:qFormat/>
    <w:pPr>
      <w:keepNext/>
      <w:tabs>
        <w:tab w:val="num" w:pos="4570"/>
      </w:tabs>
      <w:spacing w:before="360" w:after="240"/>
      <w:ind w:left="4570" w:hanging="600"/>
      <w:jc w:val="both"/>
      <w:outlineLvl w:val="1"/>
    </w:pPr>
    <w:rPr>
      <w:b/>
      <w:noProof/>
      <w:szCs w:val="20"/>
      <w:lang w:eastAsia="en-GB"/>
    </w:rPr>
  </w:style>
  <w:style w:type="paragraph" w:styleId="Heading3">
    <w:name w:val="heading 3"/>
    <w:basedOn w:val="Normal"/>
    <w:next w:val="Normal"/>
    <w:link w:val="Heading3Char"/>
    <w:qFormat/>
    <w:pPr>
      <w:keepNext/>
      <w:tabs>
        <w:tab w:val="num" w:pos="1920"/>
      </w:tabs>
      <w:spacing w:before="360" w:after="240"/>
      <w:ind w:left="1920" w:hanging="840"/>
      <w:jc w:val="both"/>
      <w:outlineLvl w:val="2"/>
    </w:pPr>
    <w:rPr>
      <w:rFonts w:eastAsia="Times New Roman"/>
      <w:i/>
      <w:szCs w:val="20"/>
    </w:rPr>
  </w:style>
  <w:style w:type="paragraph" w:styleId="Heading4">
    <w:name w:val="heading 4"/>
    <w:basedOn w:val="Normal"/>
    <w:next w:val="Normal"/>
    <w:link w:val="Heading4Char"/>
    <w:qFormat/>
    <w:pPr>
      <w:keepNext/>
      <w:tabs>
        <w:tab w:val="num" w:pos="2880"/>
      </w:tabs>
      <w:spacing w:after="240"/>
      <w:ind w:left="2880" w:hanging="960"/>
      <w:jc w:val="both"/>
      <w:outlineLvl w:val="3"/>
    </w:pPr>
    <w:rPr>
      <w:rFonts w:eastAsia="Times New Roman"/>
      <w:szCs w:val="20"/>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jc w:val="both"/>
    </w:pPr>
    <w:rPr>
      <w:szCs w:val="22"/>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sz w:val="24"/>
      <w:szCs w:val="24"/>
      <w:lang w:val="en-GB"/>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sz w:val="24"/>
      <w:szCs w:val="24"/>
      <w:lang w:val="en-GB"/>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FooterCoverPageChar">
    <w:name w:val="Footer Cover Page Char"/>
    <w:basedOn w:val="DefaultParagraphFont"/>
    <w:link w:val="FooterCoverPage"/>
    <w:rPr>
      <w:sz w:val="24"/>
      <w:szCs w:val="24"/>
      <w:lang w:val="en-GB"/>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character" w:customStyle="1" w:styleId="FooterSensitivityChar">
    <w:name w:val="Footer Sensitivity Char"/>
    <w:basedOn w:val="DefaultParagraphFont"/>
    <w:link w:val="FooterSensitivity"/>
    <w:rPr>
      <w:b/>
      <w:sz w:val="32"/>
      <w:szCs w:val="24"/>
      <w:lang w:val="en-GB"/>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basedOn w:val="DefaultParagraphFont"/>
    <w:link w:val="HeaderCoverPage"/>
    <w:rPr>
      <w:sz w:val="24"/>
      <w:szCs w:val="24"/>
      <w:lang w:val="en-GB"/>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b/>
      <w:sz w:val="32"/>
      <w:szCs w:val="24"/>
      <w:lang w:val="en-GB"/>
    </w:rPr>
  </w:style>
  <w:style w:type="character" w:customStyle="1" w:styleId="Heading1Char">
    <w:name w:val="Heading 1 Char"/>
    <w:basedOn w:val="DefaultParagraphFont"/>
    <w:link w:val="Heading1"/>
    <w:rPr>
      <w:rFonts w:eastAsia="Times New Roman"/>
      <w:b/>
      <w:smallCaps/>
      <w:sz w:val="24"/>
      <w:lang w:val="en-GB"/>
    </w:rPr>
  </w:style>
  <w:style w:type="character" w:customStyle="1" w:styleId="Heading2Char">
    <w:name w:val="Heading 2 Char"/>
    <w:basedOn w:val="DefaultParagraphFont"/>
    <w:link w:val="Heading2"/>
    <w:rPr>
      <w:b/>
      <w:noProof/>
      <w:sz w:val="24"/>
      <w:lang w:val="en-GB" w:eastAsia="en-GB"/>
    </w:rPr>
  </w:style>
  <w:style w:type="character" w:customStyle="1" w:styleId="Heading3Char">
    <w:name w:val="Heading 3 Char"/>
    <w:basedOn w:val="DefaultParagraphFont"/>
    <w:link w:val="Heading3"/>
    <w:rPr>
      <w:rFonts w:eastAsia="Times New Roman"/>
      <w:i/>
      <w:sz w:val="24"/>
      <w:lang w:val="en-GB"/>
    </w:rPr>
  </w:style>
  <w:style w:type="character" w:customStyle="1" w:styleId="Heading4Char">
    <w:name w:val="Heading 4 Char"/>
    <w:basedOn w:val="DefaultParagraphFont"/>
    <w:link w:val="Heading4"/>
    <w:rPr>
      <w:rFonts w:eastAsia="Times New Roman"/>
      <w:sz w:val="24"/>
      <w:lang w:val="en-GB"/>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sz w:val="24"/>
      <w:szCs w:val="24"/>
      <w:lang w:val="en-GB"/>
    </w:rPr>
  </w:style>
  <w:style w:type="table" w:styleId="TableGrid">
    <w:name w:val="Table Grid"/>
    <w:basedOn w:val="TableNormal"/>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pPr>
      <w:spacing w:after="24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GB"/>
    </w:rPr>
  </w:style>
  <w:style w:type="paragraph" w:styleId="FootnoteText">
    <w:name w:val="footnote text"/>
    <w:aliases w:val="fn,footnote text,Footnotes,Footnote ak,ft,fn cafc,fn Char,footnote text Char,Footnotes Char,Footnote ak Char,Footnotes Char Char,fn Char Char,footnote text Char Char Char Ch,Footnote ak Char Char,C,f,footnote citation,Cha,Fußnote,Carattere"/>
    <w:basedOn w:val="Normal"/>
    <w:link w:val="FootnoteTextChar"/>
    <w:uiPriority w:val="99"/>
    <w:unhideWhenUsed/>
    <w:qFormat/>
    <w:pPr>
      <w:ind w:left="300" w:hanging="300"/>
      <w:jc w:val="both"/>
    </w:pPr>
    <w:rPr>
      <w:rFonts w:cstheme="minorBidi"/>
      <w:sz w:val="20"/>
      <w:szCs w:val="20"/>
    </w:rPr>
  </w:style>
  <w:style w:type="character" w:customStyle="1" w:styleId="FootnoteTextChar">
    <w:name w:val="Footnote Text Char"/>
    <w:aliases w:val="fn Char1,footnote text Char1,Footnotes Char1,Footnote ak Char1,ft Char,fn cafc Char,fn Char Char1,footnote text Char Char,Footnotes Char Char1,Footnote ak Char Char1,Footnotes Char Char Char,fn Char Char Char,C Char,f Char,Cha Char"/>
    <w:basedOn w:val="DefaultParagraphFont"/>
    <w:link w:val="FootnoteText"/>
    <w:uiPriority w:val="99"/>
    <w:rPr>
      <w:rFonts w:cstheme="minorBidi"/>
      <w:lang w:val="en-GB"/>
    </w:rPr>
  </w:style>
  <w:style w:type="character" w:styleId="FootnoteReference">
    <w:name w:val="footnote reference"/>
    <w:aliases w:val="Ref,de nota al pie,Footnote Reference1,Ref1,de nota al pie1,註腳內容,de nota al pie + (Asian) MS Mincho,11 pt,-E Fußnotenzeichen,16 Point,Superscript 6 Point,註?腳內—e,ftref,(NECG) Footnote Reference,fr,Footnote symbol,BVI fnr,Times 10 Point"/>
    <w:basedOn w:val="DefaultParagraphFont"/>
    <w:link w:val="ftrefCharCharCharCharCharCharCharCharChar"/>
    <w:uiPriority w:val="99"/>
    <w:unhideWhenUsed/>
    <w:rPr>
      <w:vertAlign w:val="superscript"/>
    </w:rPr>
  </w:style>
  <w:style w:type="character" w:styleId="Hyperlink">
    <w:name w:val="Hyperlink"/>
    <w:basedOn w:val="DefaultParagraphFont"/>
    <w:uiPriority w:val="99"/>
    <w:unhideWhenUsed/>
    <w:rPr>
      <w:color w:val="0000FF" w:themeColor="hyperlink"/>
      <w:u w:val="single"/>
    </w:r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pPr>
      <w:spacing w:after="240"/>
    </w:pPr>
    <w:rPr>
      <w:rFonts w:eastAsia="Calibri"/>
      <w:noProof/>
      <w:sz w:val="20"/>
      <w:szCs w:val="20"/>
    </w:rPr>
  </w:style>
  <w:style w:type="character" w:customStyle="1" w:styleId="CommentTextChar">
    <w:name w:val="Comment Text Char"/>
    <w:basedOn w:val="DefaultParagraphFont"/>
    <w:link w:val="CommentText"/>
    <w:uiPriority w:val="99"/>
    <w:rPr>
      <w:rFonts w:eastAsia="Calibri"/>
      <w:noProof/>
      <w:lang w:val="en-GB"/>
    </w:rPr>
  </w:style>
  <w:style w:type="numbering" w:customStyle="1" w:styleId="NoList1">
    <w:name w:val="No List1"/>
    <w:next w:val="NoList"/>
    <w:uiPriority w:val="99"/>
    <w:semiHidden/>
    <w:unhideWhenUsed/>
  </w:style>
  <w:style w:type="paragraph" w:customStyle="1" w:styleId="Text1">
    <w:name w:val="Text 1"/>
    <w:basedOn w:val="Normal"/>
    <w:pPr>
      <w:spacing w:after="240"/>
      <w:ind w:left="482"/>
      <w:jc w:val="both"/>
    </w:pPr>
    <w:rPr>
      <w:rFonts w:eastAsia="Times New Roman"/>
      <w:szCs w:val="20"/>
    </w:rPr>
  </w:style>
  <w:style w:type="paragraph" w:customStyle="1" w:styleId="Titreobjet">
    <w:name w:val="Titre objet"/>
    <w:basedOn w:val="Normal"/>
    <w:next w:val="Normal"/>
    <w:pPr>
      <w:spacing w:before="360" w:after="360"/>
      <w:jc w:val="center"/>
    </w:pPr>
    <w:rPr>
      <w:rFonts w:eastAsia="Times New Roman"/>
      <w:b/>
      <w:szCs w:val="20"/>
      <w:lang w:eastAsia="en-GB"/>
    </w:rPr>
  </w:style>
  <w:style w:type="paragraph" w:customStyle="1" w:styleId="Typedudocument">
    <w:name w:val="Type du document"/>
    <w:basedOn w:val="Normal"/>
    <w:next w:val="Titreobjet"/>
    <w:link w:val="TypedudocumentChar"/>
    <w:pPr>
      <w:spacing w:before="360" w:after="240"/>
      <w:jc w:val="center"/>
    </w:pPr>
    <w:rPr>
      <w:rFonts w:eastAsia="Times New Roman"/>
      <w:b/>
      <w:szCs w:val="20"/>
      <w:lang w:eastAsia="en-GB"/>
    </w:rPr>
  </w:style>
  <w:style w:type="character" w:customStyle="1" w:styleId="TypedudocumentChar">
    <w:name w:val="Type du document Char"/>
    <w:link w:val="Typedudocument"/>
    <w:rPr>
      <w:rFonts w:eastAsia="Times New Roman"/>
      <w:b/>
      <w:sz w:val="24"/>
      <w:lang w:val="en-GB" w:eastAsia="en-GB"/>
    </w:rPr>
  </w:style>
  <w:style w:type="paragraph" w:customStyle="1" w:styleId="Default">
    <w:name w:val="Default"/>
    <w:pPr>
      <w:autoSpaceDE w:val="0"/>
      <w:autoSpaceDN w:val="0"/>
      <w:adjustRightInd w:val="0"/>
    </w:pPr>
    <w:rPr>
      <w:rFonts w:ascii="EUAlbertina" w:hAnsi="EUAlbertina" w:cs="EUAlbertina"/>
      <w:color w:val="000000"/>
      <w:sz w:val="24"/>
      <w:szCs w:val="24"/>
      <w:lang w:val="en-GB"/>
    </w:rPr>
  </w:style>
  <w:style w:type="paragraph" w:customStyle="1" w:styleId="CM1">
    <w:name w:val="CM1"/>
    <w:basedOn w:val="Default"/>
    <w:next w:val="Default"/>
    <w:uiPriority w:val="99"/>
    <w:rPr>
      <w:rFonts w:cstheme="minorBidi"/>
      <w:color w:val="auto"/>
    </w:rPr>
  </w:style>
  <w:style w:type="paragraph" w:customStyle="1" w:styleId="CM3">
    <w:name w:val="CM3"/>
    <w:basedOn w:val="Default"/>
    <w:next w:val="Default"/>
    <w:uiPriority w:val="99"/>
    <w:rPr>
      <w:rFonts w:cstheme="minorBidi"/>
      <w:color w:val="auto"/>
    </w:rPr>
  </w:style>
  <w:style w:type="paragraph" w:styleId="NoSpacing">
    <w:name w:val="No Spacing"/>
    <w:uiPriority w:val="1"/>
    <w:qFormat/>
    <w:rPr>
      <w:rFonts w:asciiTheme="minorHAnsi" w:hAnsiTheme="minorHAnsi" w:cstheme="minorBidi"/>
      <w:sz w:val="22"/>
      <w:szCs w:val="22"/>
      <w:lang w:val="en-GB"/>
    </w:rPr>
  </w:style>
  <w:style w:type="paragraph" w:styleId="ListParagraph">
    <w:name w:val="List Paragraph"/>
    <w:basedOn w:val="Normal"/>
    <w:link w:val="ListParagraphChar"/>
    <w:uiPriority w:val="34"/>
    <w:qFormat/>
    <w:pPr>
      <w:spacing w:after="200" w:line="276" w:lineRule="auto"/>
      <w:ind w:left="720"/>
      <w:contextualSpacing/>
    </w:pPr>
    <w:rPr>
      <w:rFonts w:asciiTheme="minorHAnsi" w:hAnsiTheme="minorHAnsi" w:cstheme="minorBidi"/>
      <w:sz w:val="22"/>
      <w:szCs w:val="22"/>
    </w:rPr>
  </w:style>
  <w:style w:type="paragraph" w:styleId="PlainText">
    <w:name w:val="Plain Text"/>
    <w:basedOn w:val="Normal"/>
    <w:link w:val="PlainTextChar"/>
    <w:uiPriority w:val="99"/>
    <w:unhideWhenUsed/>
    <w:pPr>
      <w:spacing w:after="240"/>
    </w:pPr>
    <w:rPr>
      <w:rFonts w:ascii="Calibri" w:eastAsia="Times New Roman" w:hAnsi="Calibri"/>
      <w:sz w:val="22"/>
      <w:szCs w:val="21"/>
      <w:lang w:eastAsia="en-GB"/>
    </w:rPr>
  </w:style>
  <w:style w:type="character" w:customStyle="1" w:styleId="PlainTextChar">
    <w:name w:val="Plain Text Char"/>
    <w:basedOn w:val="DefaultParagraphFont"/>
    <w:link w:val="PlainText"/>
    <w:uiPriority w:val="99"/>
    <w:rPr>
      <w:rFonts w:ascii="Calibri" w:eastAsia="Times New Roman" w:hAnsi="Calibri"/>
      <w:sz w:val="22"/>
      <w:szCs w:val="21"/>
      <w:lang w:val="en-GB" w:eastAsia="en-GB"/>
    </w:rPr>
  </w:style>
  <w:style w:type="paragraph" w:styleId="CommentSubject">
    <w:name w:val="annotation subject"/>
    <w:basedOn w:val="CommentText"/>
    <w:next w:val="CommentText"/>
    <w:link w:val="CommentSubjectChar"/>
    <w:uiPriority w:val="99"/>
    <w:semiHidden/>
    <w:unhideWhenUsed/>
    <w:pPr>
      <w:jc w:val="both"/>
    </w:pPr>
    <w:rPr>
      <w:rFonts w:eastAsia="Times New Roman"/>
      <w:b/>
      <w:bCs/>
      <w:noProof w:val="0"/>
    </w:rPr>
  </w:style>
  <w:style w:type="character" w:customStyle="1" w:styleId="CommentSubjectChar">
    <w:name w:val="Comment Subject Char"/>
    <w:basedOn w:val="CommentTextChar"/>
    <w:link w:val="CommentSubject"/>
    <w:uiPriority w:val="99"/>
    <w:semiHidden/>
    <w:rPr>
      <w:rFonts w:eastAsia="Times New Roman"/>
      <w:b/>
      <w:bCs/>
      <w:noProof/>
      <w:lang w:val="en-GB"/>
    </w:rPr>
  </w:style>
  <w:style w:type="table" w:customStyle="1" w:styleId="TableGrid1">
    <w:name w:val="Table Grid1"/>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Pr>
      <w:rFonts w:eastAsia="Times New Roman"/>
      <w:sz w:val="24"/>
      <w:lang w:val="en-GB"/>
    </w:rPr>
  </w:style>
  <w:style w:type="character" w:styleId="FollowedHyperlink">
    <w:name w:val="FollowedHyperlink"/>
    <w:basedOn w:val="DefaultParagraphFont"/>
    <w:uiPriority w:val="99"/>
    <w:semiHidden/>
    <w:unhideWhenUsed/>
    <w:rPr>
      <w:color w:val="800080" w:themeColor="followedHyperlink"/>
      <w:u w:val="single"/>
    </w:rPr>
  </w:style>
  <w:style w:type="character" w:styleId="Strong">
    <w:name w:val="Strong"/>
    <w:basedOn w:val="DefaultParagraphFont"/>
    <w:uiPriority w:val="22"/>
    <w:qFormat/>
    <w:rPr>
      <w:b/>
      <w:bCs/>
    </w:rPr>
  </w:style>
  <w:style w:type="numbering" w:customStyle="1" w:styleId="NoList2">
    <w:name w:val="No List2"/>
    <w:next w:val="NoList"/>
    <w:uiPriority w:val="99"/>
    <w:semiHidden/>
    <w:unhideWhenUsed/>
  </w:style>
  <w:style w:type="paragraph" w:customStyle="1" w:styleId="ManualHeading1">
    <w:name w:val="Manual Heading 1"/>
    <w:basedOn w:val="Normal"/>
    <w:next w:val="Text1"/>
    <w:pPr>
      <w:keepNext/>
      <w:tabs>
        <w:tab w:val="left" w:pos="850"/>
      </w:tabs>
      <w:spacing w:before="360" w:after="120"/>
      <w:ind w:left="850" w:hanging="850"/>
      <w:jc w:val="both"/>
      <w:outlineLvl w:val="0"/>
    </w:pPr>
    <w:rPr>
      <w:rFonts w:eastAsia="Times New Roman"/>
      <w:b/>
      <w:smallCaps/>
      <w:noProof/>
      <w:szCs w:val="20"/>
      <w:lang w:eastAsia="en-GB"/>
    </w:rPr>
  </w:style>
  <w:style w:type="paragraph" w:customStyle="1" w:styleId="ManualHeading2">
    <w:name w:val="Manual Heading 2"/>
    <w:basedOn w:val="Normal"/>
    <w:next w:val="Text1"/>
    <w:pPr>
      <w:keepNext/>
      <w:tabs>
        <w:tab w:val="left" w:pos="850"/>
      </w:tabs>
      <w:spacing w:before="120" w:after="120"/>
      <w:ind w:left="850" w:hanging="850"/>
      <w:jc w:val="both"/>
      <w:outlineLvl w:val="1"/>
    </w:pPr>
    <w:rPr>
      <w:rFonts w:eastAsia="Times New Roman"/>
      <w:b/>
      <w:noProof/>
      <w:szCs w:val="20"/>
      <w:lang w:eastAsia="en-GB"/>
    </w:rPr>
  </w:style>
  <w:style w:type="table" w:customStyle="1" w:styleId="TableGrid2">
    <w:name w:val="Table Grid2"/>
    <w:basedOn w:val="TableNormal"/>
    <w:next w:val="TableGrid"/>
    <w:uiPriority w:val="59"/>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utexte">
    <w:name w:val="Corps du texte_"/>
    <w:link w:val="Corpsdutexte0"/>
    <w:rPr>
      <w:sz w:val="23"/>
      <w:szCs w:val="23"/>
      <w:shd w:val="clear" w:color="auto" w:fill="FFFFFF"/>
    </w:rPr>
  </w:style>
  <w:style w:type="paragraph" w:customStyle="1" w:styleId="Corpsdutexte0">
    <w:name w:val="Corps du texte"/>
    <w:basedOn w:val="Normal"/>
    <w:link w:val="Corpsdutexte"/>
    <w:pPr>
      <w:widowControl w:val="0"/>
      <w:shd w:val="clear" w:color="auto" w:fill="FFFFFF"/>
      <w:spacing w:after="1380" w:line="274" w:lineRule="exact"/>
      <w:ind w:hanging="360"/>
    </w:pPr>
    <w:rPr>
      <w:sz w:val="23"/>
      <w:szCs w:val="23"/>
      <w:lang w:val="en-US"/>
    </w:rPr>
  </w:style>
  <w:style w:type="character" w:customStyle="1" w:styleId="En-tteoupieddepage">
    <w:name w:val="En-tête ou pied de page_"/>
    <w:link w:val="En-tteoupieddepage0"/>
    <w:rPr>
      <w:shd w:val="clear" w:color="auto" w:fill="FFFFFF"/>
    </w:rPr>
  </w:style>
  <w:style w:type="character" w:customStyle="1" w:styleId="En-tteoupieddepage115pt">
    <w:name w:val="En-tête ou pied de page + 11.5 pt"/>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paragraph" w:customStyle="1" w:styleId="En-tteoupieddepage0">
    <w:name w:val="En-tête ou pied de page"/>
    <w:basedOn w:val="Normal"/>
    <w:link w:val="En-tteoupieddepage"/>
    <w:pPr>
      <w:widowControl w:val="0"/>
      <w:shd w:val="clear" w:color="auto" w:fill="FFFFFF"/>
      <w:spacing w:after="240"/>
    </w:pPr>
    <w:rPr>
      <w:sz w:val="20"/>
      <w:szCs w:val="20"/>
      <w:lang w:val="en-US"/>
    </w:rPr>
  </w:style>
  <w:style w:type="character" w:customStyle="1" w:styleId="Corpsdutexte12">
    <w:name w:val="Corps du texte (12)_"/>
    <w:link w:val="Corpsdutexte120"/>
    <w:rPr>
      <w:sz w:val="21"/>
      <w:szCs w:val="21"/>
      <w:shd w:val="clear" w:color="auto" w:fill="FFFFFF"/>
    </w:rPr>
  </w:style>
  <w:style w:type="paragraph" w:customStyle="1" w:styleId="Corpsdutexte120">
    <w:name w:val="Corps du texte (12)"/>
    <w:basedOn w:val="Normal"/>
    <w:link w:val="Corpsdutexte12"/>
    <w:pPr>
      <w:widowControl w:val="0"/>
      <w:shd w:val="clear" w:color="auto" w:fill="FFFFFF"/>
      <w:spacing w:after="240" w:line="0" w:lineRule="atLeast"/>
    </w:pPr>
    <w:rPr>
      <w:sz w:val="21"/>
      <w:szCs w:val="21"/>
      <w:lang w:val="en-US"/>
    </w:rPr>
  </w:style>
  <w:style w:type="paragraph" w:customStyle="1" w:styleId="TechnicalBlock">
    <w:name w:val="Technical Block"/>
    <w:basedOn w:val="Normal"/>
    <w:link w:val="TechnicalBlockChar"/>
    <w:pPr>
      <w:spacing w:after="240" w:line="276" w:lineRule="auto"/>
      <w:jc w:val="center"/>
    </w:pPr>
    <w:rPr>
      <w:rFonts w:ascii="Calibri" w:eastAsia="Calibri" w:hAnsi="Calibri"/>
      <w:sz w:val="22"/>
      <w:szCs w:val="22"/>
    </w:rPr>
  </w:style>
  <w:style w:type="character" w:customStyle="1" w:styleId="TechnicalBlockChar">
    <w:name w:val="Technical Block Char"/>
    <w:basedOn w:val="DefaultParagraphFont"/>
    <w:link w:val="TechnicalBlock"/>
    <w:rPr>
      <w:rFonts w:ascii="Calibri" w:eastAsia="Calibri" w:hAnsi="Calibri"/>
      <w:sz w:val="22"/>
      <w:szCs w:val="22"/>
      <w:lang w:val="en-GB"/>
    </w:rPr>
  </w:style>
  <w:style w:type="paragraph" w:customStyle="1" w:styleId="EntText">
    <w:name w:val="EntText"/>
    <w:basedOn w:val="Normal"/>
    <w:pPr>
      <w:spacing w:before="120" w:after="120" w:line="360" w:lineRule="auto"/>
    </w:pPr>
    <w:rPr>
      <w:rFonts w:eastAsia="Times New Roman"/>
    </w:rPr>
  </w:style>
  <w:style w:type="paragraph" w:customStyle="1" w:styleId="Lignefinal">
    <w:name w:val="Ligne final"/>
    <w:basedOn w:val="Normal"/>
    <w:next w:val="Normal"/>
    <w:pPr>
      <w:pBdr>
        <w:bottom w:val="single" w:sz="4" w:space="0" w:color="000000"/>
      </w:pBdr>
      <w:spacing w:before="360" w:after="120" w:line="360" w:lineRule="auto"/>
      <w:ind w:left="3400" w:right="3400"/>
      <w:jc w:val="center"/>
    </w:pPr>
    <w:rPr>
      <w:rFonts w:eastAsia="Times New Roman"/>
      <w:b/>
    </w:rPr>
  </w:style>
  <w:style w:type="paragraph" w:customStyle="1" w:styleId="pj">
    <w:name w:val="p.j."/>
    <w:basedOn w:val="Normal"/>
    <w:link w:val="pjChar"/>
    <w:pPr>
      <w:spacing w:before="1200" w:after="120"/>
      <w:ind w:left="1440" w:hanging="1440"/>
    </w:pPr>
    <w:rPr>
      <w:rFonts w:ascii="Calibri" w:eastAsia="Calibri" w:hAnsi="Calibri"/>
      <w:szCs w:val="22"/>
    </w:rPr>
  </w:style>
  <w:style w:type="character" w:customStyle="1" w:styleId="pjChar">
    <w:name w:val="p.j. Char"/>
    <w:basedOn w:val="TechnicalBlockChar"/>
    <w:link w:val="pj"/>
    <w:rPr>
      <w:rFonts w:ascii="Calibri" w:eastAsia="Calibri" w:hAnsi="Calibri"/>
      <w:sz w:val="24"/>
      <w:szCs w:val="22"/>
      <w:lang w:val="en-GB"/>
    </w:rPr>
  </w:style>
  <w:style w:type="paragraph" w:customStyle="1" w:styleId="HeaderCouncil">
    <w:name w:val="Header Council"/>
    <w:basedOn w:val="Normal"/>
    <w:link w:val="HeaderCouncilChar"/>
    <w:pPr>
      <w:spacing w:after="240" w:line="276" w:lineRule="auto"/>
    </w:pPr>
    <w:rPr>
      <w:rFonts w:ascii="Calibri" w:eastAsia="Calibri" w:hAnsi="Calibri"/>
      <w:sz w:val="2"/>
      <w:szCs w:val="22"/>
    </w:rPr>
  </w:style>
  <w:style w:type="character" w:customStyle="1" w:styleId="HeaderCouncilChar">
    <w:name w:val="Header Council Char"/>
    <w:basedOn w:val="pjChar"/>
    <w:link w:val="HeaderCouncil"/>
    <w:rPr>
      <w:rFonts w:ascii="Calibri" w:eastAsia="Calibri" w:hAnsi="Calibri"/>
      <w:sz w:val="2"/>
      <w:szCs w:val="22"/>
      <w:lang w:val="en-GB"/>
    </w:rPr>
  </w:style>
  <w:style w:type="paragraph" w:customStyle="1" w:styleId="HeaderCouncilLarge">
    <w:name w:val="Header Council Large"/>
    <w:basedOn w:val="Normal"/>
    <w:link w:val="HeaderCouncilLargeChar"/>
    <w:pPr>
      <w:spacing w:after="440" w:line="276" w:lineRule="auto"/>
    </w:pPr>
    <w:rPr>
      <w:rFonts w:ascii="Calibri" w:eastAsia="Calibri" w:hAnsi="Calibri"/>
      <w:sz w:val="2"/>
      <w:szCs w:val="22"/>
    </w:rPr>
  </w:style>
  <w:style w:type="character" w:customStyle="1" w:styleId="HeaderCouncilLargeChar">
    <w:name w:val="Header Council Large Char"/>
    <w:basedOn w:val="pjChar"/>
    <w:link w:val="HeaderCouncilLarge"/>
    <w:rPr>
      <w:rFonts w:ascii="Calibri" w:eastAsia="Calibri" w:hAnsi="Calibri"/>
      <w:sz w:val="2"/>
      <w:szCs w:val="22"/>
      <w:lang w:val="en-GB"/>
    </w:rPr>
  </w:style>
  <w:style w:type="paragraph" w:customStyle="1" w:styleId="FooterCouncil">
    <w:name w:val="Footer Council"/>
    <w:basedOn w:val="Normal"/>
    <w:link w:val="FooterCouncilChar"/>
    <w:pPr>
      <w:spacing w:after="240" w:line="276" w:lineRule="auto"/>
    </w:pPr>
    <w:rPr>
      <w:rFonts w:ascii="Calibri" w:eastAsia="Calibri" w:hAnsi="Calibri"/>
      <w:sz w:val="2"/>
      <w:szCs w:val="22"/>
    </w:rPr>
  </w:style>
  <w:style w:type="character" w:customStyle="1" w:styleId="FooterCouncilChar">
    <w:name w:val="Footer Council Char"/>
    <w:basedOn w:val="pjChar"/>
    <w:link w:val="FooterCouncil"/>
    <w:rPr>
      <w:rFonts w:ascii="Calibri" w:eastAsia="Calibri" w:hAnsi="Calibri"/>
      <w:sz w:val="2"/>
      <w:szCs w:val="22"/>
      <w:lang w:val="en-GB"/>
    </w:rPr>
  </w:style>
  <w:style w:type="paragraph" w:customStyle="1" w:styleId="FooterText">
    <w:name w:val="Footer Text"/>
    <w:basedOn w:val="Normal"/>
    <w:pPr>
      <w:spacing w:after="240"/>
    </w:pPr>
    <w:rPr>
      <w:rFonts w:eastAsia="Times New Roman"/>
    </w:rPr>
  </w:style>
  <w:style w:type="character" w:customStyle="1" w:styleId="st1">
    <w:name w:val="st1"/>
    <w:basedOn w:val="DefaultParagraphFont"/>
  </w:style>
  <w:style w:type="paragraph" w:styleId="EndnoteText">
    <w:name w:val="endnote text"/>
    <w:basedOn w:val="Normal"/>
    <w:link w:val="EndnoteTextChar"/>
    <w:uiPriority w:val="99"/>
    <w:semiHidden/>
    <w:unhideWhenUsed/>
    <w:pPr>
      <w:spacing w:after="240"/>
    </w:pPr>
    <w:rPr>
      <w:rFonts w:ascii="Calibri" w:eastAsia="Calibri" w:hAnsi="Calibri"/>
      <w:sz w:val="20"/>
      <w:szCs w:val="20"/>
    </w:rPr>
  </w:style>
  <w:style w:type="character" w:customStyle="1" w:styleId="EndnoteTextChar">
    <w:name w:val="Endnote Text Char"/>
    <w:basedOn w:val="DefaultParagraphFont"/>
    <w:link w:val="EndnoteText"/>
    <w:uiPriority w:val="99"/>
    <w:semiHidden/>
    <w:rPr>
      <w:rFonts w:ascii="Calibri" w:eastAsia="Calibri" w:hAnsi="Calibri"/>
      <w:lang w:val="en-GB"/>
    </w:rPr>
  </w:style>
  <w:style w:type="character" w:styleId="EndnoteReference">
    <w:name w:val="endnote reference"/>
    <w:basedOn w:val="DefaultParagraphFont"/>
    <w:uiPriority w:val="99"/>
    <w:semiHidden/>
    <w:unhideWhenUsed/>
    <w:rPr>
      <w:vertAlign w:val="superscript"/>
    </w:rPr>
  </w:style>
  <w:style w:type="character" w:customStyle="1" w:styleId="ListParagraphChar">
    <w:name w:val="List Paragraph Char"/>
    <w:link w:val="ListParagraph"/>
    <w:uiPriority w:val="34"/>
    <w:rPr>
      <w:rFonts w:asciiTheme="minorHAnsi" w:hAnsiTheme="minorHAnsi" w:cstheme="minorBidi"/>
      <w:sz w:val="22"/>
      <w:szCs w:val="22"/>
      <w:lang w:val="en-GB"/>
    </w:rPr>
  </w:style>
  <w:style w:type="table" w:customStyle="1" w:styleId="TableGrid3">
    <w:name w:val="Table Grid3"/>
    <w:basedOn w:val="TableNormal"/>
    <w:next w:val="TableGrid"/>
    <w:uiPriority w:val="3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4">
    <w:name w:val="CM4"/>
    <w:basedOn w:val="Default"/>
    <w:next w:val="Default"/>
    <w:uiPriority w:val="99"/>
    <w:rPr>
      <w:rFonts w:cstheme="minorBidi"/>
      <w:color w:val="auto"/>
    </w:rPr>
  </w:style>
  <w:style w:type="table" w:customStyle="1" w:styleId="TableGrid6">
    <w:name w:val="Table Grid6"/>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Pr>
      <w:rFonts w:asciiTheme="minorHAnsi" w:hAnsiTheme="minorHAnsi" w:cstheme="minorBid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Pr>
      <w:rFonts w:asciiTheme="minorHAnsi" w:hAnsiTheme="minorHAnsi" w:cstheme="minorBid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unhideWhenUsed/>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style>
  <w:style w:type="table" w:customStyle="1" w:styleId="TableGrid11">
    <w:name w:val="Table Grid11"/>
    <w:basedOn w:val="TableNormal"/>
    <w:next w:val="TableGrid"/>
    <w:uiPriority w:val="59"/>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style>
  <w:style w:type="paragraph" w:customStyle="1" w:styleId="ChapterHead">
    <w:name w:val="ChapterHead"/>
    <w:basedOn w:val="Normal"/>
    <w:qFormat/>
    <w:pPr>
      <w:spacing w:after="240"/>
    </w:pPr>
  </w:style>
  <w:style w:type="paragraph" w:customStyle="1" w:styleId="Heaidng3">
    <w:name w:val="Heaidng 3"/>
    <w:basedOn w:val="Normal"/>
    <w:pPr>
      <w:spacing w:after="120" w:line="276" w:lineRule="auto"/>
      <w:ind w:firstLine="720"/>
      <w:jc w:val="both"/>
    </w:pPr>
    <w:rPr>
      <w:rFonts w:eastAsia="Times New Roman"/>
      <w:b/>
      <w:i/>
      <w:noProof/>
      <w:lang w:eastAsia="fr-BE"/>
    </w:rPr>
  </w:style>
  <w:style w:type="paragraph" w:customStyle="1" w:styleId="Heaeding3">
    <w:name w:val="Heaeding 3"/>
    <w:basedOn w:val="Normal"/>
    <w:pPr>
      <w:spacing w:after="120" w:line="276" w:lineRule="auto"/>
      <w:ind w:firstLine="720"/>
      <w:jc w:val="both"/>
    </w:pPr>
    <w:rPr>
      <w:rFonts w:eastAsia="Times New Roman"/>
      <w:b/>
      <w:i/>
      <w:noProof/>
      <w:lang w:eastAsia="fr-BE"/>
    </w:rPr>
  </w:style>
  <w:style w:type="paragraph" w:customStyle="1" w:styleId="Heaidng1">
    <w:name w:val="Heaidng 1"/>
    <w:basedOn w:val="Normal"/>
    <w:pPr>
      <w:spacing w:before="240" w:after="120" w:line="276" w:lineRule="auto"/>
    </w:pPr>
    <w:rPr>
      <w:b/>
      <w:bCs/>
      <w:noProof/>
    </w:rPr>
  </w:style>
  <w:style w:type="paragraph" w:styleId="NormalWeb">
    <w:name w:val="Normal (Web)"/>
    <w:basedOn w:val="Normal"/>
    <w:uiPriority w:val="99"/>
    <w:unhideWhenUsed/>
    <w:pPr>
      <w:spacing w:before="100" w:beforeAutospacing="1" w:after="100" w:afterAutospacing="1"/>
    </w:pPr>
    <w:rPr>
      <w:rFonts w:eastAsia="Times New Roman"/>
      <w:lang w:eastAsia="en-GB"/>
    </w:rPr>
  </w:style>
  <w:style w:type="paragraph" w:styleId="TOCHeading">
    <w:name w:val="TOC Heading"/>
    <w:basedOn w:val="Heading1"/>
    <w:next w:val="Normal"/>
    <w:uiPriority w:val="39"/>
    <w:unhideWhenUsed/>
    <w:qFormat/>
    <w:pPr>
      <w:keepLines/>
      <w:tabs>
        <w:tab w:val="clear" w:pos="480"/>
      </w:tabs>
      <w:spacing w:before="240" w:after="0" w:line="259" w:lineRule="auto"/>
      <w:ind w:left="0" w:firstLine="0"/>
      <w:jc w:val="left"/>
      <w:outlineLvl w:val="9"/>
    </w:pPr>
    <w:rPr>
      <w:rFonts w:asciiTheme="majorHAnsi" w:eastAsiaTheme="majorEastAsia" w:hAnsiTheme="majorHAnsi" w:cstheme="majorBidi"/>
      <w:b w:val="0"/>
      <w:smallCaps w:val="0"/>
      <w:color w:val="365F91" w:themeColor="accent1" w:themeShade="BF"/>
      <w:sz w:val="32"/>
      <w:szCs w:val="32"/>
      <w:lang w:val="en-US"/>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40"/>
    </w:pPr>
  </w:style>
  <w:style w:type="paragraph" w:styleId="TOC3">
    <w:name w:val="toc 3"/>
    <w:basedOn w:val="Normal"/>
    <w:next w:val="Normal"/>
    <w:autoRedefine/>
    <w:uiPriority w:val="39"/>
    <w:unhideWhenUsed/>
    <w:pPr>
      <w:spacing w:after="100"/>
      <w:ind w:left="480"/>
    </w:pPr>
  </w:style>
  <w:style w:type="paragraph" w:styleId="TOC4">
    <w:name w:val="toc 4"/>
    <w:basedOn w:val="Normal"/>
    <w:next w:val="Normal"/>
    <w:autoRedefine/>
    <w:uiPriority w:val="39"/>
    <w:unhideWhenUsed/>
    <w:pPr>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pPr>
      <w:spacing w:after="100" w:line="259" w:lineRule="auto"/>
      <w:ind w:left="1760"/>
    </w:pPr>
    <w:rPr>
      <w:rFonts w:asciiTheme="minorHAnsi" w:eastAsiaTheme="minorEastAsia" w:hAnsiTheme="minorHAnsi" w:cstheme="minorBidi"/>
      <w:sz w:val="22"/>
      <w:szCs w:val="22"/>
      <w:lang w:eastAsia="en-GB"/>
    </w:rPr>
  </w:style>
  <w:style w:type="character" w:customStyle="1" w:styleId="bold2">
    <w:name w:val="bold2"/>
    <w:basedOn w:val="DefaultParagraphFont"/>
    <w:rPr>
      <w:b/>
      <w:bCs/>
    </w:rPr>
  </w:style>
  <w:style w:type="numbering" w:customStyle="1" w:styleId="NoList5">
    <w:name w:val="No List5"/>
    <w:next w:val="NoList"/>
    <w:uiPriority w:val="99"/>
    <w:semiHidden/>
    <w:unhideWhenUsed/>
  </w:style>
  <w:style w:type="table" w:customStyle="1" w:styleId="TableGrid12">
    <w:name w:val="Table Grid12"/>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style>
  <w:style w:type="table" w:customStyle="1" w:styleId="TableGrid13">
    <w:name w:val="Table Grid13"/>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style>
  <w:style w:type="table" w:customStyle="1" w:styleId="TableGrid21">
    <w:name w:val="Table Grid21"/>
    <w:basedOn w:val="TableNormal"/>
    <w:next w:val="TableGrid"/>
    <w:uiPriority w:val="59"/>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Pr>
      <w:rFonts w:asciiTheme="minorHAnsi" w:hAnsiTheme="minorHAnsi" w:cstheme="minorBid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Pr>
      <w:rFonts w:asciiTheme="minorHAnsi" w:hAnsiTheme="minorHAnsi" w:cstheme="minorBid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unhideWhenUsed/>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style>
  <w:style w:type="table" w:customStyle="1" w:styleId="TableGrid111">
    <w:name w:val="Table Grid111"/>
    <w:basedOn w:val="TableNormal"/>
    <w:next w:val="TableGrid"/>
    <w:uiPriority w:val="59"/>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style>
  <w:style w:type="paragraph" w:customStyle="1" w:styleId="Noi">
    <w:name w:val="Noi"/>
    <w:basedOn w:val="Text1"/>
  </w:style>
  <w:style w:type="paragraph" w:customStyle="1" w:styleId="Char">
    <w:name w:val="Char"/>
    <w:basedOn w:val="Normal"/>
    <w:next w:val="Normal"/>
    <w:pPr>
      <w:spacing w:after="160" w:line="240" w:lineRule="exact"/>
    </w:pPr>
    <w:rPr>
      <w:rFonts w:ascii="Tahoma" w:eastAsia="Times New Roman" w:hAnsi="Tahoma"/>
      <w:szCs w:val="20"/>
      <w:lang w:val="en-US"/>
    </w:rPr>
  </w:style>
  <w:style w:type="character" w:styleId="PlaceholderText">
    <w:name w:val="Placeholder Text"/>
    <w:basedOn w:val="DefaultParagraphFont"/>
    <w:uiPriority w:val="99"/>
    <w:semiHidden/>
    <w:rPr>
      <w:color w:val="808080"/>
    </w:rPr>
  </w:style>
  <w:style w:type="paragraph" w:styleId="Caption">
    <w:name w:val="caption"/>
    <w:basedOn w:val="Normal"/>
    <w:next w:val="Normal"/>
    <w:uiPriority w:val="35"/>
    <w:unhideWhenUsed/>
    <w:qFormat/>
    <w:pPr>
      <w:spacing w:after="200"/>
    </w:pPr>
    <w:rPr>
      <w:i/>
      <w:iCs/>
      <w:color w:val="1F497D" w:themeColor="text2"/>
      <w:sz w:val="18"/>
      <w:szCs w:val="18"/>
    </w:rPr>
  </w:style>
  <w:style w:type="paragraph" w:customStyle="1" w:styleId="Pa8">
    <w:name w:val="Pa8"/>
    <w:basedOn w:val="Default"/>
    <w:next w:val="Default"/>
    <w:uiPriority w:val="99"/>
    <w:pPr>
      <w:spacing w:line="241" w:lineRule="atLeast"/>
    </w:pPr>
    <w:rPr>
      <w:rFonts w:ascii="EC Square Sans Pro" w:hAnsi="EC Square Sans Pro" w:cstheme="minorBidi"/>
      <w:color w:val="auto"/>
    </w:rPr>
  </w:style>
  <w:style w:type="paragraph" w:customStyle="1" w:styleId="ftrefCharCharCharCharCharCharCharCharChar">
    <w:name w:val="ftref Char Char Char Char Char Char Char Char Char"/>
    <w:aliases w:val="Footnote Char Char Char Char Char Char Char Char Char,BVI fnr Char Char Char Char Char Char Char Char Char,BVI fnr Char Char Char Char Char Char Char Char Char Char"/>
    <w:basedOn w:val="Normal"/>
    <w:link w:val="FootnoteReference"/>
    <w:uiPriority w:val="99"/>
    <w:pPr>
      <w:spacing w:after="160" w:line="240" w:lineRule="exact"/>
    </w:pPr>
    <w:rPr>
      <w:sz w:val="20"/>
      <w:szCs w:val="20"/>
      <w:vertAlign w:val="superscript"/>
      <w:lang w:val="en-US"/>
    </w:rPr>
  </w:style>
  <w:style w:type="character" w:customStyle="1" w:styleId="Bodytext2">
    <w:name w:val="Body text (2)"/>
    <w:basedOn w:val="DefaultParagraphFont"/>
    <w:rPr>
      <w:rFonts w:ascii="Arial" w:eastAsia="Arial" w:hAnsi="Arial" w:cs="Arial"/>
      <w:b w:val="0"/>
      <w:bCs w:val="0"/>
      <w:i w:val="0"/>
      <w:iCs w:val="0"/>
      <w:smallCaps w:val="0"/>
      <w:strike w:val="0"/>
      <w:color w:val="000000"/>
      <w:spacing w:val="0"/>
      <w:w w:val="100"/>
      <w:position w:val="0"/>
      <w:sz w:val="14"/>
      <w:szCs w:val="14"/>
      <w:u w:val="none"/>
      <w:lang w:val="en-US" w:eastAsia="en-US" w:bidi="en-US"/>
    </w:rPr>
  </w:style>
  <w:style w:type="character" w:customStyle="1" w:styleId="A4">
    <w:name w:val="A4"/>
    <w:uiPriority w:val="99"/>
    <w:rPr>
      <w:rFonts w:ascii="GillSans" w:hAnsi="GillSans" w:cs="GillSans" w:hint="default"/>
      <w:color w:val="000000"/>
    </w:rPr>
  </w:style>
  <w:style w:type="character" w:customStyle="1" w:styleId="Bodytext29pt">
    <w:name w:val="Body text|2 + 9 pt"/>
    <w:basedOn w:val="DefaultParagraphFont"/>
    <w:semiHidden/>
    <w:unhideWhenUsed/>
    <w:rPr>
      <w:rFonts w:ascii="Arial" w:eastAsia="Arial" w:hAnsi="Arial" w:cs="Arial"/>
      <w:b w:val="0"/>
      <w:bCs w:val="0"/>
      <w:i w:val="0"/>
      <w:iCs w:val="0"/>
      <w:smallCaps w:val="0"/>
      <w:strike w:val="0"/>
      <w:color w:val="000000"/>
      <w:spacing w:val="0"/>
      <w:w w:val="100"/>
      <w:position w:val="0"/>
      <w:sz w:val="18"/>
      <w:szCs w:val="18"/>
      <w:u w:val="none"/>
      <w:lang w:val="en-US" w:eastAsia="en-US" w:bidi="en-US"/>
    </w:rPr>
  </w:style>
  <w:style w:type="character" w:customStyle="1" w:styleId="Bodytext20">
    <w:name w:val="Body text|2_"/>
    <w:basedOn w:val="DefaultParagraphFont"/>
    <w:link w:val="Bodytext21"/>
    <w:rPr>
      <w:rFonts w:ascii="Arial" w:eastAsia="Arial" w:hAnsi="Arial" w:cs="Arial"/>
      <w:shd w:val="clear" w:color="auto" w:fill="FFFFFF"/>
    </w:rPr>
  </w:style>
  <w:style w:type="paragraph" w:customStyle="1" w:styleId="Bodytext21">
    <w:name w:val="Body text|2"/>
    <w:basedOn w:val="Normal"/>
    <w:link w:val="Bodytext20"/>
    <w:qFormat/>
    <w:pPr>
      <w:widowControl w:val="0"/>
      <w:shd w:val="clear" w:color="auto" w:fill="FFFFFF"/>
      <w:spacing w:before="840" w:after="620" w:line="268" w:lineRule="exact"/>
    </w:pPr>
    <w:rPr>
      <w:rFonts w:ascii="Arial" w:eastAsia="Arial" w:hAnsi="Arial" w:cs="Arial"/>
      <w:sz w:val="20"/>
      <w:szCs w:val="20"/>
      <w:lang w:val="en-US"/>
    </w:rPr>
  </w:style>
  <w:style w:type="paragraph" w:customStyle="1" w:styleId="Heading20">
    <w:name w:val="Heading2"/>
    <w:basedOn w:val="Heading3"/>
    <w:pPr>
      <w:ind w:left="0" w:firstLine="0"/>
    </w:pPr>
  </w:style>
  <w:style w:type="paragraph" w:customStyle="1" w:styleId="Heading21">
    <w:name w:val="Heading  2"/>
    <w:basedOn w:val="Heading20"/>
  </w:style>
  <w:style w:type="character" w:styleId="Emphasis">
    <w:name w:val="Emphasis"/>
    <w:qFormat/>
    <w:rPr>
      <w:i/>
      <w:iCs/>
    </w:rPr>
  </w:style>
  <w:style w:type="paragraph" w:customStyle="1" w:styleId="LTTTitle2">
    <w:name w:val="LTT Title 2"/>
    <w:basedOn w:val="Normal"/>
    <w:qFormat/>
    <w:pPr>
      <w:pBdr>
        <w:bottom w:val="single" w:sz="6" w:space="1" w:color="auto"/>
      </w:pBdr>
      <w:spacing w:before="480" w:after="320"/>
    </w:pPr>
    <w:rPr>
      <w:rFonts w:ascii="Calibri" w:eastAsia="Times New Roman" w:hAnsi="Calibri" w:cs="Calibri"/>
      <w:b/>
      <w:szCs w:val="20"/>
      <w:lang w:eastAsia="en-GB"/>
    </w:rPr>
  </w:style>
  <w:style w:type="paragraph" w:styleId="Title">
    <w:name w:val="Title"/>
    <w:basedOn w:val="Normal"/>
    <w:next w:val="Normal"/>
    <w:link w:val="TitleChar"/>
    <w:pPr>
      <w:spacing w:before="3200" w:after="480" w:line="264" w:lineRule="auto"/>
      <w:jc w:val="center"/>
    </w:pPr>
    <w:rPr>
      <w:rFonts w:eastAsia="Times New Roman"/>
      <w:b/>
      <w:kern w:val="28"/>
      <w:sz w:val="48"/>
      <w:szCs w:val="20"/>
      <w:lang w:eastAsia="en-GB"/>
    </w:rPr>
  </w:style>
  <w:style w:type="character" w:customStyle="1" w:styleId="TitleChar">
    <w:name w:val="Title Char"/>
    <w:basedOn w:val="DefaultParagraphFont"/>
    <w:link w:val="Title"/>
    <w:rPr>
      <w:rFonts w:eastAsia="Times New Roman"/>
      <w:b/>
      <w:kern w:val="28"/>
      <w:sz w:val="48"/>
      <w:lang w:val="en-GB" w:eastAsia="en-GB"/>
    </w:rPr>
  </w:style>
  <w:style w:type="paragraph" w:customStyle="1" w:styleId="ZDGName">
    <w:name w:val="Z_DGName"/>
    <w:basedOn w:val="Normal"/>
    <w:uiPriority w:val="99"/>
    <w:semiHidden/>
    <w:pPr>
      <w:widowControl w:val="0"/>
      <w:ind w:right="85"/>
    </w:pPr>
    <w:rPr>
      <w:rFonts w:eastAsia="Times New Roman"/>
      <w:sz w:val="22"/>
      <w:szCs w:val="20"/>
      <w:lang w:eastAsia="en-GB"/>
    </w:rPr>
  </w:style>
  <w:style w:type="paragraph" w:customStyle="1" w:styleId="ZCom">
    <w:name w:val="Z_Com"/>
    <w:basedOn w:val="Normal"/>
    <w:next w:val="Normal"/>
    <w:uiPriority w:val="99"/>
    <w:semiHidden/>
    <w:pPr>
      <w:widowControl w:val="0"/>
      <w:spacing w:before="90"/>
      <w:ind w:right="85"/>
      <w:jc w:val="both"/>
    </w:pPr>
    <w:rPr>
      <w:rFonts w:eastAsia="Times New Roman"/>
      <w:sz w:val="22"/>
      <w:szCs w:val="20"/>
      <w:lang w:eastAsia="en-GB"/>
    </w:rPr>
  </w:style>
  <w:style w:type="paragraph" w:customStyle="1" w:styleId="ZFlag">
    <w:name w:val="Z_Flag"/>
    <w:basedOn w:val="Normal"/>
    <w:next w:val="Normal"/>
    <w:uiPriority w:val="99"/>
    <w:semiHidden/>
    <w:pPr>
      <w:widowControl w:val="0"/>
      <w:spacing w:line="264" w:lineRule="auto"/>
      <w:ind w:right="85"/>
      <w:jc w:val="both"/>
    </w:pPr>
    <w:rPr>
      <w:rFonts w:eastAsia="Times New Roman"/>
      <w:sz w:val="22"/>
      <w:szCs w:val="20"/>
      <w:lang w:eastAsia="en-GB"/>
    </w:rPr>
  </w:style>
  <w:style w:type="table" w:customStyle="1" w:styleId="TableLetterhead">
    <w:name w:val="Table Letterhead"/>
    <w:basedOn w:val="TableNormal"/>
    <w:uiPriority w:val="99"/>
    <w:rPr>
      <w:rFonts w:eastAsia="Times New Roman"/>
      <w:sz w:val="24"/>
      <w:lang w:val="en-GB" w:eastAsia="en-GB"/>
    </w:rPr>
    <w:tblPr>
      <w:tblCellMar>
        <w:left w:w="0" w:type="dxa"/>
        <w:bottom w:w="340" w:type="dxa"/>
        <w:right w:w="0" w:type="dxa"/>
      </w:tblCellMar>
    </w:tblPr>
  </w:style>
  <w:style w:type="paragraph" w:customStyle="1" w:styleId="msonormal0">
    <w:name w:val="msonormal"/>
    <w:basedOn w:val="Normal"/>
    <w:pPr>
      <w:spacing w:before="100" w:beforeAutospacing="1" w:after="100" w:afterAutospacing="1"/>
    </w:pPr>
    <w:rPr>
      <w:rFonts w:eastAsia="Times New Roman"/>
      <w:lang w:val="en-IE" w:eastAsia="en-IE"/>
    </w:rPr>
  </w:style>
  <w:style w:type="paragraph" w:customStyle="1" w:styleId="xl65">
    <w:name w:val="xl65"/>
    <w:basedOn w:val="Normal"/>
    <w:pPr>
      <w:spacing w:before="100" w:beforeAutospacing="1" w:after="100" w:afterAutospacing="1"/>
      <w:jc w:val="center"/>
      <w:textAlignment w:val="center"/>
    </w:pPr>
    <w:rPr>
      <w:rFonts w:eastAsia="Times New Roman"/>
      <w:b/>
      <w:bCs/>
      <w:sz w:val="16"/>
      <w:szCs w:val="16"/>
      <w:lang w:val="en-IE" w:eastAsia="en-IE"/>
    </w:rPr>
  </w:style>
  <w:style w:type="paragraph" w:customStyle="1" w:styleId="xl66">
    <w:name w:val="xl66"/>
    <w:basedOn w:val="Normal"/>
    <w:pPr>
      <w:spacing w:before="100" w:beforeAutospacing="1" w:after="100" w:afterAutospacing="1"/>
    </w:pPr>
    <w:rPr>
      <w:rFonts w:eastAsia="Times New Roman"/>
      <w:b/>
      <w:bCs/>
      <w:sz w:val="16"/>
      <w:szCs w:val="16"/>
      <w:lang w:val="en-IE" w:eastAsia="en-IE"/>
    </w:rPr>
  </w:style>
  <w:style w:type="paragraph" w:customStyle="1" w:styleId="xl67">
    <w:name w:val="xl67"/>
    <w:basedOn w:val="Normal"/>
    <w:pPr>
      <w:spacing w:before="100" w:beforeAutospacing="1" w:after="100" w:afterAutospacing="1"/>
    </w:pPr>
    <w:rPr>
      <w:rFonts w:eastAsia="Times New Roman"/>
      <w:sz w:val="16"/>
      <w:szCs w:val="16"/>
      <w:lang w:val="en-IE" w:eastAsia="en-IE"/>
    </w:rPr>
  </w:style>
  <w:style w:type="paragraph" w:customStyle="1" w:styleId="xl68">
    <w:name w:val="xl68"/>
    <w:basedOn w:val="Normal"/>
    <w:pPr>
      <w:pBdr>
        <w:bottom w:val="single" w:sz="4" w:space="0" w:color="auto"/>
      </w:pBdr>
      <w:spacing w:before="100" w:beforeAutospacing="1" w:after="100" w:afterAutospacing="1"/>
    </w:pPr>
    <w:rPr>
      <w:rFonts w:eastAsia="Times New Roman"/>
      <w:sz w:val="16"/>
      <w:szCs w:val="16"/>
      <w:lang w:val="en-IE" w:eastAsia="en-IE"/>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70">
    <w:name w:val="xl70"/>
    <w:basedOn w:val="Normal"/>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6"/>
      <w:szCs w:val="16"/>
      <w:lang w:val="en-IE" w:eastAsia="en-IE"/>
    </w:rPr>
  </w:style>
  <w:style w:type="paragraph" w:customStyle="1" w:styleId="xl71">
    <w:name w:val="xl71"/>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6"/>
      <w:szCs w:val="16"/>
      <w:lang w:val="en-IE" w:eastAsia="en-IE"/>
    </w:rPr>
  </w:style>
  <w:style w:type="paragraph" w:customStyle="1" w:styleId="xl72">
    <w:name w:val="xl72"/>
    <w:basedOn w:val="Normal"/>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b/>
      <w:bCs/>
      <w:sz w:val="16"/>
      <w:szCs w:val="16"/>
      <w:lang w:val="en-IE" w:eastAsia="en-IE"/>
    </w:rPr>
  </w:style>
  <w:style w:type="paragraph" w:customStyle="1" w:styleId="xl73">
    <w:name w:val="xl73"/>
    <w:basedOn w:val="Normal"/>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74">
    <w:name w:val="xl74"/>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75">
    <w:name w:val="xl75"/>
    <w:basedOn w:val="Normal"/>
    <w:pPr>
      <w:pBdr>
        <w:left w:val="single" w:sz="8" w:space="0" w:color="auto"/>
      </w:pBdr>
      <w:spacing w:before="100" w:beforeAutospacing="1" w:after="100" w:afterAutospacing="1"/>
    </w:pPr>
    <w:rPr>
      <w:rFonts w:eastAsia="Times New Roman"/>
      <w:sz w:val="16"/>
      <w:szCs w:val="16"/>
      <w:lang w:val="en-IE" w:eastAsia="en-IE"/>
    </w:rPr>
  </w:style>
  <w:style w:type="paragraph" w:customStyle="1" w:styleId="xl76">
    <w:name w:val="xl76"/>
    <w:basedOn w:val="Normal"/>
    <w:pPr>
      <w:pBdr>
        <w:right w:val="single" w:sz="8" w:space="0" w:color="auto"/>
      </w:pBdr>
      <w:spacing w:before="100" w:beforeAutospacing="1" w:after="100" w:afterAutospacing="1"/>
    </w:pPr>
    <w:rPr>
      <w:rFonts w:eastAsia="Times New Roman"/>
      <w:sz w:val="16"/>
      <w:szCs w:val="16"/>
      <w:lang w:val="en-IE" w:eastAsia="en-IE"/>
    </w:rPr>
  </w:style>
  <w:style w:type="paragraph" w:customStyle="1" w:styleId="xl77">
    <w:name w:val="xl77"/>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78">
    <w:name w:val="xl78"/>
    <w:basedOn w:val="Normal"/>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eastAsia="Times New Roman"/>
      <w:b/>
      <w:bCs/>
      <w:sz w:val="16"/>
      <w:szCs w:val="16"/>
      <w:lang w:val="en-IE" w:eastAsia="en-IE"/>
    </w:rPr>
  </w:style>
  <w:style w:type="paragraph" w:customStyle="1" w:styleId="xl79">
    <w:name w:val="xl79"/>
    <w:basedOn w:val="Normal"/>
    <w:pPr>
      <w:pBdr>
        <w:top w:val="single" w:sz="4" w:space="0" w:color="auto"/>
        <w:left w:val="single" w:sz="8" w:space="0" w:color="auto"/>
        <w:right w:val="single" w:sz="8" w:space="0" w:color="auto"/>
      </w:pBdr>
      <w:spacing w:before="100" w:beforeAutospacing="1" w:after="100" w:afterAutospacing="1"/>
      <w:textAlignment w:val="top"/>
    </w:pPr>
    <w:rPr>
      <w:rFonts w:eastAsia="Times New Roman"/>
      <w:b/>
      <w:bCs/>
      <w:sz w:val="16"/>
      <w:szCs w:val="16"/>
      <w:lang w:val="en-IE" w:eastAsia="en-IE"/>
    </w:rPr>
  </w:style>
  <w:style w:type="paragraph" w:customStyle="1" w:styleId="xl80">
    <w:name w:val="xl80"/>
    <w:basedOn w:val="Normal"/>
    <w:pPr>
      <w:pBdr>
        <w:left w:val="single" w:sz="8" w:space="0" w:color="auto"/>
        <w:right w:val="single" w:sz="8" w:space="0" w:color="auto"/>
      </w:pBdr>
      <w:spacing w:before="100" w:beforeAutospacing="1" w:after="100" w:afterAutospacing="1"/>
      <w:textAlignment w:val="top"/>
    </w:pPr>
    <w:rPr>
      <w:rFonts w:eastAsia="Times New Roman"/>
      <w:sz w:val="16"/>
      <w:szCs w:val="16"/>
      <w:lang w:val="en-IE" w:eastAsia="en-IE"/>
    </w:rPr>
  </w:style>
  <w:style w:type="paragraph" w:customStyle="1" w:styleId="xl81">
    <w:name w:val="xl81"/>
    <w:basedOn w:val="Normal"/>
    <w:pPr>
      <w:pBdr>
        <w:left w:val="single" w:sz="8" w:space="0" w:color="auto"/>
        <w:right w:val="single" w:sz="8" w:space="0" w:color="auto"/>
      </w:pBdr>
      <w:spacing w:before="100" w:beforeAutospacing="1" w:after="100" w:afterAutospacing="1"/>
      <w:textAlignment w:val="top"/>
    </w:pPr>
    <w:rPr>
      <w:rFonts w:eastAsia="Times New Roman"/>
      <w:b/>
      <w:bCs/>
      <w:sz w:val="16"/>
      <w:szCs w:val="16"/>
      <w:lang w:val="en-IE" w:eastAsia="en-IE"/>
    </w:rPr>
  </w:style>
  <w:style w:type="paragraph" w:customStyle="1" w:styleId="xl82">
    <w:name w:val="xl82"/>
    <w:basedOn w:val="Normal"/>
    <w:pPr>
      <w:pBdr>
        <w:left w:val="single" w:sz="8" w:space="0" w:color="auto"/>
        <w:bottom w:val="single" w:sz="4" w:space="0" w:color="auto"/>
        <w:right w:val="single" w:sz="8" w:space="0" w:color="auto"/>
      </w:pBdr>
      <w:spacing w:before="100" w:beforeAutospacing="1" w:after="100" w:afterAutospacing="1"/>
      <w:textAlignment w:val="top"/>
    </w:pPr>
    <w:rPr>
      <w:rFonts w:eastAsia="Times New Roman"/>
      <w:sz w:val="16"/>
      <w:szCs w:val="16"/>
      <w:lang w:val="en-IE" w:eastAsia="en-IE"/>
    </w:rPr>
  </w:style>
  <w:style w:type="paragraph" w:customStyle="1" w:styleId="xl83">
    <w:name w:val="xl83"/>
    <w:basedOn w:val="Normal"/>
    <w:pPr>
      <w:pBdr>
        <w:left w:val="single" w:sz="8" w:space="0" w:color="auto"/>
        <w:right w:val="single" w:sz="8" w:space="0" w:color="auto"/>
      </w:pBdr>
      <w:spacing w:before="100" w:beforeAutospacing="1" w:after="100" w:afterAutospacing="1"/>
      <w:textAlignment w:val="top"/>
    </w:pPr>
    <w:rPr>
      <w:rFonts w:eastAsia="Times New Roman"/>
      <w:sz w:val="16"/>
      <w:szCs w:val="16"/>
      <w:lang w:val="en-IE" w:eastAsia="en-IE"/>
    </w:rPr>
  </w:style>
  <w:style w:type="paragraph" w:customStyle="1" w:styleId="xl84">
    <w:name w:val="xl84"/>
    <w:basedOn w:val="Normal"/>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eastAsia="Times New Roman"/>
      <w:b/>
      <w:bCs/>
      <w:sz w:val="16"/>
      <w:szCs w:val="16"/>
      <w:lang w:val="en-IE" w:eastAsia="en-IE"/>
    </w:rPr>
  </w:style>
  <w:style w:type="paragraph" w:customStyle="1" w:styleId="xl85">
    <w:name w:val="xl85"/>
    <w:basedOn w:val="Normal"/>
    <w:pPr>
      <w:pBdr>
        <w:top w:val="single" w:sz="4" w:space="0" w:color="auto"/>
        <w:left w:val="single" w:sz="8" w:space="0" w:color="auto"/>
        <w:right w:val="single" w:sz="8" w:space="0" w:color="auto"/>
      </w:pBdr>
      <w:spacing w:before="100" w:beforeAutospacing="1" w:after="100" w:afterAutospacing="1"/>
      <w:textAlignment w:val="top"/>
    </w:pPr>
    <w:rPr>
      <w:rFonts w:eastAsia="Times New Roman"/>
      <w:b/>
      <w:bCs/>
      <w:sz w:val="16"/>
      <w:szCs w:val="16"/>
      <w:lang w:val="en-IE" w:eastAsia="en-IE"/>
    </w:rPr>
  </w:style>
  <w:style w:type="paragraph" w:customStyle="1" w:styleId="xl86">
    <w:name w:val="xl86"/>
    <w:basedOn w:val="Normal"/>
    <w:pPr>
      <w:pBdr>
        <w:top w:val="single" w:sz="4" w:space="0" w:color="auto"/>
        <w:left w:val="single" w:sz="8" w:space="0" w:color="auto"/>
        <w:right w:val="single" w:sz="8" w:space="0" w:color="auto"/>
      </w:pBdr>
      <w:spacing w:before="100" w:beforeAutospacing="1" w:after="100" w:afterAutospacing="1"/>
    </w:pPr>
    <w:rPr>
      <w:rFonts w:eastAsia="Times New Roman"/>
      <w:b/>
      <w:bCs/>
      <w:sz w:val="16"/>
      <w:szCs w:val="16"/>
      <w:lang w:val="en-IE" w:eastAsia="en-IE"/>
    </w:rPr>
  </w:style>
  <w:style w:type="paragraph" w:customStyle="1" w:styleId="xl87">
    <w:name w:val="xl87"/>
    <w:basedOn w:val="Normal"/>
    <w:pPr>
      <w:pBdr>
        <w:left w:val="single" w:sz="8" w:space="0" w:color="auto"/>
        <w:right w:val="single" w:sz="8" w:space="0" w:color="auto"/>
      </w:pBdr>
      <w:spacing w:before="100" w:beforeAutospacing="1" w:after="100" w:afterAutospacing="1"/>
    </w:pPr>
    <w:rPr>
      <w:rFonts w:eastAsia="Times New Roman"/>
      <w:sz w:val="16"/>
      <w:szCs w:val="16"/>
      <w:lang w:val="en-IE" w:eastAsia="en-IE"/>
    </w:rPr>
  </w:style>
  <w:style w:type="paragraph" w:customStyle="1" w:styleId="xl88">
    <w:name w:val="xl88"/>
    <w:basedOn w:val="Normal"/>
    <w:pPr>
      <w:pBdr>
        <w:left w:val="single" w:sz="8" w:space="0" w:color="auto"/>
        <w:right w:val="single" w:sz="8" w:space="0" w:color="auto"/>
      </w:pBdr>
      <w:spacing w:before="100" w:beforeAutospacing="1" w:after="100" w:afterAutospacing="1"/>
    </w:pPr>
    <w:rPr>
      <w:rFonts w:eastAsia="Times New Roman"/>
      <w:b/>
      <w:bCs/>
      <w:sz w:val="16"/>
      <w:szCs w:val="16"/>
      <w:lang w:val="en-IE" w:eastAsia="en-IE"/>
    </w:rPr>
  </w:style>
  <w:style w:type="paragraph" w:customStyle="1" w:styleId="xl89">
    <w:name w:val="xl89"/>
    <w:basedOn w:val="Normal"/>
    <w:pPr>
      <w:pBdr>
        <w:left w:val="single" w:sz="8" w:space="0" w:color="auto"/>
        <w:bottom w:val="single" w:sz="4" w:space="0" w:color="auto"/>
        <w:right w:val="single" w:sz="8" w:space="0" w:color="auto"/>
      </w:pBdr>
      <w:spacing w:before="100" w:beforeAutospacing="1" w:after="100" w:afterAutospacing="1"/>
    </w:pPr>
    <w:rPr>
      <w:rFonts w:eastAsia="Times New Roman"/>
      <w:sz w:val="16"/>
      <w:szCs w:val="16"/>
      <w:lang w:val="en-IE" w:eastAsia="en-IE"/>
    </w:rPr>
  </w:style>
  <w:style w:type="paragraph" w:customStyle="1" w:styleId="xl90">
    <w:name w:val="xl90"/>
    <w:basedOn w:val="Normal"/>
    <w:pPr>
      <w:pBdr>
        <w:top w:val="single" w:sz="4" w:space="0" w:color="auto"/>
        <w:left w:val="single" w:sz="8" w:space="0" w:color="auto"/>
        <w:bottom w:val="single" w:sz="4" w:space="0" w:color="auto"/>
        <w:right w:val="single" w:sz="8" w:space="0" w:color="auto"/>
      </w:pBdr>
      <w:spacing w:before="100" w:beforeAutospacing="1" w:after="100" w:afterAutospacing="1"/>
    </w:pPr>
    <w:rPr>
      <w:rFonts w:eastAsia="Times New Roman"/>
      <w:b/>
      <w:bCs/>
      <w:sz w:val="16"/>
      <w:szCs w:val="16"/>
      <w:lang w:val="en-IE" w:eastAsia="en-IE"/>
    </w:rPr>
  </w:style>
  <w:style w:type="paragraph" w:customStyle="1" w:styleId="xl91">
    <w:name w:val="xl91"/>
    <w:basedOn w:val="Normal"/>
    <w:pPr>
      <w:pBdr>
        <w:top w:val="single" w:sz="4" w:space="0" w:color="auto"/>
        <w:left w:val="single" w:sz="8" w:space="0" w:color="auto"/>
        <w:right w:val="single" w:sz="4"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92">
    <w:name w:val="xl92"/>
    <w:basedOn w:val="Normal"/>
    <w:pPr>
      <w:pBdr>
        <w:left w:val="single" w:sz="8" w:space="0" w:color="auto"/>
        <w:right w:val="single" w:sz="4"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93">
    <w:name w:val="xl93"/>
    <w:basedOn w:val="Normal"/>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94">
    <w:name w:val="xl94"/>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95">
    <w:name w:val="xl95"/>
    <w:basedOn w:val="Normal"/>
    <w:pPr>
      <w:pBdr>
        <w:left w:val="single" w:sz="4" w:space="0" w:color="auto"/>
        <w:right w:val="single" w:sz="4"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96">
    <w:name w:val="xl96"/>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97">
    <w:name w:val="xl97"/>
    <w:basedOn w:val="Normal"/>
    <w:pPr>
      <w:pBdr>
        <w:top w:val="single" w:sz="4" w:space="0" w:color="auto"/>
        <w:left w:val="single" w:sz="4" w:space="0" w:color="auto"/>
        <w:right w:val="single" w:sz="8"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98">
    <w:name w:val="xl98"/>
    <w:basedOn w:val="Normal"/>
    <w:pPr>
      <w:pBdr>
        <w:left w:val="single" w:sz="4" w:space="0" w:color="auto"/>
        <w:right w:val="single" w:sz="8"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99">
    <w:name w:val="xl99"/>
    <w:basedOn w:val="Normal"/>
    <w:pPr>
      <w:pBdr>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100">
    <w:name w:val="xl100"/>
    <w:basedOn w:val="Normal"/>
    <w:pPr>
      <w:pBdr>
        <w:top w:val="single" w:sz="4" w:space="0" w:color="auto"/>
        <w:left w:val="single" w:sz="4" w:space="0" w:color="auto"/>
        <w:right w:val="single" w:sz="8"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101">
    <w:name w:val="xl101"/>
    <w:basedOn w:val="Normal"/>
    <w:pPr>
      <w:pBdr>
        <w:left w:val="single" w:sz="4" w:space="0" w:color="auto"/>
        <w:right w:val="single" w:sz="8"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102">
    <w:name w:val="xl102"/>
    <w:basedOn w:val="Normal"/>
    <w:pPr>
      <w:pBdr>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103">
    <w:name w:val="xl103"/>
    <w:basedOn w:val="Normal"/>
    <w:pPr>
      <w:pBdr>
        <w:top w:val="single" w:sz="4" w:space="0" w:color="auto"/>
        <w:left w:val="single" w:sz="4" w:space="0" w:color="auto"/>
        <w:right w:val="single" w:sz="8"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104">
    <w:name w:val="xl104"/>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105">
    <w:name w:val="xl105"/>
    <w:basedOn w:val="Normal"/>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16"/>
      <w:szCs w:val="16"/>
      <w:lang w:val="en-IE" w:eastAsia="en-IE"/>
    </w:rPr>
  </w:style>
  <w:style w:type="paragraph" w:customStyle="1" w:styleId="xl106">
    <w:name w:val="xl106"/>
    <w:basedOn w:val="Normal"/>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16"/>
      <w:szCs w:val="16"/>
      <w:lang w:val="en-IE" w:eastAsia="en-IE"/>
    </w:rPr>
  </w:style>
  <w:style w:type="paragraph" w:customStyle="1" w:styleId="xl107">
    <w:name w:val="xl107"/>
    <w:basedOn w:val="Normal"/>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16"/>
      <w:szCs w:val="16"/>
      <w:lang w:val="en-IE" w:eastAsia="en-IE"/>
    </w:rPr>
  </w:style>
  <w:style w:type="paragraph" w:customStyle="1" w:styleId="xl108">
    <w:name w:val="xl108"/>
    <w:basedOn w:val="Normal"/>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eastAsia="Times New Roman"/>
      <w:sz w:val="16"/>
      <w:szCs w:val="16"/>
      <w:lang w:val="en-IE" w:eastAsia="en-IE"/>
    </w:rPr>
  </w:style>
  <w:style w:type="paragraph" w:customStyle="1" w:styleId="xl109">
    <w:name w:val="xl109"/>
    <w:basedOn w:val="Normal"/>
    <w:pPr>
      <w:pBdr>
        <w:left w:val="single" w:sz="4" w:space="0" w:color="auto"/>
        <w:right w:val="single" w:sz="8" w:space="0" w:color="auto"/>
      </w:pBdr>
      <w:shd w:val="clear" w:color="000000" w:fill="FFFFFF"/>
      <w:spacing w:before="100" w:beforeAutospacing="1" w:after="100" w:afterAutospacing="1"/>
      <w:jc w:val="center"/>
      <w:textAlignment w:val="center"/>
    </w:pPr>
    <w:rPr>
      <w:rFonts w:eastAsia="Times New Roman"/>
      <w:sz w:val="16"/>
      <w:szCs w:val="16"/>
      <w:lang w:val="en-IE" w:eastAsia="en-IE"/>
    </w:rPr>
  </w:style>
  <w:style w:type="paragraph" w:customStyle="1" w:styleId="xl110">
    <w:name w:val="xl110"/>
    <w:basedOn w:val="Normal"/>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eastAsia="Times New Roman"/>
      <w:sz w:val="16"/>
      <w:szCs w:val="16"/>
      <w:lang w:val="en-IE" w:eastAsia="en-IE"/>
    </w:rPr>
  </w:style>
  <w:style w:type="paragraph" w:customStyle="1" w:styleId="xl111">
    <w:name w:val="xl111"/>
    <w:basedOn w:val="Normal"/>
    <w:pPr>
      <w:pBdr>
        <w:top w:val="single" w:sz="4" w:space="0" w:color="auto"/>
        <w:left w:val="single" w:sz="8" w:space="0" w:color="auto"/>
        <w:right w:val="single" w:sz="4"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112">
    <w:name w:val="xl112"/>
    <w:basedOn w:val="Normal"/>
    <w:pPr>
      <w:pBdr>
        <w:left w:val="single" w:sz="8" w:space="0" w:color="auto"/>
        <w:right w:val="single" w:sz="4"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113">
    <w:name w:val="xl113"/>
    <w:basedOn w:val="Normal"/>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114">
    <w:name w:val="xl114"/>
    <w:basedOn w:val="Normal"/>
    <w:pPr>
      <w:pBdr>
        <w:left w:val="single" w:sz="4" w:space="0" w:color="auto"/>
        <w:right w:val="single" w:sz="8"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xl115">
    <w:name w:val="xl115"/>
    <w:basedOn w:val="Normal"/>
    <w:pPr>
      <w:pBdr>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16"/>
      <w:szCs w:val="16"/>
      <w:lang w:val="en-IE" w:eastAsia="en-IE"/>
    </w:rPr>
  </w:style>
  <w:style w:type="paragraph" w:customStyle="1" w:styleId="SecurityMarking">
    <w:name w:val="SecurityMarking"/>
    <w:basedOn w:val="Normal"/>
    <w:pPr>
      <w:spacing w:line="276" w:lineRule="auto"/>
      <w:ind w:left="5103"/>
    </w:pPr>
    <w:rPr>
      <w:sz w:val="28"/>
      <w:szCs w:val="22"/>
    </w:rPr>
  </w:style>
  <w:style w:type="paragraph" w:customStyle="1" w:styleId="DateMarking">
    <w:name w:val="DateMarking"/>
    <w:basedOn w:val="Normal"/>
    <w:pPr>
      <w:spacing w:line="276" w:lineRule="auto"/>
      <w:ind w:left="5103"/>
    </w:pPr>
    <w:rPr>
      <w:i/>
      <w:sz w:val="28"/>
      <w:szCs w:val="22"/>
    </w:rPr>
  </w:style>
  <w:style w:type="paragraph" w:customStyle="1" w:styleId="ReleasableTo">
    <w:name w:val="ReleasableTo"/>
    <w:basedOn w:val="Normal"/>
    <w:pPr>
      <w:spacing w:line="276" w:lineRule="auto"/>
      <w:ind w:left="5103"/>
    </w:pPr>
    <w:rPr>
      <w:i/>
      <w:sz w:val="28"/>
      <w:szCs w:val="22"/>
    </w:rPr>
  </w:style>
  <w:style w:type="paragraph" w:customStyle="1" w:styleId="HeaderSensitivityRight">
    <w:name w:val="Header Sensitivity Right"/>
    <w:basedOn w:val="Normal"/>
    <w:pPr>
      <w:spacing w:after="120"/>
      <w:jc w:val="right"/>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373340">
      <w:bodyDiv w:val="1"/>
      <w:marLeft w:val="0"/>
      <w:marRight w:val="0"/>
      <w:marTop w:val="0"/>
      <w:marBottom w:val="0"/>
      <w:divBdr>
        <w:top w:val="none" w:sz="0" w:space="0" w:color="auto"/>
        <w:left w:val="none" w:sz="0" w:space="0" w:color="auto"/>
        <w:bottom w:val="none" w:sz="0" w:space="0" w:color="auto"/>
        <w:right w:val="none" w:sz="0" w:space="0" w:color="auto"/>
      </w:divBdr>
    </w:div>
    <w:div w:id="313992600">
      <w:bodyDiv w:val="1"/>
      <w:marLeft w:val="0"/>
      <w:marRight w:val="0"/>
      <w:marTop w:val="0"/>
      <w:marBottom w:val="0"/>
      <w:divBdr>
        <w:top w:val="none" w:sz="0" w:space="0" w:color="auto"/>
        <w:left w:val="none" w:sz="0" w:space="0" w:color="auto"/>
        <w:bottom w:val="none" w:sz="0" w:space="0" w:color="auto"/>
        <w:right w:val="none" w:sz="0" w:space="0" w:color="auto"/>
      </w:divBdr>
    </w:div>
    <w:div w:id="323242587">
      <w:bodyDiv w:val="1"/>
      <w:marLeft w:val="0"/>
      <w:marRight w:val="0"/>
      <w:marTop w:val="0"/>
      <w:marBottom w:val="0"/>
      <w:divBdr>
        <w:top w:val="none" w:sz="0" w:space="0" w:color="auto"/>
        <w:left w:val="none" w:sz="0" w:space="0" w:color="auto"/>
        <w:bottom w:val="none" w:sz="0" w:space="0" w:color="auto"/>
        <w:right w:val="none" w:sz="0" w:space="0" w:color="auto"/>
      </w:divBdr>
    </w:div>
    <w:div w:id="456263033">
      <w:bodyDiv w:val="1"/>
      <w:marLeft w:val="0"/>
      <w:marRight w:val="0"/>
      <w:marTop w:val="0"/>
      <w:marBottom w:val="0"/>
      <w:divBdr>
        <w:top w:val="none" w:sz="0" w:space="0" w:color="auto"/>
        <w:left w:val="none" w:sz="0" w:space="0" w:color="auto"/>
        <w:bottom w:val="none" w:sz="0" w:space="0" w:color="auto"/>
        <w:right w:val="none" w:sz="0" w:space="0" w:color="auto"/>
      </w:divBdr>
    </w:div>
    <w:div w:id="920604112">
      <w:bodyDiv w:val="1"/>
      <w:marLeft w:val="0"/>
      <w:marRight w:val="0"/>
      <w:marTop w:val="0"/>
      <w:marBottom w:val="0"/>
      <w:divBdr>
        <w:top w:val="none" w:sz="0" w:space="0" w:color="auto"/>
        <w:left w:val="none" w:sz="0" w:space="0" w:color="auto"/>
        <w:bottom w:val="none" w:sz="0" w:space="0" w:color="auto"/>
        <w:right w:val="none" w:sz="0" w:space="0" w:color="auto"/>
      </w:divBdr>
    </w:div>
    <w:div w:id="1209683228">
      <w:bodyDiv w:val="1"/>
      <w:marLeft w:val="0"/>
      <w:marRight w:val="0"/>
      <w:marTop w:val="0"/>
      <w:marBottom w:val="0"/>
      <w:divBdr>
        <w:top w:val="none" w:sz="0" w:space="0" w:color="auto"/>
        <w:left w:val="none" w:sz="0" w:space="0" w:color="auto"/>
        <w:bottom w:val="none" w:sz="0" w:space="0" w:color="auto"/>
        <w:right w:val="none" w:sz="0" w:space="0" w:color="auto"/>
      </w:divBdr>
    </w:div>
    <w:div w:id="1242176250">
      <w:bodyDiv w:val="1"/>
      <w:marLeft w:val="0"/>
      <w:marRight w:val="0"/>
      <w:marTop w:val="0"/>
      <w:marBottom w:val="0"/>
      <w:divBdr>
        <w:top w:val="none" w:sz="0" w:space="0" w:color="auto"/>
        <w:left w:val="none" w:sz="0" w:space="0" w:color="auto"/>
        <w:bottom w:val="none" w:sz="0" w:space="0" w:color="auto"/>
        <w:right w:val="none" w:sz="0" w:space="0" w:color="auto"/>
      </w:divBdr>
    </w:div>
    <w:div w:id="1245726493">
      <w:bodyDiv w:val="1"/>
      <w:marLeft w:val="0"/>
      <w:marRight w:val="0"/>
      <w:marTop w:val="0"/>
      <w:marBottom w:val="0"/>
      <w:divBdr>
        <w:top w:val="none" w:sz="0" w:space="0" w:color="auto"/>
        <w:left w:val="none" w:sz="0" w:space="0" w:color="auto"/>
        <w:bottom w:val="none" w:sz="0" w:space="0" w:color="auto"/>
        <w:right w:val="none" w:sz="0" w:space="0" w:color="auto"/>
      </w:divBdr>
    </w:div>
    <w:div w:id="1352297904">
      <w:bodyDiv w:val="1"/>
      <w:marLeft w:val="0"/>
      <w:marRight w:val="0"/>
      <w:marTop w:val="0"/>
      <w:marBottom w:val="0"/>
      <w:divBdr>
        <w:top w:val="none" w:sz="0" w:space="0" w:color="auto"/>
        <w:left w:val="none" w:sz="0" w:space="0" w:color="auto"/>
        <w:bottom w:val="none" w:sz="0" w:space="0" w:color="auto"/>
        <w:right w:val="none" w:sz="0" w:space="0" w:color="auto"/>
      </w:divBdr>
    </w:div>
    <w:div w:id="1391031896">
      <w:bodyDiv w:val="1"/>
      <w:marLeft w:val="0"/>
      <w:marRight w:val="0"/>
      <w:marTop w:val="0"/>
      <w:marBottom w:val="0"/>
      <w:divBdr>
        <w:top w:val="none" w:sz="0" w:space="0" w:color="auto"/>
        <w:left w:val="none" w:sz="0" w:space="0" w:color="auto"/>
        <w:bottom w:val="none" w:sz="0" w:space="0" w:color="auto"/>
        <w:right w:val="none" w:sz="0" w:space="0" w:color="auto"/>
      </w:divBdr>
    </w:div>
    <w:div w:id="1434786295">
      <w:bodyDiv w:val="1"/>
      <w:marLeft w:val="0"/>
      <w:marRight w:val="0"/>
      <w:marTop w:val="0"/>
      <w:marBottom w:val="0"/>
      <w:divBdr>
        <w:top w:val="none" w:sz="0" w:space="0" w:color="auto"/>
        <w:left w:val="none" w:sz="0" w:space="0" w:color="auto"/>
        <w:bottom w:val="none" w:sz="0" w:space="0" w:color="auto"/>
        <w:right w:val="none" w:sz="0" w:space="0" w:color="auto"/>
      </w:divBdr>
    </w:div>
    <w:div w:id="1710691167">
      <w:bodyDiv w:val="1"/>
      <w:marLeft w:val="0"/>
      <w:marRight w:val="0"/>
      <w:marTop w:val="0"/>
      <w:marBottom w:val="0"/>
      <w:divBdr>
        <w:top w:val="none" w:sz="0" w:space="0" w:color="auto"/>
        <w:left w:val="none" w:sz="0" w:space="0" w:color="auto"/>
        <w:bottom w:val="none" w:sz="0" w:space="0" w:color="auto"/>
        <w:right w:val="none" w:sz="0" w:space="0" w:color="auto"/>
      </w:divBdr>
    </w:div>
    <w:div w:id="1895238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hyperlink" Target="http://ec.europa.eu/trade/policy/policy-making/analysis/policy-evaluation/ex-post-evaluations/" TargetMode="External"/><Relationship Id="rId39" Type="http://schemas.openxmlformats.org/officeDocument/2006/relationships/chart" Target="charts/chart3.xml"/><Relationship Id="rId21" Type="http://schemas.openxmlformats.org/officeDocument/2006/relationships/hyperlink" Target="http://trade.ec.europa.eu/doclib/docs/2019/april/tradoc_157873.pdf" TargetMode="External"/><Relationship Id="rId34" Type="http://schemas.openxmlformats.org/officeDocument/2006/relationships/hyperlink" Target="http://trade.ec.europa.eu/doclib/docs/2018/february/tradoc_156618.pdf" TargetMode="External"/><Relationship Id="rId42" Type="http://schemas.openxmlformats.org/officeDocument/2006/relationships/chart" Target="charts/chart6.xml"/><Relationship Id="rId47" Type="http://schemas.openxmlformats.org/officeDocument/2006/relationships/chart" Target="charts/chart10.xml"/><Relationship Id="rId50" Type="http://schemas.openxmlformats.org/officeDocument/2006/relationships/image" Target="media/image6.png"/><Relationship Id="rId55" Type="http://schemas.openxmlformats.org/officeDocument/2006/relationships/hyperlink" Target="http://cta-cameroun.org/" TargetMode="External"/><Relationship Id="rId63" Type="http://schemas.openxmlformats.org/officeDocument/2006/relationships/footer" Target="footer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trade.ec.europa.eu/doclib/press/index.cfm?id=1811" TargetMode="External"/><Relationship Id="rId29" Type="http://schemas.openxmlformats.org/officeDocument/2006/relationships/hyperlink" Target="http://trade.ec.europa.eu/doclib/docs/2019/february/tradoc_157701.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trade.ec.europa.eu/doclib/docs/2019/july/tradoc_157992.pdf" TargetMode="External"/><Relationship Id="rId32" Type="http://schemas.openxmlformats.org/officeDocument/2006/relationships/hyperlink" Target="http://trade.ec.europa.eu/doclib/docs/2018/july/tradoc_157150.pdf" TargetMode="External"/><Relationship Id="rId37" Type="http://schemas.openxmlformats.org/officeDocument/2006/relationships/hyperlink" Target="http://trade.ec.europa.eu/doclib/docs/2019/april/tradoc_157858.pdf" TargetMode="External"/><Relationship Id="rId40" Type="http://schemas.openxmlformats.org/officeDocument/2006/relationships/chart" Target="charts/chart4.xml"/><Relationship Id="rId45" Type="http://schemas.openxmlformats.org/officeDocument/2006/relationships/image" Target="media/image4.jpg"/><Relationship Id="rId53" Type="http://schemas.openxmlformats.org/officeDocument/2006/relationships/image" Target="media/image9.png"/><Relationship Id="rId58" Type="http://schemas.openxmlformats.org/officeDocument/2006/relationships/hyperlink" Target="http://www.carib-export.com/export-development/we-xport/"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trade.ec.europa.eu/doclib/docs/2018/december/tradoc_157586.pdf" TargetMode="External"/><Relationship Id="rId28" Type="http://schemas.openxmlformats.org/officeDocument/2006/relationships/hyperlink" Target="http://trade.ec.europa.eu/doclib/docs/2018/february/tradoc_156618.pdf" TargetMode="External"/><Relationship Id="rId36" Type="http://schemas.openxmlformats.org/officeDocument/2006/relationships/hyperlink" Target="http://trade.ec.europa.eu/doclib/press/index.cfm?id=1870" TargetMode="External"/><Relationship Id="rId49" Type="http://schemas.openxmlformats.org/officeDocument/2006/relationships/image" Target="media/image5.png"/><Relationship Id="rId57" Type="http://schemas.openxmlformats.org/officeDocument/2006/relationships/hyperlink" Target="https://ec.europa.eu/immigration/" TargetMode="External"/><Relationship Id="rId61" Type="http://schemas.openxmlformats.org/officeDocument/2006/relationships/header" Target="header5.xml"/><Relationship Id="rId10" Type="http://schemas.openxmlformats.org/officeDocument/2006/relationships/header" Target="header1.xml"/><Relationship Id="rId19" Type="http://schemas.openxmlformats.org/officeDocument/2006/relationships/hyperlink" Target="http://trade.ec.europa.eu/doclib/docs/2019/march/tradoc_157809.pdf" TargetMode="External"/><Relationship Id="rId31" Type="http://schemas.openxmlformats.org/officeDocument/2006/relationships/hyperlink" Target="https://eur-lex.europa.eu/legal-content/EN/TXT/?uri=CELEX:52018SC0454" TargetMode="External"/><Relationship Id="rId44" Type="http://schemas.openxmlformats.org/officeDocument/2006/relationships/chart" Target="charts/chart8.xml"/><Relationship Id="rId52" Type="http://schemas.openxmlformats.org/officeDocument/2006/relationships/image" Target="media/image8.png"/><Relationship Id="rId60" Type="http://schemas.openxmlformats.org/officeDocument/2006/relationships/header" Target="header4.xml"/><Relationship Id="rId65"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chart" Target="charts/chart2.xml"/><Relationship Id="rId27" Type="http://schemas.openxmlformats.org/officeDocument/2006/relationships/hyperlink" Target="https://eur-lex.europa.eu/legal-content/EN/TXT/?uri=uriserv:OJ.L_.2019.033.01.0035.01.ENG&amp;toc=OJ:L:2019:033:TOC" TargetMode="External"/><Relationship Id="rId30" Type="http://schemas.openxmlformats.org/officeDocument/2006/relationships/hyperlink" Target="http://trade.ec.europa.eu/doclib/docs/2018/february/tradoc_156618.pdf" TargetMode="External"/><Relationship Id="rId35" Type="http://schemas.openxmlformats.org/officeDocument/2006/relationships/hyperlink" Target="http://trade.ec.europa.eu/doclib/press/index.cfm?id=1968" TargetMode="External"/><Relationship Id="rId43" Type="http://schemas.openxmlformats.org/officeDocument/2006/relationships/chart" Target="charts/chart7.xml"/><Relationship Id="rId48" Type="http://schemas.openxmlformats.org/officeDocument/2006/relationships/hyperlink" Target="http://trade.ec.europa.eu/doclib/docs/2019/april/tradoc_157821.pdf" TargetMode="External"/><Relationship Id="rId56" Type="http://schemas.openxmlformats.org/officeDocument/2006/relationships/image" Target="media/image11.png"/><Relationship Id="rId64"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image" Target="media/image7.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image" Target="media/image3.emf"/><Relationship Id="rId33" Type="http://schemas.openxmlformats.org/officeDocument/2006/relationships/hyperlink" Target="http://trade.ec.europa.eu/doclib/docs/2018/february/tradoc_156618.pdf" TargetMode="External"/><Relationship Id="rId38" Type="http://schemas.openxmlformats.org/officeDocument/2006/relationships/hyperlink" Target="http://trade.ec.europa.eu/doclib/docs/2019/april/tradoc_157854.pdf" TargetMode="External"/><Relationship Id="rId46" Type="http://schemas.openxmlformats.org/officeDocument/2006/relationships/chart" Target="charts/chart9.xml"/><Relationship Id="rId59" Type="http://schemas.openxmlformats.org/officeDocument/2006/relationships/image" Target="media/image12.png"/><Relationship Id="rId67" Type="http://schemas.openxmlformats.org/officeDocument/2006/relationships/theme" Target="theme/theme1.xml"/><Relationship Id="rId20" Type="http://schemas.openxmlformats.org/officeDocument/2006/relationships/hyperlink" Target="http://trade.ec.europa.eu/doclib/docs/2018/february/tradoc_156618.pdf" TargetMode="External"/><Relationship Id="rId41" Type="http://schemas.openxmlformats.org/officeDocument/2006/relationships/chart" Target="charts/chart5.xml"/><Relationship Id="rId54" Type="http://schemas.openxmlformats.org/officeDocument/2006/relationships/image" Target="media/image10.png"/><Relationship Id="rId62" Type="http://schemas.openxmlformats.org/officeDocument/2006/relationships/footer" Target="footer4.xml"/></Relationships>
</file>

<file path=word/_rels/footnotes.xml.rels><?xml version="1.0" encoding="UTF-8" standalone="yes"?>
<Relationships xmlns="http://schemas.openxmlformats.org/package/2006/relationships"><Relationship Id="rId13" Type="http://schemas.openxmlformats.org/officeDocument/2006/relationships/hyperlink" Target="http://trade.ec.europa.eu/doclib/docs/2018/november/tradoc_157499.11.2018%20final.pdf" TargetMode="External"/><Relationship Id="rId18" Type="http://schemas.openxmlformats.org/officeDocument/2006/relationships/hyperlink" Target="https://eur-lex.europa.eu/legal-content/EN/TXT/PDF/?uri=CELEX:22018D0984" TargetMode="External"/><Relationship Id="rId26" Type="http://schemas.openxmlformats.org/officeDocument/2006/relationships/hyperlink" Target="http://data2.unhcr.org/en/situations/syria/location/36" TargetMode="External"/><Relationship Id="rId39" Type="http://schemas.openxmlformats.org/officeDocument/2006/relationships/hyperlink" Target="https://www.consilium.europa.eu/fr/press/press-releases/2018/11/20/conclusions-of-the-50th-meeting-of-the-eea-council/pdf" TargetMode="External"/><Relationship Id="rId21" Type="http://schemas.openxmlformats.org/officeDocument/2006/relationships/hyperlink" Target="https://eeas.europa.eu/delegations/algeria/31985/les-nouvelles-priorites-du-partenariat-ue-algerie_en" TargetMode="External"/><Relationship Id="rId34" Type="http://schemas.openxmlformats.org/officeDocument/2006/relationships/hyperlink" Target="https://unctad.org/en/PublicationsLibrary/wir2018_en.pdf%20pague%2050" TargetMode="External"/><Relationship Id="rId42" Type="http://schemas.openxmlformats.org/officeDocument/2006/relationships/hyperlink" Target="https://eur-lex.europa.eu/legal-content/EN/TXT/?uri=CELEX%3A22002A0430%2801%29" TargetMode="External"/><Relationship Id="rId47" Type="http://schemas.openxmlformats.org/officeDocument/2006/relationships/hyperlink" Target="https://www.consilium.europa.eu/en/press/press-releases/2019/02/19/council-conclusions-on-eu-relations-with-the-swiss-confederation/" TargetMode="External"/><Relationship Id="rId50" Type="http://schemas.openxmlformats.org/officeDocument/2006/relationships/hyperlink" Target="http://eur-lex.europa.eu/legal-content/en/ALL/?uri=OJ:L:1998:086:TOC" TargetMode="External"/><Relationship Id="rId55" Type="http://schemas.openxmlformats.org/officeDocument/2006/relationships/hyperlink" Target="https://sts.sc/index.html" TargetMode="External"/><Relationship Id="rId7" Type="http://schemas.openxmlformats.org/officeDocument/2006/relationships/hyperlink" Target="http://trade.ec.europa.eu/doclib/docs/2019/july/tradoc_157992.pdf" TargetMode="External"/><Relationship Id="rId12" Type="http://schemas.openxmlformats.org/officeDocument/2006/relationships/hyperlink" Target="http://trade.ec.europa.eu/doclib/docs/2018/november/tradoc_157498.11.2018%20final.pdf" TargetMode="External"/><Relationship Id="rId17" Type="http://schemas.openxmlformats.org/officeDocument/2006/relationships/hyperlink" Target="http://eur-lex.europa.eu/legal-content/EN/TXT/PDF/?uri=OJ:L:2014:260:FULL&amp;from=EN" TargetMode="External"/><Relationship Id="rId25" Type="http://schemas.openxmlformats.org/officeDocument/2006/relationships/hyperlink" Target="https://trade.ec.europa.eu/doclib/docs/2018/december/tradoc_157588.pdf" TargetMode="External"/><Relationship Id="rId33" Type="http://schemas.openxmlformats.org/officeDocument/2006/relationships/hyperlink" Target="http://europa.eu/rapid/press-release_IP-16-3192_en.htm" TargetMode="External"/><Relationship Id="rId38" Type="http://schemas.openxmlformats.org/officeDocument/2006/relationships/hyperlink" Target="https://www.consilium.europa.eu/fr/press/press-releases/2018/11/20/conclusions-of-the-50th-meeting-of-the-eea-council/pdf" TargetMode="External"/><Relationship Id="rId46" Type="http://schemas.openxmlformats.org/officeDocument/2006/relationships/hyperlink" Target="https://eur-lex.europa.eu/legal-content/EN/TXT/?uri=CELEX%3A22002A0430%2801%29" TargetMode="External"/><Relationship Id="rId59" Type="http://schemas.openxmlformats.org/officeDocument/2006/relationships/hyperlink" Target="http://trade.ec.europa.eu/doclib/docs/2012/april/tradoc_149286.pdf" TargetMode="External"/><Relationship Id="rId2" Type="http://schemas.openxmlformats.org/officeDocument/2006/relationships/hyperlink" Target="http://trade.ec.europa.eu/doclib/press/index.cfm?id=1811" TargetMode="External"/><Relationship Id="rId16" Type="http://schemas.openxmlformats.org/officeDocument/2006/relationships/hyperlink" Target="http://eur-lex.europa.eu/legal-content/EN/TXT/?uri=CELEX:22016D2126" TargetMode="External"/><Relationship Id="rId20" Type="http://schemas.openxmlformats.org/officeDocument/2006/relationships/hyperlink" Target="http://www.consilium.europa.eu/en/meetings/international-ministerial-meetings/2018/05/14/algeria/" TargetMode="External"/><Relationship Id="rId29" Type="http://schemas.openxmlformats.org/officeDocument/2006/relationships/hyperlink" Target="https://eeas.europa.eu/headquarters/headquarters-Homepage/26716/european-union-and-lebanon-set-joint-working-group-trade-and-investment_en" TargetMode="External"/><Relationship Id="rId41" Type="http://schemas.openxmlformats.org/officeDocument/2006/relationships/hyperlink" Target="https://eur-lex.europa.eu/legal-content/en/ALL/?uri=OJ:L:1972:300:TOC" TargetMode="External"/><Relationship Id="rId54" Type="http://schemas.openxmlformats.org/officeDocument/2006/relationships/hyperlink" Target="https://www.bom.mu/sites/default/files/di_2018q4_website.pdf" TargetMode="External"/><Relationship Id="rId1" Type="http://schemas.openxmlformats.org/officeDocument/2006/relationships/hyperlink" Target="http://curia.europa.eu/juris/document/document.jsf?text=&amp;docid=213502&amp;pageIndex=0&amp;doclang=EN&amp;mode=req&amp;dir=&amp;occ=first&amp;part=1&amp;cid=6942898" TargetMode="External"/><Relationship Id="rId6" Type="http://schemas.openxmlformats.org/officeDocument/2006/relationships/hyperlink" Target="http://trade.ec.europa.eu/doclib/docs/2018/december/tradoc_157586.pdf" TargetMode="External"/><Relationship Id="rId11" Type="http://schemas.openxmlformats.org/officeDocument/2006/relationships/hyperlink" Target="https://ec.europa.eu/neighbourhood-enlargement/tenders/taiex_en" TargetMode="External"/><Relationship Id="rId24" Type="http://schemas.openxmlformats.org/officeDocument/2006/relationships/hyperlink" Target="http://www.consilium.europa.eu/media/23942/eu-egypt.pdf" TargetMode="External"/><Relationship Id="rId32" Type="http://schemas.openxmlformats.org/officeDocument/2006/relationships/hyperlink" Target="http://trade.ec.europa.eu/doclib/docs/2006/september/tradoc_111593.pdf" TargetMode="External"/><Relationship Id="rId37" Type="http://schemas.openxmlformats.org/officeDocument/2006/relationships/hyperlink" Target="https://eeas.europa.eu/diplomatic-network/european-economic-area-eea/348/european-economic-area-eea_en" TargetMode="External"/><Relationship Id="rId40" Type="http://schemas.openxmlformats.org/officeDocument/2006/relationships/hyperlink" Target="https://www.consilium.europa.eu/en/press/press-releases/2018/12/11/council-conclusions-on-a-homogeneous-extended-single-market-and-eu-relations-with-non-eu-western-european-countries/" TargetMode="External"/><Relationship Id="rId45" Type="http://schemas.openxmlformats.org/officeDocument/2006/relationships/hyperlink" Target="https://eur-lex.europa.eu/legal-content/EN/TXT/?uri=uriserv:OJ.L_.2002.114.01.0132.01.ENG" TargetMode="External"/><Relationship Id="rId53" Type="http://schemas.openxmlformats.org/officeDocument/2006/relationships/hyperlink" Target="http://trade.ec.europa.eu/doclib/docs/2012/march/tradoc_149213.pdf" TargetMode="External"/><Relationship Id="rId58" Type="http://schemas.openxmlformats.org/officeDocument/2006/relationships/hyperlink" Target="https://www.ey.com/Publication/vwLUAssets/ey-Africa-Attractiveness-2018/$FILE/ey-Africa-Attractiveness-2018.pdf" TargetMode="External"/><Relationship Id="rId5" Type="http://schemas.openxmlformats.org/officeDocument/2006/relationships/hyperlink" Target="http://trade.ec.europa.eu/doclib/docs/2018/july/tradoc_157105.PDF" TargetMode="External"/><Relationship Id="rId15" Type="http://schemas.openxmlformats.org/officeDocument/2006/relationships/hyperlink" Target="http://www.dcfta.gov.ge/en/implementation" TargetMode="External"/><Relationship Id="rId23" Type="http://schemas.openxmlformats.org/officeDocument/2006/relationships/hyperlink" Target="http://www.consilium.europa.eu/media/23942/eu-egypt.pdf" TargetMode="External"/><Relationship Id="rId28" Type="http://schemas.openxmlformats.org/officeDocument/2006/relationships/hyperlink" Target="https://ec.europa.eu/taxation_customs/business/calculation-customs-duties/rules-origin/general-aspects-preferential-origin/arrangements-list/paneuromediterranean-cumulation-pem-convention_en" TargetMode="External"/><Relationship Id="rId36" Type="http://schemas.openxmlformats.org/officeDocument/2006/relationships/hyperlink" Target="https://eur-lex.europa.eu/legal-content/EN/TXT/?uri=uriserv:OJ.L_.2018.129.01.0003.01.ENG&amp;toc=OJ:L:2018:129:TOC" TargetMode="External"/><Relationship Id="rId49" Type="http://schemas.openxmlformats.org/officeDocument/2006/relationships/hyperlink" Target="http://eur-lex.europa.eu/LexUriServ/LexUriServ.do?uri=CELEX:21996A0907(01):en:HTML" TargetMode="External"/><Relationship Id="rId57" Type="http://schemas.openxmlformats.org/officeDocument/2006/relationships/hyperlink" Target="http://iiag.online/" TargetMode="External"/><Relationship Id="rId10" Type="http://schemas.openxmlformats.org/officeDocument/2006/relationships/hyperlink" Target="http://ec.europa.eu/trade/policy/countries-and-regions/regions/central-america/" TargetMode="External"/><Relationship Id="rId19" Type="http://schemas.openxmlformats.org/officeDocument/2006/relationships/hyperlink" Target="https://eur-lex.europa.eu/legal-content/EN/TXT/?toc=OJ%3AL%3A2018%3A168%3ATOC&amp;uri=uriserv%3AOJ.L_.2018.168.01.0010.01.ENG" TargetMode="External"/><Relationship Id="rId31" Type="http://schemas.openxmlformats.org/officeDocument/2006/relationships/hyperlink" Target="https://ec.europa.eu/taxation_customs/business/calculation-customs-duties/rules-origin/general-aspects-preferential-origin/arrangements-list/paneuromediterranean-cumulation-pem-convention_en" TargetMode="External"/><Relationship Id="rId44" Type="http://schemas.openxmlformats.org/officeDocument/2006/relationships/hyperlink" Target="https://eur-lex.europa.eu/legal-content/EN/ALL/?uri=CELEX:22002A0430(06)" TargetMode="External"/><Relationship Id="rId52" Type="http://schemas.openxmlformats.org/officeDocument/2006/relationships/hyperlink" Target="https://ec.europa.eu/europeaid/funding/funding-instruments-programming/funding-instruments/european-development-fund_en" TargetMode="External"/><Relationship Id="rId60" Type="http://schemas.openxmlformats.org/officeDocument/2006/relationships/hyperlink" Target="https://www.total.com/en/media/news/press-releases/total-and-state-papua-new-guinea-sign-gas-agreement-papua-lng-project" TargetMode="External"/><Relationship Id="rId4" Type="http://schemas.openxmlformats.org/officeDocument/2006/relationships/hyperlink" Target="https://open.canada.ca/data/en/dataset/c45c4cda-7134-4e65-8e99-5214eb07bcf3" TargetMode="External"/><Relationship Id="rId9" Type="http://schemas.openxmlformats.org/officeDocument/2006/relationships/hyperlink" Target="http://www.consilium.europa.eu/en/documents-publications/treaties-agreements/agreement/?id=2016044" TargetMode="External"/><Relationship Id="rId14" Type="http://schemas.openxmlformats.org/officeDocument/2006/relationships/hyperlink" Target="http://eur-lex.europa.eu/legal-content/EN/TXT/PDF/?uri=OJ:L:2014:261:FULL&amp;from=EN" TargetMode="External"/><Relationship Id="rId22" Type="http://schemas.openxmlformats.org/officeDocument/2006/relationships/hyperlink" Target="http://trade.ec.europa.eu/doclib/docs/2006/september/tradoc_122000.pdf" TargetMode="External"/><Relationship Id="rId27" Type="http://schemas.openxmlformats.org/officeDocument/2006/relationships/hyperlink" Target="http://www.consilium.europa.eu/en/press/press-releases/2016/12/20/eu-jordan-partnership-priorities-and-compact/" TargetMode="External"/><Relationship Id="rId30" Type="http://schemas.openxmlformats.org/officeDocument/2006/relationships/hyperlink" Target="https://ec.europa.eu/neighbourhood-enlargement/tenders/taiex_en" TargetMode="External"/><Relationship Id="rId35" Type="http://schemas.openxmlformats.org/officeDocument/2006/relationships/hyperlink" Target="http://trade.ec.europa.eu/doclib/docs/2018/april/tradoc_156791.pdf" TargetMode="External"/><Relationship Id="rId43" Type="http://schemas.openxmlformats.org/officeDocument/2006/relationships/hyperlink" Target="http://trade.ec.europa.eu/doclib/docs/2013/december/tradoc_152006.pdf" TargetMode="External"/><Relationship Id="rId48" Type="http://schemas.openxmlformats.org/officeDocument/2006/relationships/hyperlink" Target="http://eur-lex.europa.eu/LexUriServ/LexUriServ.do?uri=CELEX:21996D0213(01):EN:HTML" TargetMode="External"/><Relationship Id="rId56" Type="http://schemas.openxmlformats.org/officeDocument/2006/relationships/hyperlink" Target="https://eurochamci.com/assets/files/livre-blanc-2019-version-numerique.pdf" TargetMode="External"/><Relationship Id="rId8" Type="http://schemas.openxmlformats.org/officeDocument/2006/relationships/hyperlink" Target="http://www.consilium.europa.eu/en/docuents-publications/agreements-conventions/agreement/?aid=2011057" TargetMode="External"/><Relationship Id="rId51" Type="http://schemas.openxmlformats.org/officeDocument/2006/relationships/hyperlink" Target="http://eur-lex.europa.eu/legal-content/EN/TXT/PDF/?uri=CELEX:22006D0999&amp;from=EN" TargetMode="External"/><Relationship Id="rId3" Type="http://schemas.openxmlformats.org/officeDocument/2006/relationships/hyperlink" Target="http://trade.ec.europa.eu/consultations/index.cfm?consul_id=248"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net1.cec.eu.int\TRADE\enc\E\1\02%20-%20CANADA\09.%20ECONOMIC%20IMPACT%20-%20Studies,%20statistics\02.%20Statistics\2018%20full%20year%20figures\190228%20canada%20RY%2001-12_Analysis.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2.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1" Type="http://schemas.openxmlformats.org/officeDocument/2006/relationships/oleObject" Target="file:///\\net1.cec.eu.int\TRADE\E\3\02.%20Mediterranean-GCC-IRAQ-IRAN-YEMEN\01.%20Mediterranean\2019\EUROMED\FTA%20Implementation%20Report\Graph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net1.cec.eu.int\TRADE\E\3\02.%20Mediterranean-GCC-IRAQ-IRAN-YEMEN\01.%20Mediterranean\2019\EUROMED\FTA%20Implementation%20Report\Graphs.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1" Type="http://schemas.openxmlformats.org/officeDocument/2006/relationships/oleObject" Target="file:///\\net1.cec.eu.int\TRADE\E\3\02.%20Mediterranean-GCC-IRAQ-IRAN-YEMEN\01.%20Mediterranean\2019\EUROMED\FTA%20Implementation%20Report\Graph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net1.cec.eu.int\TRADE\E\3\02.%20Mediterranean-GCC-IRAQ-IRAN-YEMEN\01.%20Mediterranean\2019\EUROMED\FTA%20Implementation%20Report\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baseline="0">
                <a:solidFill>
                  <a:schemeClr val="tx1">
                    <a:lumMod val="65000"/>
                    <a:lumOff val="35000"/>
                  </a:schemeClr>
                </a:solidFill>
                <a:latin typeface="+mn-lt"/>
                <a:ea typeface="+mn-ea"/>
                <a:cs typeface="+mn-cs"/>
              </a:defRPr>
            </a:pPr>
            <a:r>
              <a:rPr lang="en-US" cap="none" baseline="0"/>
              <a:t>EU exports to Canada, 2018</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7B5F-41BA-A81E-6704E30FDB98}"/>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7B5F-41BA-A81E-6704E30FDB98}"/>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7B5F-41BA-A81E-6704E30FDB98}"/>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7B5F-41BA-A81E-6704E30FDB98}"/>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7B5F-41BA-A81E-6704E30FDB98}"/>
              </c:ext>
            </c:extLst>
          </c:dPt>
          <c:dPt>
            <c:idx val="5"/>
            <c:bubble3D val="0"/>
            <c:spPr>
              <a:solidFill>
                <a:schemeClr val="accent6"/>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7B5F-41BA-A81E-6704E30FDB98}"/>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7B5F-41BA-A81E-6704E30FDB98}"/>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7B5F-41BA-A81E-6704E30FDB98}"/>
              </c:ext>
            </c:extLst>
          </c:dPt>
          <c:dLbls>
            <c:dLbl>
              <c:idx val="0"/>
              <c:layout>
                <c:manualLayout>
                  <c:x val="2.3779677326354089E-2"/>
                  <c:y val="9.0513518958072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7B5F-41BA-A81E-6704E30FDB98}"/>
                </c:ext>
              </c:extLst>
            </c:dLbl>
            <c:dLbl>
              <c:idx val="1"/>
              <c:layout>
                <c:manualLayout>
                  <c:x val="5.3466925764085319E-4"/>
                  <c:y val="-1.506031258287835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7B5F-41BA-A81E-6704E30FDB98}"/>
                </c:ext>
              </c:extLst>
            </c:dLbl>
            <c:dLbl>
              <c:idx val="2"/>
              <c:layout>
                <c:manualLayout>
                  <c:x val="7.4406453472916453E-2"/>
                  <c:y val="-0.1457060776190518"/>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7B5F-41BA-A81E-6704E30FDB9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showLegendKey val="0"/>
              <c:showVal val="0"/>
              <c:showCatName val="1"/>
              <c:showSerName val="0"/>
              <c:showPercent val="1"/>
              <c:showBubbleSize val="0"/>
            </c:dLbl>
            <c:dLbl>
              <c:idx val="4"/>
              <c:layout>
                <c:manualLayout>
                  <c:x val="-9.1308161194543977E-2"/>
                  <c:y val="-1.4597730344885978E-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11831897439353602"/>
                      <c:h val="0.15336832895888014"/>
                    </c:manualLayout>
                  </c15:layout>
                </c:ext>
                <c:ext xmlns:c16="http://schemas.microsoft.com/office/drawing/2014/chart" uri="{C3380CC4-5D6E-409C-BE32-E72D297353CC}">
                  <c16:uniqueId val="{00000009-7B5F-41BA-A81E-6704E30FDB98}"/>
                </c:ext>
              </c:extLst>
            </c:dLbl>
            <c:dLbl>
              <c:idx val="5"/>
              <c:layout>
                <c:manualLayout>
                  <c:x val="-0.11308910031039272"/>
                  <c:y val="-5.389628020635351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7B5F-41BA-A81E-6704E30FDB98}"/>
                </c:ext>
              </c:extLst>
            </c:dLbl>
            <c:dLbl>
              <c:idx val="6"/>
              <c:layout>
                <c:manualLayout>
                  <c:x val="-5.9722144218420627E-2"/>
                  <c:y val="-4.436834161024644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7B5F-41BA-A81E-6704E30FDB98}"/>
                </c:ext>
              </c:extLst>
            </c:dLbl>
            <c:dLbl>
              <c:idx val="7"/>
              <c:layout>
                <c:manualLayout>
                  <c:x val="-2.530224913041362E-2"/>
                  <c:y val="-1.585809838286346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7B5F-41BA-A81E-6704E30FDB98}"/>
                </c:ext>
              </c:extLst>
            </c:dLbl>
            <c:spPr>
              <a:noFill/>
              <a:ln>
                <a:noFill/>
              </a:ln>
              <a:effectLst/>
            </c:sp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'EU28 exports by sector (graph)'!$E$104:$E$111</c:f>
              <c:strCache>
                <c:ptCount val="8"/>
                <c:pt idx="0">
                  <c:v>Machinery and mechanical appliances</c:v>
                </c:pt>
                <c:pt idx="1">
                  <c:v>Vehicles and parts</c:v>
                </c:pt>
                <c:pt idx="2">
                  <c:v>Pharmaceuticals</c:v>
                </c:pt>
                <c:pt idx="3">
                  <c:v>Mineral fuels and oils</c:v>
                </c:pt>
                <c:pt idx="4">
                  <c:v>Electrical machinery</c:v>
                </c:pt>
                <c:pt idx="5">
                  <c:v>Organic chemicals</c:v>
                </c:pt>
                <c:pt idx="6">
                  <c:v>Agriculture</c:v>
                </c:pt>
                <c:pt idx="7">
                  <c:v>Other</c:v>
                </c:pt>
              </c:strCache>
            </c:strRef>
          </c:cat>
          <c:val>
            <c:numRef>
              <c:f>'EU28 exports by sector (graph)'!$F$104:$F$111</c:f>
              <c:numCache>
                <c:formatCode>#,##0</c:formatCode>
                <c:ptCount val="8"/>
                <c:pt idx="0">
                  <c:v>7454.1147580000006</c:v>
                </c:pt>
                <c:pt idx="1">
                  <c:v>5580.1515740000004</c:v>
                </c:pt>
                <c:pt idx="2">
                  <c:v>4999.8667429999996</c:v>
                </c:pt>
                <c:pt idx="3">
                  <c:v>2918.4776230000002</c:v>
                </c:pt>
                <c:pt idx="4">
                  <c:v>2189.5608769999999</c:v>
                </c:pt>
                <c:pt idx="5">
                  <c:v>1794.570432</c:v>
                </c:pt>
                <c:pt idx="6">
                  <c:v>3707.3821519999997</c:v>
                </c:pt>
                <c:pt idx="7">
                  <c:v>12719.680236000007</c:v>
                </c:pt>
              </c:numCache>
            </c:numRef>
          </c:val>
          <c:extLst xmlns:c16r2="http://schemas.microsoft.com/office/drawing/2015/06/chart">
            <c:ext xmlns:c16="http://schemas.microsoft.com/office/drawing/2014/chart" uri="{C3380CC4-5D6E-409C-BE32-E72D297353CC}">
              <c16:uniqueId val="{00000010-7B5F-41BA-A81E-6704E30FDB98}"/>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fr-BE" sz="1400" i="1">
                <a:latin typeface="Calibri" panose="020F0502020204030204" pitchFamily="34" charset="0"/>
                <a:cs typeface="Calibri" panose="020F0502020204030204" pitchFamily="34" charset="0"/>
              </a:rPr>
              <a:t>EU-Tunisia trade in goods (thousands of euro)</a:t>
            </a:r>
          </a:p>
        </c:rich>
      </c:tx>
      <c:overlay val="0"/>
    </c:title>
    <c:autoTitleDeleted val="0"/>
    <c:plotArea>
      <c:layout/>
      <c:lineChart>
        <c:grouping val="standard"/>
        <c:varyColors val="0"/>
        <c:ser>
          <c:idx val="0"/>
          <c:order val="0"/>
          <c:tx>
            <c:strRef>
              <c:f>Tunisia!$A$2</c:f>
              <c:strCache>
                <c:ptCount val="1"/>
                <c:pt idx="0">
                  <c:v>EU Exports</c:v>
                </c:pt>
              </c:strCache>
            </c:strRef>
          </c:tx>
          <c:spPr>
            <a:ln>
              <a:solidFill>
                <a:schemeClr val="tx2"/>
              </a:solidFill>
            </a:ln>
          </c:spPr>
          <c:marker>
            <c:symbol val="none"/>
          </c:marker>
          <c:cat>
            <c:numRef>
              <c:f>Tunisia!$B$1:$R$1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Tunisia!$B$2:$R$2</c:f>
              <c:numCache>
                <c:formatCode>#,##0</c:formatCode>
                <c:ptCount val="17"/>
                <c:pt idx="0">
                  <c:v>7668</c:v>
                </c:pt>
                <c:pt idx="1">
                  <c:v>7249</c:v>
                </c:pt>
                <c:pt idx="2">
                  <c:v>7621</c:v>
                </c:pt>
                <c:pt idx="3">
                  <c:v>7980</c:v>
                </c:pt>
                <c:pt idx="4">
                  <c:v>8730</c:v>
                </c:pt>
                <c:pt idx="5">
                  <c:v>9521</c:v>
                </c:pt>
                <c:pt idx="6">
                  <c:v>9921.1967430000004</c:v>
                </c:pt>
                <c:pt idx="7">
                  <c:v>9046.1058259999991</c:v>
                </c:pt>
                <c:pt idx="8">
                  <c:v>11135.463308</c:v>
                </c:pt>
                <c:pt idx="9">
                  <c:v>11041.424098</c:v>
                </c:pt>
                <c:pt idx="10">
                  <c:v>11209.294525000001</c:v>
                </c:pt>
                <c:pt idx="11">
                  <c:v>11172.342623</c:v>
                </c:pt>
                <c:pt idx="12">
                  <c:v>10991.674416</c:v>
                </c:pt>
                <c:pt idx="13">
                  <c:v>10758.028004</c:v>
                </c:pt>
                <c:pt idx="14">
                  <c:v>10550.090677999999</c:v>
                </c:pt>
                <c:pt idx="15">
                  <c:v>11163.156999999999</c:v>
                </c:pt>
                <c:pt idx="16">
                  <c:v>11676.142453</c:v>
                </c:pt>
              </c:numCache>
            </c:numRef>
          </c:val>
          <c:smooth val="0"/>
          <c:extLst xmlns:c16r2="http://schemas.microsoft.com/office/drawing/2015/06/chart">
            <c:ext xmlns:c16="http://schemas.microsoft.com/office/drawing/2014/chart" uri="{C3380CC4-5D6E-409C-BE32-E72D297353CC}">
              <c16:uniqueId val="{00000000-B89F-4074-9A78-2C82450D43AA}"/>
            </c:ext>
          </c:extLst>
        </c:ser>
        <c:ser>
          <c:idx val="1"/>
          <c:order val="1"/>
          <c:tx>
            <c:strRef>
              <c:f>Tunisia!$A$3</c:f>
              <c:strCache>
                <c:ptCount val="1"/>
                <c:pt idx="0">
                  <c:v>EU Imports</c:v>
                </c:pt>
              </c:strCache>
            </c:strRef>
          </c:tx>
          <c:spPr>
            <a:ln>
              <a:solidFill>
                <a:schemeClr val="accent2"/>
              </a:solidFill>
            </a:ln>
          </c:spPr>
          <c:marker>
            <c:symbol val="none"/>
          </c:marker>
          <c:cat>
            <c:numRef>
              <c:f>Tunisia!$B$1:$R$1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Tunisia!$B$3:$R$3</c:f>
              <c:numCache>
                <c:formatCode>#,##0</c:formatCode>
                <c:ptCount val="17"/>
                <c:pt idx="0">
                  <c:v>6186</c:v>
                </c:pt>
                <c:pt idx="1">
                  <c:v>6256</c:v>
                </c:pt>
                <c:pt idx="2">
                  <c:v>6762</c:v>
                </c:pt>
                <c:pt idx="3">
                  <c:v>6827</c:v>
                </c:pt>
                <c:pt idx="4">
                  <c:v>7622</c:v>
                </c:pt>
                <c:pt idx="5">
                  <c:v>8990</c:v>
                </c:pt>
                <c:pt idx="6">
                  <c:v>9514.0073000000011</c:v>
                </c:pt>
                <c:pt idx="7">
                  <c:v>8066.3597419999996</c:v>
                </c:pt>
                <c:pt idx="8">
                  <c:v>9556.6361159999997</c:v>
                </c:pt>
                <c:pt idx="9">
                  <c:v>9913.1833800000004</c:v>
                </c:pt>
                <c:pt idx="10">
                  <c:v>9529.9417869999997</c:v>
                </c:pt>
                <c:pt idx="11">
                  <c:v>9347.7935450000004</c:v>
                </c:pt>
                <c:pt idx="12">
                  <c:v>9364.8416539999998</c:v>
                </c:pt>
                <c:pt idx="13">
                  <c:v>9505.9435580000008</c:v>
                </c:pt>
                <c:pt idx="14">
                  <c:v>9309.3387559999992</c:v>
                </c:pt>
                <c:pt idx="15">
                  <c:v>9432.5594069999988</c:v>
                </c:pt>
                <c:pt idx="16">
                  <c:v>10179.155767999999</c:v>
                </c:pt>
              </c:numCache>
            </c:numRef>
          </c:val>
          <c:smooth val="0"/>
          <c:extLst xmlns:c16r2="http://schemas.microsoft.com/office/drawing/2015/06/chart">
            <c:ext xmlns:c16="http://schemas.microsoft.com/office/drawing/2014/chart" uri="{C3380CC4-5D6E-409C-BE32-E72D297353CC}">
              <c16:uniqueId val="{00000001-B89F-4074-9A78-2C82450D43AA}"/>
            </c:ext>
          </c:extLst>
        </c:ser>
        <c:ser>
          <c:idx val="2"/>
          <c:order val="2"/>
          <c:tx>
            <c:strRef>
              <c:f>Tunisia!$A$4</c:f>
              <c:strCache>
                <c:ptCount val="1"/>
                <c:pt idx="0">
                  <c:v>EU imports of agricultural products</c:v>
                </c:pt>
              </c:strCache>
            </c:strRef>
          </c:tx>
          <c:spPr>
            <a:ln>
              <a:solidFill>
                <a:schemeClr val="accent3"/>
              </a:solidFill>
              <a:prstDash val="solid"/>
            </a:ln>
          </c:spPr>
          <c:marker>
            <c:symbol val="none"/>
          </c:marker>
          <c:cat>
            <c:numRef>
              <c:f>Tunisia!$B$1:$R$1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Tunisia!$B$4:$R$4</c:f>
              <c:numCache>
                <c:formatCode>#,##0</c:formatCode>
                <c:ptCount val="17"/>
                <c:pt idx="0">
                  <c:v>147.560867</c:v>
                </c:pt>
                <c:pt idx="1">
                  <c:v>175.51277099999996</c:v>
                </c:pt>
                <c:pt idx="2">
                  <c:v>522.86331599999994</c:v>
                </c:pt>
                <c:pt idx="3">
                  <c:v>397.38008499999989</c:v>
                </c:pt>
                <c:pt idx="4">
                  <c:v>623.4923409999999</c:v>
                </c:pt>
                <c:pt idx="5">
                  <c:v>505.42797599999994</c:v>
                </c:pt>
                <c:pt idx="6">
                  <c:v>541.57464300000004</c:v>
                </c:pt>
                <c:pt idx="7">
                  <c:v>345.67073199999999</c:v>
                </c:pt>
                <c:pt idx="8">
                  <c:v>348.089585</c:v>
                </c:pt>
                <c:pt idx="9">
                  <c:v>334.53609499999999</c:v>
                </c:pt>
                <c:pt idx="10">
                  <c:v>381.52901500000002</c:v>
                </c:pt>
                <c:pt idx="11">
                  <c:v>468.14404500000001</c:v>
                </c:pt>
                <c:pt idx="12">
                  <c:v>295.89105499999999</c:v>
                </c:pt>
                <c:pt idx="13">
                  <c:v>808.66815700000018</c:v>
                </c:pt>
                <c:pt idx="14">
                  <c:v>487.05532599999998</c:v>
                </c:pt>
                <c:pt idx="15">
                  <c:v>449.86824899999993</c:v>
                </c:pt>
                <c:pt idx="16">
                  <c:v>649.29283099999998</c:v>
                </c:pt>
              </c:numCache>
            </c:numRef>
          </c:val>
          <c:smooth val="0"/>
          <c:extLst xmlns:c16r2="http://schemas.microsoft.com/office/drawing/2015/06/chart">
            <c:ext xmlns:c16="http://schemas.microsoft.com/office/drawing/2014/chart" uri="{C3380CC4-5D6E-409C-BE32-E72D297353CC}">
              <c16:uniqueId val="{00000002-B89F-4074-9A78-2C82450D43AA}"/>
            </c:ext>
          </c:extLst>
        </c:ser>
        <c:ser>
          <c:idx val="3"/>
          <c:order val="3"/>
          <c:tx>
            <c:strRef>
              <c:f>Tunisia!$A$5</c:f>
              <c:strCache>
                <c:ptCount val="1"/>
                <c:pt idx="0">
                  <c:v>EU imports of other products (excl. fuels and minerals)</c:v>
                </c:pt>
              </c:strCache>
            </c:strRef>
          </c:tx>
          <c:spPr>
            <a:ln>
              <a:solidFill>
                <a:schemeClr val="bg1">
                  <a:lumMod val="50000"/>
                </a:schemeClr>
              </a:solidFill>
              <a:prstDash val="solid"/>
            </a:ln>
          </c:spPr>
          <c:marker>
            <c:symbol val="none"/>
          </c:marker>
          <c:cat>
            <c:numRef>
              <c:f>Tunisia!$B$1:$R$1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Tunisia!$B$5:$R$5</c:f>
              <c:numCache>
                <c:formatCode>#,##0</c:formatCode>
                <c:ptCount val="17"/>
                <c:pt idx="0">
                  <c:v>5463.7756619999991</c:v>
                </c:pt>
                <c:pt idx="1">
                  <c:v>5467.7697519999983</c:v>
                </c:pt>
                <c:pt idx="2">
                  <c:v>5565.3046939999995</c:v>
                </c:pt>
                <c:pt idx="3">
                  <c:v>5538.7361640000008</c:v>
                </c:pt>
                <c:pt idx="4">
                  <c:v>6117.1213359999992</c:v>
                </c:pt>
                <c:pt idx="5">
                  <c:v>6915.2796759999974</c:v>
                </c:pt>
                <c:pt idx="6">
                  <c:v>7217.0656760000011</c:v>
                </c:pt>
                <c:pt idx="7">
                  <c:v>6467.000959</c:v>
                </c:pt>
                <c:pt idx="8">
                  <c:v>7611.7077210000016</c:v>
                </c:pt>
                <c:pt idx="9">
                  <c:v>8077.9293659999994</c:v>
                </c:pt>
                <c:pt idx="10">
                  <c:v>7553.753388000001</c:v>
                </c:pt>
                <c:pt idx="11">
                  <c:v>7496.775439</c:v>
                </c:pt>
                <c:pt idx="12">
                  <c:v>7759.2331100000001</c:v>
                </c:pt>
                <c:pt idx="13">
                  <c:v>8047.2176729999992</c:v>
                </c:pt>
                <c:pt idx="14">
                  <c:v>8247.8291230000013</c:v>
                </c:pt>
                <c:pt idx="15">
                  <c:v>8443.260878000001</c:v>
                </c:pt>
                <c:pt idx="16">
                  <c:v>8787.531927</c:v>
                </c:pt>
              </c:numCache>
            </c:numRef>
          </c:val>
          <c:smooth val="0"/>
          <c:extLst xmlns:c16r2="http://schemas.microsoft.com/office/drawing/2015/06/chart">
            <c:ext xmlns:c16="http://schemas.microsoft.com/office/drawing/2014/chart" uri="{C3380CC4-5D6E-409C-BE32-E72D297353CC}">
              <c16:uniqueId val="{00000003-B89F-4074-9A78-2C82450D43AA}"/>
            </c:ext>
          </c:extLst>
        </c:ser>
        <c:dLbls>
          <c:showLegendKey val="0"/>
          <c:showVal val="0"/>
          <c:showCatName val="0"/>
          <c:showSerName val="0"/>
          <c:showPercent val="0"/>
          <c:showBubbleSize val="0"/>
        </c:dLbls>
        <c:marker val="1"/>
        <c:smooth val="0"/>
        <c:axId val="75117312"/>
        <c:axId val="75118848"/>
      </c:lineChart>
      <c:catAx>
        <c:axId val="75117312"/>
        <c:scaling>
          <c:orientation val="minMax"/>
        </c:scaling>
        <c:delete val="0"/>
        <c:axPos val="b"/>
        <c:numFmt formatCode="General" sourceLinked="1"/>
        <c:majorTickMark val="out"/>
        <c:minorTickMark val="none"/>
        <c:tickLblPos val="nextTo"/>
        <c:crossAx val="75118848"/>
        <c:crosses val="autoZero"/>
        <c:auto val="1"/>
        <c:lblAlgn val="ctr"/>
        <c:lblOffset val="100"/>
        <c:noMultiLvlLbl val="0"/>
      </c:catAx>
      <c:valAx>
        <c:axId val="75118848"/>
        <c:scaling>
          <c:orientation val="minMax"/>
        </c:scaling>
        <c:delete val="0"/>
        <c:axPos val="l"/>
        <c:majorGridlines/>
        <c:numFmt formatCode="#,##0" sourceLinked="1"/>
        <c:majorTickMark val="out"/>
        <c:minorTickMark val="none"/>
        <c:tickLblPos val="nextTo"/>
        <c:crossAx val="75117312"/>
        <c:crosses val="autoZero"/>
        <c:crossBetween val="between"/>
      </c:valAx>
    </c:plotArea>
    <c:legend>
      <c:legendPos val="r"/>
      <c:overlay val="0"/>
    </c:legend>
    <c:plotVisOnly val="1"/>
    <c:dispBlanksAs val="gap"/>
    <c:showDLblsOverMax val="0"/>
  </c:chart>
  <c:txPr>
    <a:bodyPr/>
    <a:lstStyle/>
    <a:p>
      <a:pPr>
        <a:defRPr>
          <a:latin typeface="EC Square Sans Pro Light" panose="020B0506000000020004"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EU28 trade in goods with </a:t>
            </a:r>
            <a:r>
              <a:rPr lang="en-GB" sz="1400" b="0" i="0" u="none" strike="noStrike" kern="1200" spc="0" baseline="0">
                <a:solidFill>
                  <a:sysClr val="windowText" lastClr="000000">
                    <a:lumMod val="65000"/>
                    <a:lumOff val="35000"/>
                  </a:sysClr>
                </a:solidFill>
                <a:latin typeface="+mn-lt"/>
                <a:ea typeface="+mn-ea"/>
                <a:cs typeface="+mn-cs"/>
              </a:rPr>
              <a:t>South Korea</a:t>
            </a:r>
            <a:r>
              <a:rPr lang="en-GB"/>
              <a:t> 2010-2018</a:t>
            </a:r>
          </a:p>
          <a:p>
            <a:pPr>
              <a:defRPr sz="1400" b="0" i="0" u="none" strike="noStrike" kern="1200" spc="0" baseline="0">
                <a:solidFill>
                  <a:schemeClr val="tx1">
                    <a:lumMod val="65000"/>
                    <a:lumOff val="35000"/>
                  </a:schemeClr>
                </a:solidFill>
                <a:latin typeface="+mn-lt"/>
                <a:ea typeface="+mn-ea"/>
                <a:cs typeface="+mn-cs"/>
              </a:defRPr>
            </a:pPr>
            <a:r>
              <a:rPr lang="en-GB"/>
              <a:t>(millon</a:t>
            </a:r>
            <a:r>
              <a:rPr lang="en-GB" baseline="0"/>
              <a:t> euro)</a:t>
            </a:r>
          </a:p>
          <a:p>
            <a:pPr>
              <a:defRPr sz="1400" b="0" i="0" u="none" strike="noStrike" kern="1200" spc="0" baseline="0">
                <a:solidFill>
                  <a:schemeClr val="tx1">
                    <a:lumMod val="65000"/>
                    <a:lumOff val="35000"/>
                  </a:schemeClr>
                </a:solidFill>
                <a:latin typeface="+mn-lt"/>
                <a:ea typeface="+mn-ea"/>
                <a:cs typeface="+mn-cs"/>
              </a:defRPr>
            </a:pPr>
            <a:endParaRPr lang="en-GB"/>
          </a:p>
        </c:rich>
      </c:tx>
      <c:overlay val="0"/>
      <c:spPr>
        <a:noFill/>
        <a:ln>
          <a:noFill/>
        </a:ln>
        <a:effectLst/>
      </c:spPr>
    </c:title>
    <c:autoTitleDeleted val="0"/>
    <c:plotArea>
      <c:layout/>
      <c:lineChart>
        <c:grouping val="standard"/>
        <c:varyColors val="0"/>
        <c:ser>
          <c:idx val="0"/>
          <c:order val="0"/>
          <c:tx>
            <c:strRef>
              <c:f>Sheet1!$A$6</c:f>
              <c:strCache>
                <c:ptCount val="1"/>
                <c:pt idx="0">
                  <c:v>EU28 imports</c:v>
                </c:pt>
              </c:strCache>
            </c:strRef>
          </c:tx>
          <c:spPr>
            <a:ln w="28575" cap="rnd">
              <a:solidFill>
                <a:schemeClr val="accent1"/>
              </a:solidFill>
              <a:round/>
            </a:ln>
            <a:effectLst/>
          </c:spPr>
          <c:marker>
            <c:symbol val="none"/>
          </c:marker>
          <c:cat>
            <c:strRef>
              <c:f>Sheet1!$B$4:$J$5</c:f>
              <c:strCache>
                <c:ptCount val="9"/>
                <c:pt idx="0">
                  <c:v>2010</c:v>
                </c:pt>
                <c:pt idx="1">
                  <c:v>2011</c:v>
                </c:pt>
                <c:pt idx="2">
                  <c:v>2012</c:v>
                </c:pt>
                <c:pt idx="3">
                  <c:v>2013</c:v>
                </c:pt>
                <c:pt idx="4">
                  <c:v>2014</c:v>
                </c:pt>
                <c:pt idx="5">
                  <c:v>2015</c:v>
                </c:pt>
                <c:pt idx="6">
                  <c:v>2016</c:v>
                </c:pt>
                <c:pt idx="7">
                  <c:v>2017</c:v>
                </c:pt>
                <c:pt idx="8">
                  <c:v>2018</c:v>
                </c:pt>
              </c:strCache>
            </c:strRef>
          </c:cat>
          <c:val>
            <c:numRef>
              <c:f>Sheet1!$B$6:$J$6</c:f>
              <c:numCache>
                <c:formatCode>#,##0</c:formatCode>
                <c:ptCount val="9"/>
                <c:pt idx="0">
                  <c:v>39534.216173000001</c:v>
                </c:pt>
                <c:pt idx="1">
                  <c:v>36311.970696999997</c:v>
                </c:pt>
                <c:pt idx="2">
                  <c:v>38014.497501999998</c:v>
                </c:pt>
                <c:pt idx="3">
                  <c:v>35836.953204999998</c:v>
                </c:pt>
                <c:pt idx="4">
                  <c:v>38780.230468999995</c:v>
                </c:pt>
                <c:pt idx="5">
                  <c:v>42369.824995999996</c:v>
                </c:pt>
                <c:pt idx="6">
                  <c:v>41658.786689</c:v>
                </c:pt>
                <c:pt idx="7">
                  <c:v>51733.593387999994</c:v>
                </c:pt>
                <c:pt idx="8">
                  <c:v>51088.891164000001</c:v>
                </c:pt>
              </c:numCache>
            </c:numRef>
          </c:val>
          <c:smooth val="0"/>
          <c:extLst xmlns:c16r2="http://schemas.microsoft.com/office/drawing/2015/06/chart">
            <c:ext xmlns:c16="http://schemas.microsoft.com/office/drawing/2014/chart" uri="{C3380CC4-5D6E-409C-BE32-E72D297353CC}">
              <c16:uniqueId val="{00000000-7048-4223-A2EB-686DBE110223}"/>
            </c:ext>
          </c:extLst>
        </c:ser>
        <c:ser>
          <c:idx val="1"/>
          <c:order val="1"/>
          <c:tx>
            <c:strRef>
              <c:f>Sheet1!$A$7</c:f>
              <c:strCache>
                <c:ptCount val="1"/>
                <c:pt idx="0">
                  <c:v>EU28 exports</c:v>
                </c:pt>
              </c:strCache>
            </c:strRef>
          </c:tx>
          <c:spPr>
            <a:ln w="28575" cap="rnd">
              <a:solidFill>
                <a:schemeClr val="accent2"/>
              </a:solidFill>
              <a:round/>
            </a:ln>
            <a:effectLst/>
          </c:spPr>
          <c:marker>
            <c:symbol val="none"/>
          </c:marker>
          <c:cat>
            <c:strRef>
              <c:f>Sheet1!$B$4:$J$5</c:f>
              <c:strCache>
                <c:ptCount val="9"/>
                <c:pt idx="0">
                  <c:v>2010</c:v>
                </c:pt>
                <c:pt idx="1">
                  <c:v>2011</c:v>
                </c:pt>
                <c:pt idx="2">
                  <c:v>2012</c:v>
                </c:pt>
                <c:pt idx="3">
                  <c:v>2013</c:v>
                </c:pt>
                <c:pt idx="4">
                  <c:v>2014</c:v>
                </c:pt>
                <c:pt idx="5">
                  <c:v>2015</c:v>
                </c:pt>
                <c:pt idx="6">
                  <c:v>2016</c:v>
                </c:pt>
                <c:pt idx="7">
                  <c:v>2017</c:v>
                </c:pt>
                <c:pt idx="8">
                  <c:v>2018</c:v>
                </c:pt>
              </c:strCache>
            </c:strRef>
          </c:cat>
          <c:val>
            <c:numRef>
              <c:f>Sheet1!$B$7:$J$7</c:f>
              <c:numCache>
                <c:formatCode>#,##0</c:formatCode>
                <c:ptCount val="9"/>
                <c:pt idx="0">
                  <c:v>27961.311412999999</c:v>
                </c:pt>
                <c:pt idx="1">
                  <c:v>32514.509368999999</c:v>
                </c:pt>
                <c:pt idx="2">
                  <c:v>37815.332762999999</c:v>
                </c:pt>
                <c:pt idx="3">
                  <c:v>39911.060384000004</c:v>
                </c:pt>
                <c:pt idx="4">
                  <c:v>43207.639834000001</c:v>
                </c:pt>
                <c:pt idx="5">
                  <c:v>47786.938582000002</c:v>
                </c:pt>
                <c:pt idx="6">
                  <c:v>44109.617035999996</c:v>
                </c:pt>
                <c:pt idx="7">
                  <c:v>50131.843461999997</c:v>
                </c:pt>
                <c:pt idx="8">
                  <c:v>49250.049545999995</c:v>
                </c:pt>
              </c:numCache>
            </c:numRef>
          </c:val>
          <c:smooth val="0"/>
          <c:extLst xmlns:c16r2="http://schemas.microsoft.com/office/drawing/2015/06/chart">
            <c:ext xmlns:c16="http://schemas.microsoft.com/office/drawing/2014/chart" uri="{C3380CC4-5D6E-409C-BE32-E72D297353CC}">
              <c16:uniqueId val="{00000001-7048-4223-A2EB-686DBE110223}"/>
            </c:ext>
          </c:extLst>
        </c:ser>
        <c:ser>
          <c:idx val="2"/>
          <c:order val="2"/>
          <c:tx>
            <c:strRef>
              <c:f>Sheet1!$A$8</c:f>
              <c:strCache>
                <c:ptCount val="1"/>
                <c:pt idx="0">
                  <c:v>balance</c:v>
                </c:pt>
              </c:strCache>
            </c:strRef>
          </c:tx>
          <c:spPr>
            <a:ln w="28575" cap="rnd">
              <a:solidFill>
                <a:schemeClr val="accent3"/>
              </a:solidFill>
              <a:round/>
            </a:ln>
            <a:effectLst/>
          </c:spPr>
          <c:marker>
            <c:symbol val="none"/>
          </c:marker>
          <c:cat>
            <c:strRef>
              <c:f>Sheet1!$B$4:$J$5</c:f>
              <c:strCache>
                <c:ptCount val="9"/>
                <c:pt idx="0">
                  <c:v>2010</c:v>
                </c:pt>
                <c:pt idx="1">
                  <c:v>2011</c:v>
                </c:pt>
                <c:pt idx="2">
                  <c:v>2012</c:v>
                </c:pt>
                <c:pt idx="3">
                  <c:v>2013</c:v>
                </c:pt>
                <c:pt idx="4">
                  <c:v>2014</c:v>
                </c:pt>
                <c:pt idx="5">
                  <c:v>2015</c:v>
                </c:pt>
                <c:pt idx="6">
                  <c:v>2016</c:v>
                </c:pt>
                <c:pt idx="7">
                  <c:v>2017</c:v>
                </c:pt>
                <c:pt idx="8">
                  <c:v>2018</c:v>
                </c:pt>
              </c:strCache>
            </c:strRef>
          </c:cat>
          <c:val>
            <c:numRef>
              <c:f>Sheet1!$B$8:$J$8</c:f>
              <c:numCache>
                <c:formatCode>#,##0</c:formatCode>
                <c:ptCount val="9"/>
                <c:pt idx="0">
                  <c:v>-11572.904760000001</c:v>
                </c:pt>
                <c:pt idx="1">
                  <c:v>-3797.4613279999976</c:v>
                </c:pt>
                <c:pt idx="2">
                  <c:v>-199.16473899999983</c:v>
                </c:pt>
                <c:pt idx="3">
                  <c:v>4074.107179000006</c:v>
                </c:pt>
                <c:pt idx="4">
                  <c:v>4427.4093650000068</c:v>
                </c:pt>
                <c:pt idx="5">
                  <c:v>5417.1135860000068</c:v>
                </c:pt>
                <c:pt idx="6">
                  <c:v>2450.8303469999955</c:v>
                </c:pt>
                <c:pt idx="7">
                  <c:v>-1601.7499259999968</c:v>
                </c:pt>
                <c:pt idx="8">
                  <c:v>-1838.8416180000058</c:v>
                </c:pt>
              </c:numCache>
            </c:numRef>
          </c:val>
          <c:smooth val="0"/>
          <c:extLst xmlns:c16r2="http://schemas.microsoft.com/office/drawing/2015/06/chart">
            <c:ext xmlns:c16="http://schemas.microsoft.com/office/drawing/2014/chart" uri="{C3380CC4-5D6E-409C-BE32-E72D297353CC}">
              <c16:uniqueId val="{00000002-7048-4223-A2EB-686DBE110223}"/>
            </c:ext>
          </c:extLst>
        </c:ser>
        <c:ser>
          <c:idx val="3"/>
          <c:order val="3"/>
          <c:tx>
            <c:strRef>
              <c:f>Sheet1!$A$9</c:f>
              <c:strCache>
                <c:ptCount val="1"/>
                <c:pt idx="0">
                  <c:v>Source: Eurostat March 2019</c:v>
                </c:pt>
              </c:strCache>
            </c:strRef>
          </c:tx>
          <c:spPr>
            <a:ln w="28575" cap="rnd">
              <a:solidFill>
                <a:schemeClr val="accent4"/>
              </a:solidFill>
              <a:round/>
            </a:ln>
            <a:effectLst/>
          </c:spPr>
          <c:marker>
            <c:symbol val="none"/>
          </c:marker>
          <c:cat>
            <c:strRef>
              <c:f>Sheet1!$B$4:$J$5</c:f>
              <c:strCache>
                <c:ptCount val="9"/>
                <c:pt idx="0">
                  <c:v>2010</c:v>
                </c:pt>
                <c:pt idx="1">
                  <c:v>2011</c:v>
                </c:pt>
                <c:pt idx="2">
                  <c:v>2012</c:v>
                </c:pt>
                <c:pt idx="3">
                  <c:v>2013</c:v>
                </c:pt>
                <c:pt idx="4">
                  <c:v>2014</c:v>
                </c:pt>
                <c:pt idx="5">
                  <c:v>2015</c:v>
                </c:pt>
                <c:pt idx="6">
                  <c:v>2016</c:v>
                </c:pt>
                <c:pt idx="7">
                  <c:v>2017</c:v>
                </c:pt>
                <c:pt idx="8">
                  <c:v>2018</c:v>
                </c:pt>
              </c:strCache>
            </c:strRef>
          </c:cat>
          <c:val>
            <c:numRef>
              <c:f>Sheet1!$B$9:$J$9</c:f>
              <c:numCache>
                <c:formatCode>General</c:formatCode>
                <c:ptCount val="9"/>
              </c:numCache>
            </c:numRef>
          </c:val>
          <c:smooth val="0"/>
          <c:extLst xmlns:c16r2="http://schemas.microsoft.com/office/drawing/2015/06/chart">
            <c:ext xmlns:c16="http://schemas.microsoft.com/office/drawing/2014/chart" uri="{C3380CC4-5D6E-409C-BE32-E72D297353CC}">
              <c16:uniqueId val="{00000003-7048-4223-A2EB-686DBE110223}"/>
            </c:ext>
          </c:extLst>
        </c:ser>
        <c:dLbls>
          <c:showLegendKey val="0"/>
          <c:showVal val="0"/>
          <c:showCatName val="0"/>
          <c:showSerName val="0"/>
          <c:showPercent val="0"/>
          <c:showBubbleSize val="0"/>
        </c:dLbls>
        <c:marker val="1"/>
        <c:smooth val="0"/>
        <c:axId val="93768320"/>
        <c:axId val="94560640"/>
      </c:lineChart>
      <c:catAx>
        <c:axId val="9376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560640"/>
        <c:crosses val="autoZero"/>
        <c:auto val="1"/>
        <c:lblAlgn val="ctr"/>
        <c:lblOffset val="100"/>
        <c:noMultiLvlLbl val="0"/>
      </c:catAx>
      <c:valAx>
        <c:axId val="94560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768320"/>
        <c:crosses val="autoZero"/>
        <c:crossBetween val="between"/>
      </c:val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fr-BE" sz="1400" b="1" i="1" baseline="0">
                <a:effectLst/>
              </a:rPr>
              <a:t>EU- Algeria trade in goods (in thousands of euro)</a:t>
            </a:r>
            <a:endParaRPr lang="fr-BE" sz="1400">
              <a:effectLst/>
            </a:endParaRPr>
          </a:p>
        </c:rich>
      </c:tx>
      <c:overlay val="0"/>
    </c:title>
    <c:autoTitleDeleted val="0"/>
    <c:plotArea>
      <c:layout/>
      <c:lineChart>
        <c:grouping val="standard"/>
        <c:varyColors val="0"/>
        <c:ser>
          <c:idx val="0"/>
          <c:order val="0"/>
          <c:tx>
            <c:strRef>
              <c:f>'Algeria (New)'!$A$2</c:f>
              <c:strCache>
                <c:ptCount val="1"/>
                <c:pt idx="0">
                  <c:v>EU Exports</c:v>
                </c:pt>
              </c:strCache>
            </c:strRef>
          </c:tx>
          <c:spPr>
            <a:ln w="38100"/>
          </c:spPr>
          <c:marker>
            <c:symbol val="none"/>
          </c:marker>
          <c:cat>
            <c:numRef>
              <c:f>'Algeria (New)'!$B$1:$R$1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'Algeria (New)'!$B$2:$R$2</c:f>
              <c:numCache>
                <c:formatCode>#,##0</c:formatCode>
                <c:ptCount val="17"/>
                <c:pt idx="0">
                  <c:v>8336984.9009999996</c:v>
                </c:pt>
                <c:pt idx="1">
                  <c:v>8026370.7489999998</c:v>
                </c:pt>
                <c:pt idx="2">
                  <c:v>9514138.6530000009</c:v>
                </c:pt>
                <c:pt idx="3">
                  <c:v>10498499.833000001</c:v>
                </c:pt>
                <c:pt idx="4">
                  <c:v>9977237.4879999999</c:v>
                </c:pt>
                <c:pt idx="5">
                  <c:v>11270453.012</c:v>
                </c:pt>
                <c:pt idx="6">
                  <c:v>15401285.081</c:v>
                </c:pt>
                <c:pt idx="7">
                  <c:v>14821248.669</c:v>
                </c:pt>
                <c:pt idx="8">
                  <c:v>15595203.412</c:v>
                </c:pt>
                <c:pt idx="9">
                  <c:v>17311701.831</c:v>
                </c:pt>
                <c:pt idx="10">
                  <c:v>21124725.945</c:v>
                </c:pt>
                <c:pt idx="11">
                  <c:v>22385977.794</c:v>
                </c:pt>
                <c:pt idx="12">
                  <c:v>23442062.601</c:v>
                </c:pt>
                <c:pt idx="13">
                  <c:v>22252764.061999999</c:v>
                </c:pt>
                <c:pt idx="14">
                  <c:v>20399931.07</c:v>
                </c:pt>
                <c:pt idx="15">
                  <c:v>18833672.232999999</c:v>
                </c:pt>
                <c:pt idx="16">
                  <c:v>18904505.331999999</c:v>
                </c:pt>
              </c:numCache>
            </c:numRef>
          </c:val>
          <c:smooth val="0"/>
          <c:extLst xmlns:c16r2="http://schemas.microsoft.com/office/drawing/2015/06/chart">
            <c:ext xmlns:c16="http://schemas.microsoft.com/office/drawing/2014/chart" uri="{C3380CC4-5D6E-409C-BE32-E72D297353CC}">
              <c16:uniqueId val="{00000000-50E5-465F-A2FF-251FA322B1CD}"/>
            </c:ext>
          </c:extLst>
        </c:ser>
        <c:ser>
          <c:idx val="1"/>
          <c:order val="1"/>
          <c:tx>
            <c:strRef>
              <c:f>'Algeria (New)'!$A$3</c:f>
              <c:strCache>
                <c:ptCount val="1"/>
                <c:pt idx="0">
                  <c:v>EU Imports</c:v>
                </c:pt>
              </c:strCache>
            </c:strRef>
          </c:tx>
          <c:spPr>
            <a:ln w="38100"/>
          </c:spPr>
          <c:marker>
            <c:symbol val="none"/>
          </c:marker>
          <c:cat>
            <c:numRef>
              <c:f>'Algeria (New)'!$B$1:$R$1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'Algeria (New)'!$B$3:$R$3</c:f>
              <c:numCache>
                <c:formatCode>#,##0</c:formatCode>
                <c:ptCount val="17"/>
                <c:pt idx="0">
                  <c:v>14425180.049000001</c:v>
                </c:pt>
                <c:pt idx="1">
                  <c:v>14596360.119000001</c:v>
                </c:pt>
                <c:pt idx="2">
                  <c:v>15253602.891000001</c:v>
                </c:pt>
                <c:pt idx="3">
                  <c:v>20884943.827</c:v>
                </c:pt>
                <c:pt idx="4">
                  <c:v>24154473.655999999</c:v>
                </c:pt>
                <c:pt idx="5">
                  <c:v>20584750.199999999</c:v>
                </c:pt>
                <c:pt idx="6">
                  <c:v>28259694.353</c:v>
                </c:pt>
                <c:pt idx="7">
                  <c:v>17411095.041000001</c:v>
                </c:pt>
                <c:pt idx="8">
                  <c:v>21075337.969000001</c:v>
                </c:pt>
                <c:pt idx="9">
                  <c:v>27849605.692000002</c:v>
                </c:pt>
                <c:pt idx="10">
                  <c:v>32764259.620000001</c:v>
                </c:pt>
                <c:pt idx="11">
                  <c:v>31920276.793000001</c:v>
                </c:pt>
                <c:pt idx="12">
                  <c:v>29457882.350000001</c:v>
                </c:pt>
                <c:pt idx="13">
                  <c:v>20907679.175000001</c:v>
                </c:pt>
                <c:pt idx="14">
                  <c:v>16508632.467</c:v>
                </c:pt>
                <c:pt idx="15">
                  <c:v>18522005.895</c:v>
                </c:pt>
                <c:pt idx="16">
                  <c:v>21047003.93</c:v>
                </c:pt>
              </c:numCache>
            </c:numRef>
          </c:val>
          <c:smooth val="0"/>
          <c:extLst xmlns:c16r2="http://schemas.microsoft.com/office/drawing/2015/06/chart">
            <c:ext xmlns:c16="http://schemas.microsoft.com/office/drawing/2014/chart" uri="{C3380CC4-5D6E-409C-BE32-E72D297353CC}">
              <c16:uniqueId val="{00000001-50E5-465F-A2FF-251FA322B1CD}"/>
            </c:ext>
          </c:extLst>
        </c:ser>
        <c:ser>
          <c:idx val="2"/>
          <c:order val="2"/>
          <c:tx>
            <c:strRef>
              <c:f>'Algeria (New)'!$A$4</c:f>
              <c:strCache>
                <c:ptCount val="1"/>
                <c:pt idx="0">
                  <c:v>EU imports of mineral fuels (HS 27)</c:v>
                </c:pt>
              </c:strCache>
            </c:strRef>
          </c:tx>
          <c:spPr>
            <a:ln>
              <a:solidFill>
                <a:schemeClr val="tx1"/>
              </a:solidFill>
            </a:ln>
          </c:spPr>
          <c:marker>
            <c:symbol val="none"/>
          </c:marker>
          <c:cat>
            <c:numRef>
              <c:f>'Algeria (New)'!$B$1:$R$1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'Algeria (New)'!$B$4:$R$4</c:f>
              <c:numCache>
                <c:formatCode>#,##0</c:formatCode>
                <c:ptCount val="17"/>
                <c:pt idx="0">
                  <c:v>10728255.123</c:v>
                </c:pt>
                <c:pt idx="1">
                  <c:v>10623561.705</c:v>
                </c:pt>
                <c:pt idx="2">
                  <c:v>11182234.562000001</c:v>
                </c:pt>
                <c:pt idx="3">
                  <c:v>15347856.096000001</c:v>
                </c:pt>
                <c:pt idx="4">
                  <c:v>17284163.925999999</c:v>
                </c:pt>
                <c:pt idx="5">
                  <c:v>14755373.886</c:v>
                </c:pt>
                <c:pt idx="6">
                  <c:v>20007529.842</c:v>
                </c:pt>
                <c:pt idx="7">
                  <c:v>17046629.030999999</c:v>
                </c:pt>
                <c:pt idx="8">
                  <c:v>20328111.800999999</c:v>
                </c:pt>
                <c:pt idx="9">
                  <c:v>27172844.969999999</c:v>
                </c:pt>
                <c:pt idx="10">
                  <c:v>32023459.259</c:v>
                </c:pt>
                <c:pt idx="11">
                  <c:v>31341116.545000002</c:v>
                </c:pt>
                <c:pt idx="12">
                  <c:v>28478141.817000002</c:v>
                </c:pt>
                <c:pt idx="13">
                  <c:v>19842408.265000001</c:v>
                </c:pt>
                <c:pt idx="14">
                  <c:v>15517911.648</c:v>
                </c:pt>
                <c:pt idx="15">
                  <c:v>17668928.436000001</c:v>
                </c:pt>
                <c:pt idx="16">
                  <c:v>20103637.267999999</c:v>
                </c:pt>
              </c:numCache>
            </c:numRef>
          </c:val>
          <c:smooth val="0"/>
          <c:extLst xmlns:c16r2="http://schemas.microsoft.com/office/drawing/2015/06/chart">
            <c:ext xmlns:c16="http://schemas.microsoft.com/office/drawing/2014/chart" uri="{C3380CC4-5D6E-409C-BE32-E72D297353CC}">
              <c16:uniqueId val="{00000002-50E5-465F-A2FF-251FA322B1CD}"/>
            </c:ext>
          </c:extLst>
        </c:ser>
        <c:ser>
          <c:idx val="3"/>
          <c:order val="3"/>
          <c:tx>
            <c:strRef>
              <c:f>'Algeria (New)'!$A$5</c:f>
              <c:strCache>
                <c:ptCount val="1"/>
                <c:pt idx="0">
                  <c:v>EU imports of agricultural products</c:v>
                </c:pt>
              </c:strCache>
            </c:strRef>
          </c:tx>
          <c:spPr>
            <a:ln>
              <a:solidFill>
                <a:schemeClr val="accent3"/>
              </a:solidFill>
            </a:ln>
          </c:spPr>
          <c:marker>
            <c:symbol val="none"/>
          </c:marker>
          <c:cat>
            <c:numRef>
              <c:f>'Algeria (New)'!$B$1:$R$1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'Algeria (New)'!$B$5:$R$5</c:f>
              <c:numCache>
                <c:formatCode>#,##0</c:formatCode>
                <c:ptCount val="17"/>
                <c:pt idx="0">
                  <c:v>24307.401999999998</c:v>
                </c:pt>
                <c:pt idx="1">
                  <c:v>27790.824000000004</c:v>
                </c:pt>
                <c:pt idx="2">
                  <c:v>25241.289000000001</c:v>
                </c:pt>
                <c:pt idx="3">
                  <c:v>31321.181000000004</c:v>
                </c:pt>
                <c:pt idx="4">
                  <c:v>36735.130000000005</c:v>
                </c:pt>
                <c:pt idx="5">
                  <c:v>30929.07</c:v>
                </c:pt>
                <c:pt idx="6">
                  <c:v>31507.643000000004</c:v>
                </c:pt>
                <c:pt idx="7">
                  <c:v>25760.616999999998</c:v>
                </c:pt>
                <c:pt idx="8">
                  <c:v>25957.923999999995</c:v>
                </c:pt>
                <c:pt idx="9">
                  <c:v>109165.40800000001</c:v>
                </c:pt>
                <c:pt idx="10">
                  <c:v>63464.842999999986</c:v>
                </c:pt>
                <c:pt idx="11">
                  <c:v>98446.950999999972</c:v>
                </c:pt>
                <c:pt idx="12">
                  <c:v>77272.239000000016</c:v>
                </c:pt>
                <c:pt idx="13">
                  <c:v>55853.625000000007</c:v>
                </c:pt>
                <c:pt idx="14">
                  <c:v>88829.508000000002</c:v>
                </c:pt>
                <c:pt idx="15">
                  <c:v>102501.822</c:v>
                </c:pt>
                <c:pt idx="16">
                  <c:v>73696.88900000001</c:v>
                </c:pt>
              </c:numCache>
            </c:numRef>
          </c:val>
          <c:smooth val="0"/>
          <c:extLst xmlns:c16r2="http://schemas.microsoft.com/office/drawing/2015/06/chart">
            <c:ext xmlns:c16="http://schemas.microsoft.com/office/drawing/2014/chart" uri="{C3380CC4-5D6E-409C-BE32-E72D297353CC}">
              <c16:uniqueId val="{00000003-50E5-465F-A2FF-251FA322B1CD}"/>
            </c:ext>
          </c:extLst>
        </c:ser>
        <c:dLbls>
          <c:showLegendKey val="0"/>
          <c:showVal val="0"/>
          <c:showCatName val="0"/>
          <c:showSerName val="0"/>
          <c:showPercent val="0"/>
          <c:showBubbleSize val="0"/>
        </c:dLbls>
        <c:marker val="1"/>
        <c:smooth val="0"/>
        <c:axId val="156441216"/>
        <c:axId val="47190400"/>
        <c:extLst xmlns:c16r2="http://schemas.microsoft.com/office/drawing/2015/06/chart">
          <c:ext xmlns:c15="http://schemas.microsoft.com/office/drawing/2012/chart" uri="{02D57815-91ED-43cb-92C2-25804820EDAC}">
            <c15:filteredLineSeries>
              <c15:ser>
                <c:idx val="4"/>
                <c:order val="4"/>
                <c:tx>
                  <c:strRef>
                    <c:extLst>
                      <c:ext uri="{02D57815-91ED-43cb-92C2-25804820EDAC}">
                        <c15:formulaRef>
                          <c15:sqref>'Algeria (New)'!$A$6</c15:sqref>
                        </c15:formulaRef>
                      </c:ext>
                    </c:extLst>
                    <c:strCache>
                      <c:ptCount val="1"/>
                      <c:pt idx="0">
                        <c:v>EU imports of industrial products (excl. minerals and mineral fuels)</c:v>
                      </c:pt>
                    </c:strCache>
                  </c:strRef>
                </c:tx>
                <c:spPr>
                  <a:ln>
                    <a:solidFill>
                      <a:schemeClr val="bg1">
                        <a:lumMod val="50000"/>
                      </a:schemeClr>
                    </a:solidFill>
                  </a:ln>
                </c:spPr>
                <c:marker>
                  <c:symbol val="none"/>
                </c:marker>
                <c:cat>
                  <c:numRef>
                    <c:extLst>
                      <c:ext uri="{02D57815-91ED-43cb-92C2-25804820EDAC}">
                        <c15:formulaRef>
                          <c15:sqref>'Algeria (New)'!$B$1:$R$1</c15:sqref>
                        </c15:formulaRef>
                      </c:ext>
                    </c:extLst>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extLst>
                      <c:ext uri="{02D57815-91ED-43cb-92C2-25804820EDAC}">
                        <c15:formulaRef>
                          <c15:sqref>'Algeria (New)'!$B$6:$Q$6</c15:sqref>
                        </c15:formulaRef>
                      </c:ext>
                    </c:extLst>
                    <c:numCache>
                      <c:formatCode>#,##0</c:formatCode>
                      <c:ptCount val="16"/>
                      <c:pt idx="0">
                        <c:v>3658619.5439999998</c:v>
                      </c:pt>
                      <c:pt idx="1">
                        <c:v>3933192.1469999999</c:v>
                      </c:pt>
                      <c:pt idx="2">
                        <c:v>4033250.3850000002</c:v>
                      </c:pt>
                      <c:pt idx="3">
                        <c:v>5496128.152999999</c:v>
                      </c:pt>
                      <c:pt idx="4">
                        <c:v>6817326.8950000005</c:v>
                      </c:pt>
                      <c:pt idx="5">
                        <c:v>5772287.8659999995</c:v>
                      </c:pt>
                      <c:pt idx="6">
                        <c:v>8133030.1809999999</c:v>
                      </c:pt>
                      <c:pt idx="7">
                        <c:v>312578.62600000005</c:v>
                      </c:pt>
                      <c:pt idx="8">
                        <c:v>652134.74</c:v>
                      </c:pt>
                      <c:pt idx="9">
                        <c:v>477124.40300000028</c:v>
                      </c:pt>
                      <c:pt idx="10">
                        <c:v>560866.42799999984</c:v>
                      </c:pt>
                      <c:pt idx="11">
                        <c:v>411933.3980000001</c:v>
                      </c:pt>
                      <c:pt idx="12">
                        <c:v>828657.02799999958</c:v>
                      </c:pt>
                      <c:pt idx="13">
                        <c:v>941446.61100000015</c:v>
                      </c:pt>
                      <c:pt idx="14">
                        <c:v>847212.32899999991</c:v>
                      </c:pt>
                      <c:pt idx="15">
                        <c:v>683256.11899999972</c:v>
                      </c:pt>
                    </c:numCache>
                  </c:numRef>
                </c:val>
                <c:smooth val="0"/>
                <c:extLst>
                  <c:ext xmlns:c16="http://schemas.microsoft.com/office/drawing/2014/chart" uri="{C3380CC4-5D6E-409C-BE32-E72D297353CC}">
                    <c16:uniqueId val="{00000004-50E5-465F-A2FF-251FA322B1CD}"/>
                  </c:ext>
                </c:extLst>
              </c15:ser>
            </c15:filteredLineSeries>
          </c:ext>
        </c:extLst>
      </c:lineChart>
      <c:catAx>
        <c:axId val="156441216"/>
        <c:scaling>
          <c:orientation val="minMax"/>
        </c:scaling>
        <c:delete val="0"/>
        <c:axPos val="b"/>
        <c:numFmt formatCode="General" sourceLinked="1"/>
        <c:majorTickMark val="out"/>
        <c:minorTickMark val="none"/>
        <c:tickLblPos val="nextTo"/>
        <c:crossAx val="47190400"/>
        <c:crosses val="autoZero"/>
        <c:auto val="1"/>
        <c:lblAlgn val="ctr"/>
        <c:lblOffset val="100"/>
        <c:noMultiLvlLbl val="0"/>
      </c:catAx>
      <c:valAx>
        <c:axId val="47190400"/>
        <c:scaling>
          <c:orientation val="minMax"/>
        </c:scaling>
        <c:delete val="0"/>
        <c:axPos val="l"/>
        <c:majorGridlines/>
        <c:numFmt formatCode="#,##0" sourceLinked="1"/>
        <c:majorTickMark val="out"/>
        <c:minorTickMark val="none"/>
        <c:tickLblPos val="nextTo"/>
        <c:crossAx val="156441216"/>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fr-BE" sz="1400" i="1">
                <a:latin typeface="Calibri" panose="020F0502020204030204" pitchFamily="34" charset="0"/>
                <a:cs typeface="Calibri" panose="020F0502020204030204" pitchFamily="34" charset="0"/>
              </a:rPr>
              <a:t>EU-Egypt</a:t>
            </a:r>
            <a:r>
              <a:rPr lang="fr-BE" sz="1400" i="1" baseline="0">
                <a:latin typeface="Calibri" panose="020F0502020204030204" pitchFamily="34" charset="0"/>
                <a:cs typeface="Calibri" panose="020F0502020204030204" pitchFamily="34" charset="0"/>
              </a:rPr>
              <a:t> trade in goods (thousands of euro)</a:t>
            </a:r>
            <a:endParaRPr lang="fr-BE" sz="1400" i="1">
              <a:latin typeface="Calibri" panose="020F0502020204030204" pitchFamily="34" charset="0"/>
              <a:cs typeface="Calibri" panose="020F0502020204030204" pitchFamily="34" charset="0"/>
            </a:endParaRPr>
          </a:p>
        </c:rich>
      </c:tx>
      <c:overlay val="0"/>
    </c:title>
    <c:autoTitleDeleted val="0"/>
    <c:plotArea>
      <c:layout/>
      <c:lineChart>
        <c:grouping val="standard"/>
        <c:varyColors val="0"/>
        <c:ser>
          <c:idx val="0"/>
          <c:order val="0"/>
          <c:tx>
            <c:strRef>
              <c:f>Egypt!$A$2</c:f>
              <c:strCache>
                <c:ptCount val="1"/>
                <c:pt idx="0">
                  <c:v>EU Exports</c:v>
                </c:pt>
              </c:strCache>
            </c:strRef>
          </c:tx>
          <c:spPr>
            <a:ln>
              <a:solidFill>
                <a:schemeClr val="tx2"/>
              </a:solidFill>
            </a:ln>
          </c:spPr>
          <c:marker>
            <c:symbol val="none"/>
          </c:marker>
          <c:cat>
            <c:numRef>
              <c:f>Egypt!$B$1:$R$1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Egypt!$B$2:$R$2</c:f>
              <c:numCache>
                <c:formatCode>#,##0</c:formatCode>
                <c:ptCount val="17"/>
                <c:pt idx="0">
                  <c:v>6767</c:v>
                </c:pt>
                <c:pt idx="1">
                  <c:v>6360</c:v>
                </c:pt>
                <c:pt idx="2">
                  <c:v>7618</c:v>
                </c:pt>
                <c:pt idx="3">
                  <c:v>8502</c:v>
                </c:pt>
                <c:pt idx="4">
                  <c:v>9068</c:v>
                </c:pt>
                <c:pt idx="5">
                  <c:v>10343</c:v>
                </c:pt>
                <c:pt idx="6">
                  <c:v>12778.494427</c:v>
                </c:pt>
                <c:pt idx="7">
                  <c:v>12759.039761</c:v>
                </c:pt>
                <c:pt idx="8">
                  <c:v>15056.107665</c:v>
                </c:pt>
                <c:pt idx="9">
                  <c:v>14126.591868000001</c:v>
                </c:pt>
                <c:pt idx="10">
                  <c:v>15536.969915</c:v>
                </c:pt>
                <c:pt idx="11">
                  <c:v>14898.363739</c:v>
                </c:pt>
                <c:pt idx="12">
                  <c:v>16894.261570999999</c:v>
                </c:pt>
                <c:pt idx="13">
                  <c:v>20426.074837</c:v>
                </c:pt>
                <c:pt idx="14">
                  <c:v>20618.301298999999</c:v>
                </c:pt>
                <c:pt idx="15">
                  <c:v>19807.166269000001</c:v>
                </c:pt>
                <c:pt idx="16">
                  <c:v>19217.580163999999</c:v>
                </c:pt>
              </c:numCache>
            </c:numRef>
          </c:val>
          <c:smooth val="0"/>
          <c:extLst xmlns:c16r2="http://schemas.microsoft.com/office/drawing/2015/06/chart">
            <c:ext xmlns:c16="http://schemas.microsoft.com/office/drawing/2014/chart" uri="{C3380CC4-5D6E-409C-BE32-E72D297353CC}">
              <c16:uniqueId val="{00000000-B840-46C0-8F7A-B23367C92DC6}"/>
            </c:ext>
          </c:extLst>
        </c:ser>
        <c:ser>
          <c:idx val="1"/>
          <c:order val="1"/>
          <c:tx>
            <c:strRef>
              <c:f>Egypt!$A$3</c:f>
              <c:strCache>
                <c:ptCount val="1"/>
                <c:pt idx="0">
                  <c:v>EU Imports</c:v>
                </c:pt>
              </c:strCache>
            </c:strRef>
          </c:tx>
          <c:spPr>
            <a:ln>
              <a:solidFill>
                <a:schemeClr val="accent2"/>
              </a:solidFill>
            </a:ln>
          </c:spPr>
          <c:marker>
            <c:symbol val="none"/>
          </c:marker>
          <c:cat>
            <c:numRef>
              <c:f>Egypt!$B$1:$R$1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Egypt!$B$3:$R$3</c:f>
              <c:numCache>
                <c:formatCode>#,##0</c:formatCode>
                <c:ptCount val="17"/>
                <c:pt idx="0">
                  <c:v>3339</c:v>
                </c:pt>
                <c:pt idx="1">
                  <c:v>3581</c:v>
                </c:pt>
                <c:pt idx="2">
                  <c:v>4240</c:v>
                </c:pt>
                <c:pt idx="3">
                  <c:v>5238</c:v>
                </c:pt>
                <c:pt idx="4">
                  <c:v>7657</c:v>
                </c:pt>
                <c:pt idx="5">
                  <c:v>7039</c:v>
                </c:pt>
                <c:pt idx="6">
                  <c:v>8240.8035149999996</c:v>
                </c:pt>
                <c:pt idx="7">
                  <c:v>6179.6495580000001</c:v>
                </c:pt>
                <c:pt idx="8">
                  <c:v>7252.5434519999999</c:v>
                </c:pt>
                <c:pt idx="9">
                  <c:v>9608.3505989999994</c:v>
                </c:pt>
                <c:pt idx="10">
                  <c:v>8516.3021019999996</c:v>
                </c:pt>
                <c:pt idx="11">
                  <c:v>7970.1346009999997</c:v>
                </c:pt>
                <c:pt idx="12">
                  <c:v>8579.3522219999995</c:v>
                </c:pt>
                <c:pt idx="13">
                  <c:v>7262.6791270000003</c:v>
                </c:pt>
                <c:pt idx="14">
                  <c:v>6702.8183589999999</c:v>
                </c:pt>
                <c:pt idx="15">
                  <c:v>8124.0643260000006</c:v>
                </c:pt>
                <c:pt idx="16">
                  <c:v>8503.0327639999996</c:v>
                </c:pt>
              </c:numCache>
            </c:numRef>
          </c:val>
          <c:smooth val="0"/>
          <c:extLst xmlns:c16r2="http://schemas.microsoft.com/office/drawing/2015/06/chart">
            <c:ext xmlns:c16="http://schemas.microsoft.com/office/drawing/2014/chart" uri="{C3380CC4-5D6E-409C-BE32-E72D297353CC}">
              <c16:uniqueId val="{00000001-B840-46C0-8F7A-B23367C92DC6}"/>
            </c:ext>
          </c:extLst>
        </c:ser>
        <c:ser>
          <c:idx val="2"/>
          <c:order val="2"/>
          <c:tx>
            <c:strRef>
              <c:f>Egypt!$A$4</c:f>
              <c:strCache>
                <c:ptCount val="1"/>
                <c:pt idx="0">
                  <c:v>EU imports of mineral fuels (HS 27)</c:v>
                </c:pt>
              </c:strCache>
            </c:strRef>
          </c:tx>
          <c:spPr>
            <a:ln>
              <a:solidFill>
                <a:sysClr val="windowText" lastClr="000000"/>
              </a:solidFill>
              <a:prstDash val="solid"/>
            </a:ln>
          </c:spPr>
          <c:marker>
            <c:symbol val="none"/>
          </c:marker>
          <c:cat>
            <c:numRef>
              <c:f>Egypt!$B$1:$R$1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Egypt!$B$4:$R$4</c:f>
              <c:numCache>
                <c:formatCode>#,##0</c:formatCode>
                <c:ptCount val="17"/>
                <c:pt idx="0">
                  <c:v>1390.527</c:v>
                </c:pt>
                <c:pt idx="1">
                  <c:v>1344.1980000000001</c:v>
                </c:pt>
                <c:pt idx="2">
                  <c:v>1677.432</c:v>
                </c:pt>
                <c:pt idx="3">
                  <c:v>2399.85</c:v>
                </c:pt>
                <c:pt idx="4">
                  <c:v>4289.3779999999997</c:v>
                </c:pt>
                <c:pt idx="5">
                  <c:v>3072.84</c:v>
                </c:pt>
                <c:pt idx="6">
                  <c:v>4071.8981680000002</c:v>
                </c:pt>
                <c:pt idx="7">
                  <c:v>3176.616528</c:v>
                </c:pt>
                <c:pt idx="8">
                  <c:v>3473.5052000000001</c:v>
                </c:pt>
                <c:pt idx="9">
                  <c:v>4928.6908979999998</c:v>
                </c:pt>
                <c:pt idx="10">
                  <c:v>4317.2452649999996</c:v>
                </c:pt>
                <c:pt idx="11">
                  <c:v>3645.456404</c:v>
                </c:pt>
                <c:pt idx="12">
                  <c:v>4193.2305859999997</c:v>
                </c:pt>
                <c:pt idx="13">
                  <c:v>3187.359293</c:v>
                </c:pt>
                <c:pt idx="14">
                  <c:v>2475.4290970000002</c:v>
                </c:pt>
                <c:pt idx="15">
                  <c:v>2771.6517790000003</c:v>
                </c:pt>
                <c:pt idx="16">
                  <c:v>2936.6301669999998</c:v>
                </c:pt>
              </c:numCache>
            </c:numRef>
          </c:val>
          <c:smooth val="0"/>
          <c:extLst xmlns:c16r2="http://schemas.microsoft.com/office/drawing/2015/06/chart">
            <c:ext xmlns:c16="http://schemas.microsoft.com/office/drawing/2014/chart" uri="{C3380CC4-5D6E-409C-BE32-E72D297353CC}">
              <c16:uniqueId val="{00000002-B840-46C0-8F7A-B23367C92DC6}"/>
            </c:ext>
          </c:extLst>
        </c:ser>
        <c:ser>
          <c:idx val="3"/>
          <c:order val="3"/>
          <c:tx>
            <c:strRef>
              <c:f>Egypt!$A$5</c:f>
              <c:strCache>
                <c:ptCount val="1"/>
                <c:pt idx="0">
                  <c:v>EU imports of agricultural products</c:v>
                </c:pt>
              </c:strCache>
            </c:strRef>
          </c:tx>
          <c:spPr>
            <a:ln>
              <a:solidFill>
                <a:schemeClr val="accent3"/>
              </a:solidFill>
              <a:prstDash val="solid"/>
            </a:ln>
          </c:spPr>
          <c:marker>
            <c:symbol val="none"/>
          </c:marker>
          <c:cat>
            <c:numRef>
              <c:f>Egypt!$B$1:$R$1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Egypt!$B$5:$R$5</c:f>
              <c:numCache>
                <c:formatCode>#,##0</c:formatCode>
                <c:ptCount val="17"/>
                <c:pt idx="0">
                  <c:v>263.42996800000003</c:v>
                </c:pt>
                <c:pt idx="1">
                  <c:v>261.49363700000004</c:v>
                </c:pt>
                <c:pt idx="2">
                  <c:v>379.81314500000002</c:v>
                </c:pt>
                <c:pt idx="3">
                  <c:v>426.15157699999992</c:v>
                </c:pt>
                <c:pt idx="4">
                  <c:v>470.55565100000013</c:v>
                </c:pt>
                <c:pt idx="5">
                  <c:v>575.18229400000007</c:v>
                </c:pt>
                <c:pt idx="6">
                  <c:v>558.90106300000014</c:v>
                </c:pt>
                <c:pt idx="7">
                  <c:v>609.27805499999988</c:v>
                </c:pt>
                <c:pt idx="8">
                  <c:v>608.87752699999987</c:v>
                </c:pt>
                <c:pt idx="9">
                  <c:v>690.4447100000001</c:v>
                </c:pt>
                <c:pt idx="10">
                  <c:v>693.58448800000008</c:v>
                </c:pt>
                <c:pt idx="11">
                  <c:v>783.75435100000004</c:v>
                </c:pt>
                <c:pt idx="12">
                  <c:v>754.17818899999997</c:v>
                </c:pt>
                <c:pt idx="13">
                  <c:v>833.09301899999969</c:v>
                </c:pt>
                <c:pt idx="14">
                  <c:v>880.81931300000008</c:v>
                </c:pt>
                <c:pt idx="15">
                  <c:v>967.36617100000001</c:v>
                </c:pt>
                <c:pt idx="16">
                  <c:v>980.0474079999999</c:v>
                </c:pt>
              </c:numCache>
            </c:numRef>
          </c:val>
          <c:smooth val="0"/>
          <c:extLst xmlns:c16r2="http://schemas.microsoft.com/office/drawing/2015/06/chart">
            <c:ext xmlns:c16="http://schemas.microsoft.com/office/drawing/2014/chart" uri="{C3380CC4-5D6E-409C-BE32-E72D297353CC}">
              <c16:uniqueId val="{00000003-B840-46C0-8F7A-B23367C92DC6}"/>
            </c:ext>
          </c:extLst>
        </c:ser>
        <c:ser>
          <c:idx val="4"/>
          <c:order val="4"/>
          <c:tx>
            <c:strRef>
              <c:f>Egypt!$A$6</c:f>
              <c:strCache>
                <c:ptCount val="1"/>
                <c:pt idx="0">
                  <c:v>EU imports of other products</c:v>
                </c:pt>
              </c:strCache>
            </c:strRef>
          </c:tx>
          <c:spPr>
            <a:ln>
              <a:solidFill>
                <a:schemeClr val="bg1">
                  <a:lumMod val="50000"/>
                </a:schemeClr>
              </a:solidFill>
            </a:ln>
          </c:spPr>
          <c:marker>
            <c:symbol val="none"/>
          </c:marker>
          <c:cat>
            <c:numRef>
              <c:f>Egypt!$B$1:$R$1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Egypt!$B$6:$R$6</c:f>
              <c:numCache>
                <c:formatCode>#,##0</c:formatCode>
                <c:ptCount val="17"/>
                <c:pt idx="0">
                  <c:v>1685.043032</c:v>
                </c:pt>
                <c:pt idx="1">
                  <c:v>1975.3083629999996</c:v>
                </c:pt>
                <c:pt idx="2">
                  <c:v>2182.7548550000001</c:v>
                </c:pt>
                <c:pt idx="3">
                  <c:v>2411.998423</c:v>
                </c:pt>
                <c:pt idx="4">
                  <c:v>2897.0663490000002</c:v>
                </c:pt>
                <c:pt idx="5">
                  <c:v>3390.9777059999997</c:v>
                </c:pt>
                <c:pt idx="6">
                  <c:v>3610.0042839999996</c:v>
                </c:pt>
                <c:pt idx="7">
                  <c:v>2393.7549750000003</c:v>
                </c:pt>
                <c:pt idx="8">
                  <c:v>3170.1607249999997</c:v>
                </c:pt>
                <c:pt idx="9">
                  <c:v>3989.2149909999994</c:v>
                </c:pt>
                <c:pt idx="10">
                  <c:v>3505.4723490000001</c:v>
                </c:pt>
                <c:pt idx="11">
                  <c:v>3540.9238459999992</c:v>
                </c:pt>
                <c:pt idx="12">
                  <c:v>3631.9434469999997</c:v>
                </c:pt>
                <c:pt idx="13">
                  <c:v>3242.2268150000009</c:v>
                </c:pt>
                <c:pt idx="14">
                  <c:v>3346.5699489999997</c:v>
                </c:pt>
                <c:pt idx="15">
                  <c:v>4385.0463760000002</c:v>
                </c:pt>
                <c:pt idx="16">
                  <c:v>4586.3551889999999</c:v>
                </c:pt>
              </c:numCache>
            </c:numRef>
          </c:val>
          <c:smooth val="0"/>
          <c:extLst xmlns:c16r2="http://schemas.microsoft.com/office/drawing/2015/06/chart">
            <c:ext xmlns:c16="http://schemas.microsoft.com/office/drawing/2014/chart" uri="{C3380CC4-5D6E-409C-BE32-E72D297353CC}">
              <c16:uniqueId val="{00000004-B840-46C0-8F7A-B23367C92DC6}"/>
            </c:ext>
          </c:extLst>
        </c:ser>
        <c:dLbls>
          <c:showLegendKey val="0"/>
          <c:showVal val="0"/>
          <c:showCatName val="0"/>
          <c:showSerName val="0"/>
          <c:showPercent val="0"/>
          <c:showBubbleSize val="0"/>
        </c:dLbls>
        <c:marker val="1"/>
        <c:smooth val="0"/>
        <c:axId val="53564928"/>
        <c:axId val="53566464"/>
      </c:lineChart>
      <c:catAx>
        <c:axId val="53564928"/>
        <c:scaling>
          <c:orientation val="minMax"/>
        </c:scaling>
        <c:delete val="0"/>
        <c:axPos val="b"/>
        <c:numFmt formatCode="General" sourceLinked="1"/>
        <c:majorTickMark val="out"/>
        <c:minorTickMark val="none"/>
        <c:tickLblPos val="nextTo"/>
        <c:crossAx val="53566464"/>
        <c:crosses val="autoZero"/>
        <c:auto val="1"/>
        <c:lblAlgn val="ctr"/>
        <c:lblOffset val="100"/>
        <c:noMultiLvlLbl val="0"/>
      </c:catAx>
      <c:valAx>
        <c:axId val="53566464"/>
        <c:scaling>
          <c:orientation val="minMax"/>
        </c:scaling>
        <c:delete val="0"/>
        <c:axPos val="l"/>
        <c:majorGridlines/>
        <c:numFmt formatCode="#,##0" sourceLinked="1"/>
        <c:majorTickMark val="out"/>
        <c:minorTickMark val="none"/>
        <c:tickLblPos val="nextTo"/>
        <c:crossAx val="53564928"/>
        <c:crosses val="autoZero"/>
        <c:crossBetween val="between"/>
      </c:valAx>
    </c:plotArea>
    <c:legend>
      <c:legendPos val="r"/>
      <c:layout>
        <c:manualLayout>
          <c:xMode val="edge"/>
          <c:yMode val="edge"/>
          <c:x val="0.65013527936132443"/>
          <c:y val="0.12682195975503063"/>
          <c:w val="0.33884479717813054"/>
          <c:h val="0.70069948780674263"/>
        </c:manualLayout>
      </c:layout>
      <c:overlay val="0"/>
    </c:legend>
    <c:plotVisOnly val="1"/>
    <c:dispBlanksAs val="gap"/>
    <c:showDLblsOverMax val="0"/>
  </c:chart>
  <c:txPr>
    <a:bodyPr/>
    <a:lstStyle/>
    <a:p>
      <a:pPr>
        <a:defRPr>
          <a:latin typeface="EC Square Sans Pro Light" panose="020B0506000000020004"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BE" sz="1400" i="1">
                <a:latin typeface="+mn-lt"/>
                <a:cs typeface="Times New Roman" panose="02020603050405020304" pitchFamily="18" charset="0"/>
              </a:rPr>
              <a:t>EU-Israel trade in goods (thousands</a:t>
            </a:r>
            <a:r>
              <a:rPr lang="fr-BE" sz="1400" i="1" baseline="0">
                <a:latin typeface="+mn-lt"/>
                <a:cs typeface="Times New Roman" panose="02020603050405020304" pitchFamily="18" charset="0"/>
              </a:rPr>
              <a:t> of euro)</a:t>
            </a:r>
            <a:endParaRPr lang="fr-BE" sz="1400" i="1">
              <a:latin typeface="+mn-lt"/>
              <a:cs typeface="Times New Roman" panose="02020603050405020304" pitchFamily="18" charset="0"/>
            </a:endParaRPr>
          </a:p>
        </c:rich>
      </c:tx>
      <c:overlay val="0"/>
    </c:title>
    <c:autoTitleDeleted val="0"/>
    <c:plotArea>
      <c:layout/>
      <c:lineChart>
        <c:grouping val="standard"/>
        <c:varyColors val="0"/>
        <c:ser>
          <c:idx val="0"/>
          <c:order val="0"/>
          <c:tx>
            <c:strRef>
              <c:f>Israel!$A$2</c:f>
              <c:strCache>
                <c:ptCount val="1"/>
                <c:pt idx="0">
                  <c:v>EU Exports</c:v>
                </c:pt>
              </c:strCache>
            </c:strRef>
          </c:tx>
          <c:spPr>
            <a:ln>
              <a:solidFill>
                <a:schemeClr val="tx2"/>
              </a:solidFill>
            </a:ln>
          </c:spPr>
          <c:marker>
            <c:symbol val="none"/>
          </c:marker>
          <c:cat>
            <c:numRef>
              <c:f>Israel!$B$1:$R$1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Israel!$B$2:$R$2</c:f>
              <c:numCache>
                <c:formatCode>#,##0</c:formatCode>
                <c:ptCount val="17"/>
                <c:pt idx="0">
                  <c:v>13942586.298</c:v>
                </c:pt>
                <c:pt idx="1">
                  <c:v>11788769.982000001</c:v>
                </c:pt>
                <c:pt idx="2">
                  <c:v>12892639.206</c:v>
                </c:pt>
                <c:pt idx="3">
                  <c:v>13502327.136</c:v>
                </c:pt>
                <c:pt idx="4">
                  <c:v>13849751.266000001</c:v>
                </c:pt>
                <c:pt idx="5">
                  <c:v>14298685.887</c:v>
                </c:pt>
                <c:pt idx="6">
                  <c:v>14067157.460999999</c:v>
                </c:pt>
                <c:pt idx="7">
                  <c:v>11492645.223999999</c:v>
                </c:pt>
                <c:pt idx="8">
                  <c:v>14523285.988</c:v>
                </c:pt>
                <c:pt idx="9">
                  <c:v>16887661.690000001</c:v>
                </c:pt>
                <c:pt idx="10">
                  <c:v>17057736.596999999</c:v>
                </c:pt>
                <c:pt idx="11">
                  <c:v>16929899.460999999</c:v>
                </c:pt>
                <c:pt idx="12">
                  <c:v>16972139.02</c:v>
                </c:pt>
                <c:pt idx="13">
                  <c:v>18935788.488000002</c:v>
                </c:pt>
                <c:pt idx="14">
                  <c:v>21142021.910999998</c:v>
                </c:pt>
                <c:pt idx="15" formatCode="#,##0_ ;[Red]\-#,##0\ ">
                  <c:v>21461020.390000001</c:v>
                </c:pt>
                <c:pt idx="16" formatCode="#,##0_ ;[Red]\-#,##0\ ">
                  <c:v>20735634.434</c:v>
                </c:pt>
              </c:numCache>
            </c:numRef>
          </c:val>
          <c:smooth val="0"/>
          <c:extLst xmlns:c16r2="http://schemas.microsoft.com/office/drawing/2015/06/chart">
            <c:ext xmlns:c16="http://schemas.microsoft.com/office/drawing/2014/chart" uri="{C3380CC4-5D6E-409C-BE32-E72D297353CC}">
              <c16:uniqueId val="{00000000-556F-4E40-B9AF-37D0A6DF0396}"/>
            </c:ext>
          </c:extLst>
        </c:ser>
        <c:ser>
          <c:idx val="1"/>
          <c:order val="1"/>
          <c:tx>
            <c:strRef>
              <c:f>Israel!$A$3</c:f>
              <c:strCache>
                <c:ptCount val="1"/>
                <c:pt idx="0">
                  <c:v>EU Imports</c:v>
                </c:pt>
              </c:strCache>
            </c:strRef>
          </c:tx>
          <c:spPr>
            <a:ln>
              <a:solidFill>
                <a:schemeClr val="accent2"/>
              </a:solidFill>
            </a:ln>
          </c:spPr>
          <c:marker>
            <c:symbol val="none"/>
          </c:marker>
          <c:cat>
            <c:numRef>
              <c:f>Israel!$B$1:$R$1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Israel!$B$3:$R$3</c:f>
              <c:numCache>
                <c:formatCode>#,##0</c:formatCode>
                <c:ptCount val="17"/>
                <c:pt idx="0">
                  <c:v>9116147.8499999996</c:v>
                </c:pt>
                <c:pt idx="1">
                  <c:v>7989508.6560000004</c:v>
                </c:pt>
                <c:pt idx="2">
                  <c:v>8764838.3300000001</c:v>
                </c:pt>
                <c:pt idx="3">
                  <c:v>9752307.0739999991</c:v>
                </c:pt>
                <c:pt idx="4">
                  <c:v>9966346.0429999996</c:v>
                </c:pt>
                <c:pt idx="5">
                  <c:v>11343788.239</c:v>
                </c:pt>
                <c:pt idx="6">
                  <c:v>11251491.851</c:v>
                </c:pt>
                <c:pt idx="7">
                  <c:v>8913016.1620000005</c:v>
                </c:pt>
                <c:pt idx="8">
                  <c:v>11156247.471999999</c:v>
                </c:pt>
                <c:pt idx="9">
                  <c:v>12768439.788000001</c:v>
                </c:pt>
                <c:pt idx="10">
                  <c:v>12709560.470000001</c:v>
                </c:pt>
                <c:pt idx="11">
                  <c:v>12496143.095000001</c:v>
                </c:pt>
                <c:pt idx="12">
                  <c:v>13255607.903999999</c:v>
                </c:pt>
                <c:pt idx="13">
                  <c:v>13384639.032</c:v>
                </c:pt>
                <c:pt idx="14">
                  <c:v>13203197.854</c:v>
                </c:pt>
                <c:pt idx="15" formatCode="#,##0_ ;[Red]\-#,##0\ ">
                  <c:v>14750251.76</c:v>
                </c:pt>
                <c:pt idx="16" formatCode="#,##0_ ;[Red]\-#,##0\ ">
                  <c:v>13601727.445</c:v>
                </c:pt>
              </c:numCache>
            </c:numRef>
          </c:val>
          <c:smooth val="0"/>
          <c:extLst xmlns:c16r2="http://schemas.microsoft.com/office/drawing/2015/06/chart">
            <c:ext xmlns:c16="http://schemas.microsoft.com/office/drawing/2014/chart" uri="{C3380CC4-5D6E-409C-BE32-E72D297353CC}">
              <c16:uniqueId val="{00000001-556F-4E40-B9AF-37D0A6DF0396}"/>
            </c:ext>
          </c:extLst>
        </c:ser>
        <c:ser>
          <c:idx val="2"/>
          <c:order val="2"/>
          <c:tx>
            <c:strRef>
              <c:f>Israel!$A$4</c:f>
              <c:strCache>
                <c:ptCount val="1"/>
                <c:pt idx="0">
                  <c:v>EU imports of agricultural products (excl. fisheries)</c:v>
                </c:pt>
              </c:strCache>
            </c:strRef>
          </c:tx>
          <c:spPr>
            <a:ln>
              <a:solidFill>
                <a:schemeClr val="accent3"/>
              </a:solidFill>
              <a:prstDash val="solid"/>
            </a:ln>
          </c:spPr>
          <c:marker>
            <c:symbol val="none"/>
          </c:marker>
          <c:cat>
            <c:numRef>
              <c:f>Israel!$B$1:$R$1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Israel!$B$4:$R$4</c:f>
              <c:numCache>
                <c:formatCode>#,##0</c:formatCode>
                <c:ptCount val="17"/>
                <c:pt idx="0">
                  <c:v>867343.79100000008</c:v>
                </c:pt>
                <c:pt idx="1">
                  <c:v>837486.4380000002</c:v>
                </c:pt>
                <c:pt idx="2">
                  <c:v>941094.98300000001</c:v>
                </c:pt>
                <c:pt idx="3">
                  <c:v>1065262.8760000004</c:v>
                </c:pt>
                <c:pt idx="4">
                  <c:v>1060372.8190000001</c:v>
                </c:pt>
                <c:pt idx="5">
                  <c:v>1230897.6879999998</c:v>
                </c:pt>
                <c:pt idx="6">
                  <c:v>1019361.4749999997</c:v>
                </c:pt>
                <c:pt idx="7">
                  <c:v>983590.9659999999</c:v>
                </c:pt>
                <c:pt idx="8">
                  <c:v>1026556.8549999999</c:v>
                </c:pt>
                <c:pt idx="9">
                  <c:v>1029636.3800000002</c:v>
                </c:pt>
                <c:pt idx="10">
                  <c:v>1020438.191</c:v>
                </c:pt>
                <c:pt idx="11">
                  <c:v>962506.68200000003</c:v>
                </c:pt>
                <c:pt idx="12">
                  <c:v>919643.52200000011</c:v>
                </c:pt>
                <c:pt idx="13">
                  <c:v>931512.62200000009</c:v>
                </c:pt>
                <c:pt idx="14">
                  <c:v>966138.20499999996</c:v>
                </c:pt>
                <c:pt idx="15">
                  <c:v>966441.42800000007</c:v>
                </c:pt>
                <c:pt idx="16">
                  <c:v>853813.00300000014</c:v>
                </c:pt>
              </c:numCache>
            </c:numRef>
          </c:val>
          <c:smooth val="0"/>
          <c:extLst xmlns:c16r2="http://schemas.microsoft.com/office/drawing/2015/06/chart">
            <c:ext xmlns:c16="http://schemas.microsoft.com/office/drawing/2014/chart" uri="{C3380CC4-5D6E-409C-BE32-E72D297353CC}">
              <c16:uniqueId val="{00000002-556F-4E40-B9AF-37D0A6DF0396}"/>
            </c:ext>
          </c:extLst>
        </c:ser>
        <c:ser>
          <c:idx val="3"/>
          <c:order val="3"/>
          <c:tx>
            <c:strRef>
              <c:f>Israel!$A$5</c:f>
              <c:strCache>
                <c:ptCount val="1"/>
                <c:pt idx="0">
                  <c:v>EU imports of industrial products (excl. fuels and minerals)</c:v>
                </c:pt>
              </c:strCache>
            </c:strRef>
          </c:tx>
          <c:spPr>
            <a:ln>
              <a:solidFill>
                <a:schemeClr val="bg1">
                  <a:lumMod val="50000"/>
                </a:schemeClr>
              </a:solidFill>
              <a:prstDash val="solid"/>
            </a:ln>
          </c:spPr>
          <c:marker>
            <c:symbol val="none"/>
          </c:marker>
          <c:cat>
            <c:numRef>
              <c:f>Israel!$B$1:$R$1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Israel!$B$5:$R$5</c:f>
              <c:numCache>
                <c:formatCode>#,##0</c:formatCode>
                <c:ptCount val="17"/>
                <c:pt idx="0">
                  <c:v>8016310.2229999993</c:v>
                </c:pt>
                <c:pt idx="1">
                  <c:v>6939311.7109999973</c:v>
                </c:pt>
                <c:pt idx="2">
                  <c:v>7499665.3229999999</c:v>
                </c:pt>
                <c:pt idx="3">
                  <c:v>8069289.074</c:v>
                </c:pt>
                <c:pt idx="4">
                  <c:v>8235124.7980000013</c:v>
                </c:pt>
                <c:pt idx="5">
                  <c:v>9376696.2509999983</c:v>
                </c:pt>
                <c:pt idx="6">
                  <c:v>9134123.9500000011</c:v>
                </c:pt>
                <c:pt idx="7">
                  <c:v>7197658.0630000019</c:v>
                </c:pt>
                <c:pt idx="8">
                  <c:v>9052723.0659999978</c:v>
                </c:pt>
                <c:pt idx="9">
                  <c:v>10600742.765999999</c:v>
                </c:pt>
                <c:pt idx="10">
                  <c:v>10666282.027000001</c:v>
                </c:pt>
                <c:pt idx="11">
                  <c:v>10392618.506000001</c:v>
                </c:pt>
                <c:pt idx="12">
                  <c:v>11180923.903999999</c:v>
                </c:pt>
                <c:pt idx="13">
                  <c:v>11623277.360999994</c:v>
                </c:pt>
                <c:pt idx="14">
                  <c:v>11619282.341000002</c:v>
                </c:pt>
                <c:pt idx="15">
                  <c:v>12911550.248</c:v>
                </c:pt>
                <c:pt idx="16">
                  <c:v>11513238.548000002</c:v>
                </c:pt>
              </c:numCache>
            </c:numRef>
          </c:val>
          <c:smooth val="0"/>
          <c:extLst xmlns:c16r2="http://schemas.microsoft.com/office/drawing/2015/06/chart">
            <c:ext xmlns:c16="http://schemas.microsoft.com/office/drawing/2014/chart" uri="{C3380CC4-5D6E-409C-BE32-E72D297353CC}">
              <c16:uniqueId val="{00000003-556F-4E40-B9AF-37D0A6DF0396}"/>
            </c:ext>
          </c:extLst>
        </c:ser>
        <c:dLbls>
          <c:showLegendKey val="0"/>
          <c:showVal val="0"/>
          <c:showCatName val="0"/>
          <c:showSerName val="0"/>
          <c:showPercent val="0"/>
          <c:showBubbleSize val="0"/>
        </c:dLbls>
        <c:marker val="1"/>
        <c:smooth val="0"/>
        <c:axId val="67967616"/>
        <c:axId val="67985792"/>
      </c:lineChart>
      <c:catAx>
        <c:axId val="67967616"/>
        <c:scaling>
          <c:orientation val="minMax"/>
        </c:scaling>
        <c:delete val="0"/>
        <c:axPos val="b"/>
        <c:numFmt formatCode="General" sourceLinked="1"/>
        <c:majorTickMark val="out"/>
        <c:minorTickMark val="none"/>
        <c:tickLblPos val="nextTo"/>
        <c:crossAx val="67985792"/>
        <c:crosses val="autoZero"/>
        <c:auto val="1"/>
        <c:lblAlgn val="ctr"/>
        <c:lblOffset val="100"/>
        <c:noMultiLvlLbl val="0"/>
      </c:catAx>
      <c:valAx>
        <c:axId val="67985792"/>
        <c:scaling>
          <c:orientation val="minMax"/>
        </c:scaling>
        <c:delete val="0"/>
        <c:axPos val="l"/>
        <c:majorGridlines/>
        <c:numFmt formatCode="#,##0" sourceLinked="1"/>
        <c:majorTickMark val="out"/>
        <c:minorTickMark val="none"/>
        <c:tickLblPos val="nextTo"/>
        <c:crossAx val="67967616"/>
        <c:crosses val="autoZero"/>
        <c:crossBetween val="between"/>
      </c:valAx>
    </c:plotArea>
    <c:legend>
      <c:legendPos val="r"/>
      <c:layout>
        <c:manualLayout>
          <c:xMode val="edge"/>
          <c:yMode val="edge"/>
          <c:x val="0.6996913580246914"/>
          <c:y val="0.25145540293701818"/>
          <c:w val="0.2870811287477954"/>
          <c:h val="0.70201669745410256"/>
        </c:manualLayout>
      </c:layout>
      <c:overlay val="0"/>
    </c:legend>
    <c:plotVisOnly val="1"/>
    <c:dispBlanksAs val="gap"/>
    <c:showDLblsOverMax val="0"/>
  </c:chart>
  <c:txPr>
    <a:bodyPr/>
    <a:lstStyle/>
    <a:p>
      <a:pPr>
        <a:defRPr>
          <a:latin typeface="EC Square Sans Pro Light" panose="020B05060000000200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BE" sz="1400" i="1">
                <a:latin typeface="Calibri" panose="020F0502020204030204" pitchFamily="34" charset="0"/>
                <a:cs typeface="Calibri" panose="020F0502020204030204" pitchFamily="34" charset="0"/>
              </a:rPr>
              <a:t>EU-Jordan trade in goods (thousands of</a:t>
            </a:r>
            <a:r>
              <a:rPr lang="fr-BE" sz="1400" i="1" baseline="0">
                <a:latin typeface="Calibri" panose="020F0502020204030204" pitchFamily="34" charset="0"/>
                <a:cs typeface="Calibri" panose="020F0502020204030204" pitchFamily="34" charset="0"/>
              </a:rPr>
              <a:t> euros)</a:t>
            </a:r>
            <a:endParaRPr lang="fr-BE" sz="1400" i="1">
              <a:latin typeface="Calibri" panose="020F0502020204030204" pitchFamily="34" charset="0"/>
              <a:cs typeface="Calibri" panose="020F0502020204030204" pitchFamily="34" charset="0"/>
            </a:endParaRPr>
          </a:p>
        </c:rich>
      </c:tx>
      <c:overlay val="0"/>
    </c:title>
    <c:autoTitleDeleted val="0"/>
    <c:plotArea>
      <c:layout/>
      <c:lineChart>
        <c:grouping val="standard"/>
        <c:varyColors val="0"/>
        <c:ser>
          <c:idx val="0"/>
          <c:order val="0"/>
          <c:tx>
            <c:strRef>
              <c:f>Jordan!$A$2</c:f>
              <c:strCache>
                <c:ptCount val="1"/>
                <c:pt idx="0">
                  <c:v>EU Exports</c:v>
                </c:pt>
              </c:strCache>
            </c:strRef>
          </c:tx>
          <c:spPr>
            <a:ln>
              <a:solidFill>
                <a:schemeClr val="tx2"/>
              </a:solidFill>
            </a:ln>
          </c:spPr>
          <c:marker>
            <c:symbol val="none"/>
          </c:marker>
          <c:cat>
            <c:numRef>
              <c:f>Jordan!$B$1:$R$1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Jordan!$B$2:$R$2</c:f>
              <c:numCache>
                <c:formatCode>#,##0</c:formatCode>
                <c:ptCount val="17"/>
                <c:pt idx="0">
                  <c:v>2055007.2120000001</c:v>
                </c:pt>
                <c:pt idx="1">
                  <c:v>1893989.676</c:v>
                </c:pt>
                <c:pt idx="2">
                  <c:v>1988365.7379999999</c:v>
                </c:pt>
                <c:pt idx="3">
                  <c:v>2338948.6329999999</c:v>
                </c:pt>
                <c:pt idx="4">
                  <c:v>2671719.2310000001</c:v>
                </c:pt>
                <c:pt idx="5">
                  <c:v>2654019.8369999998</c:v>
                </c:pt>
                <c:pt idx="6">
                  <c:v>2946779.6549999998</c:v>
                </c:pt>
                <c:pt idx="7">
                  <c:v>2602776.9479999999</c:v>
                </c:pt>
                <c:pt idx="8">
                  <c:v>2790186.86</c:v>
                </c:pt>
                <c:pt idx="9">
                  <c:v>3265925.8020000001</c:v>
                </c:pt>
                <c:pt idx="10">
                  <c:v>3447638.5639999998</c:v>
                </c:pt>
                <c:pt idx="11">
                  <c:v>3713871.4670000002</c:v>
                </c:pt>
                <c:pt idx="12">
                  <c:v>3672192.3139999998</c:v>
                </c:pt>
                <c:pt idx="13">
                  <c:v>3985170.3820000002</c:v>
                </c:pt>
                <c:pt idx="14">
                  <c:v>4056388.0329999998</c:v>
                </c:pt>
                <c:pt idx="15">
                  <c:v>4104590.145</c:v>
                </c:pt>
                <c:pt idx="16">
                  <c:v>3568866.1150000002</c:v>
                </c:pt>
              </c:numCache>
            </c:numRef>
          </c:val>
          <c:smooth val="0"/>
          <c:extLst xmlns:c16r2="http://schemas.microsoft.com/office/drawing/2015/06/chart">
            <c:ext xmlns:c16="http://schemas.microsoft.com/office/drawing/2014/chart" uri="{C3380CC4-5D6E-409C-BE32-E72D297353CC}">
              <c16:uniqueId val="{00000000-7061-4874-8B20-578F1EF7522E}"/>
            </c:ext>
          </c:extLst>
        </c:ser>
        <c:ser>
          <c:idx val="1"/>
          <c:order val="1"/>
          <c:tx>
            <c:strRef>
              <c:f>Jordan!$A$3</c:f>
              <c:strCache>
                <c:ptCount val="1"/>
                <c:pt idx="0">
                  <c:v>EU Imports</c:v>
                </c:pt>
              </c:strCache>
            </c:strRef>
          </c:tx>
          <c:spPr>
            <a:ln>
              <a:solidFill>
                <a:schemeClr val="accent2"/>
              </a:solidFill>
            </a:ln>
          </c:spPr>
          <c:marker>
            <c:symbol val="none"/>
          </c:marker>
          <c:cat>
            <c:numRef>
              <c:f>Jordan!$B$1:$R$1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Jordan!$B$3:$R$3</c:f>
              <c:numCache>
                <c:formatCode>#,##0</c:formatCode>
                <c:ptCount val="17"/>
                <c:pt idx="0">
                  <c:v>313508.47899999999</c:v>
                </c:pt>
                <c:pt idx="1">
                  <c:v>218937.60500000001</c:v>
                </c:pt>
                <c:pt idx="2">
                  <c:v>284286.44500000001</c:v>
                </c:pt>
                <c:pt idx="3">
                  <c:v>388712.87</c:v>
                </c:pt>
                <c:pt idx="4">
                  <c:v>231341.58499999999</c:v>
                </c:pt>
                <c:pt idx="5">
                  <c:v>220958.859</c:v>
                </c:pt>
                <c:pt idx="6">
                  <c:v>298365.21899999998</c:v>
                </c:pt>
                <c:pt idx="7">
                  <c:v>179148.76699999999</c:v>
                </c:pt>
                <c:pt idx="8">
                  <c:v>249328.98800000001</c:v>
                </c:pt>
                <c:pt idx="9">
                  <c:v>314300.272</c:v>
                </c:pt>
                <c:pt idx="10">
                  <c:v>335333.51199999999</c:v>
                </c:pt>
                <c:pt idx="11">
                  <c:v>352871.82500000001</c:v>
                </c:pt>
                <c:pt idx="12">
                  <c:v>337523.09600000002</c:v>
                </c:pt>
                <c:pt idx="13">
                  <c:v>384358.03399999999</c:v>
                </c:pt>
                <c:pt idx="14">
                  <c:v>337378.51899999997</c:v>
                </c:pt>
                <c:pt idx="15">
                  <c:v>358604.337</c:v>
                </c:pt>
                <c:pt idx="16">
                  <c:v>300228.88799999998</c:v>
                </c:pt>
              </c:numCache>
            </c:numRef>
          </c:val>
          <c:smooth val="0"/>
          <c:extLst xmlns:c16r2="http://schemas.microsoft.com/office/drawing/2015/06/chart">
            <c:ext xmlns:c16="http://schemas.microsoft.com/office/drawing/2014/chart" uri="{C3380CC4-5D6E-409C-BE32-E72D297353CC}">
              <c16:uniqueId val="{00000001-7061-4874-8B20-578F1EF7522E}"/>
            </c:ext>
          </c:extLst>
        </c:ser>
        <c:ser>
          <c:idx val="2"/>
          <c:order val="2"/>
          <c:tx>
            <c:strRef>
              <c:f>Jordan!$A$4</c:f>
              <c:strCache>
                <c:ptCount val="1"/>
                <c:pt idx="0">
                  <c:v>EU imports of agricultural products</c:v>
                </c:pt>
              </c:strCache>
            </c:strRef>
          </c:tx>
          <c:spPr>
            <a:ln>
              <a:solidFill>
                <a:schemeClr val="accent3"/>
              </a:solidFill>
              <a:prstDash val="solid"/>
            </a:ln>
          </c:spPr>
          <c:marker>
            <c:symbol val="none"/>
          </c:marker>
          <c:cat>
            <c:numRef>
              <c:f>Jordan!$B$1:$R$1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Jordan!$B$4:$R$4</c:f>
              <c:numCache>
                <c:formatCode>#,##0</c:formatCode>
                <c:ptCount val="17"/>
                <c:pt idx="0">
                  <c:v>6915.6590000000006</c:v>
                </c:pt>
                <c:pt idx="1">
                  <c:v>8839.009</c:v>
                </c:pt>
                <c:pt idx="2">
                  <c:v>7684.4299999999994</c:v>
                </c:pt>
                <c:pt idx="3">
                  <c:v>11713.076999999997</c:v>
                </c:pt>
                <c:pt idx="4">
                  <c:v>15789.472000000003</c:v>
                </c:pt>
                <c:pt idx="5">
                  <c:v>19453.774000000009</c:v>
                </c:pt>
                <c:pt idx="6">
                  <c:v>16810.438999999998</c:v>
                </c:pt>
                <c:pt idx="7">
                  <c:v>16361.668</c:v>
                </c:pt>
                <c:pt idx="8">
                  <c:v>18301.382999999998</c:v>
                </c:pt>
                <c:pt idx="9">
                  <c:v>20491.505000000001</c:v>
                </c:pt>
                <c:pt idx="10">
                  <c:v>21950.090999999997</c:v>
                </c:pt>
                <c:pt idx="11">
                  <c:v>25320.543000000001</c:v>
                </c:pt>
                <c:pt idx="12">
                  <c:v>28966.967999999997</c:v>
                </c:pt>
                <c:pt idx="13">
                  <c:v>35041.601000000002</c:v>
                </c:pt>
                <c:pt idx="14">
                  <c:v>39881.453000000001</c:v>
                </c:pt>
                <c:pt idx="15">
                  <c:v>45206.722000000002</c:v>
                </c:pt>
                <c:pt idx="16">
                  <c:v>42807.938999999998</c:v>
                </c:pt>
              </c:numCache>
            </c:numRef>
          </c:val>
          <c:smooth val="0"/>
          <c:extLst xmlns:c16r2="http://schemas.microsoft.com/office/drawing/2015/06/chart">
            <c:ext xmlns:c16="http://schemas.microsoft.com/office/drawing/2014/chart" uri="{C3380CC4-5D6E-409C-BE32-E72D297353CC}">
              <c16:uniqueId val="{00000002-7061-4874-8B20-578F1EF7522E}"/>
            </c:ext>
          </c:extLst>
        </c:ser>
        <c:dLbls>
          <c:showLegendKey val="0"/>
          <c:showVal val="0"/>
          <c:showCatName val="0"/>
          <c:showSerName val="0"/>
          <c:showPercent val="0"/>
          <c:showBubbleSize val="0"/>
        </c:dLbls>
        <c:marker val="1"/>
        <c:smooth val="0"/>
        <c:axId val="68001152"/>
        <c:axId val="68121728"/>
      </c:lineChart>
      <c:catAx>
        <c:axId val="68001152"/>
        <c:scaling>
          <c:orientation val="minMax"/>
        </c:scaling>
        <c:delete val="0"/>
        <c:axPos val="b"/>
        <c:numFmt formatCode="General" sourceLinked="1"/>
        <c:majorTickMark val="out"/>
        <c:minorTickMark val="none"/>
        <c:tickLblPos val="nextTo"/>
        <c:crossAx val="68121728"/>
        <c:crosses val="autoZero"/>
        <c:auto val="1"/>
        <c:lblAlgn val="ctr"/>
        <c:lblOffset val="100"/>
        <c:noMultiLvlLbl val="0"/>
      </c:catAx>
      <c:valAx>
        <c:axId val="68121728"/>
        <c:scaling>
          <c:orientation val="minMax"/>
        </c:scaling>
        <c:delete val="0"/>
        <c:axPos val="l"/>
        <c:majorGridlines/>
        <c:numFmt formatCode="#,##0" sourceLinked="1"/>
        <c:majorTickMark val="out"/>
        <c:minorTickMark val="none"/>
        <c:tickLblPos val="nextTo"/>
        <c:crossAx val="68001152"/>
        <c:crosses val="autoZero"/>
        <c:crossBetween val="between"/>
      </c:valAx>
    </c:plotArea>
    <c:legend>
      <c:legendPos val="r"/>
      <c:overlay val="0"/>
    </c:legend>
    <c:plotVisOnly val="1"/>
    <c:dispBlanksAs val="gap"/>
    <c:showDLblsOverMax val="0"/>
  </c:chart>
  <c:txPr>
    <a:bodyPr/>
    <a:lstStyle/>
    <a:p>
      <a:pPr>
        <a:defRPr>
          <a:latin typeface="EC Square Sans Pro Light" panose="020B05060000000200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fr-BE" sz="1400" i="1">
                <a:latin typeface="Calibri" panose="020F0502020204030204" pitchFamily="34" charset="0"/>
                <a:cs typeface="Calibri" panose="020F0502020204030204" pitchFamily="34" charset="0"/>
              </a:rPr>
              <a:t>EU-Lebanon trade in goods (thousands</a:t>
            </a:r>
            <a:r>
              <a:rPr lang="fr-BE" sz="1400" i="1" baseline="0">
                <a:latin typeface="Calibri" panose="020F0502020204030204" pitchFamily="34" charset="0"/>
                <a:cs typeface="Calibri" panose="020F0502020204030204" pitchFamily="34" charset="0"/>
              </a:rPr>
              <a:t> of euro)</a:t>
            </a:r>
            <a:endParaRPr lang="fr-BE" sz="1400" i="1">
              <a:latin typeface="Calibri" panose="020F0502020204030204" pitchFamily="34" charset="0"/>
              <a:cs typeface="Calibri" panose="020F0502020204030204" pitchFamily="34" charset="0"/>
            </a:endParaRPr>
          </a:p>
        </c:rich>
      </c:tx>
      <c:overlay val="0"/>
    </c:title>
    <c:autoTitleDeleted val="0"/>
    <c:plotArea>
      <c:layout/>
      <c:lineChart>
        <c:grouping val="standard"/>
        <c:varyColors val="0"/>
        <c:ser>
          <c:idx val="0"/>
          <c:order val="0"/>
          <c:tx>
            <c:strRef>
              <c:f>Lebanon!$A$2</c:f>
              <c:strCache>
                <c:ptCount val="1"/>
                <c:pt idx="0">
                  <c:v>EU Exports</c:v>
                </c:pt>
              </c:strCache>
            </c:strRef>
          </c:tx>
          <c:spPr>
            <a:ln>
              <a:solidFill>
                <a:schemeClr val="tx2"/>
              </a:solidFill>
            </a:ln>
          </c:spPr>
          <c:marker>
            <c:symbol val="none"/>
          </c:marker>
          <c:cat>
            <c:numRef>
              <c:f>Lebanon!$B$1:$R$1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Lebanon!$B$2:$R$2</c:f>
              <c:numCache>
                <c:formatCode>#,##0</c:formatCode>
                <c:ptCount val="17"/>
                <c:pt idx="0">
                  <c:v>3163482.074</c:v>
                </c:pt>
                <c:pt idx="1">
                  <c:v>3452512.8670000001</c:v>
                </c:pt>
                <c:pt idx="2">
                  <c:v>3358612.906</c:v>
                </c:pt>
                <c:pt idx="3">
                  <c:v>3209601.753</c:v>
                </c:pt>
                <c:pt idx="4">
                  <c:v>3254940.4109999998</c:v>
                </c:pt>
                <c:pt idx="5">
                  <c:v>3375652.125</c:v>
                </c:pt>
                <c:pt idx="6">
                  <c:v>3991900.3160000001</c:v>
                </c:pt>
                <c:pt idx="7">
                  <c:v>4236682.4009999996</c:v>
                </c:pt>
                <c:pt idx="8">
                  <c:v>4964326.784</c:v>
                </c:pt>
                <c:pt idx="9">
                  <c:v>5293968.8030000003</c:v>
                </c:pt>
                <c:pt idx="10">
                  <c:v>6737712.7249999996</c:v>
                </c:pt>
                <c:pt idx="11">
                  <c:v>6687932.8650000002</c:v>
                </c:pt>
                <c:pt idx="12">
                  <c:v>6545388.0020000003</c:v>
                </c:pt>
                <c:pt idx="13">
                  <c:v>6699404.5379999997</c:v>
                </c:pt>
                <c:pt idx="14">
                  <c:v>6667541.1619999995</c:v>
                </c:pt>
                <c:pt idx="15">
                  <c:v>7264812.7779999999</c:v>
                </c:pt>
                <c:pt idx="16">
                  <c:v>7222231.7570000002</c:v>
                </c:pt>
              </c:numCache>
            </c:numRef>
          </c:val>
          <c:smooth val="0"/>
          <c:extLst xmlns:c16r2="http://schemas.microsoft.com/office/drawing/2015/06/chart">
            <c:ext xmlns:c16="http://schemas.microsoft.com/office/drawing/2014/chart" uri="{C3380CC4-5D6E-409C-BE32-E72D297353CC}">
              <c16:uniqueId val="{00000000-54B6-46A4-B05E-6FE09CE76AD9}"/>
            </c:ext>
          </c:extLst>
        </c:ser>
        <c:ser>
          <c:idx val="1"/>
          <c:order val="1"/>
          <c:tx>
            <c:strRef>
              <c:f>Lebanon!$A$3</c:f>
              <c:strCache>
                <c:ptCount val="1"/>
                <c:pt idx="0">
                  <c:v>EU Imports</c:v>
                </c:pt>
              </c:strCache>
            </c:strRef>
          </c:tx>
          <c:spPr>
            <a:ln>
              <a:solidFill>
                <a:schemeClr val="accent2"/>
              </a:solidFill>
            </a:ln>
          </c:spPr>
          <c:marker>
            <c:symbol val="none"/>
          </c:marker>
          <c:cat>
            <c:numRef>
              <c:f>Lebanon!$B$1:$R$1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Lebanon!$B$3:$R$3</c:f>
              <c:numCache>
                <c:formatCode>#,##0</c:formatCode>
                <c:ptCount val="17"/>
                <c:pt idx="0">
                  <c:v>199021.74799999999</c:v>
                </c:pt>
                <c:pt idx="1">
                  <c:v>201922.90700000001</c:v>
                </c:pt>
                <c:pt idx="2">
                  <c:v>243367.14499999999</c:v>
                </c:pt>
                <c:pt idx="3">
                  <c:v>216523.11</c:v>
                </c:pt>
                <c:pt idx="4">
                  <c:v>225178.10699999999</c:v>
                </c:pt>
                <c:pt idx="5">
                  <c:v>308958.859</c:v>
                </c:pt>
                <c:pt idx="6">
                  <c:v>356424.01199999999</c:v>
                </c:pt>
                <c:pt idx="7">
                  <c:v>255827.74</c:v>
                </c:pt>
                <c:pt idx="8">
                  <c:v>330186.38299999997</c:v>
                </c:pt>
                <c:pt idx="9">
                  <c:v>411629.63400000002</c:v>
                </c:pt>
                <c:pt idx="10">
                  <c:v>375551.37099999998</c:v>
                </c:pt>
                <c:pt idx="11">
                  <c:v>341733.10200000001</c:v>
                </c:pt>
                <c:pt idx="12">
                  <c:v>332269.02600000001</c:v>
                </c:pt>
                <c:pt idx="13">
                  <c:v>408283.22100000002</c:v>
                </c:pt>
                <c:pt idx="14">
                  <c:v>406732.929</c:v>
                </c:pt>
                <c:pt idx="15">
                  <c:v>454518.84</c:v>
                </c:pt>
                <c:pt idx="16">
                  <c:v>513368.61900000001</c:v>
                </c:pt>
              </c:numCache>
            </c:numRef>
          </c:val>
          <c:smooth val="0"/>
          <c:extLst xmlns:c16r2="http://schemas.microsoft.com/office/drawing/2015/06/chart">
            <c:ext xmlns:c16="http://schemas.microsoft.com/office/drawing/2014/chart" uri="{C3380CC4-5D6E-409C-BE32-E72D297353CC}">
              <c16:uniqueId val="{00000001-54B6-46A4-B05E-6FE09CE76AD9}"/>
            </c:ext>
          </c:extLst>
        </c:ser>
        <c:ser>
          <c:idx val="2"/>
          <c:order val="2"/>
          <c:tx>
            <c:strRef>
              <c:f>Lebanon!$A$4</c:f>
              <c:strCache>
                <c:ptCount val="1"/>
                <c:pt idx="0">
                  <c:v>EU imports of agricultural products (excl. fisheries)</c:v>
                </c:pt>
              </c:strCache>
            </c:strRef>
          </c:tx>
          <c:spPr>
            <a:ln>
              <a:solidFill>
                <a:schemeClr val="accent3"/>
              </a:solidFill>
              <a:prstDash val="solid"/>
            </a:ln>
          </c:spPr>
          <c:marker>
            <c:symbol val="none"/>
          </c:marker>
          <c:cat>
            <c:numRef>
              <c:f>Lebanon!$B$1:$R$1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Lebanon!$B$4:$R$4</c:f>
              <c:numCache>
                <c:formatCode>#,##0</c:formatCode>
                <c:ptCount val="17"/>
                <c:pt idx="0">
                  <c:v>30399.62</c:v>
                </c:pt>
                <c:pt idx="1">
                  <c:v>37726.883000000009</c:v>
                </c:pt>
                <c:pt idx="2">
                  <c:v>44730.096999999994</c:v>
                </c:pt>
                <c:pt idx="3">
                  <c:v>43562.493999999992</c:v>
                </c:pt>
                <c:pt idx="4">
                  <c:v>38053.960000000006</c:v>
                </c:pt>
                <c:pt idx="5">
                  <c:v>39835.957999999999</c:v>
                </c:pt>
                <c:pt idx="6">
                  <c:v>51786.315999999999</c:v>
                </c:pt>
                <c:pt idx="7">
                  <c:v>48365.252000000008</c:v>
                </c:pt>
                <c:pt idx="8">
                  <c:v>54635.523999999998</c:v>
                </c:pt>
                <c:pt idx="9">
                  <c:v>81731.327999999994</c:v>
                </c:pt>
                <c:pt idx="10">
                  <c:v>70296.614000000016</c:v>
                </c:pt>
                <c:pt idx="11">
                  <c:v>74056.09199999999</c:v>
                </c:pt>
                <c:pt idx="12">
                  <c:v>83839.913</c:v>
                </c:pt>
                <c:pt idx="13">
                  <c:v>85874.464999999997</c:v>
                </c:pt>
                <c:pt idx="14">
                  <c:v>97215.737999999983</c:v>
                </c:pt>
                <c:pt idx="15">
                  <c:v>98580.268999999986</c:v>
                </c:pt>
                <c:pt idx="16">
                  <c:v>102151.86900000002</c:v>
                </c:pt>
              </c:numCache>
            </c:numRef>
          </c:val>
          <c:smooth val="0"/>
          <c:extLst xmlns:c16r2="http://schemas.microsoft.com/office/drawing/2015/06/chart">
            <c:ext xmlns:c16="http://schemas.microsoft.com/office/drawing/2014/chart" uri="{C3380CC4-5D6E-409C-BE32-E72D297353CC}">
              <c16:uniqueId val="{00000002-54B6-46A4-B05E-6FE09CE76AD9}"/>
            </c:ext>
          </c:extLst>
        </c:ser>
        <c:dLbls>
          <c:showLegendKey val="0"/>
          <c:showVal val="0"/>
          <c:showCatName val="0"/>
          <c:showSerName val="0"/>
          <c:showPercent val="0"/>
          <c:showBubbleSize val="0"/>
        </c:dLbls>
        <c:marker val="1"/>
        <c:smooth val="0"/>
        <c:axId val="68151168"/>
        <c:axId val="68152704"/>
      </c:lineChart>
      <c:catAx>
        <c:axId val="68151168"/>
        <c:scaling>
          <c:orientation val="minMax"/>
        </c:scaling>
        <c:delete val="0"/>
        <c:axPos val="b"/>
        <c:numFmt formatCode="General" sourceLinked="1"/>
        <c:majorTickMark val="out"/>
        <c:minorTickMark val="none"/>
        <c:tickLblPos val="nextTo"/>
        <c:crossAx val="68152704"/>
        <c:crosses val="autoZero"/>
        <c:auto val="1"/>
        <c:lblAlgn val="ctr"/>
        <c:lblOffset val="100"/>
        <c:noMultiLvlLbl val="0"/>
      </c:catAx>
      <c:valAx>
        <c:axId val="68152704"/>
        <c:scaling>
          <c:orientation val="minMax"/>
        </c:scaling>
        <c:delete val="0"/>
        <c:axPos val="l"/>
        <c:majorGridlines/>
        <c:numFmt formatCode="#,##0" sourceLinked="1"/>
        <c:majorTickMark val="out"/>
        <c:minorTickMark val="none"/>
        <c:tickLblPos val="nextTo"/>
        <c:crossAx val="68151168"/>
        <c:crosses val="autoZero"/>
        <c:crossBetween val="between"/>
      </c:valAx>
    </c:plotArea>
    <c:legend>
      <c:legendPos val="r"/>
      <c:overlay val="0"/>
    </c:legend>
    <c:plotVisOnly val="1"/>
    <c:dispBlanksAs val="gap"/>
    <c:showDLblsOverMax val="0"/>
  </c:chart>
  <c:txPr>
    <a:bodyPr/>
    <a:lstStyle/>
    <a:p>
      <a:pPr>
        <a:defRPr>
          <a:latin typeface="EC Square Sans Pro Light" panose="020B0506000000020004" pitchFamily="34"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Morocco!$A$2</c:f>
              <c:strCache>
                <c:ptCount val="1"/>
                <c:pt idx="0">
                  <c:v>EU Exports</c:v>
                </c:pt>
              </c:strCache>
            </c:strRef>
          </c:tx>
          <c:spPr>
            <a:ln>
              <a:solidFill>
                <a:schemeClr val="tx2"/>
              </a:solidFill>
            </a:ln>
          </c:spPr>
          <c:marker>
            <c:symbol val="square"/>
            <c:size val="4"/>
            <c:spPr>
              <a:solidFill>
                <a:schemeClr val="tx2"/>
              </a:solidFill>
              <a:ln>
                <a:solidFill>
                  <a:schemeClr val="tx2"/>
                </a:solidFill>
              </a:ln>
            </c:spPr>
          </c:marker>
          <c:cat>
            <c:numRef>
              <c:f>Morocco!$B$1:$R$1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Morocco!$B$2:$R$2</c:f>
              <c:numCache>
                <c:formatCode>#,##0</c:formatCode>
                <c:ptCount val="17"/>
                <c:pt idx="0">
                  <c:v>7834</c:v>
                </c:pt>
                <c:pt idx="1">
                  <c:v>8182.4995170000002</c:v>
                </c:pt>
                <c:pt idx="2">
                  <c:v>8928</c:v>
                </c:pt>
                <c:pt idx="3">
                  <c:v>11836</c:v>
                </c:pt>
                <c:pt idx="4">
                  <c:v>10468</c:v>
                </c:pt>
                <c:pt idx="5">
                  <c:v>12380</c:v>
                </c:pt>
                <c:pt idx="6">
                  <c:v>14453.377023999999</c:v>
                </c:pt>
                <c:pt idx="7">
                  <c:v>12037.918996999999</c:v>
                </c:pt>
                <c:pt idx="8">
                  <c:v>13786.638398999999</c:v>
                </c:pt>
                <c:pt idx="9">
                  <c:v>15406.983423</c:v>
                </c:pt>
                <c:pt idx="10">
                  <c:v>16942.839774</c:v>
                </c:pt>
                <c:pt idx="11">
                  <c:v>17287.468690999998</c:v>
                </c:pt>
                <c:pt idx="12">
                  <c:v>18213.444471000003</c:v>
                </c:pt>
                <c:pt idx="13">
                  <c:v>18142.059237000001</c:v>
                </c:pt>
                <c:pt idx="14">
                  <c:v>20966.299899000001</c:v>
                </c:pt>
                <c:pt idx="15">
                  <c:v>22366.408163</c:v>
                </c:pt>
                <c:pt idx="16">
                  <c:v>23259.707151999999</c:v>
                </c:pt>
              </c:numCache>
            </c:numRef>
          </c:val>
          <c:smooth val="0"/>
          <c:extLst xmlns:c16r2="http://schemas.microsoft.com/office/drawing/2015/06/chart">
            <c:ext xmlns:c16="http://schemas.microsoft.com/office/drawing/2014/chart" uri="{C3380CC4-5D6E-409C-BE32-E72D297353CC}">
              <c16:uniqueId val="{00000000-E451-4EA5-9F50-9DEF08C9C477}"/>
            </c:ext>
          </c:extLst>
        </c:ser>
        <c:ser>
          <c:idx val="1"/>
          <c:order val="1"/>
          <c:tx>
            <c:strRef>
              <c:f>Morocco!$A$3</c:f>
              <c:strCache>
                <c:ptCount val="1"/>
                <c:pt idx="0">
                  <c:v>EU Imports</c:v>
                </c:pt>
              </c:strCache>
            </c:strRef>
          </c:tx>
          <c:spPr>
            <a:ln>
              <a:solidFill>
                <a:schemeClr val="accent2"/>
              </a:solidFill>
            </a:ln>
          </c:spPr>
          <c:marker>
            <c:symbol val="x"/>
            <c:size val="4"/>
            <c:spPr>
              <a:solidFill>
                <a:schemeClr val="accent2"/>
              </a:solidFill>
              <a:ln>
                <a:solidFill>
                  <a:schemeClr val="accent2"/>
                </a:solidFill>
              </a:ln>
            </c:spPr>
          </c:marker>
          <c:cat>
            <c:numRef>
              <c:f>Morocco!$B$1:$R$1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Morocco!$B$3:$R$3</c:f>
              <c:numCache>
                <c:formatCode>#,##0</c:formatCode>
                <c:ptCount val="17"/>
                <c:pt idx="0">
                  <c:v>6466</c:v>
                </c:pt>
                <c:pt idx="1">
                  <c:v>6383</c:v>
                </c:pt>
                <c:pt idx="2">
                  <c:v>6606.1321069999995</c:v>
                </c:pt>
                <c:pt idx="3">
                  <c:v>9123</c:v>
                </c:pt>
                <c:pt idx="4">
                  <c:v>7239</c:v>
                </c:pt>
                <c:pt idx="5">
                  <c:v>8115</c:v>
                </c:pt>
                <c:pt idx="6">
                  <c:v>8497.750970000001</c:v>
                </c:pt>
                <c:pt idx="7">
                  <c:v>6584.5694809999995</c:v>
                </c:pt>
                <c:pt idx="8">
                  <c:v>7775.4932419999996</c:v>
                </c:pt>
                <c:pt idx="9">
                  <c:v>8876.127308000001</c:v>
                </c:pt>
                <c:pt idx="10">
                  <c:v>9326.6535869999989</c:v>
                </c:pt>
                <c:pt idx="11">
                  <c:v>10045.932571000001</c:v>
                </c:pt>
                <c:pt idx="12">
                  <c:v>11053.378832</c:v>
                </c:pt>
                <c:pt idx="13">
                  <c:v>12456.467731000001</c:v>
                </c:pt>
                <c:pt idx="14">
                  <c:v>13791.727950999999</c:v>
                </c:pt>
                <c:pt idx="15">
                  <c:v>15117.345275</c:v>
                </c:pt>
                <c:pt idx="16">
                  <c:v>16072.714527</c:v>
                </c:pt>
              </c:numCache>
            </c:numRef>
          </c:val>
          <c:smooth val="0"/>
          <c:extLst xmlns:c16r2="http://schemas.microsoft.com/office/drawing/2015/06/chart">
            <c:ext xmlns:c16="http://schemas.microsoft.com/office/drawing/2014/chart" uri="{C3380CC4-5D6E-409C-BE32-E72D297353CC}">
              <c16:uniqueId val="{00000001-E451-4EA5-9F50-9DEF08C9C477}"/>
            </c:ext>
          </c:extLst>
        </c:ser>
        <c:ser>
          <c:idx val="2"/>
          <c:order val="2"/>
          <c:tx>
            <c:strRef>
              <c:f>Morocco!$A$4</c:f>
              <c:strCache>
                <c:ptCount val="1"/>
                <c:pt idx="0">
                  <c:v>EU Imports of agricultural products</c:v>
                </c:pt>
              </c:strCache>
            </c:strRef>
          </c:tx>
          <c:spPr>
            <a:ln>
              <a:solidFill>
                <a:schemeClr val="accent3"/>
              </a:solidFill>
              <a:prstDash val="solid"/>
            </a:ln>
          </c:spPr>
          <c:marker>
            <c:symbol val="square"/>
            <c:size val="4"/>
            <c:spPr>
              <a:ln>
                <a:solidFill>
                  <a:schemeClr val="accent3"/>
                </a:solidFill>
                <a:prstDash val="solid"/>
              </a:ln>
            </c:spPr>
          </c:marker>
          <c:cat>
            <c:numRef>
              <c:f>Morocco!$B$1:$R$1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Morocco!$B$4:$R$4</c:f>
              <c:numCache>
                <c:formatCode>#,##0</c:formatCode>
                <c:ptCount val="17"/>
                <c:pt idx="0">
                  <c:v>985.43740000000014</c:v>
                </c:pt>
                <c:pt idx="1">
                  <c:v>1021.6774830000003</c:v>
                </c:pt>
                <c:pt idx="2">
                  <c:v>1103.2061329999999</c:v>
                </c:pt>
                <c:pt idx="3">
                  <c:v>1249.984158</c:v>
                </c:pt>
                <c:pt idx="4">
                  <c:v>1287.0585179999996</c:v>
                </c:pt>
                <c:pt idx="5">
                  <c:v>1552.6158440000004</c:v>
                </c:pt>
                <c:pt idx="6">
                  <c:v>1465.8212190000004</c:v>
                </c:pt>
                <c:pt idx="7">
                  <c:v>1479.8916829999998</c:v>
                </c:pt>
                <c:pt idx="8">
                  <c:v>1589.701004</c:v>
                </c:pt>
                <c:pt idx="9">
                  <c:v>1590.6153190000002</c:v>
                </c:pt>
                <c:pt idx="10">
                  <c:v>1637.5576490000003</c:v>
                </c:pt>
                <c:pt idx="11">
                  <c:v>1737.7303879999997</c:v>
                </c:pt>
                <c:pt idx="12">
                  <c:v>1949.397913</c:v>
                </c:pt>
                <c:pt idx="13">
                  <c:v>2246.671511</c:v>
                </c:pt>
                <c:pt idx="14">
                  <c:v>2414.7473280000004</c:v>
                </c:pt>
                <c:pt idx="15">
                  <c:v>2664.4373530000003</c:v>
                </c:pt>
                <c:pt idx="16">
                  <c:v>2886.8026609999993</c:v>
                </c:pt>
              </c:numCache>
            </c:numRef>
          </c:val>
          <c:smooth val="0"/>
          <c:extLst xmlns:c16r2="http://schemas.microsoft.com/office/drawing/2015/06/chart">
            <c:ext xmlns:c16="http://schemas.microsoft.com/office/drawing/2014/chart" uri="{C3380CC4-5D6E-409C-BE32-E72D297353CC}">
              <c16:uniqueId val="{00000002-E451-4EA5-9F50-9DEF08C9C477}"/>
            </c:ext>
          </c:extLst>
        </c:ser>
        <c:ser>
          <c:idx val="3"/>
          <c:order val="3"/>
          <c:tx>
            <c:strRef>
              <c:f>Morocco!$A$5</c:f>
              <c:strCache>
                <c:ptCount val="1"/>
                <c:pt idx="0">
                  <c:v>EU imports of other products (excl. fuels and minerals)</c:v>
                </c:pt>
              </c:strCache>
            </c:strRef>
          </c:tx>
          <c:spPr>
            <a:ln>
              <a:solidFill>
                <a:schemeClr val="bg1">
                  <a:lumMod val="50000"/>
                </a:schemeClr>
              </a:solidFill>
              <a:prstDash val="solid"/>
            </a:ln>
          </c:spPr>
          <c:marker>
            <c:symbol val="square"/>
            <c:size val="4"/>
            <c:spPr>
              <a:solidFill>
                <a:schemeClr val="bg1">
                  <a:lumMod val="50000"/>
                </a:schemeClr>
              </a:solidFill>
              <a:ln>
                <a:solidFill>
                  <a:schemeClr val="bg1">
                    <a:lumMod val="50000"/>
                  </a:schemeClr>
                </a:solidFill>
                <a:prstDash val="solid"/>
              </a:ln>
            </c:spPr>
          </c:marker>
          <c:cat>
            <c:numRef>
              <c:f>Morocco!$B$1:$R$1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Morocco!$B$5:$R$5</c:f>
              <c:numCache>
                <c:formatCode>#,##0</c:formatCode>
                <c:ptCount val="17"/>
                <c:pt idx="0">
                  <c:v>5091.0790059999999</c:v>
                </c:pt>
                <c:pt idx="1">
                  <c:v>5025.3287179999998</c:v>
                </c:pt>
                <c:pt idx="2">
                  <c:v>5124.8628000000008</c:v>
                </c:pt>
                <c:pt idx="3">
                  <c:v>7297.602222999999</c:v>
                </c:pt>
                <c:pt idx="4">
                  <c:v>5356.8121259999989</c:v>
                </c:pt>
                <c:pt idx="5">
                  <c:v>6020.3439560000006</c:v>
                </c:pt>
                <c:pt idx="6">
                  <c:v>6099.8488439999992</c:v>
                </c:pt>
                <c:pt idx="7">
                  <c:v>4786.4506639999991</c:v>
                </c:pt>
                <c:pt idx="8">
                  <c:v>5604.6791809999986</c:v>
                </c:pt>
                <c:pt idx="9">
                  <c:v>6661.4892529999997</c:v>
                </c:pt>
                <c:pt idx="10">
                  <c:v>7071.8986299999997</c:v>
                </c:pt>
                <c:pt idx="11">
                  <c:v>7550.1537190000008</c:v>
                </c:pt>
                <c:pt idx="12">
                  <c:v>8644.0300090000019</c:v>
                </c:pt>
                <c:pt idx="13">
                  <c:v>9646.2718579999982</c:v>
                </c:pt>
                <c:pt idx="14">
                  <c:v>10975.787160999997</c:v>
                </c:pt>
                <c:pt idx="15">
                  <c:v>12017.884147999997</c:v>
                </c:pt>
                <c:pt idx="16">
                  <c:v>12732.218384000005</c:v>
                </c:pt>
              </c:numCache>
            </c:numRef>
          </c:val>
          <c:smooth val="0"/>
          <c:extLst xmlns:c16r2="http://schemas.microsoft.com/office/drawing/2015/06/chart">
            <c:ext xmlns:c16="http://schemas.microsoft.com/office/drawing/2014/chart" uri="{C3380CC4-5D6E-409C-BE32-E72D297353CC}">
              <c16:uniqueId val="{00000003-E451-4EA5-9F50-9DEF08C9C477}"/>
            </c:ext>
          </c:extLst>
        </c:ser>
        <c:dLbls>
          <c:showLegendKey val="0"/>
          <c:showVal val="0"/>
          <c:showCatName val="0"/>
          <c:showSerName val="0"/>
          <c:showPercent val="0"/>
          <c:showBubbleSize val="0"/>
        </c:dLbls>
        <c:marker val="1"/>
        <c:smooth val="0"/>
        <c:axId val="68455424"/>
        <c:axId val="68457600"/>
      </c:lineChart>
      <c:catAx>
        <c:axId val="68455424"/>
        <c:scaling>
          <c:orientation val="minMax"/>
        </c:scaling>
        <c:delete val="0"/>
        <c:axPos val="b"/>
        <c:numFmt formatCode="General" sourceLinked="1"/>
        <c:majorTickMark val="out"/>
        <c:minorTickMark val="none"/>
        <c:tickLblPos val="nextTo"/>
        <c:crossAx val="68457600"/>
        <c:crosses val="autoZero"/>
        <c:auto val="1"/>
        <c:lblAlgn val="ctr"/>
        <c:lblOffset val="100"/>
        <c:noMultiLvlLbl val="0"/>
      </c:catAx>
      <c:valAx>
        <c:axId val="68457600"/>
        <c:scaling>
          <c:orientation val="minMax"/>
        </c:scaling>
        <c:delete val="0"/>
        <c:axPos val="l"/>
        <c:majorGridlines/>
        <c:numFmt formatCode="#,##0" sourceLinked="1"/>
        <c:majorTickMark val="out"/>
        <c:minorTickMark val="none"/>
        <c:tickLblPos val="nextTo"/>
        <c:crossAx val="68455424"/>
        <c:crosses val="autoZero"/>
        <c:crossBetween val="between"/>
      </c:valAx>
    </c:plotArea>
    <c:legend>
      <c:legendPos val="r"/>
      <c:overlay val="0"/>
    </c:legend>
    <c:plotVisOnly val="1"/>
    <c:dispBlanksAs val="gap"/>
    <c:showDLblsOverMax val="0"/>
  </c:chart>
  <c:txPr>
    <a:bodyPr/>
    <a:lstStyle/>
    <a:p>
      <a:pPr>
        <a:defRPr>
          <a:latin typeface="EC Square Sans Pro Light" panose="020B0506000000020004"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BE" sz="1400" i="1">
                <a:latin typeface="Calibri" panose="020F0502020204030204" pitchFamily="34" charset="0"/>
                <a:cs typeface="Calibri" panose="020F0502020204030204" pitchFamily="34" charset="0"/>
              </a:rPr>
              <a:t>EU-Palestine</a:t>
            </a:r>
            <a:r>
              <a:rPr lang="fr-BE" sz="1400" i="1" baseline="0">
                <a:latin typeface="Calibri" panose="020F0502020204030204" pitchFamily="34" charset="0"/>
                <a:cs typeface="Calibri" panose="020F0502020204030204" pitchFamily="34" charset="0"/>
              </a:rPr>
              <a:t> trade in goods (thousands of euro)</a:t>
            </a:r>
            <a:endParaRPr lang="fr-BE" sz="1400" i="1">
              <a:latin typeface="Calibri" panose="020F0502020204030204" pitchFamily="34" charset="0"/>
              <a:cs typeface="Calibri" panose="020F0502020204030204" pitchFamily="34" charset="0"/>
            </a:endParaRPr>
          </a:p>
        </c:rich>
      </c:tx>
      <c:overlay val="0"/>
    </c:title>
    <c:autoTitleDeleted val="0"/>
    <c:plotArea>
      <c:layout/>
      <c:lineChart>
        <c:grouping val="standard"/>
        <c:varyColors val="0"/>
        <c:ser>
          <c:idx val="0"/>
          <c:order val="0"/>
          <c:tx>
            <c:strRef>
              <c:f>Palestine!$A$2</c:f>
              <c:strCache>
                <c:ptCount val="1"/>
                <c:pt idx="0">
                  <c:v>EU Exports</c:v>
                </c:pt>
              </c:strCache>
            </c:strRef>
          </c:tx>
          <c:spPr>
            <a:ln>
              <a:solidFill>
                <a:schemeClr val="tx2"/>
              </a:solidFill>
            </a:ln>
          </c:spPr>
          <c:marker>
            <c:symbol val="none"/>
          </c:marker>
          <c:cat>
            <c:numRef>
              <c:f>Palestine!$B$1:$R$1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Palestine!$B$2:$R$2</c:f>
              <c:numCache>
                <c:formatCode>#,##0</c:formatCode>
                <c:ptCount val="17"/>
                <c:pt idx="0">
                  <c:v>33002.266000000003</c:v>
                </c:pt>
                <c:pt idx="1">
                  <c:v>28261.713</c:v>
                </c:pt>
                <c:pt idx="2">
                  <c:v>36072.006000000001</c:v>
                </c:pt>
                <c:pt idx="3">
                  <c:v>46579.932000000001</c:v>
                </c:pt>
                <c:pt idx="4">
                  <c:v>38845.705999999998</c:v>
                </c:pt>
                <c:pt idx="5">
                  <c:v>45995.3</c:v>
                </c:pt>
                <c:pt idx="6">
                  <c:v>61107.678</c:v>
                </c:pt>
                <c:pt idx="7">
                  <c:v>51026.319000000003</c:v>
                </c:pt>
                <c:pt idx="8">
                  <c:v>79777.459000000003</c:v>
                </c:pt>
                <c:pt idx="9">
                  <c:v>87569.031000000003</c:v>
                </c:pt>
                <c:pt idx="10">
                  <c:v>103084.724</c:v>
                </c:pt>
                <c:pt idx="11">
                  <c:v>116170.091</c:v>
                </c:pt>
                <c:pt idx="12">
                  <c:v>141165.446</c:v>
                </c:pt>
                <c:pt idx="13">
                  <c:v>194793.45699999999</c:v>
                </c:pt>
                <c:pt idx="14">
                  <c:v>254033.34099999999</c:v>
                </c:pt>
                <c:pt idx="15">
                  <c:v>261454.74</c:v>
                </c:pt>
                <c:pt idx="16">
                  <c:v>242840.44699999999</c:v>
                </c:pt>
              </c:numCache>
            </c:numRef>
          </c:val>
          <c:smooth val="0"/>
          <c:extLst xmlns:c16r2="http://schemas.microsoft.com/office/drawing/2015/06/chart">
            <c:ext xmlns:c16="http://schemas.microsoft.com/office/drawing/2014/chart" uri="{C3380CC4-5D6E-409C-BE32-E72D297353CC}">
              <c16:uniqueId val="{00000000-BE4A-485A-AA38-77F69321085F}"/>
            </c:ext>
          </c:extLst>
        </c:ser>
        <c:ser>
          <c:idx val="1"/>
          <c:order val="1"/>
          <c:tx>
            <c:strRef>
              <c:f>Palestine!$A$3</c:f>
              <c:strCache>
                <c:ptCount val="1"/>
                <c:pt idx="0">
                  <c:v>EU Imports</c:v>
                </c:pt>
              </c:strCache>
            </c:strRef>
          </c:tx>
          <c:spPr>
            <a:ln>
              <a:solidFill>
                <a:schemeClr val="accent2"/>
              </a:solidFill>
            </a:ln>
          </c:spPr>
          <c:marker>
            <c:symbol val="none"/>
          </c:marker>
          <c:cat>
            <c:numRef>
              <c:f>Palestine!$B$1:$R$1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Palestine!$B$3:$R$3</c:f>
              <c:numCache>
                <c:formatCode>#,##0</c:formatCode>
                <c:ptCount val="17"/>
                <c:pt idx="0">
                  <c:v>7709.134</c:v>
                </c:pt>
                <c:pt idx="1">
                  <c:v>6393.4290000000001</c:v>
                </c:pt>
                <c:pt idx="2">
                  <c:v>6421.7449999999999</c:v>
                </c:pt>
                <c:pt idx="3">
                  <c:v>10443.84</c:v>
                </c:pt>
                <c:pt idx="4">
                  <c:v>12803.751</c:v>
                </c:pt>
                <c:pt idx="5">
                  <c:v>13884.645</c:v>
                </c:pt>
                <c:pt idx="6">
                  <c:v>7186.4859999999999</c:v>
                </c:pt>
                <c:pt idx="7">
                  <c:v>6471.1289999999999</c:v>
                </c:pt>
                <c:pt idx="8">
                  <c:v>34732.894999999997</c:v>
                </c:pt>
                <c:pt idx="9">
                  <c:v>12413.538</c:v>
                </c:pt>
                <c:pt idx="10">
                  <c:v>15797.596</c:v>
                </c:pt>
                <c:pt idx="11">
                  <c:v>14173.897000000001</c:v>
                </c:pt>
                <c:pt idx="12">
                  <c:v>13938.031000000001</c:v>
                </c:pt>
                <c:pt idx="13">
                  <c:v>16181.022999999999</c:v>
                </c:pt>
                <c:pt idx="14">
                  <c:v>18683.742999999999</c:v>
                </c:pt>
                <c:pt idx="15">
                  <c:v>16279.625</c:v>
                </c:pt>
                <c:pt idx="16">
                  <c:v>18274.368999999999</c:v>
                </c:pt>
              </c:numCache>
            </c:numRef>
          </c:val>
          <c:smooth val="0"/>
          <c:extLst xmlns:c16r2="http://schemas.microsoft.com/office/drawing/2015/06/chart">
            <c:ext xmlns:c16="http://schemas.microsoft.com/office/drawing/2014/chart" uri="{C3380CC4-5D6E-409C-BE32-E72D297353CC}">
              <c16:uniqueId val="{00000001-BE4A-485A-AA38-77F69321085F}"/>
            </c:ext>
          </c:extLst>
        </c:ser>
        <c:ser>
          <c:idx val="2"/>
          <c:order val="2"/>
          <c:tx>
            <c:strRef>
              <c:f>Palestine!$A$4</c:f>
              <c:strCache>
                <c:ptCount val="1"/>
                <c:pt idx="0">
                  <c:v>EU imports of agricultural products (excl. fisheries)</c:v>
                </c:pt>
              </c:strCache>
            </c:strRef>
          </c:tx>
          <c:spPr>
            <a:ln>
              <a:solidFill>
                <a:schemeClr val="accent3"/>
              </a:solidFill>
              <a:prstDash val="solid"/>
            </a:ln>
          </c:spPr>
          <c:marker>
            <c:symbol val="none"/>
          </c:marker>
          <c:cat>
            <c:numRef>
              <c:f>Palestine!$B$1:$R$1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Palestine!$B$4:$R$4</c:f>
              <c:numCache>
                <c:formatCode>#,##0</c:formatCode>
                <c:ptCount val="17"/>
                <c:pt idx="0">
                  <c:v>6534.9650000000001</c:v>
                </c:pt>
                <c:pt idx="1">
                  <c:v>5893.2460000000001</c:v>
                </c:pt>
                <c:pt idx="2">
                  <c:v>5487.3639999999996</c:v>
                </c:pt>
                <c:pt idx="3">
                  <c:v>6613.5730000000003</c:v>
                </c:pt>
                <c:pt idx="4">
                  <c:v>7279.3949999999995</c:v>
                </c:pt>
                <c:pt idx="5">
                  <c:v>9111.49</c:v>
                </c:pt>
                <c:pt idx="6">
                  <c:v>4493.4759999999997</c:v>
                </c:pt>
                <c:pt idx="7">
                  <c:v>4745.0339999999987</c:v>
                </c:pt>
                <c:pt idx="8">
                  <c:v>5563.052999999999</c:v>
                </c:pt>
                <c:pt idx="9">
                  <c:v>9351.8150000000005</c:v>
                </c:pt>
                <c:pt idx="10">
                  <c:v>13246.696</c:v>
                </c:pt>
                <c:pt idx="11">
                  <c:v>10961.911</c:v>
                </c:pt>
                <c:pt idx="12">
                  <c:v>10704.784</c:v>
                </c:pt>
                <c:pt idx="13">
                  <c:v>13284.317000000001</c:v>
                </c:pt>
                <c:pt idx="14">
                  <c:v>14831.395000000006</c:v>
                </c:pt>
                <c:pt idx="15">
                  <c:v>13443.207</c:v>
                </c:pt>
                <c:pt idx="16">
                  <c:v>16827.505000000001</c:v>
                </c:pt>
              </c:numCache>
            </c:numRef>
          </c:val>
          <c:smooth val="0"/>
          <c:extLst xmlns:c16r2="http://schemas.microsoft.com/office/drawing/2015/06/chart">
            <c:ext xmlns:c16="http://schemas.microsoft.com/office/drawing/2014/chart" uri="{C3380CC4-5D6E-409C-BE32-E72D297353CC}">
              <c16:uniqueId val="{00000002-BE4A-485A-AA38-77F69321085F}"/>
            </c:ext>
          </c:extLst>
        </c:ser>
        <c:dLbls>
          <c:showLegendKey val="0"/>
          <c:showVal val="0"/>
          <c:showCatName val="0"/>
          <c:showSerName val="0"/>
          <c:showPercent val="0"/>
          <c:showBubbleSize val="0"/>
        </c:dLbls>
        <c:marker val="1"/>
        <c:smooth val="0"/>
        <c:axId val="74902912"/>
        <c:axId val="74904704"/>
      </c:lineChart>
      <c:catAx>
        <c:axId val="74902912"/>
        <c:scaling>
          <c:orientation val="minMax"/>
        </c:scaling>
        <c:delete val="0"/>
        <c:axPos val="b"/>
        <c:numFmt formatCode="General" sourceLinked="1"/>
        <c:majorTickMark val="out"/>
        <c:minorTickMark val="none"/>
        <c:tickLblPos val="nextTo"/>
        <c:crossAx val="74904704"/>
        <c:crosses val="autoZero"/>
        <c:auto val="1"/>
        <c:lblAlgn val="ctr"/>
        <c:lblOffset val="100"/>
        <c:noMultiLvlLbl val="0"/>
      </c:catAx>
      <c:valAx>
        <c:axId val="74904704"/>
        <c:scaling>
          <c:orientation val="minMax"/>
        </c:scaling>
        <c:delete val="0"/>
        <c:axPos val="l"/>
        <c:majorGridlines/>
        <c:numFmt formatCode="#,##0" sourceLinked="1"/>
        <c:majorTickMark val="out"/>
        <c:minorTickMark val="none"/>
        <c:tickLblPos val="nextTo"/>
        <c:crossAx val="74902912"/>
        <c:crosses val="autoZero"/>
        <c:crossBetween val="between"/>
      </c:valAx>
    </c:plotArea>
    <c:legend>
      <c:legendPos val="r"/>
      <c:overlay val="0"/>
    </c:legend>
    <c:plotVisOnly val="1"/>
    <c:dispBlanksAs val="gap"/>
    <c:showDLblsOverMax val="0"/>
  </c:chart>
  <c:txPr>
    <a:bodyPr/>
    <a:lstStyle/>
    <a:p>
      <a:pPr>
        <a:defRPr>
          <a:latin typeface="EC Square Sans Pro Light" panose="020B0506000000020004" pitchFamily="34"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06D4C82E-87A3-4A94-A9C9-1141C204B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126223</Words>
  <Characters>665196</Characters>
  <Application>Microsoft Office Word</Application>
  <DocSecurity>0</DocSecurity>
  <Lines>31676</Lines>
  <Paragraphs>20826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770593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15</cp:revision>
  <cp:lastPrinted>2019-10-08T10:13:00Z</cp:lastPrinted>
  <dcterms:created xsi:type="dcterms:W3CDTF">2019-10-11T07:59:00Z</dcterms:created>
  <dcterms:modified xsi:type="dcterms:W3CDTF">2019-10-14T07:52:00Z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reated using">
    <vt:lpwstr>LW 6.0.1, Build 20180503</vt:lpwstr>
  </property>
  <property fmtid="{D5CDD505-2E9C-101B-9397-08002B2CF9AE}" pid="7" name="Last edited using">
    <vt:lpwstr>LW 7.0, Build 20190717</vt:lpwstr>
  </property>
  <property fmtid="{D5CDD505-2E9C-101B-9397-08002B2CF9AE}" pid="8" name="CPTemplateID">
    <vt:lpwstr>CP-025</vt:lpwstr>
  </property>
</Properties>
</file>