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504" w:rsidRDefault="00B55645">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3C62F33E-96A7-46F7-83A1-C5DB327652C8" style="width:450pt;height:470.4pt">
            <v:imagedata r:id="rId8" o:title=""/>
          </v:shape>
        </w:pict>
      </w:r>
    </w:p>
    <w:bookmarkEnd w:id="0"/>
    <w:p w:rsidR="00B83504" w:rsidRDefault="00B83504">
      <w:pPr>
        <w:rPr>
          <w:noProof/>
        </w:rPr>
        <w:sectPr w:rsidR="00B83504">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sdt>
      <w:sdtPr>
        <w:rPr>
          <w:rFonts w:asciiTheme="minorHAnsi" w:eastAsiaTheme="minorHAnsi" w:hAnsiTheme="minorHAnsi" w:cstheme="minorBidi"/>
          <w:b w:val="0"/>
          <w:bCs w:val="0"/>
          <w:smallCaps/>
          <w:noProof/>
          <w:color w:val="auto"/>
          <w:sz w:val="22"/>
          <w:szCs w:val="22"/>
          <w:lang w:val="en-GB" w:eastAsia="en-US"/>
        </w:rPr>
        <w:id w:val="-637792926"/>
        <w:docPartObj>
          <w:docPartGallery w:val="Table of Contents"/>
          <w:docPartUnique/>
        </w:docPartObj>
      </w:sdtPr>
      <w:sdtEndPr>
        <w:rPr>
          <w:rFonts w:ascii="Times New Roman" w:eastAsia="Times New Roman" w:hAnsi="Times New Roman" w:cs="Times New Roman"/>
          <w:smallCaps w:val="0"/>
          <w:sz w:val="24"/>
          <w:lang w:eastAsia="en-GB"/>
        </w:rPr>
      </w:sdtEndPr>
      <w:sdtContent>
        <w:p w:rsidR="00B83504" w:rsidRDefault="00B55645">
          <w:pPr>
            <w:pStyle w:val="TOCHeading"/>
            <w:rPr>
              <w:noProof/>
            </w:rPr>
          </w:pPr>
          <w:r>
            <w:rPr>
              <w:noProof/>
            </w:rPr>
            <w:t>Contents</w:t>
          </w:r>
        </w:p>
        <w:p w:rsidR="00B83504" w:rsidRDefault="00B55645">
          <w:pPr>
            <w:pStyle w:val="TOC1"/>
            <w:tabs>
              <w:tab w:val="left" w:pos="440"/>
              <w:tab w:val="right" w:leader="dot" w:pos="9016"/>
            </w:tabs>
            <w:rPr>
              <w:rFonts w:eastAsiaTheme="minorEastAsia"/>
              <w:noProof/>
              <w:lang w:eastAsia="en-GB"/>
            </w:rPr>
          </w:pPr>
          <w:r>
            <w:rPr>
              <w:noProof/>
            </w:rPr>
            <w:fldChar w:fldCharType="begin"/>
          </w:r>
          <w:r>
            <w:rPr>
              <w:noProof/>
            </w:rPr>
            <w:instrText xml:space="preserve"> TOC \o "1-4" \h \z \u </w:instrText>
          </w:r>
          <w:r>
            <w:rPr>
              <w:noProof/>
            </w:rPr>
            <w:fldChar w:fldCharType="separate"/>
          </w:r>
          <w:hyperlink w:anchor="_Toc13152060" w:history="1">
            <w:r>
              <w:rPr>
                <w:rStyle w:val="Hyperlink"/>
                <w:noProof/>
              </w:rPr>
              <w:t>4.</w:t>
            </w:r>
            <w:r>
              <w:rPr>
                <w:rFonts w:eastAsiaTheme="minorEastAsia"/>
                <w:noProof/>
                <w:lang w:eastAsia="en-GB"/>
              </w:rPr>
              <w:tab/>
            </w:r>
            <w:r>
              <w:rPr>
                <w:rStyle w:val="Hyperlink"/>
                <w:noProof/>
              </w:rPr>
              <w:t>The European Structural and Investment Funds (ESIF)</w:t>
            </w:r>
            <w:r>
              <w:rPr>
                <w:noProof/>
                <w:webHidden/>
              </w:rPr>
              <w:tab/>
            </w:r>
            <w:r>
              <w:rPr>
                <w:noProof/>
                <w:webHidden/>
              </w:rPr>
              <w:fldChar w:fldCharType="begin"/>
            </w:r>
            <w:r>
              <w:rPr>
                <w:noProof/>
                <w:webHidden/>
              </w:rPr>
              <w:instrText xml:space="preserve"> PAGEREF _Toc13152060 \h </w:instrText>
            </w:r>
            <w:r>
              <w:rPr>
                <w:noProof/>
                <w:webHidden/>
              </w:rPr>
            </w:r>
            <w:r>
              <w:rPr>
                <w:noProof/>
                <w:webHidden/>
              </w:rPr>
              <w:fldChar w:fldCharType="separate"/>
            </w:r>
            <w:r>
              <w:rPr>
                <w:noProof/>
                <w:webHidden/>
              </w:rPr>
              <w:t>55</w:t>
            </w:r>
            <w:r>
              <w:rPr>
                <w:noProof/>
                <w:webHidden/>
              </w:rPr>
              <w:fldChar w:fldCharType="end"/>
            </w:r>
          </w:hyperlink>
        </w:p>
        <w:p w:rsidR="00B83504" w:rsidRDefault="00B55645">
          <w:pPr>
            <w:pStyle w:val="TOC2"/>
            <w:tabs>
              <w:tab w:val="left" w:pos="1100"/>
              <w:tab w:val="right" w:leader="dot" w:pos="9016"/>
            </w:tabs>
            <w:rPr>
              <w:rFonts w:eastAsiaTheme="minorEastAsia"/>
              <w:noProof/>
              <w:lang w:eastAsia="en-GB"/>
            </w:rPr>
          </w:pPr>
          <w:hyperlink w:anchor="_Toc13152061" w:history="1">
            <w:r>
              <w:rPr>
                <w:rStyle w:val="Hyperlink"/>
                <w:noProof/>
              </w:rPr>
              <w:t>4.1.</w:t>
            </w:r>
            <w:r>
              <w:rPr>
                <w:rFonts w:eastAsiaTheme="minorEastAsia"/>
                <w:noProof/>
                <w:lang w:eastAsia="en-GB"/>
              </w:rPr>
              <w:tab/>
            </w:r>
            <w:r>
              <w:rPr>
                <w:rStyle w:val="Hyperlink"/>
                <w:noProof/>
              </w:rPr>
              <w:t>General analysis</w:t>
            </w:r>
            <w:r>
              <w:rPr>
                <w:noProof/>
                <w:webHidden/>
              </w:rPr>
              <w:tab/>
            </w:r>
            <w:r>
              <w:rPr>
                <w:noProof/>
                <w:webHidden/>
              </w:rPr>
              <w:fldChar w:fldCharType="begin"/>
            </w:r>
            <w:r>
              <w:rPr>
                <w:noProof/>
                <w:webHidden/>
              </w:rPr>
              <w:instrText xml:space="preserve"> PAGEREF _Toc13152061 \h </w:instrText>
            </w:r>
            <w:r>
              <w:rPr>
                <w:noProof/>
                <w:webHidden/>
              </w:rPr>
            </w:r>
            <w:r>
              <w:rPr>
                <w:noProof/>
                <w:webHidden/>
              </w:rPr>
              <w:fldChar w:fldCharType="separate"/>
            </w:r>
            <w:r>
              <w:rPr>
                <w:noProof/>
                <w:webHidden/>
              </w:rPr>
              <w:t>56</w:t>
            </w:r>
            <w:r>
              <w:rPr>
                <w:noProof/>
                <w:webHidden/>
              </w:rPr>
              <w:fldChar w:fldCharType="end"/>
            </w:r>
          </w:hyperlink>
        </w:p>
        <w:p w:rsidR="00B83504" w:rsidRDefault="00B55645">
          <w:pPr>
            <w:pStyle w:val="TOC3"/>
            <w:tabs>
              <w:tab w:val="left" w:pos="1320"/>
              <w:tab w:val="right" w:leader="dot" w:pos="9016"/>
            </w:tabs>
            <w:rPr>
              <w:rFonts w:eastAsiaTheme="minorEastAsia"/>
              <w:noProof/>
              <w:lang w:eastAsia="en-GB"/>
            </w:rPr>
          </w:pPr>
          <w:hyperlink w:anchor="_Toc13152062" w:history="1">
            <w:r>
              <w:rPr>
                <w:rStyle w:val="Hyperlink"/>
                <w:noProof/>
              </w:rPr>
              <w:t>4.1.1.</w:t>
            </w:r>
            <w:r>
              <w:rPr>
                <w:rFonts w:eastAsiaTheme="minorEastAsia"/>
                <w:noProof/>
                <w:lang w:eastAsia="en-GB"/>
              </w:rPr>
              <w:tab/>
            </w:r>
            <w:r>
              <w:rPr>
                <w:rStyle w:val="Hyperlink"/>
                <w:noProof/>
              </w:rPr>
              <w:t>Irr</w:t>
            </w:r>
            <w:r>
              <w:rPr>
                <w:rStyle w:val="Hyperlink"/>
                <w:noProof/>
              </w:rPr>
              <w:t>egularities reported as fraudulent</w:t>
            </w:r>
            <w:r>
              <w:rPr>
                <w:noProof/>
                <w:webHidden/>
              </w:rPr>
              <w:tab/>
            </w:r>
            <w:r>
              <w:rPr>
                <w:noProof/>
                <w:webHidden/>
              </w:rPr>
              <w:fldChar w:fldCharType="begin"/>
            </w:r>
            <w:r>
              <w:rPr>
                <w:noProof/>
                <w:webHidden/>
              </w:rPr>
              <w:instrText xml:space="preserve"> PAGEREF _Toc13152062 \h </w:instrText>
            </w:r>
            <w:r>
              <w:rPr>
                <w:noProof/>
                <w:webHidden/>
              </w:rPr>
            </w:r>
            <w:r>
              <w:rPr>
                <w:noProof/>
                <w:webHidden/>
              </w:rPr>
              <w:fldChar w:fldCharType="separate"/>
            </w:r>
            <w:r>
              <w:rPr>
                <w:noProof/>
                <w:webHidden/>
              </w:rPr>
              <w:t>63</w:t>
            </w:r>
            <w:r>
              <w:rPr>
                <w:noProof/>
                <w:webHidden/>
              </w:rPr>
              <w:fldChar w:fldCharType="end"/>
            </w:r>
          </w:hyperlink>
        </w:p>
        <w:p w:rsidR="00B83504" w:rsidRDefault="00B55645">
          <w:pPr>
            <w:pStyle w:val="TOC4"/>
            <w:tabs>
              <w:tab w:val="left" w:pos="1760"/>
              <w:tab w:val="right" w:leader="dot" w:pos="9016"/>
            </w:tabs>
            <w:rPr>
              <w:rFonts w:eastAsiaTheme="minorEastAsia"/>
              <w:noProof/>
              <w:lang w:eastAsia="en-GB"/>
            </w:rPr>
          </w:pPr>
          <w:hyperlink w:anchor="_Toc13152063" w:history="1">
            <w:r>
              <w:rPr>
                <w:rStyle w:val="Hyperlink"/>
                <w:noProof/>
              </w:rPr>
              <w:t>4.1.1.1.</w:t>
            </w:r>
            <w:r>
              <w:rPr>
                <w:rFonts w:eastAsiaTheme="minorEastAsia"/>
                <w:noProof/>
                <w:lang w:eastAsia="en-GB"/>
              </w:rPr>
              <w:tab/>
            </w:r>
            <w:r>
              <w:rPr>
                <w:rStyle w:val="Hyperlink"/>
                <w:noProof/>
              </w:rPr>
              <w:t>Trend by programming period</w:t>
            </w:r>
            <w:r>
              <w:rPr>
                <w:noProof/>
                <w:webHidden/>
              </w:rPr>
              <w:tab/>
            </w:r>
            <w:r>
              <w:rPr>
                <w:noProof/>
                <w:webHidden/>
              </w:rPr>
              <w:fldChar w:fldCharType="begin"/>
            </w:r>
            <w:r>
              <w:rPr>
                <w:noProof/>
                <w:webHidden/>
              </w:rPr>
              <w:instrText xml:space="preserve"> PAGEREF _Toc13152063 \h </w:instrText>
            </w:r>
            <w:r>
              <w:rPr>
                <w:noProof/>
                <w:webHidden/>
              </w:rPr>
            </w:r>
            <w:r>
              <w:rPr>
                <w:noProof/>
                <w:webHidden/>
              </w:rPr>
              <w:fldChar w:fldCharType="separate"/>
            </w:r>
            <w:r>
              <w:rPr>
                <w:noProof/>
                <w:webHidden/>
              </w:rPr>
              <w:t>63</w:t>
            </w:r>
            <w:r>
              <w:rPr>
                <w:noProof/>
                <w:webHidden/>
              </w:rPr>
              <w:fldChar w:fldCharType="end"/>
            </w:r>
          </w:hyperlink>
        </w:p>
        <w:p w:rsidR="00B83504" w:rsidRDefault="00B55645">
          <w:pPr>
            <w:pStyle w:val="TOC4"/>
            <w:tabs>
              <w:tab w:val="left" w:pos="1760"/>
              <w:tab w:val="right" w:leader="dot" w:pos="9016"/>
            </w:tabs>
            <w:rPr>
              <w:rFonts w:eastAsiaTheme="minorEastAsia"/>
              <w:noProof/>
              <w:lang w:eastAsia="en-GB"/>
            </w:rPr>
          </w:pPr>
          <w:hyperlink w:anchor="_Toc13152064" w:history="1">
            <w:r>
              <w:rPr>
                <w:rStyle w:val="Hyperlink"/>
                <w:noProof/>
              </w:rPr>
              <w:t>4.1.1.2.</w:t>
            </w:r>
            <w:r>
              <w:rPr>
                <w:rFonts w:eastAsiaTheme="minorEastAsia"/>
                <w:noProof/>
                <w:lang w:eastAsia="en-GB"/>
              </w:rPr>
              <w:tab/>
            </w:r>
            <w:r>
              <w:rPr>
                <w:rStyle w:val="Hyperlink"/>
                <w:noProof/>
              </w:rPr>
              <w:t>Trend by Fund</w:t>
            </w:r>
            <w:r>
              <w:rPr>
                <w:noProof/>
                <w:webHidden/>
              </w:rPr>
              <w:tab/>
            </w:r>
            <w:r>
              <w:rPr>
                <w:noProof/>
                <w:webHidden/>
              </w:rPr>
              <w:fldChar w:fldCharType="begin"/>
            </w:r>
            <w:r>
              <w:rPr>
                <w:noProof/>
                <w:webHidden/>
              </w:rPr>
              <w:instrText xml:space="preserve"> PAGEREF _Toc13152064 \h </w:instrText>
            </w:r>
            <w:r>
              <w:rPr>
                <w:noProof/>
                <w:webHidden/>
              </w:rPr>
            </w:r>
            <w:r>
              <w:rPr>
                <w:noProof/>
                <w:webHidden/>
              </w:rPr>
              <w:fldChar w:fldCharType="separate"/>
            </w:r>
            <w:r>
              <w:rPr>
                <w:noProof/>
                <w:webHidden/>
              </w:rPr>
              <w:t>65</w:t>
            </w:r>
            <w:r>
              <w:rPr>
                <w:noProof/>
                <w:webHidden/>
              </w:rPr>
              <w:fldChar w:fldCharType="end"/>
            </w:r>
          </w:hyperlink>
        </w:p>
        <w:p w:rsidR="00B83504" w:rsidRDefault="00B55645">
          <w:pPr>
            <w:pStyle w:val="TOC3"/>
            <w:tabs>
              <w:tab w:val="left" w:pos="1320"/>
              <w:tab w:val="right" w:leader="dot" w:pos="9016"/>
            </w:tabs>
            <w:rPr>
              <w:rFonts w:eastAsiaTheme="minorEastAsia"/>
              <w:noProof/>
              <w:lang w:eastAsia="en-GB"/>
            </w:rPr>
          </w:pPr>
          <w:hyperlink w:anchor="_Toc13152065" w:history="1">
            <w:r>
              <w:rPr>
                <w:rStyle w:val="Hyperlink"/>
                <w:noProof/>
              </w:rPr>
              <w:t>4.1.2.</w:t>
            </w:r>
            <w:r>
              <w:rPr>
                <w:rFonts w:eastAsiaTheme="minorEastAsia"/>
                <w:noProof/>
                <w:lang w:eastAsia="en-GB"/>
              </w:rPr>
              <w:tab/>
            </w:r>
            <w:r>
              <w:rPr>
                <w:rStyle w:val="Hyperlink"/>
                <w:noProof/>
              </w:rPr>
              <w:t>Irr</w:t>
            </w:r>
            <w:r>
              <w:rPr>
                <w:rStyle w:val="Hyperlink"/>
                <w:noProof/>
              </w:rPr>
              <w:t>egularities not reported as fraudulent</w:t>
            </w:r>
            <w:r>
              <w:rPr>
                <w:noProof/>
                <w:webHidden/>
              </w:rPr>
              <w:tab/>
            </w:r>
            <w:r>
              <w:rPr>
                <w:noProof/>
                <w:webHidden/>
              </w:rPr>
              <w:fldChar w:fldCharType="begin"/>
            </w:r>
            <w:r>
              <w:rPr>
                <w:noProof/>
                <w:webHidden/>
              </w:rPr>
              <w:instrText xml:space="preserve"> PAGEREF _Toc13152065 \h </w:instrText>
            </w:r>
            <w:r>
              <w:rPr>
                <w:noProof/>
                <w:webHidden/>
              </w:rPr>
            </w:r>
            <w:r>
              <w:rPr>
                <w:noProof/>
                <w:webHidden/>
              </w:rPr>
              <w:fldChar w:fldCharType="separate"/>
            </w:r>
            <w:r>
              <w:rPr>
                <w:noProof/>
                <w:webHidden/>
              </w:rPr>
              <w:t>68</w:t>
            </w:r>
            <w:r>
              <w:rPr>
                <w:noProof/>
                <w:webHidden/>
              </w:rPr>
              <w:fldChar w:fldCharType="end"/>
            </w:r>
          </w:hyperlink>
        </w:p>
        <w:p w:rsidR="00B83504" w:rsidRDefault="00B55645">
          <w:pPr>
            <w:pStyle w:val="TOC3"/>
            <w:tabs>
              <w:tab w:val="right" w:leader="dot" w:pos="9016"/>
            </w:tabs>
            <w:rPr>
              <w:rFonts w:eastAsiaTheme="minorEastAsia"/>
              <w:noProof/>
              <w:lang w:eastAsia="en-GB"/>
            </w:rPr>
          </w:pPr>
          <w:hyperlink w:anchor="_Toc13152066" w:history="1">
            <w:r>
              <w:rPr>
                <w:rStyle w:val="Hyperlink"/>
                <w:noProof/>
              </w:rPr>
              <w:t xml:space="preserve">4.1.3. Irregularities reported in relation to the PP 2014-2020: comparison with PP </w:t>
            </w:r>
            <w:r>
              <w:rPr>
                <w:rStyle w:val="Hyperlink"/>
                <w:noProof/>
              </w:rPr>
              <w:t>2007-2013</w:t>
            </w:r>
            <w:r>
              <w:rPr>
                <w:noProof/>
                <w:webHidden/>
              </w:rPr>
              <w:tab/>
            </w:r>
            <w:r>
              <w:rPr>
                <w:noProof/>
                <w:webHidden/>
              </w:rPr>
              <w:fldChar w:fldCharType="begin"/>
            </w:r>
            <w:r>
              <w:rPr>
                <w:noProof/>
                <w:webHidden/>
              </w:rPr>
              <w:instrText xml:space="preserve"> PAGEREF _Toc13152066 \h </w:instrText>
            </w:r>
            <w:r>
              <w:rPr>
                <w:noProof/>
                <w:webHidden/>
              </w:rPr>
            </w:r>
            <w:r>
              <w:rPr>
                <w:noProof/>
                <w:webHidden/>
              </w:rPr>
              <w:fldChar w:fldCharType="separate"/>
            </w:r>
            <w:r>
              <w:rPr>
                <w:noProof/>
                <w:webHidden/>
              </w:rPr>
              <w:t>70</w:t>
            </w:r>
            <w:r>
              <w:rPr>
                <w:noProof/>
                <w:webHidden/>
              </w:rPr>
              <w:fldChar w:fldCharType="end"/>
            </w:r>
          </w:hyperlink>
        </w:p>
        <w:p w:rsidR="00B83504" w:rsidRDefault="00B55645">
          <w:pPr>
            <w:pStyle w:val="TOC2"/>
            <w:tabs>
              <w:tab w:val="left" w:pos="1100"/>
              <w:tab w:val="right" w:leader="dot" w:pos="9016"/>
            </w:tabs>
            <w:rPr>
              <w:rFonts w:eastAsiaTheme="minorEastAsia"/>
              <w:noProof/>
              <w:lang w:eastAsia="en-GB"/>
            </w:rPr>
          </w:pPr>
          <w:hyperlink w:anchor="_Toc13152067" w:history="1">
            <w:r>
              <w:rPr>
                <w:rStyle w:val="Hyperlink"/>
                <w:noProof/>
              </w:rPr>
              <w:t>4.2.</w:t>
            </w:r>
            <w:r>
              <w:rPr>
                <w:rFonts w:eastAsiaTheme="minorEastAsia"/>
                <w:noProof/>
                <w:lang w:eastAsia="en-GB"/>
              </w:rPr>
              <w:tab/>
            </w:r>
            <w:r>
              <w:rPr>
                <w:rStyle w:val="Hyperlink"/>
                <w:noProof/>
              </w:rPr>
              <w:t>Specific Analysis – Irregularities reported in relation to the Programming Period 2007-13</w:t>
            </w:r>
            <w:r>
              <w:rPr>
                <w:noProof/>
                <w:webHidden/>
              </w:rPr>
              <w:tab/>
            </w:r>
            <w:r>
              <w:rPr>
                <w:noProof/>
                <w:webHidden/>
              </w:rPr>
              <w:fldChar w:fldCharType="begin"/>
            </w:r>
            <w:r>
              <w:rPr>
                <w:noProof/>
                <w:webHidden/>
              </w:rPr>
              <w:instrText xml:space="preserve"> PAGEREF _Toc13152067 \h </w:instrText>
            </w:r>
            <w:r>
              <w:rPr>
                <w:noProof/>
                <w:webHidden/>
              </w:rPr>
            </w:r>
            <w:r>
              <w:rPr>
                <w:noProof/>
                <w:webHidden/>
              </w:rPr>
              <w:fldChar w:fldCharType="separate"/>
            </w:r>
            <w:r>
              <w:rPr>
                <w:noProof/>
                <w:webHidden/>
              </w:rPr>
              <w:t>86</w:t>
            </w:r>
            <w:r>
              <w:rPr>
                <w:noProof/>
                <w:webHidden/>
              </w:rPr>
              <w:fldChar w:fldCharType="end"/>
            </w:r>
          </w:hyperlink>
        </w:p>
        <w:p w:rsidR="00B83504" w:rsidRDefault="00B55645">
          <w:pPr>
            <w:pStyle w:val="TOC3"/>
            <w:tabs>
              <w:tab w:val="left" w:pos="1320"/>
              <w:tab w:val="right" w:leader="dot" w:pos="9016"/>
            </w:tabs>
            <w:rPr>
              <w:rFonts w:eastAsiaTheme="minorEastAsia"/>
              <w:noProof/>
              <w:lang w:eastAsia="en-GB"/>
            </w:rPr>
          </w:pPr>
          <w:hyperlink w:anchor="_Toc13152068" w:history="1">
            <w:r>
              <w:rPr>
                <w:rStyle w:val="Hyperlink"/>
                <w:noProof/>
              </w:rPr>
              <w:t>4.2.1.</w:t>
            </w:r>
            <w:r>
              <w:rPr>
                <w:rFonts w:eastAsiaTheme="minorEastAsia"/>
                <w:noProof/>
                <w:lang w:eastAsia="en-GB"/>
              </w:rPr>
              <w:tab/>
            </w:r>
            <w:r>
              <w:rPr>
                <w:rStyle w:val="Hyperlink"/>
                <w:noProof/>
              </w:rPr>
              <w:t>Objectives concerned by the reported irregularities</w:t>
            </w:r>
            <w:r>
              <w:rPr>
                <w:noProof/>
                <w:webHidden/>
              </w:rPr>
              <w:tab/>
            </w:r>
            <w:r>
              <w:rPr>
                <w:noProof/>
                <w:webHidden/>
              </w:rPr>
              <w:fldChar w:fldCharType="begin"/>
            </w:r>
            <w:r>
              <w:rPr>
                <w:noProof/>
                <w:webHidden/>
              </w:rPr>
              <w:instrText xml:space="preserve"> PAGEREF _Toc13152068 \h </w:instrText>
            </w:r>
            <w:r>
              <w:rPr>
                <w:noProof/>
                <w:webHidden/>
              </w:rPr>
            </w:r>
            <w:r>
              <w:rPr>
                <w:noProof/>
                <w:webHidden/>
              </w:rPr>
              <w:fldChar w:fldCharType="separate"/>
            </w:r>
            <w:r>
              <w:rPr>
                <w:noProof/>
                <w:webHidden/>
              </w:rPr>
              <w:t>86</w:t>
            </w:r>
            <w:r>
              <w:rPr>
                <w:noProof/>
                <w:webHidden/>
              </w:rPr>
              <w:fldChar w:fldCharType="end"/>
            </w:r>
          </w:hyperlink>
        </w:p>
        <w:p w:rsidR="00B83504" w:rsidRDefault="00B55645">
          <w:pPr>
            <w:pStyle w:val="TOC4"/>
            <w:tabs>
              <w:tab w:val="left" w:pos="1760"/>
              <w:tab w:val="right" w:leader="dot" w:pos="9016"/>
            </w:tabs>
            <w:rPr>
              <w:rFonts w:eastAsiaTheme="minorEastAsia"/>
              <w:noProof/>
              <w:lang w:eastAsia="en-GB"/>
            </w:rPr>
          </w:pPr>
          <w:hyperlink w:anchor="_Toc13152069" w:history="1">
            <w:r>
              <w:rPr>
                <w:rStyle w:val="Hyperlink"/>
                <w:noProof/>
              </w:rPr>
              <w:t>4.2.1.1.</w:t>
            </w:r>
            <w:r>
              <w:rPr>
                <w:rFonts w:eastAsiaTheme="minorEastAsia"/>
                <w:noProof/>
                <w:lang w:eastAsia="en-GB"/>
              </w:rPr>
              <w:tab/>
            </w:r>
            <w:r>
              <w:rPr>
                <w:rStyle w:val="Hyperlink"/>
                <w:noProof/>
              </w:rPr>
              <w:t>Irregularities reported as fraudulent by Objective</w:t>
            </w:r>
            <w:r>
              <w:rPr>
                <w:noProof/>
                <w:webHidden/>
              </w:rPr>
              <w:tab/>
            </w:r>
            <w:r>
              <w:rPr>
                <w:noProof/>
                <w:webHidden/>
              </w:rPr>
              <w:fldChar w:fldCharType="begin"/>
            </w:r>
            <w:r>
              <w:rPr>
                <w:noProof/>
                <w:webHidden/>
              </w:rPr>
              <w:instrText xml:space="preserve"> PAGEREF _Toc13152069 \h </w:instrText>
            </w:r>
            <w:r>
              <w:rPr>
                <w:noProof/>
                <w:webHidden/>
              </w:rPr>
            </w:r>
            <w:r>
              <w:rPr>
                <w:noProof/>
                <w:webHidden/>
              </w:rPr>
              <w:fldChar w:fldCharType="separate"/>
            </w:r>
            <w:r>
              <w:rPr>
                <w:noProof/>
                <w:webHidden/>
              </w:rPr>
              <w:t>88</w:t>
            </w:r>
            <w:r>
              <w:rPr>
                <w:noProof/>
                <w:webHidden/>
              </w:rPr>
              <w:fldChar w:fldCharType="end"/>
            </w:r>
          </w:hyperlink>
        </w:p>
        <w:p w:rsidR="00B83504" w:rsidRDefault="00B55645">
          <w:pPr>
            <w:pStyle w:val="TOC4"/>
            <w:tabs>
              <w:tab w:val="left" w:pos="1760"/>
              <w:tab w:val="right" w:leader="dot" w:pos="9016"/>
            </w:tabs>
            <w:rPr>
              <w:rFonts w:eastAsiaTheme="minorEastAsia"/>
              <w:noProof/>
              <w:lang w:eastAsia="en-GB"/>
            </w:rPr>
          </w:pPr>
          <w:hyperlink w:anchor="_Toc13152070" w:history="1">
            <w:r>
              <w:rPr>
                <w:rStyle w:val="Hyperlink"/>
                <w:noProof/>
              </w:rPr>
              <w:t>4.2.1.2.</w:t>
            </w:r>
            <w:r>
              <w:rPr>
                <w:rFonts w:eastAsiaTheme="minorEastAsia"/>
                <w:noProof/>
                <w:lang w:eastAsia="en-GB"/>
              </w:rPr>
              <w:tab/>
            </w:r>
            <w:r>
              <w:rPr>
                <w:rStyle w:val="Hyperlink"/>
                <w:noProof/>
              </w:rPr>
              <w:t>Fraud and Irregularity Detection Rates by Objective</w:t>
            </w:r>
            <w:r>
              <w:rPr>
                <w:noProof/>
                <w:webHidden/>
              </w:rPr>
              <w:tab/>
            </w:r>
            <w:r>
              <w:rPr>
                <w:noProof/>
                <w:webHidden/>
              </w:rPr>
              <w:fldChar w:fldCharType="begin"/>
            </w:r>
            <w:r>
              <w:rPr>
                <w:noProof/>
                <w:webHidden/>
              </w:rPr>
              <w:instrText xml:space="preserve"> PAGEREF _Toc13152070 \h </w:instrText>
            </w:r>
            <w:r>
              <w:rPr>
                <w:noProof/>
                <w:webHidden/>
              </w:rPr>
            </w:r>
            <w:r>
              <w:rPr>
                <w:noProof/>
                <w:webHidden/>
              </w:rPr>
              <w:fldChar w:fldCharType="separate"/>
            </w:r>
            <w:r>
              <w:rPr>
                <w:noProof/>
                <w:webHidden/>
              </w:rPr>
              <w:t>90</w:t>
            </w:r>
            <w:r>
              <w:rPr>
                <w:noProof/>
                <w:webHidden/>
              </w:rPr>
              <w:fldChar w:fldCharType="end"/>
            </w:r>
          </w:hyperlink>
        </w:p>
        <w:p w:rsidR="00B83504" w:rsidRDefault="00B55645">
          <w:pPr>
            <w:pStyle w:val="TOC3"/>
            <w:tabs>
              <w:tab w:val="left" w:pos="1320"/>
              <w:tab w:val="right" w:leader="dot" w:pos="9016"/>
            </w:tabs>
            <w:rPr>
              <w:rFonts w:eastAsiaTheme="minorEastAsia"/>
              <w:noProof/>
              <w:lang w:eastAsia="en-GB"/>
            </w:rPr>
          </w:pPr>
          <w:hyperlink w:anchor="_Toc13152071" w:history="1">
            <w:r>
              <w:rPr>
                <w:rStyle w:val="Hyperlink"/>
                <w:noProof/>
              </w:rPr>
              <w:t>4.2.2.</w:t>
            </w:r>
            <w:r>
              <w:rPr>
                <w:rFonts w:eastAsiaTheme="minorEastAsia"/>
                <w:noProof/>
                <w:lang w:eastAsia="en-GB"/>
              </w:rPr>
              <w:tab/>
            </w:r>
            <w:r>
              <w:rPr>
                <w:rStyle w:val="Hyperlink"/>
                <w:noProof/>
              </w:rPr>
              <w:t>Priorities concerned by the reporte</w:t>
            </w:r>
            <w:r>
              <w:rPr>
                <w:rStyle w:val="Hyperlink"/>
                <w:noProof/>
              </w:rPr>
              <w:t>d irregularities</w:t>
            </w:r>
            <w:r>
              <w:rPr>
                <w:noProof/>
                <w:webHidden/>
              </w:rPr>
              <w:tab/>
            </w:r>
            <w:r>
              <w:rPr>
                <w:noProof/>
                <w:webHidden/>
              </w:rPr>
              <w:fldChar w:fldCharType="begin"/>
            </w:r>
            <w:r>
              <w:rPr>
                <w:noProof/>
                <w:webHidden/>
              </w:rPr>
              <w:instrText xml:space="preserve"> PAGEREF _Toc13152071 \h </w:instrText>
            </w:r>
            <w:r>
              <w:rPr>
                <w:noProof/>
                <w:webHidden/>
              </w:rPr>
            </w:r>
            <w:r>
              <w:rPr>
                <w:noProof/>
                <w:webHidden/>
              </w:rPr>
              <w:fldChar w:fldCharType="separate"/>
            </w:r>
            <w:r>
              <w:rPr>
                <w:noProof/>
                <w:webHidden/>
              </w:rPr>
              <w:t>91</w:t>
            </w:r>
            <w:r>
              <w:rPr>
                <w:noProof/>
                <w:webHidden/>
              </w:rPr>
              <w:fldChar w:fldCharType="end"/>
            </w:r>
          </w:hyperlink>
        </w:p>
        <w:p w:rsidR="00B83504" w:rsidRDefault="00B55645">
          <w:pPr>
            <w:pStyle w:val="TOC4"/>
            <w:tabs>
              <w:tab w:val="left" w:pos="1760"/>
              <w:tab w:val="right" w:leader="dot" w:pos="9016"/>
            </w:tabs>
            <w:rPr>
              <w:rFonts w:eastAsiaTheme="minorEastAsia"/>
              <w:noProof/>
              <w:lang w:eastAsia="en-GB"/>
            </w:rPr>
          </w:pPr>
          <w:hyperlink w:anchor="_Toc13152072" w:history="1">
            <w:r>
              <w:rPr>
                <w:rStyle w:val="Hyperlink"/>
                <w:noProof/>
              </w:rPr>
              <w:t>4.2.2.1.</w:t>
            </w:r>
            <w:r>
              <w:rPr>
                <w:rFonts w:eastAsiaTheme="minorEastAsia"/>
                <w:noProof/>
                <w:lang w:eastAsia="en-GB"/>
              </w:rPr>
              <w:tab/>
            </w:r>
            <w:r>
              <w:rPr>
                <w:rStyle w:val="Hyperlink"/>
                <w:noProof/>
              </w:rPr>
              <w:t>Irregularities reported as fraudulent (fisheries not included)</w:t>
            </w:r>
            <w:r>
              <w:rPr>
                <w:noProof/>
                <w:webHidden/>
              </w:rPr>
              <w:tab/>
            </w:r>
            <w:r>
              <w:rPr>
                <w:noProof/>
                <w:webHidden/>
              </w:rPr>
              <w:fldChar w:fldCharType="begin"/>
            </w:r>
            <w:r>
              <w:rPr>
                <w:noProof/>
                <w:webHidden/>
              </w:rPr>
              <w:instrText xml:space="preserve"> PAGEREF _Toc13152072 \h </w:instrText>
            </w:r>
            <w:r>
              <w:rPr>
                <w:noProof/>
                <w:webHidden/>
              </w:rPr>
            </w:r>
            <w:r>
              <w:rPr>
                <w:noProof/>
                <w:webHidden/>
              </w:rPr>
              <w:fldChar w:fldCharType="separate"/>
            </w:r>
            <w:r>
              <w:rPr>
                <w:noProof/>
                <w:webHidden/>
              </w:rPr>
              <w:t>91</w:t>
            </w:r>
            <w:r>
              <w:rPr>
                <w:noProof/>
                <w:webHidden/>
              </w:rPr>
              <w:fldChar w:fldCharType="end"/>
            </w:r>
          </w:hyperlink>
        </w:p>
        <w:p w:rsidR="00B83504" w:rsidRDefault="00B55645">
          <w:pPr>
            <w:pStyle w:val="TOC4"/>
            <w:tabs>
              <w:tab w:val="left" w:pos="1760"/>
              <w:tab w:val="right" w:leader="dot" w:pos="9016"/>
            </w:tabs>
            <w:rPr>
              <w:rFonts w:eastAsiaTheme="minorEastAsia"/>
              <w:noProof/>
              <w:lang w:eastAsia="en-GB"/>
            </w:rPr>
          </w:pPr>
          <w:hyperlink w:anchor="_Toc13152073" w:history="1">
            <w:r>
              <w:rPr>
                <w:rStyle w:val="Hyperlink"/>
                <w:noProof/>
              </w:rPr>
              <w:t>4.2.2.2.</w:t>
            </w:r>
            <w:r>
              <w:rPr>
                <w:rFonts w:eastAsiaTheme="minorEastAsia"/>
                <w:noProof/>
                <w:lang w:eastAsia="en-GB"/>
              </w:rPr>
              <w:tab/>
            </w:r>
            <w:r>
              <w:rPr>
                <w:rStyle w:val="Hyperlink"/>
                <w:noProof/>
              </w:rPr>
              <w:t>Irregularities not reported as fraudulent (fisheries not included)</w:t>
            </w:r>
            <w:r>
              <w:rPr>
                <w:noProof/>
                <w:webHidden/>
              </w:rPr>
              <w:tab/>
            </w:r>
            <w:r>
              <w:rPr>
                <w:noProof/>
                <w:webHidden/>
              </w:rPr>
              <w:fldChar w:fldCharType="begin"/>
            </w:r>
            <w:r>
              <w:rPr>
                <w:noProof/>
                <w:webHidden/>
              </w:rPr>
              <w:instrText xml:space="preserve"> PAGEREF _Toc13152073 \h </w:instrText>
            </w:r>
            <w:r>
              <w:rPr>
                <w:noProof/>
                <w:webHidden/>
              </w:rPr>
            </w:r>
            <w:r>
              <w:rPr>
                <w:noProof/>
                <w:webHidden/>
              </w:rPr>
              <w:fldChar w:fldCharType="separate"/>
            </w:r>
            <w:r>
              <w:rPr>
                <w:noProof/>
                <w:webHidden/>
              </w:rPr>
              <w:t>93</w:t>
            </w:r>
            <w:r>
              <w:rPr>
                <w:noProof/>
                <w:webHidden/>
              </w:rPr>
              <w:fldChar w:fldCharType="end"/>
            </w:r>
          </w:hyperlink>
        </w:p>
        <w:p w:rsidR="00B83504" w:rsidRDefault="00B55645">
          <w:pPr>
            <w:pStyle w:val="TOC4"/>
            <w:tabs>
              <w:tab w:val="left" w:pos="1760"/>
              <w:tab w:val="right" w:leader="dot" w:pos="9016"/>
            </w:tabs>
            <w:rPr>
              <w:rFonts w:eastAsiaTheme="minorEastAsia"/>
              <w:noProof/>
              <w:lang w:eastAsia="en-GB"/>
            </w:rPr>
          </w:pPr>
          <w:hyperlink w:anchor="_Toc13152074" w:history="1">
            <w:r>
              <w:rPr>
                <w:rStyle w:val="Hyperlink"/>
                <w:noProof/>
              </w:rPr>
              <w:t>4.2.2.3.</w:t>
            </w:r>
            <w:r>
              <w:rPr>
                <w:rFonts w:eastAsiaTheme="minorEastAsia"/>
                <w:noProof/>
                <w:lang w:eastAsia="en-GB"/>
              </w:rPr>
              <w:tab/>
            </w:r>
            <w:r>
              <w:rPr>
                <w:rStyle w:val="Hyperlink"/>
                <w:noProof/>
              </w:rPr>
              <w:t>PP 2007-2013: irregularities related to the priorities 'Tourism' and 'Environment' by theme</w:t>
            </w:r>
            <w:r>
              <w:rPr>
                <w:noProof/>
                <w:webHidden/>
              </w:rPr>
              <w:tab/>
            </w:r>
            <w:r>
              <w:rPr>
                <w:noProof/>
                <w:webHidden/>
              </w:rPr>
              <w:fldChar w:fldCharType="begin"/>
            </w:r>
            <w:r>
              <w:rPr>
                <w:noProof/>
                <w:webHidden/>
              </w:rPr>
              <w:instrText xml:space="preserve"> PAGEREF _Toc13152074 \h </w:instrText>
            </w:r>
            <w:r>
              <w:rPr>
                <w:noProof/>
                <w:webHidden/>
              </w:rPr>
            </w:r>
            <w:r>
              <w:rPr>
                <w:noProof/>
                <w:webHidden/>
              </w:rPr>
              <w:fldChar w:fldCharType="separate"/>
            </w:r>
            <w:r>
              <w:rPr>
                <w:noProof/>
                <w:webHidden/>
              </w:rPr>
              <w:t>96</w:t>
            </w:r>
            <w:r>
              <w:rPr>
                <w:noProof/>
                <w:webHidden/>
              </w:rPr>
              <w:fldChar w:fldCharType="end"/>
            </w:r>
          </w:hyperlink>
        </w:p>
        <w:p w:rsidR="00B83504" w:rsidRDefault="00B55645">
          <w:pPr>
            <w:pStyle w:val="TOC4"/>
            <w:tabs>
              <w:tab w:val="left" w:pos="1760"/>
              <w:tab w:val="right" w:leader="dot" w:pos="9016"/>
            </w:tabs>
            <w:rPr>
              <w:rFonts w:eastAsiaTheme="minorEastAsia"/>
              <w:noProof/>
              <w:lang w:eastAsia="en-GB"/>
            </w:rPr>
          </w:pPr>
          <w:hyperlink w:anchor="_Toc13152075" w:history="1">
            <w:r>
              <w:rPr>
                <w:rStyle w:val="Hyperlink"/>
                <w:noProof/>
              </w:rPr>
              <w:t>4.2.2.4.</w:t>
            </w:r>
            <w:r>
              <w:rPr>
                <w:rFonts w:eastAsiaTheme="minorEastAsia"/>
                <w:noProof/>
                <w:lang w:eastAsia="en-GB"/>
              </w:rPr>
              <w:tab/>
            </w:r>
            <w:r>
              <w:rPr>
                <w:rStyle w:val="Hyperlink"/>
                <w:noProof/>
              </w:rPr>
              <w:t>Types of irregularities / modus operandi detected related to the priorities 'Tourism' and 'Environment protection and Risk prevention'</w:t>
            </w:r>
            <w:r>
              <w:rPr>
                <w:noProof/>
                <w:webHidden/>
              </w:rPr>
              <w:tab/>
            </w:r>
            <w:r>
              <w:rPr>
                <w:noProof/>
                <w:webHidden/>
              </w:rPr>
              <w:fldChar w:fldCharType="begin"/>
            </w:r>
            <w:r>
              <w:rPr>
                <w:noProof/>
                <w:webHidden/>
              </w:rPr>
              <w:instrText xml:space="preserve"> PAGEREF _Toc13152075 \h </w:instrText>
            </w:r>
            <w:r>
              <w:rPr>
                <w:noProof/>
                <w:webHidden/>
              </w:rPr>
            </w:r>
            <w:r>
              <w:rPr>
                <w:noProof/>
                <w:webHidden/>
              </w:rPr>
              <w:fldChar w:fldCharType="separate"/>
            </w:r>
            <w:r>
              <w:rPr>
                <w:noProof/>
                <w:webHidden/>
              </w:rPr>
              <w:t>102</w:t>
            </w:r>
            <w:r>
              <w:rPr>
                <w:noProof/>
                <w:webHidden/>
              </w:rPr>
              <w:fldChar w:fldCharType="end"/>
            </w:r>
          </w:hyperlink>
        </w:p>
        <w:p w:rsidR="00B83504" w:rsidRDefault="00B55645">
          <w:pPr>
            <w:pStyle w:val="TOC4"/>
            <w:tabs>
              <w:tab w:val="left" w:pos="1760"/>
              <w:tab w:val="right" w:leader="dot" w:pos="9016"/>
            </w:tabs>
            <w:rPr>
              <w:rFonts w:eastAsiaTheme="minorEastAsia"/>
              <w:noProof/>
              <w:lang w:eastAsia="en-GB"/>
            </w:rPr>
          </w:pPr>
          <w:hyperlink w:anchor="_Toc13152076" w:history="1">
            <w:r>
              <w:rPr>
                <w:rStyle w:val="Hyperlink"/>
                <w:noProof/>
              </w:rPr>
              <w:t>4.2.2.5.</w:t>
            </w:r>
            <w:r>
              <w:rPr>
                <w:rFonts w:eastAsiaTheme="minorEastAsia"/>
                <w:noProof/>
                <w:lang w:eastAsia="en-GB"/>
              </w:rPr>
              <w:tab/>
            </w:r>
            <w:r>
              <w:rPr>
                <w:rStyle w:val="Hyperlink"/>
                <w:noProof/>
              </w:rPr>
              <w:t>Geographical distribution of irregularities (fraudulent and non-fraudulent) detected in relation to the 'Tourism' and 'Environment protection and Risk prevention'</w:t>
            </w:r>
            <w:r>
              <w:rPr>
                <w:noProof/>
                <w:webHidden/>
              </w:rPr>
              <w:tab/>
            </w:r>
            <w:r>
              <w:rPr>
                <w:noProof/>
                <w:webHidden/>
              </w:rPr>
              <w:fldChar w:fldCharType="begin"/>
            </w:r>
            <w:r>
              <w:rPr>
                <w:noProof/>
                <w:webHidden/>
              </w:rPr>
              <w:instrText xml:space="preserve"> PAGEREF _Toc13152076 \h </w:instrText>
            </w:r>
            <w:r>
              <w:rPr>
                <w:noProof/>
                <w:webHidden/>
              </w:rPr>
            </w:r>
            <w:r>
              <w:rPr>
                <w:noProof/>
                <w:webHidden/>
              </w:rPr>
              <w:fldChar w:fldCharType="separate"/>
            </w:r>
            <w:r>
              <w:rPr>
                <w:noProof/>
                <w:webHidden/>
              </w:rPr>
              <w:t>103</w:t>
            </w:r>
            <w:r>
              <w:rPr>
                <w:noProof/>
                <w:webHidden/>
              </w:rPr>
              <w:fldChar w:fldCharType="end"/>
            </w:r>
          </w:hyperlink>
        </w:p>
        <w:p w:rsidR="00B83504" w:rsidRDefault="00B55645">
          <w:pPr>
            <w:pStyle w:val="TOC2"/>
            <w:tabs>
              <w:tab w:val="right" w:leader="dot" w:pos="9016"/>
            </w:tabs>
            <w:rPr>
              <w:rFonts w:eastAsiaTheme="minorEastAsia"/>
              <w:noProof/>
              <w:lang w:eastAsia="en-GB"/>
            </w:rPr>
          </w:pPr>
          <w:hyperlink w:anchor="_Toc13152077" w:history="1">
            <w:r>
              <w:rPr>
                <w:rStyle w:val="Hyperlink"/>
                <w:noProof/>
              </w:rPr>
              <w:t>4.3 Reasons for performing control</w:t>
            </w:r>
            <w:r>
              <w:rPr>
                <w:noProof/>
                <w:webHidden/>
              </w:rPr>
              <w:tab/>
            </w:r>
            <w:r>
              <w:rPr>
                <w:noProof/>
                <w:webHidden/>
              </w:rPr>
              <w:fldChar w:fldCharType="begin"/>
            </w:r>
            <w:r>
              <w:rPr>
                <w:noProof/>
                <w:webHidden/>
              </w:rPr>
              <w:instrText xml:space="preserve"> PAGEREF _Toc13152077 \h </w:instrText>
            </w:r>
            <w:r>
              <w:rPr>
                <w:noProof/>
                <w:webHidden/>
              </w:rPr>
            </w:r>
            <w:r>
              <w:rPr>
                <w:noProof/>
                <w:webHidden/>
              </w:rPr>
              <w:fldChar w:fldCharType="separate"/>
            </w:r>
            <w:r>
              <w:rPr>
                <w:noProof/>
                <w:webHidden/>
              </w:rPr>
              <w:t>105</w:t>
            </w:r>
            <w:r>
              <w:rPr>
                <w:noProof/>
                <w:webHidden/>
              </w:rPr>
              <w:fldChar w:fldCharType="end"/>
            </w:r>
          </w:hyperlink>
        </w:p>
        <w:p w:rsidR="00B83504" w:rsidRDefault="00B55645">
          <w:pPr>
            <w:pStyle w:val="TOC2"/>
            <w:tabs>
              <w:tab w:val="left" w:pos="1100"/>
              <w:tab w:val="right" w:leader="dot" w:pos="9016"/>
            </w:tabs>
            <w:rPr>
              <w:rFonts w:eastAsiaTheme="minorEastAsia"/>
              <w:noProof/>
              <w:lang w:eastAsia="en-GB"/>
            </w:rPr>
          </w:pPr>
          <w:hyperlink w:anchor="_Toc13152078" w:history="1">
            <w:r>
              <w:rPr>
                <w:rStyle w:val="Hyperlink"/>
                <w:noProof/>
              </w:rPr>
              <w:t>4.4.</w:t>
            </w:r>
            <w:r>
              <w:rPr>
                <w:rFonts w:eastAsiaTheme="minorEastAsia"/>
                <w:noProof/>
                <w:lang w:eastAsia="en-GB"/>
              </w:rPr>
              <w:tab/>
            </w:r>
            <w:r>
              <w:rPr>
                <w:rStyle w:val="Hyperlink"/>
                <w:noProof/>
              </w:rPr>
              <w:t>Antifraud and control act</w:t>
            </w:r>
            <w:r>
              <w:rPr>
                <w:rStyle w:val="Hyperlink"/>
                <w:noProof/>
              </w:rPr>
              <w:t>ivities by Member States</w:t>
            </w:r>
            <w:r>
              <w:rPr>
                <w:noProof/>
                <w:webHidden/>
              </w:rPr>
              <w:tab/>
            </w:r>
            <w:r>
              <w:rPr>
                <w:noProof/>
                <w:webHidden/>
              </w:rPr>
              <w:fldChar w:fldCharType="begin"/>
            </w:r>
            <w:r>
              <w:rPr>
                <w:noProof/>
                <w:webHidden/>
              </w:rPr>
              <w:instrText xml:space="preserve"> PAGEREF _Toc13152078 \h </w:instrText>
            </w:r>
            <w:r>
              <w:rPr>
                <w:noProof/>
                <w:webHidden/>
              </w:rPr>
            </w:r>
            <w:r>
              <w:rPr>
                <w:noProof/>
                <w:webHidden/>
              </w:rPr>
              <w:fldChar w:fldCharType="separate"/>
            </w:r>
            <w:r>
              <w:rPr>
                <w:noProof/>
                <w:webHidden/>
              </w:rPr>
              <w:t>106</w:t>
            </w:r>
            <w:r>
              <w:rPr>
                <w:noProof/>
                <w:webHidden/>
              </w:rPr>
              <w:fldChar w:fldCharType="end"/>
            </w:r>
          </w:hyperlink>
        </w:p>
        <w:p w:rsidR="00B83504" w:rsidRDefault="00B55645">
          <w:pPr>
            <w:pStyle w:val="TOC3"/>
            <w:tabs>
              <w:tab w:val="left" w:pos="1320"/>
              <w:tab w:val="right" w:leader="dot" w:pos="9016"/>
            </w:tabs>
            <w:rPr>
              <w:rFonts w:eastAsiaTheme="minorEastAsia"/>
              <w:noProof/>
              <w:lang w:eastAsia="en-GB"/>
            </w:rPr>
          </w:pPr>
          <w:hyperlink w:anchor="_Toc13152079" w:history="1">
            <w:r>
              <w:rPr>
                <w:rStyle w:val="Hyperlink"/>
                <w:noProof/>
              </w:rPr>
              <w:t>4.4.1.</w:t>
            </w:r>
            <w:r>
              <w:rPr>
                <w:rFonts w:eastAsiaTheme="minorEastAsia"/>
                <w:noProof/>
                <w:lang w:eastAsia="en-GB"/>
              </w:rPr>
              <w:tab/>
            </w:r>
            <w:r>
              <w:rPr>
                <w:rStyle w:val="Hyperlink"/>
                <w:noProof/>
              </w:rPr>
              <w:t>Duration of irregularities</w:t>
            </w:r>
            <w:r>
              <w:rPr>
                <w:noProof/>
                <w:webHidden/>
              </w:rPr>
              <w:tab/>
            </w:r>
            <w:r>
              <w:rPr>
                <w:noProof/>
                <w:webHidden/>
              </w:rPr>
              <w:fldChar w:fldCharType="begin"/>
            </w:r>
            <w:r>
              <w:rPr>
                <w:noProof/>
                <w:webHidden/>
              </w:rPr>
              <w:instrText xml:space="preserve"> PAGEREF _Toc13152079 \h </w:instrText>
            </w:r>
            <w:r>
              <w:rPr>
                <w:noProof/>
                <w:webHidden/>
              </w:rPr>
            </w:r>
            <w:r>
              <w:rPr>
                <w:noProof/>
                <w:webHidden/>
              </w:rPr>
              <w:fldChar w:fldCharType="separate"/>
            </w:r>
            <w:r>
              <w:rPr>
                <w:noProof/>
                <w:webHidden/>
              </w:rPr>
              <w:t>106</w:t>
            </w:r>
            <w:r>
              <w:rPr>
                <w:noProof/>
                <w:webHidden/>
              </w:rPr>
              <w:fldChar w:fldCharType="end"/>
            </w:r>
          </w:hyperlink>
        </w:p>
        <w:p w:rsidR="00B83504" w:rsidRDefault="00B55645">
          <w:pPr>
            <w:pStyle w:val="TOC3"/>
            <w:tabs>
              <w:tab w:val="left" w:pos="1320"/>
              <w:tab w:val="right" w:leader="dot" w:pos="9016"/>
            </w:tabs>
            <w:rPr>
              <w:rFonts w:eastAsiaTheme="minorEastAsia"/>
              <w:noProof/>
              <w:lang w:eastAsia="en-GB"/>
            </w:rPr>
          </w:pPr>
          <w:hyperlink w:anchor="_Toc13152080" w:history="1">
            <w:r>
              <w:rPr>
                <w:rStyle w:val="Hyperlink"/>
                <w:noProof/>
              </w:rPr>
              <w:t>4.4.2.</w:t>
            </w:r>
            <w:r>
              <w:rPr>
                <w:rFonts w:eastAsiaTheme="minorEastAsia"/>
                <w:noProof/>
                <w:lang w:eastAsia="en-GB"/>
              </w:rPr>
              <w:tab/>
            </w:r>
            <w:r>
              <w:rPr>
                <w:rStyle w:val="Hyperlink"/>
                <w:noProof/>
              </w:rPr>
              <w:t>Detection of irregularities reported as fraudulent by Member State</w:t>
            </w:r>
            <w:r>
              <w:rPr>
                <w:noProof/>
                <w:webHidden/>
              </w:rPr>
              <w:tab/>
            </w:r>
            <w:r>
              <w:rPr>
                <w:noProof/>
                <w:webHidden/>
              </w:rPr>
              <w:fldChar w:fldCharType="begin"/>
            </w:r>
            <w:r>
              <w:rPr>
                <w:noProof/>
                <w:webHidden/>
              </w:rPr>
              <w:instrText xml:space="preserve"> PAGEREF _Toc13152080 \h </w:instrText>
            </w:r>
            <w:r>
              <w:rPr>
                <w:noProof/>
                <w:webHidden/>
              </w:rPr>
            </w:r>
            <w:r>
              <w:rPr>
                <w:noProof/>
                <w:webHidden/>
              </w:rPr>
              <w:fldChar w:fldCharType="separate"/>
            </w:r>
            <w:r>
              <w:rPr>
                <w:noProof/>
                <w:webHidden/>
              </w:rPr>
              <w:t>110</w:t>
            </w:r>
            <w:r>
              <w:rPr>
                <w:noProof/>
                <w:webHidden/>
              </w:rPr>
              <w:fldChar w:fldCharType="end"/>
            </w:r>
          </w:hyperlink>
        </w:p>
        <w:p w:rsidR="00B83504" w:rsidRDefault="00B55645">
          <w:pPr>
            <w:pStyle w:val="TOC3"/>
            <w:tabs>
              <w:tab w:val="left" w:pos="1320"/>
              <w:tab w:val="right" w:leader="dot" w:pos="9016"/>
            </w:tabs>
            <w:rPr>
              <w:rFonts w:eastAsiaTheme="minorEastAsia"/>
              <w:noProof/>
              <w:lang w:eastAsia="en-GB"/>
            </w:rPr>
          </w:pPr>
          <w:hyperlink w:anchor="_Toc13152081" w:history="1">
            <w:r>
              <w:rPr>
                <w:rStyle w:val="Hyperlink"/>
                <w:noProof/>
              </w:rPr>
              <w:t>4.4.3.</w:t>
            </w:r>
            <w:r>
              <w:rPr>
                <w:rFonts w:eastAsiaTheme="minorEastAsia"/>
                <w:noProof/>
                <w:lang w:eastAsia="en-GB"/>
              </w:rPr>
              <w:tab/>
            </w:r>
            <w:r>
              <w:rPr>
                <w:rStyle w:val="Hyperlink"/>
                <w:noProof/>
              </w:rPr>
              <w:t>Fraud detection rate</w:t>
            </w:r>
            <w:r>
              <w:rPr>
                <w:noProof/>
                <w:webHidden/>
              </w:rPr>
              <w:tab/>
            </w:r>
            <w:r>
              <w:rPr>
                <w:noProof/>
                <w:webHidden/>
              </w:rPr>
              <w:fldChar w:fldCharType="begin"/>
            </w:r>
            <w:r>
              <w:rPr>
                <w:noProof/>
                <w:webHidden/>
              </w:rPr>
              <w:instrText xml:space="preserve"> PAGEREF _Toc13152081 \h </w:instrText>
            </w:r>
            <w:r>
              <w:rPr>
                <w:noProof/>
                <w:webHidden/>
              </w:rPr>
            </w:r>
            <w:r>
              <w:rPr>
                <w:noProof/>
                <w:webHidden/>
              </w:rPr>
              <w:fldChar w:fldCharType="separate"/>
            </w:r>
            <w:r>
              <w:rPr>
                <w:noProof/>
                <w:webHidden/>
              </w:rPr>
              <w:t>113</w:t>
            </w:r>
            <w:r>
              <w:rPr>
                <w:noProof/>
                <w:webHidden/>
              </w:rPr>
              <w:fldChar w:fldCharType="end"/>
            </w:r>
          </w:hyperlink>
        </w:p>
        <w:p w:rsidR="00B83504" w:rsidRDefault="00B55645">
          <w:pPr>
            <w:pStyle w:val="TOC3"/>
            <w:tabs>
              <w:tab w:val="left" w:pos="1320"/>
              <w:tab w:val="right" w:leader="dot" w:pos="9016"/>
            </w:tabs>
            <w:rPr>
              <w:rFonts w:eastAsiaTheme="minorEastAsia"/>
              <w:noProof/>
              <w:lang w:eastAsia="en-GB"/>
            </w:rPr>
          </w:pPr>
          <w:hyperlink w:anchor="_Toc13152082" w:history="1">
            <w:r>
              <w:rPr>
                <w:rStyle w:val="Hyperlink"/>
                <w:noProof/>
              </w:rPr>
              <w:t>4.4.4.</w:t>
            </w:r>
            <w:r>
              <w:rPr>
                <w:rFonts w:eastAsiaTheme="minorEastAsia"/>
                <w:noProof/>
                <w:lang w:eastAsia="en-GB"/>
              </w:rPr>
              <w:tab/>
            </w:r>
            <w:r>
              <w:rPr>
                <w:rStyle w:val="Hyperlink"/>
                <w:noProof/>
              </w:rPr>
              <w:t>Irregularity Detection Rate</w:t>
            </w:r>
            <w:r>
              <w:rPr>
                <w:noProof/>
                <w:webHidden/>
              </w:rPr>
              <w:tab/>
            </w:r>
            <w:r>
              <w:rPr>
                <w:noProof/>
                <w:webHidden/>
              </w:rPr>
              <w:fldChar w:fldCharType="begin"/>
            </w:r>
            <w:r>
              <w:rPr>
                <w:noProof/>
                <w:webHidden/>
              </w:rPr>
              <w:instrText xml:space="preserve"> PAGEREF _Toc13152082 \</w:instrText>
            </w:r>
            <w:r>
              <w:rPr>
                <w:noProof/>
                <w:webHidden/>
              </w:rPr>
              <w:instrText xml:space="preserve">h </w:instrText>
            </w:r>
            <w:r>
              <w:rPr>
                <w:noProof/>
                <w:webHidden/>
              </w:rPr>
            </w:r>
            <w:r>
              <w:rPr>
                <w:noProof/>
                <w:webHidden/>
              </w:rPr>
              <w:fldChar w:fldCharType="separate"/>
            </w:r>
            <w:r>
              <w:rPr>
                <w:noProof/>
                <w:webHidden/>
              </w:rPr>
              <w:t>115</w:t>
            </w:r>
            <w:r>
              <w:rPr>
                <w:noProof/>
                <w:webHidden/>
              </w:rPr>
              <w:fldChar w:fldCharType="end"/>
            </w:r>
          </w:hyperlink>
        </w:p>
        <w:p w:rsidR="00B83504" w:rsidRDefault="00B55645">
          <w:pPr>
            <w:pStyle w:val="TOC3"/>
            <w:tabs>
              <w:tab w:val="left" w:pos="1320"/>
              <w:tab w:val="right" w:leader="dot" w:pos="9016"/>
            </w:tabs>
            <w:rPr>
              <w:rFonts w:eastAsiaTheme="minorEastAsia"/>
              <w:noProof/>
              <w:lang w:eastAsia="en-GB"/>
            </w:rPr>
          </w:pPr>
          <w:hyperlink w:anchor="_Toc13152083" w:history="1">
            <w:r>
              <w:rPr>
                <w:rStyle w:val="Hyperlink"/>
                <w:noProof/>
              </w:rPr>
              <w:t>4.4.5.</w:t>
            </w:r>
            <w:r>
              <w:rPr>
                <w:rFonts w:eastAsiaTheme="minorEastAsia"/>
                <w:noProof/>
                <w:lang w:eastAsia="en-GB"/>
              </w:rPr>
              <w:tab/>
            </w:r>
            <w:r>
              <w:rPr>
                <w:rStyle w:val="Hyperlink"/>
                <w:noProof/>
              </w:rPr>
              <w:t>Ratio of established fraud (programming period 2007-13)</w:t>
            </w:r>
            <w:r>
              <w:rPr>
                <w:noProof/>
                <w:webHidden/>
              </w:rPr>
              <w:tab/>
            </w:r>
            <w:r>
              <w:rPr>
                <w:noProof/>
                <w:webHidden/>
              </w:rPr>
              <w:fldChar w:fldCharType="begin"/>
            </w:r>
            <w:r>
              <w:rPr>
                <w:noProof/>
                <w:webHidden/>
              </w:rPr>
              <w:instrText xml:space="preserve"> PAGEREF _Toc13152083 \h </w:instrText>
            </w:r>
            <w:r>
              <w:rPr>
                <w:noProof/>
                <w:webHidden/>
              </w:rPr>
            </w:r>
            <w:r>
              <w:rPr>
                <w:noProof/>
                <w:webHidden/>
              </w:rPr>
              <w:fldChar w:fldCharType="separate"/>
            </w:r>
            <w:r>
              <w:rPr>
                <w:noProof/>
                <w:webHidden/>
              </w:rPr>
              <w:t>117</w:t>
            </w:r>
            <w:r>
              <w:rPr>
                <w:noProof/>
                <w:webHidden/>
              </w:rPr>
              <w:fldChar w:fldCharType="end"/>
            </w:r>
          </w:hyperlink>
        </w:p>
        <w:p w:rsidR="00B83504" w:rsidRDefault="00B55645">
          <w:pPr>
            <w:pStyle w:val="TOC2"/>
            <w:tabs>
              <w:tab w:val="right" w:leader="dot" w:pos="9016"/>
            </w:tabs>
            <w:rPr>
              <w:rFonts w:eastAsiaTheme="minorEastAsia"/>
              <w:noProof/>
              <w:lang w:eastAsia="en-GB"/>
            </w:rPr>
          </w:pPr>
          <w:hyperlink w:anchor="_Toc13152084" w:history="1">
            <w:r>
              <w:rPr>
                <w:rStyle w:val="Hyperlink"/>
                <w:noProof/>
              </w:rPr>
              <w:t>4.5 Other shared management Funds</w:t>
            </w:r>
            <w:r>
              <w:rPr>
                <w:noProof/>
                <w:webHidden/>
              </w:rPr>
              <w:tab/>
            </w:r>
            <w:r>
              <w:rPr>
                <w:noProof/>
                <w:webHidden/>
              </w:rPr>
              <w:fldChar w:fldCharType="begin"/>
            </w:r>
            <w:r>
              <w:rPr>
                <w:noProof/>
                <w:webHidden/>
              </w:rPr>
              <w:instrText xml:space="preserve"> PAGEREF _Toc13152084 \h </w:instrText>
            </w:r>
            <w:r>
              <w:rPr>
                <w:noProof/>
                <w:webHidden/>
              </w:rPr>
            </w:r>
            <w:r>
              <w:rPr>
                <w:noProof/>
                <w:webHidden/>
              </w:rPr>
              <w:fldChar w:fldCharType="separate"/>
            </w:r>
            <w:r>
              <w:rPr>
                <w:noProof/>
                <w:webHidden/>
              </w:rPr>
              <w:t>119</w:t>
            </w:r>
            <w:r>
              <w:rPr>
                <w:noProof/>
                <w:webHidden/>
              </w:rPr>
              <w:fldChar w:fldCharType="end"/>
            </w:r>
          </w:hyperlink>
        </w:p>
        <w:p w:rsidR="00B83504" w:rsidRDefault="00B55645">
          <w:pPr>
            <w:pStyle w:val="ManualHeading1"/>
            <w:rPr>
              <w:b w:val="0"/>
              <w:smallCaps w:val="0"/>
              <w:noProof/>
            </w:rPr>
          </w:pPr>
          <w:r>
            <w:rPr>
              <w:b w:val="0"/>
              <w:smallCaps w:val="0"/>
              <w:noProof/>
            </w:rPr>
            <w:fldChar w:fldCharType="end"/>
          </w:r>
        </w:p>
      </w:sdtContent>
    </w:sdt>
    <w:p w:rsidR="00B83504" w:rsidRDefault="00B55645">
      <w:pPr>
        <w:pStyle w:val="ManualHeading1"/>
        <w:rPr>
          <w:noProof/>
        </w:rPr>
      </w:pPr>
      <w:r>
        <w:rPr>
          <w:noProof/>
        </w:rPr>
        <w:br w:type="page"/>
      </w:r>
    </w:p>
    <w:p w:rsidR="00B83504" w:rsidRDefault="00B55645">
      <w:pPr>
        <w:pStyle w:val="ManualHeading1"/>
        <w:rPr>
          <w:noProof/>
        </w:rPr>
      </w:pPr>
      <w:bookmarkStart w:id="2" w:name="_Toc486928847"/>
      <w:bookmarkStart w:id="3" w:name="_Toc510691065"/>
      <w:bookmarkStart w:id="4" w:name="_Toc13152060"/>
      <w:r>
        <w:rPr>
          <w:noProof/>
        </w:rPr>
        <w:t>4.</w:t>
      </w:r>
      <w:r>
        <w:rPr>
          <w:noProof/>
        </w:rPr>
        <w:tab/>
        <w:t>The European Structural and Investment Funds (ESIF)</w:t>
      </w:r>
      <w:bookmarkEnd w:id="2"/>
      <w:bookmarkEnd w:id="3"/>
      <w:bookmarkEnd w:id="4"/>
    </w:p>
    <w:p w:rsidR="00B83504" w:rsidRDefault="00B55645">
      <w:pPr>
        <w:pStyle w:val="Text1"/>
        <w:spacing w:after="0"/>
        <w:ind w:left="0"/>
        <w:rPr>
          <w:noProof/>
        </w:rPr>
      </w:pPr>
      <w:r>
        <w:rPr>
          <w:noProof/>
        </w:rPr>
        <w:t xml:space="preserve">Over half of EU funding is channelled through the 5 European structural and investment funds (ESIF). They are jointly managed by </w:t>
      </w:r>
      <w:r>
        <w:rPr>
          <w:noProof/>
        </w:rPr>
        <w:t>the European Commission and the EU countries.</w:t>
      </w:r>
    </w:p>
    <w:p w:rsidR="00B83504" w:rsidRDefault="00B55645">
      <w:pPr>
        <w:pStyle w:val="Text1"/>
        <w:spacing w:after="0"/>
        <w:ind w:left="0"/>
        <w:rPr>
          <w:noProof/>
        </w:rPr>
      </w:pPr>
      <w:r>
        <w:rPr>
          <w:noProof/>
        </w:rPr>
        <w:t>The purpose of all these funds is to invest in job creation and a sustainable and healthy European economy and environment.</w:t>
      </w:r>
    </w:p>
    <w:p w:rsidR="00B83504" w:rsidRDefault="00B55645">
      <w:pPr>
        <w:pStyle w:val="Text1"/>
        <w:spacing w:after="0"/>
        <w:ind w:left="0"/>
        <w:rPr>
          <w:noProof/>
        </w:rPr>
      </w:pPr>
      <w:r>
        <w:rPr>
          <w:noProof/>
        </w:rPr>
        <w:t>The ESIF mainly focus on 5 areas:</w:t>
      </w:r>
    </w:p>
    <w:p w:rsidR="00B83504" w:rsidRDefault="00B55645">
      <w:pPr>
        <w:pStyle w:val="Tiret1"/>
        <w:numPr>
          <w:ilvl w:val="0"/>
          <w:numId w:val="32"/>
        </w:numPr>
        <w:spacing w:after="0"/>
        <w:ind w:left="284" w:hanging="284"/>
        <w:rPr>
          <w:noProof/>
        </w:rPr>
      </w:pPr>
      <w:r>
        <w:rPr>
          <w:noProof/>
        </w:rPr>
        <w:t>research and innovation;</w:t>
      </w:r>
    </w:p>
    <w:p w:rsidR="00B83504" w:rsidRDefault="00B55645">
      <w:pPr>
        <w:pStyle w:val="Tiret1"/>
        <w:numPr>
          <w:ilvl w:val="0"/>
          <w:numId w:val="32"/>
        </w:numPr>
        <w:spacing w:after="0"/>
        <w:ind w:left="284" w:hanging="284"/>
        <w:rPr>
          <w:noProof/>
        </w:rPr>
      </w:pPr>
      <w:r>
        <w:rPr>
          <w:noProof/>
        </w:rPr>
        <w:t>digital technologies;</w:t>
      </w:r>
    </w:p>
    <w:p w:rsidR="00B83504" w:rsidRDefault="00B55645">
      <w:pPr>
        <w:pStyle w:val="Tiret1"/>
        <w:numPr>
          <w:ilvl w:val="0"/>
          <w:numId w:val="32"/>
        </w:numPr>
        <w:spacing w:after="0"/>
        <w:ind w:left="284" w:hanging="284"/>
        <w:rPr>
          <w:noProof/>
        </w:rPr>
      </w:pPr>
      <w:r>
        <w:rPr>
          <w:noProof/>
        </w:rPr>
        <w:t>supporting the low-carbon economy;</w:t>
      </w:r>
    </w:p>
    <w:p w:rsidR="00B83504" w:rsidRDefault="00B55645">
      <w:pPr>
        <w:pStyle w:val="Tiret1"/>
        <w:numPr>
          <w:ilvl w:val="0"/>
          <w:numId w:val="32"/>
        </w:numPr>
        <w:spacing w:after="0"/>
        <w:ind w:left="284" w:hanging="284"/>
        <w:rPr>
          <w:noProof/>
        </w:rPr>
      </w:pPr>
      <w:r>
        <w:rPr>
          <w:noProof/>
        </w:rPr>
        <w:t>sustainable management of natural resources;</w:t>
      </w:r>
    </w:p>
    <w:p w:rsidR="00B83504" w:rsidRDefault="00B55645">
      <w:pPr>
        <w:pStyle w:val="Tiret1"/>
        <w:numPr>
          <w:ilvl w:val="0"/>
          <w:numId w:val="32"/>
        </w:numPr>
        <w:spacing w:after="0"/>
        <w:ind w:left="284" w:hanging="284"/>
        <w:rPr>
          <w:noProof/>
        </w:rPr>
      </w:pPr>
      <w:r>
        <w:rPr>
          <w:noProof/>
        </w:rPr>
        <w:t>small businesses.</w:t>
      </w:r>
    </w:p>
    <w:p w:rsidR="00B83504" w:rsidRDefault="00B55645">
      <w:pPr>
        <w:pStyle w:val="Text1"/>
        <w:spacing w:after="0"/>
        <w:ind w:left="0"/>
        <w:rPr>
          <w:noProof/>
        </w:rPr>
      </w:pPr>
      <w:r>
        <w:rPr>
          <w:noProof/>
        </w:rPr>
        <w:t>The European structural and investment funds are:</w:t>
      </w:r>
    </w:p>
    <w:p w:rsidR="00B83504" w:rsidRDefault="00B55645">
      <w:pPr>
        <w:pStyle w:val="Tiret1"/>
        <w:numPr>
          <w:ilvl w:val="0"/>
          <w:numId w:val="32"/>
        </w:numPr>
        <w:spacing w:after="0"/>
        <w:ind w:left="284" w:hanging="284"/>
        <w:rPr>
          <w:noProof/>
        </w:rPr>
      </w:pPr>
      <w:r>
        <w:rPr>
          <w:b/>
          <w:noProof/>
        </w:rPr>
        <w:t>European regional development fund</w:t>
      </w:r>
      <w:r>
        <w:rPr>
          <w:noProof/>
        </w:rPr>
        <w:t xml:space="preserve"> (ERDF) – promotes balanced development in the different regions of the EU;</w:t>
      </w:r>
    </w:p>
    <w:p w:rsidR="00B83504" w:rsidRDefault="00B55645">
      <w:pPr>
        <w:pStyle w:val="Tiret1"/>
        <w:numPr>
          <w:ilvl w:val="0"/>
          <w:numId w:val="32"/>
        </w:numPr>
        <w:spacing w:after="0"/>
        <w:ind w:left="284" w:hanging="284"/>
        <w:rPr>
          <w:noProof/>
        </w:rPr>
      </w:pPr>
      <w:r>
        <w:rPr>
          <w:b/>
          <w:noProof/>
        </w:rPr>
        <w:t>European social fund</w:t>
      </w:r>
      <w:r>
        <w:rPr>
          <w:noProof/>
        </w:rPr>
        <w:t xml:space="preserve"> (ESF) - supports employment-related projects throughout Europe and invests in Europe’s human capital – its workers, its young people and all those seeking a jo</w:t>
      </w:r>
      <w:r>
        <w:rPr>
          <w:noProof/>
        </w:rPr>
        <w:t>b;</w:t>
      </w:r>
    </w:p>
    <w:p w:rsidR="00B83504" w:rsidRDefault="00B55645">
      <w:pPr>
        <w:pStyle w:val="Tiret1"/>
        <w:numPr>
          <w:ilvl w:val="0"/>
          <w:numId w:val="32"/>
        </w:numPr>
        <w:spacing w:after="0"/>
        <w:ind w:left="284" w:hanging="284"/>
        <w:rPr>
          <w:noProof/>
        </w:rPr>
      </w:pPr>
      <w:r>
        <w:rPr>
          <w:b/>
          <w:noProof/>
        </w:rPr>
        <w:t>Cohesion fund</w:t>
      </w:r>
      <w:r>
        <w:rPr>
          <w:noProof/>
        </w:rPr>
        <w:t xml:space="preserve"> (CF) – funds transport and environment projects in countries where the gross national income (GNI) per inhabitant is less than 90% of the EU average. In 2014-2020, these are Bulgaria, Croatia, Cyprus, the Czech Republic, Estonia, Greece, H</w:t>
      </w:r>
      <w:r>
        <w:rPr>
          <w:noProof/>
        </w:rPr>
        <w:t>ungary, Latvia, Lithuania, Malta, Poland, Portugal, Romania, Slovakia and Slovenia;</w:t>
      </w:r>
    </w:p>
    <w:p w:rsidR="00B83504" w:rsidRDefault="00B55645">
      <w:pPr>
        <w:pStyle w:val="Tiret1"/>
        <w:numPr>
          <w:ilvl w:val="0"/>
          <w:numId w:val="32"/>
        </w:numPr>
        <w:spacing w:after="0"/>
        <w:ind w:left="284" w:hanging="284"/>
        <w:rPr>
          <w:noProof/>
        </w:rPr>
      </w:pPr>
      <w:r>
        <w:rPr>
          <w:b/>
          <w:noProof/>
        </w:rPr>
        <w:t>European agricultural fund for rural development</w:t>
      </w:r>
      <w:r>
        <w:rPr>
          <w:noProof/>
        </w:rPr>
        <w:t xml:space="preserve"> (EAFRD) </w:t>
      </w:r>
      <w:r>
        <w:rPr>
          <w:rStyle w:val="FootnoteReference"/>
          <w:noProof/>
        </w:rPr>
        <w:footnoteReference w:id="1"/>
      </w:r>
      <w:r>
        <w:rPr>
          <w:noProof/>
        </w:rPr>
        <w:t xml:space="preserve"> – focuses on resolving the particular challenges facing EU's rural areas;</w:t>
      </w:r>
    </w:p>
    <w:p w:rsidR="00B83504" w:rsidRDefault="00B55645">
      <w:pPr>
        <w:pStyle w:val="Tiret1"/>
        <w:numPr>
          <w:ilvl w:val="0"/>
          <w:numId w:val="32"/>
        </w:numPr>
        <w:spacing w:after="0"/>
        <w:ind w:left="284" w:hanging="284"/>
        <w:rPr>
          <w:noProof/>
        </w:rPr>
      </w:pPr>
      <w:r>
        <w:rPr>
          <w:b/>
          <w:noProof/>
        </w:rPr>
        <w:t>European maritime and fisheries fund</w:t>
      </w:r>
      <w:r>
        <w:rPr>
          <w:noProof/>
        </w:rPr>
        <w:t xml:space="preserve"> (E</w:t>
      </w:r>
      <w:r>
        <w:rPr>
          <w:noProof/>
        </w:rPr>
        <w:t>MFF) – helps fishermen to adopt sustainable fishing practices and coastal communities to diversify their economies, improving quality of life along European coasts.</w:t>
      </w:r>
    </w:p>
    <w:p w:rsidR="00B83504" w:rsidRDefault="00B55645">
      <w:pPr>
        <w:pStyle w:val="Text1"/>
        <w:spacing w:after="0"/>
        <w:ind w:left="0"/>
        <w:rPr>
          <w:noProof/>
        </w:rPr>
      </w:pPr>
      <w:r>
        <w:rPr>
          <w:noProof/>
        </w:rPr>
        <w:t xml:space="preserve">Due to the rules of functioning of the EMFF and (European Fisheries Fund (EFF)), which are </w:t>
      </w:r>
      <w:r>
        <w:rPr>
          <w:noProof/>
        </w:rPr>
        <w:t>very similar to those of the other structural funds, irregularities reported by Member States in relation to fisheries policies are treated in this Section, jointly with the funds for cohesion and economic convergence.</w:t>
      </w:r>
    </w:p>
    <w:p w:rsidR="00B83504" w:rsidRDefault="00B55645">
      <w:pPr>
        <w:pStyle w:val="Text1"/>
        <w:spacing w:after="0"/>
        <w:ind w:left="0"/>
        <w:rPr>
          <w:noProof/>
        </w:rPr>
      </w:pPr>
      <w:r>
        <w:rPr>
          <w:noProof/>
        </w:rPr>
        <w:t>All these funds are managed by the EU</w:t>
      </w:r>
      <w:r>
        <w:rPr>
          <w:noProof/>
        </w:rPr>
        <w:t xml:space="preserve"> countries themselves, by means of partnership agreements. Each country prepares an agreement, in collaboration with the European Commission, setting out how the funds will be used during the current funding period 2014-2020. Partnership agreements lead to</w:t>
      </w:r>
      <w:r>
        <w:rPr>
          <w:noProof/>
        </w:rPr>
        <w:t xml:space="preserve"> a series of investment programmes channelling the funding to the different regions and projects in the policy areas concerned.</w:t>
      </w:r>
    </w:p>
    <w:p w:rsidR="00B83504" w:rsidRDefault="00B55645">
      <w:pPr>
        <w:pStyle w:val="Text1"/>
        <w:spacing w:after="0"/>
        <w:ind w:left="0"/>
        <w:rPr>
          <w:noProof/>
        </w:rPr>
      </w:pPr>
      <w:r>
        <w:rPr>
          <w:noProof/>
        </w:rPr>
        <w:t>For 2014-2020, EUR 454 billion</w:t>
      </w:r>
      <w:r>
        <w:rPr>
          <w:rStyle w:val="FootnoteReference"/>
          <w:noProof/>
        </w:rPr>
        <w:footnoteReference w:id="2"/>
      </w:r>
      <w:r>
        <w:rPr>
          <w:noProof/>
        </w:rPr>
        <w:t xml:space="preserve"> in ESIF funding has been allocated to promote job creation and growth. National co-financing is </w:t>
      </w:r>
      <w:r>
        <w:rPr>
          <w:noProof/>
        </w:rPr>
        <w:t>expected to amount to at least EUR 183 billion, with total investment reaching EUR 637 billion.</w:t>
      </w:r>
    </w:p>
    <w:p w:rsidR="00B83504" w:rsidRDefault="00B55645">
      <w:pPr>
        <w:pStyle w:val="Text1"/>
        <w:spacing w:after="0"/>
        <w:ind w:left="0"/>
        <w:rPr>
          <w:noProof/>
        </w:rPr>
      </w:pPr>
      <w:r>
        <w:rPr>
          <w:noProof/>
        </w:rPr>
        <w:t>These resources contribute to:</w:t>
      </w:r>
    </w:p>
    <w:p w:rsidR="00B83504" w:rsidRDefault="00B55645">
      <w:pPr>
        <w:pStyle w:val="Bullet1"/>
        <w:tabs>
          <w:tab w:val="clear" w:pos="1417"/>
        </w:tabs>
        <w:spacing w:after="0"/>
        <w:ind w:left="284" w:hanging="284"/>
        <w:rPr>
          <w:noProof/>
        </w:rPr>
      </w:pPr>
      <w:r>
        <w:rPr>
          <w:noProof/>
        </w:rPr>
        <w:t>Strengthening Research and Innovation;</w:t>
      </w:r>
    </w:p>
    <w:p w:rsidR="00B83504" w:rsidRDefault="00B55645">
      <w:pPr>
        <w:pStyle w:val="Bullet1"/>
        <w:tabs>
          <w:tab w:val="clear" w:pos="1417"/>
        </w:tabs>
        <w:spacing w:after="0"/>
        <w:ind w:left="284" w:hanging="284"/>
        <w:rPr>
          <w:noProof/>
        </w:rPr>
      </w:pPr>
      <w:r>
        <w:rPr>
          <w:noProof/>
        </w:rPr>
        <w:t>Supporting the digital single market;</w:t>
      </w:r>
    </w:p>
    <w:p w:rsidR="00B83504" w:rsidRDefault="00B55645">
      <w:pPr>
        <w:pStyle w:val="Bullet1"/>
        <w:tabs>
          <w:tab w:val="clear" w:pos="1417"/>
        </w:tabs>
        <w:spacing w:after="0"/>
        <w:ind w:left="284" w:hanging="284"/>
        <w:rPr>
          <w:noProof/>
        </w:rPr>
      </w:pPr>
      <w:r>
        <w:rPr>
          <w:noProof/>
        </w:rPr>
        <w:t>Supporting the growth of Europe’s small and medium-s</w:t>
      </w:r>
      <w:r>
        <w:rPr>
          <w:noProof/>
        </w:rPr>
        <w:t>ized enterprises (SMEs);</w:t>
      </w:r>
    </w:p>
    <w:p w:rsidR="00B83504" w:rsidRDefault="00B55645">
      <w:pPr>
        <w:pStyle w:val="Bullet1"/>
        <w:tabs>
          <w:tab w:val="clear" w:pos="1417"/>
        </w:tabs>
        <w:spacing w:after="0"/>
        <w:ind w:left="284" w:hanging="284"/>
        <w:rPr>
          <w:noProof/>
        </w:rPr>
      </w:pPr>
      <w:r>
        <w:rPr>
          <w:noProof/>
        </w:rPr>
        <w:t>Supporting the energy union and the low-carbon economy;</w:t>
      </w:r>
    </w:p>
    <w:p w:rsidR="00B83504" w:rsidRDefault="00B55645">
      <w:pPr>
        <w:pStyle w:val="Bullet1"/>
        <w:tabs>
          <w:tab w:val="clear" w:pos="1417"/>
        </w:tabs>
        <w:spacing w:after="0"/>
        <w:ind w:left="284" w:hanging="284"/>
        <w:rPr>
          <w:noProof/>
        </w:rPr>
      </w:pPr>
      <w:r>
        <w:rPr>
          <w:noProof/>
        </w:rPr>
        <w:t>Investing in environmental protection and resource efficiency;</w:t>
      </w:r>
    </w:p>
    <w:p w:rsidR="00B83504" w:rsidRDefault="00B55645">
      <w:pPr>
        <w:pStyle w:val="Bullet1"/>
        <w:tabs>
          <w:tab w:val="clear" w:pos="1417"/>
        </w:tabs>
        <w:spacing w:after="0"/>
        <w:ind w:left="284" w:hanging="284"/>
        <w:rPr>
          <w:noProof/>
        </w:rPr>
      </w:pPr>
      <w:r>
        <w:rPr>
          <w:noProof/>
        </w:rPr>
        <w:t>Climate change and risk prevention;</w:t>
      </w:r>
    </w:p>
    <w:p w:rsidR="00B83504" w:rsidRDefault="00B55645">
      <w:pPr>
        <w:pStyle w:val="Bullet1"/>
        <w:tabs>
          <w:tab w:val="clear" w:pos="1417"/>
        </w:tabs>
        <w:spacing w:after="0"/>
        <w:ind w:left="284" w:hanging="284"/>
        <w:rPr>
          <w:noProof/>
        </w:rPr>
      </w:pPr>
      <w:r>
        <w:rPr>
          <w:noProof/>
        </w:rPr>
        <w:t>Supporting sustainable transport;</w:t>
      </w:r>
    </w:p>
    <w:p w:rsidR="00B83504" w:rsidRDefault="00B55645">
      <w:pPr>
        <w:pStyle w:val="Bullet1"/>
        <w:tabs>
          <w:tab w:val="clear" w:pos="1417"/>
        </w:tabs>
        <w:spacing w:after="0"/>
        <w:ind w:left="284" w:hanging="284"/>
        <w:rPr>
          <w:noProof/>
        </w:rPr>
      </w:pPr>
      <w:r>
        <w:rPr>
          <w:noProof/>
        </w:rPr>
        <w:t>Promoting sustainable and quality employme</w:t>
      </w:r>
      <w:r>
        <w:rPr>
          <w:noProof/>
        </w:rPr>
        <w:t>nt;</w:t>
      </w:r>
    </w:p>
    <w:p w:rsidR="00B83504" w:rsidRDefault="00B55645">
      <w:pPr>
        <w:pStyle w:val="Bullet1"/>
        <w:tabs>
          <w:tab w:val="clear" w:pos="1417"/>
        </w:tabs>
        <w:spacing w:after="0"/>
        <w:ind w:left="284" w:hanging="284"/>
        <w:rPr>
          <w:noProof/>
        </w:rPr>
      </w:pPr>
      <w:r>
        <w:rPr>
          <w:noProof/>
        </w:rPr>
        <w:t>Promoting social inclusion;</w:t>
      </w:r>
    </w:p>
    <w:p w:rsidR="00B83504" w:rsidRDefault="00B55645">
      <w:pPr>
        <w:pStyle w:val="Bullet1"/>
        <w:tabs>
          <w:tab w:val="clear" w:pos="1417"/>
        </w:tabs>
        <w:spacing w:after="0"/>
        <w:ind w:left="284" w:hanging="284"/>
        <w:rPr>
          <w:noProof/>
        </w:rPr>
      </w:pPr>
      <w:r>
        <w:rPr>
          <w:noProof/>
        </w:rPr>
        <w:t>Investing in education and training;</w:t>
      </w:r>
    </w:p>
    <w:p w:rsidR="00B83504" w:rsidRDefault="00B55645">
      <w:pPr>
        <w:pStyle w:val="Bullet1"/>
        <w:tabs>
          <w:tab w:val="clear" w:pos="1417"/>
        </w:tabs>
        <w:spacing w:after="0"/>
        <w:ind w:left="284" w:hanging="284"/>
        <w:rPr>
          <w:noProof/>
        </w:rPr>
      </w:pPr>
      <w:r>
        <w:rPr>
          <w:noProof/>
        </w:rPr>
        <w:t>Support youth employment;</w:t>
      </w:r>
    </w:p>
    <w:p w:rsidR="00B83504" w:rsidRDefault="00B55645">
      <w:pPr>
        <w:pStyle w:val="Bullet1"/>
        <w:tabs>
          <w:tab w:val="clear" w:pos="1417"/>
        </w:tabs>
        <w:spacing w:after="0"/>
        <w:ind w:left="284" w:hanging="284"/>
        <w:rPr>
          <w:noProof/>
        </w:rPr>
      </w:pPr>
      <w:r>
        <w:rPr>
          <w:noProof/>
        </w:rPr>
        <w:t>Strengthening institutional capacity and efficient public administration.</w:t>
      </w:r>
    </w:p>
    <w:p w:rsidR="00B83504" w:rsidRDefault="00B55645">
      <w:pPr>
        <w:pStyle w:val="Text1"/>
        <w:spacing w:after="0"/>
        <w:ind w:left="0"/>
        <w:rPr>
          <w:noProof/>
        </w:rPr>
      </w:pPr>
      <w:r>
        <w:rPr>
          <w:noProof/>
        </w:rPr>
        <w:t>This Section of the report focuses on the programming period (PP) 2007-2013</w:t>
      </w:r>
      <w:r>
        <w:rPr>
          <w:rStyle w:val="FootnoteReference"/>
          <w:noProof/>
        </w:rPr>
        <w:footnoteReference w:id="3"/>
      </w:r>
      <w:r>
        <w:rPr>
          <w:noProof/>
        </w:rPr>
        <w:t xml:space="preserve"> and starts analysing the PP 2014-2020, mainly through a comparison with the irregularities reported during the first 5 years of implementation of the PP 2007-2013.</w:t>
      </w:r>
    </w:p>
    <w:p w:rsidR="00B83504" w:rsidRDefault="00B55645">
      <w:pPr>
        <w:pStyle w:val="ManualHeading2"/>
        <w:rPr>
          <w:noProof/>
        </w:rPr>
      </w:pPr>
      <w:bookmarkStart w:id="5" w:name="_Toc424911572"/>
      <w:bookmarkStart w:id="6" w:name="_Toc453345596"/>
      <w:bookmarkStart w:id="7" w:name="_Toc485146195"/>
      <w:bookmarkStart w:id="8" w:name="_Toc485146502"/>
      <w:bookmarkStart w:id="9" w:name="_Toc486928848"/>
      <w:bookmarkStart w:id="10" w:name="_Toc510691066"/>
      <w:bookmarkStart w:id="11" w:name="_Toc13152061"/>
      <w:r>
        <w:rPr>
          <w:noProof/>
        </w:rPr>
        <w:t>4.1.</w:t>
      </w:r>
      <w:r>
        <w:rPr>
          <w:noProof/>
        </w:rPr>
        <w:tab/>
        <w:t>General analysis</w:t>
      </w:r>
      <w:bookmarkEnd w:id="5"/>
      <w:bookmarkEnd w:id="6"/>
      <w:bookmarkEnd w:id="7"/>
      <w:bookmarkEnd w:id="8"/>
      <w:bookmarkEnd w:id="9"/>
      <w:bookmarkEnd w:id="10"/>
      <w:bookmarkEnd w:id="11"/>
    </w:p>
    <w:p w:rsidR="00B83504" w:rsidRDefault="00B55645">
      <w:pPr>
        <w:pStyle w:val="Text1"/>
        <w:ind w:left="0"/>
        <w:rPr>
          <w:noProof/>
        </w:rPr>
      </w:pPr>
      <w:r>
        <w:rPr>
          <w:noProof/>
        </w:rPr>
        <w:t>In general, Member States are requested to communicate irregularities</w:t>
      </w:r>
      <w:r>
        <w:rPr>
          <w:noProof/>
        </w:rPr>
        <w:t xml:space="preserve"> with financial amounts involved above EUR 10 000.</w:t>
      </w:r>
      <w:r>
        <w:rPr>
          <w:rStyle w:val="FootnoteReference"/>
          <w:noProof/>
        </w:rPr>
        <w:t xml:space="preserve"> </w:t>
      </w:r>
      <w:r>
        <w:rPr>
          <w:rStyle w:val="FootnoteReference"/>
          <w:noProof/>
        </w:rPr>
        <w:footnoteReference w:id="4"/>
      </w:r>
      <w:r>
        <w:rPr>
          <w:noProof/>
        </w:rPr>
        <w:t xml:space="preserve"> However, a number of cases with irregular financial amounts equal or below this threshold have been reported by several Member States. Table CP1 provides an overview by Member State. Furthermore, Member </w:t>
      </w:r>
      <w:r>
        <w:rPr>
          <w:noProof/>
        </w:rPr>
        <w:t>States reported cases with financial amounts involved equal to zero. This may be due to the fact that the competent national authority did not have enough information yet to quantify the irregular amounts involved. However, this should not be the case once</w:t>
      </w:r>
      <w:r>
        <w:rPr>
          <w:noProof/>
        </w:rPr>
        <w:t xml:space="preserve"> the case is closed or expired. Table CP1 provides also an overview by Member State of the closed/expired cases, for which the national autorithies have not mentioned the irregular financial amounts involved.</w:t>
      </w:r>
    </w:p>
    <w:p w:rsidR="00B83504" w:rsidRDefault="00B55645">
      <w:pPr>
        <w:pStyle w:val="Text1"/>
        <w:ind w:left="0"/>
        <w:rPr>
          <w:noProof/>
        </w:rPr>
      </w:pPr>
      <w:r>
        <w:rPr>
          <w:noProof/>
        </w:rPr>
        <w:t>It is not clear why there are some Member State</w:t>
      </w:r>
      <w:r>
        <w:rPr>
          <w:noProof/>
        </w:rPr>
        <w:t xml:space="preserve">s that reported much more </w:t>
      </w:r>
      <w:r>
        <w:rPr>
          <w:i/>
          <w:noProof/>
        </w:rPr>
        <w:t>'below-the-threshold</w:t>
      </w:r>
      <w:r>
        <w:rPr>
          <w:noProof/>
        </w:rPr>
        <w:t>' irregularities than others. It should be considered that an irregularity may consist of irregular or fraudulent operations which are interlinked and whose total financial impact exceeds EUR 10 000, even thoug</w:t>
      </w:r>
      <w:r>
        <w:rPr>
          <w:noProof/>
        </w:rPr>
        <w:t>h each operation remains below the threshold.</w:t>
      </w:r>
      <w:r>
        <w:rPr>
          <w:rStyle w:val="FootnoteReference"/>
          <w:noProof/>
        </w:rPr>
        <w:footnoteReference w:id="5"/>
      </w:r>
      <w:r>
        <w:rPr>
          <w:noProof/>
        </w:rPr>
        <w:t xml:space="preserve"> In this case, a Member State may have chosen to report these irregularities separately, while other Member States may have combined them in one irregularity. Another explanation may relate to irregularities th</w:t>
      </w:r>
      <w:r>
        <w:rPr>
          <w:noProof/>
        </w:rPr>
        <w:t>at were reported because the initial estimation of the irregular financial amounts involved exceeded EUR 10 000, but subsequent updates lowered these financial amounts below the threshold. Furthermore, more than 60% of the '</w:t>
      </w:r>
      <w:r>
        <w:rPr>
          <w:i/>
          <w:noProof/>
        </w:rPr>
        <w:t>below-the-threshold</w:t>
      </w:r>
      <w:r>
        <w:rPr>
          <w:noProof/>
        </w:rPr>
        <w:t>' irregularit</w:t>
      </w:r>
      <w:r>
        <w:rPr>
          <w:noProof/>
        </w:rPr>
        <w:t>ies were still open at the cut-off date</w:t>
      </w:r>
      <w:r>
        <w:rPr>
          <w:rStyle w:val="FootnoteReference"/>
          <w:noProof/>
        </w:rPr>
        <w:footnoteReference w:id="6"/>
      </w:r>
      <w:r>
        <w:rPr>
          <w:noProof/>
        </w:rPr>
        <w:t xml:space="preserve">; the competent national authority might have decided to report them anyway, pending the exact quantification of the financial amount involved. Other explanations may refer to mis-typing or mis-interpretation of the </w:t>
      </w:r>
      <w:r>
        <w:rPr>
          <w:noProof/>
        </w:rPr>
        <w:t>reporting rules.</w:t>
      </w:r>
    </w:p>
    <w:p w:rsidR="00B83504" w:rsidRDefault="00B55645">
      <w:pPr>
        <w:pStyle w:val="Text1"/>
        <w:ind w:left="0"/>
        <w:rPr>
          <w:noProof/>
        </w:rPr>
      </w:pPr>
      <w:r>
        <w:rPr>
          <w:noProof/>
        </w:rPr>
        <w:t>As shown by Table CP1, there were about 2 200 irregularities (less than 7% of all the relevant irregularities) that taken separately were associated to a financial amount equal or below EUR 10 000. In order to make use of all available inf</w:t>
      </w:r>
      <w:r>
        <w:rPr>
          <w:noProof/>
        </w:rPr>
        <w:t>ormation reported by the Member States, all these irregularities are considered in the analysis for this Report. However, Table CP1 provides the reader with additional information to put into context data about detections in different Member States</w:t>
      </w:r>
      <w:r>
        <w:rPr>
          <w:rStyle w:val="FootnoteReference"/>
          <w:noProof/>
        </w:rPr>
        <w:footnoteReference w:id="7"/>
      </w:r>
      <w:r>
        <w:rPr>
          <w:noProof/>
        </w:rPr>
        <w:t>.</w:t>
      </w:r>
    </w:p>
    <w:p w:rsidR="00B83504" w:rsidRDefault="00B55645">
      <w:pPr>
        <w:pStyle w:val="Text1"/>
        <w:ind w:left="0"/>
        <w:rPr>
          <w:noProof/>
        </w:rPr>
      </w:pPr>
      <w:r>
        <w:rPr>
          <w:noProof/>
          <w:lang w:val="fr-BE" w:eastAsia="fr-BE"/>
        </w:rPr>
        <w:drawing>
          <wp:inline distT="0" distB="0" distL="0" distR="0">
            <wp:extent cx="2844800" cy="4820239"/>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40" cy="4820306"/>
                    </a:xfrm>
                    <a:prstGeom prst="rect">
                      <a:avLst/>
                    </a:prstGeom>
                    <a:noFill/>
                    <a:ln>
                      <a:noFill/>
                    </a:ln>
                  </pic:spPr>
                </pic:pic>
              </a:graphicData>
            </a:graphic>
          </wp:inline>
        </w:drawing>
      </w:r>
    </w:p>
    <w:p w:rsidR="00B83504" w:rsidRDefault="00B55645">
      <w:pPr>
        <w:pStyle w:val="Text1"/>
        <w:ind w:left="0"/>
        <w:rPr>
          <w:noProof/>
        </w:rPr>
      </w:pPr>
      <w:r>
        <w:rPr>
          <w:noProof/>
        </w:rPr>
        <w:t xml:space="preserve">In </w:t>
      </w:r>
      <w:r>
        <w:rPr>
          <w:noProof/>
        </w:rPr>
        <w:t>comparison with the other budget sectors, the analysis of the cohesion policy poses a higher level of complexity, as information refers to different PPs, which are regulated by different rules.</w:t>
      </w:r>
    </w:p>
    <w:p w:rsidR="00B83504" w:rsidRDefault="00B55645">
      <w:pPr>
        <w:pStyle w:val="Text1"/>
        <w:ind w:left="0"/>
        <w:rPr>
          <w:noProof/>
        </w:rPr>
      </w:pPr>
      <w:r>
        <w:rPr>
          <w:noProof/>
        </w:rPr>
        <w:t>Table CP2 offers an overview of the number of irregularities (</w:t>
      </w:r>
      <w:r>
        <w:rPr>
          <w:noProof/>
        </w:rPr>
        <w:t>both fraudulent and non-fraudulent) reported from 2014 to 2018, by PP and fund.</w:t>
      </w:r>
    </w:p>
    <w:p w:rsidR="00B83504" w:rsidRDefault="00B55645">
      <w:pPr>
        <w:pStyle w:val="Text1"/>
        <w:ind w:left="0"/>
        <w:jc w:val="center"/>
        <w:rPr>
          <w:noProof/>
        </w:rPr>
      </w:pPr>
      <w:r>
        <w:rPr>
          <w:noProof/>
          <w:lang w:val="fr-BE" w:eastAsia="fr-BE"/>
        </w:rPr>
        <w:drawing>
          <wp:inline distT="0" distB="0" distL="0" distR="0">
            <wp:extent cx="3956685" cy="5096510"/>
            <wp:effectExtent l="0" t="0" r="571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6685" cy="5096510"/>
                    </a:xfrm>
                    <a:prstGeom prst="rect">
                      <a:avLst/>
                    </a:prstGeom>
                    <a:noFill/>
                  </pic:spPr>
                </pic:pic>
              </a:graphicData>
            </a:graphic>
          </wp:inline>
        </w:drawing>
      </w:r>
    </w:p>
    <w:p w:rsidR="00B83504" w:rsidRDefault="00B55645">
      <w:pPr>
        <w:pStyle w:val="Text1"/>
        <w:ind w:left="0"/>
        <w:rPr>
          <w:noProof/>
        </w:rPr>
      </w:pPr>
      <w:r>
        <w:rPr>
          <w:noProof/>
        </w:rPr>
        <w:t>With reference to PP 2007-2013, Table CP2 does not suggest any major deviation from known trends and patterns in detection and reporting of irregularities</w:t>
      </w:r>
      <w:r>
        <w:rPr>
          <w:rStyle w:val="FootnoteReference"/>
          <w:noProof/>
        </w:rPr>
        <w:footnoteReference w:id="8"/>
      </w:r>
      <w:r>
        <w:rPr>
          <w:noProof/>
        </w:rPr>
        <w:t>, with the exceptio</w:t>
      </w:r>
      <w:r>
        <w:rPr>
          <w:noProof/>
        </w:rPr>
        <w:t xml:space="preserve">n of year 2015, when the number of reported irregularities doubled, before decreasing in the following years. The increase in 2015 was for the greatest part linked to the reporting of irregularities by one Member State (Spain), which covered about half of </w:t>
      </w:r>
      <w:r>
        <w:rPr>
          <w:noProof/>
        </w:rPr>
        <w:t>the total number of irregularities reported in 2015. This Spanish anomalous increase was due to delayed reporting of irregularities detected throughout the programming period. If they were excluded, the number of reported irregularities would still be high</w:t>
      </w:r>
      <w:r>
        <w:rPr>
          <w:noProof/>
        </w:rPr>
        <w:t>er than in 2014. However, this increase would be more in line with the programming cycle of the funds.</w:t>
      </w:r>
    </w:p>
    <w:p w:rsidR="00B83504" w:rsidRDefault="00B55645">
      <w:pPr>
        <w:pStyle w:val="Text1"/>
        <w:ind w:left="0"/>
        <w:rPr>
          <w:noProof/>
        </w:rPr>
      </w:pPr>
      <w:r>
        <w:rPr>
          <w:noProof/>
        </w:rPr>
        <w:t>A minor, yet still striking increase in reporting was observed in relation to the previous PP 2000-06. The number of irregularities almost doubled from 2</w:t>
      </w:r>
      <w:r>
        <w:rPr>
          <w:noProof/>
        </w:rPr>
        <w:t>014 to 2015. In this respect, the explanation is belated reporting by another Member State (Ireland).</w:t>
      </w:r>
    </w:p>
    <w:p w:rsidR="00B83504" w:rsidRDefault="00B83504">
      <w:pPr>
        <w:pStyle w:val="Text1"/>
        <w:ind w:left="0"/>
        <w:rPr>
          <w:noProof/>
        </w:rPr>
      </w:pPr>
    </w:p>
    <w:p w:rsidR="00B83504" w:rsidRDefault="00B55645">
      <w:pPr>
        <w:pStyle w:val="Text1"/>
        <w:ind w:left="0"/>
        <w:rPr>
          <w:noProof/>
        </w:rPr>
      </w:pPr>
      <w:r>
        <w:rPr>
          <w:noProof/>
        </w:rPr>
        <w:t>Table CP3 offers an overview by PP and fund of the financial amounts involved in irregularities detected and reported to the EC over the last five years.</w:t>
      </w:r>
      <w:r>
        <w:rPr>
          <w:noProof/>
        </w:rPr>
        <w:t xml:space="preserve"> While the number of reported irregularities peaked in 2015 and significantly decreased in the following years, the involved financial amounts were stable in 2016, before declining at a much slower pace. This trend implied an accelerating raise of the aver</w:t>
      </w:r>
      <w:r>
        <w:rPr>
          <w:noProof/>
        </w:rPr>
        <w:t xml:space="preserve">age financial amounts (AFA) (+23% in 2016, +30% in 2017 and +141% in 2018). </w:t>
      </w:r>
    </w:p>
    <w:p w:rsidR="00B83504" w:rsidRDefault="00B55645">
      <w:pPr>
        <w:pStyle w:val="Text1"/>
        <w:ind w:left="0"/>
        <w:rPr>
          <w:noProof/>
        </w:rPr>
      </w:pPr>
      <w:r>
        <w:rPr>
          <w:noProof/>
          <w:lang w:val="fr-BE" w:eastAsia="fr-BE"/>
        </w:rPr>
        <w:drawing>
          <wp:inline distT="0" distB="0" distL="0" distR="0">
            <wp:extent cx="4973202" cy="5406572"/>
            <wp:effectExtent l="0" t="0" r="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2630" cy="5405950"/>
                    </a:xfrm>
                    <a:prstGeom prst="rect">
                      <a:avLst/>
                    </a:prstGeom>
                    <a:noFill/>
                    <a:ln>
                      <a:noFill/>
                    </a:ln>
                  </pic:spPr>
                </pic:pic>
              </a:graphicData>
            </a:graphic>
          </wp:inline>
        </w:drawing>
      </w:r>
    </w:p>
    <w:p w:rsidR="00B83504" w:rsidRDefault="00B55645">
      <w:pPr>
        <w:pStyle w:val="Text1"/>
        <w:ind w:left="0"/>
        <w:rPr>
          <w:noProof/>
        </w:rPr>
      </w:pPr>
      <w:r>
        <w:rPr>
          <w:noProof/>
        </w:rPr>
        <w:t>Graphs CP1 provide the details about the trend of AFAs for CF, ERDF and ESF in PP 2007-2013 and PP 2014-2020.</w:t>
      </w:r>
    </w:p>
    <w:p w:rsidR="00B83504" w:rsidRDefault="00B55645">
      <w:pPr>
        <w:pStyle w:val="Text1"/>
        <w:ind w:left="0"/>
        <w:rPr>
          <w:noProof/>
        </w:rPr>
      </w:pPr>
      <w:r>
        <w:rPr>
          <w:noProof/>
          <w:lang w:val="fr-BE" w:eastAsia="fr-BE"/>
        </w:rPr>
        <w:drawing>
          <wp:inline distT="0" distB="0" distL="0" distR="0">
            <wp:extent cx="5535930" cy="190817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5930" cy="1908175"/>
                    </a:xfrm>
                    <a:prstGeom prst="rect">
                      <a:avLst/>
                    </a:prstGeom>
                    <a:noFill/>
                  </pic:spPr>
                </pic:pic>
              </a:graphicData>
            </a:graphic>
          </wp:inline>
        </w:drawing>
      </w:r>
    </w:p>
    <w:p w:rsidR="00B83504" w:rsidRDefault="00B55645">
      <w:pPr>
        <w:pStyle w:val="Text1"/>
        <w:ind w:left="0"/>
        <w:rPr>
          <w:noProof/>
        </w:rPr>
      </w:pPr>
      <w:r>
        <w:rPr>
          <w:noProof/>
        </w:rPr>
        <w:t>With reference to the Cohesion Fund, the financial amounts involv</w:t>
      </w:r>
      <w:r>
        <w:rPr>
          <w:noProof/>
        </w:rPr>
        <w:t>ed in irregularities related to PP 2007-2013 significantly increased in 2016 (+37%) while the financial amounts in 2018 were pushed by irregularities related to PP 2014-2020. The strong increase in 2016 was mainly due to one irregularity reported by Slovak</w:t>
      </w:r>
      <w:r>
        <w:rPr>
          <w:noProof/>
        </w:rPr>
        <w:t xml:space="preserve">ia, where financial amounts exceeded EUR 150 million. Similarly, 36% of the financial amounts reported in 2018 with reference to PP 2014-2020 was involved in one irregularity detected in Slovakia. </w:t>
      </w:r>
    </w:p>
    <w:p w:rsidR="00B83504" w:rsidRDefault="00B55645">
      <w:pPr>
        <w:pStyle w:val="Text1"/>
        <w:ind w:left="0"/>
        <w:rPr>
          <w:noProof/>
        </w:rPr>
      </w:pPr>
      <w:r>
        <w:rPr>
          <w:noProof/>
        </w:rPr>
        <w:t>With regard to the ERDF, there was a steep upward trend in</w:t>
      </w:r>
      <w:r>
        <w:rPr>
          <w:noProof/>
        </w:rPr>
        <w:t xml:space="preserve"> the AFAs of the irregularities both in PP 2007-2013 (+25% in 2016, +46% in 2017 and +113% in 2018) and 2014-2020 (+309% in 2018). Taking into account the last 5 years as a whole, the AFA involved in irregularities related to PP 2014-2020 was much higher t</w:t>
      </w:r>
      <w:r>
        <w:rPr>
          <w:noProof/>
        </w:rPr>
        <w:t>han that related to PP 2007-2013, but it is based on less irregularities and can be more easily affected by a low number of 'exceptional' cases; nearly EUR 600 million out of about 830 million (see Table CP3) were related to just 2 cases. Considering all c</w:t>
      </w:r>
      <w:r>
        <w:rPr>
          <w:noProof/>
        </w:rPr>
        <w:t>ases reported during 2014-2018, the AFA of cases related to the ERDF was less than half of that of CF cases.</w:t>
      </w:r>
    </w:p>
    <w:p w:rsidR="00B83504" w:rsidRDefault="00B55645">
      <w:pPr>
        <w:pStyle w:val="Text1"/>
        <w:ind w:left="0"/>
        <w:rPr>
          <w:noProof/>
        </w:rPr>
      </w:pPr>
      <w:r>
        <w:rPr>
          <w:noProof/>
        </w:rPr>
        <w:t>Concerning the ESF, in 2018, for PP 2007-2013, there were persisting high financial amounts reported despite a steep decrease in the number of irre</w:t>
      </w:r>
      <w:r>
        <w:rPr>
          <w:noProof/>
        </w:rPr>
        <w:t>gularities reported (+104% in the AFA) and a strong increase of the financial amounts reported in the same year for PP 2014-2020 (+374% in the AFA). However, concerning PP 2007-2013, this is mainly due to one irregularity reported by Portugal, representing</w:t>
      </w:r>
      <w:r>
        <w:rPr>
          <w:noProof/>
        </w:rPr>
        <w:t xml:space="preserve"> about 60% of all relevant financial amounts reported in 2018. Data for PP 2014-2020 is less affected by single cases, but one irregularity accounted for about 30% of all relevant financial amounts reported in 2018 (three irregularities accounted for about</w:t>
      </w:r>
      <w:r>
        <w:rPr>
          <w:noProof/>
        </w:rPr>
        <w:t xml:space="preserve"> 50%).</w:t>
      </w:r>
    </w:p>
    <w:p w:rsidR="00B83504" w:rsidRDefault="00B55645">
      <w:pPr>
        <w:pStyle w:val="Text1"/>
        <w:ind w:left="0"/>
        <w:rPr>
          <w:noProof/>
        </w:rPr>
      </w:pPr>
      <w:r>
        <w:rPr>
          <w:noProof/>
        </w:rPr>
        <w:t>Given the above, even if data on AFAs might point to some improvement in the targeting of control activities (see Graphs CP1), the trend of the financial amounts must always be assessed while bearing in mind that it can be strongly influenced by sin</w:t>
      </w:r>
      <w:r>
        <w:rPr>
          <w:noProof/>
        </w:rPr>
        <w:t>gle observations of significant value. During 2014-2018, cases which involved over EUR 5 million represented less than 1% in terms of numbers, but 44% in terms of amounts.</w:t>
      </w:r>
      <w:r>
        <w:rPr>
          <w:rStyle w:val="FootnoteReference"/>
          <w:noProof/>
        </w:rPr>
        <w:footnoteReference w:id="9"/>
      </w:r>
      <w:r>
        <w:rPr>
          <w:noProof/>
        </w:rPr>
        <w:t xml:space="preserve"> 71% of these cases concerned the ERDF, while 21% concerned the Cohesion Fund. In su</w:t>
      </w:r>
      <w:r>
        <w:rPr>
          <w:noProof/>
        </w:rPr>
        <w:t>ch a context, where a significant portion of the financial amounts is linked to a relatively low number of cases, fluctuations are more likely and should not be misinterpreted.</w:t>
      </w:r>
    </w:p>
    <w:p w:rsidR="00B83504" w:rsidRDefault="00B55645">
      <w:pPr>
        <w:pStyle w:val="Text1"/>
        <w:ind w:left="0"/>
        <w:rPr>
          <w:noProof/>
        </w:rPr>
      </w:pPr>
      <w:bookmarkStart w:id="12" w:name="_Toc424911573"/>
      <w:bookmarkStart w:id="13" w:name="_Toc453345597"/>
      <w:bookmarkStart w:id="14" w:name="_Toc485146196"/>
      <w:bookmarkStart w:id="15" w:name="_Toc485146503"/>
      <w:bookmarkStart w:id="16" w:name="_Toc486928849"/>
      <w:bookmarkStart w:id="17" w:name="_Toc510691067"/>
      <w:r>
        <w:rPr>
          <w:noProof/>
        </w:rPr>
        <w:t>In an attempt to isolate the 'core' trends, Graphs CP2 show the financial amoun</w:t>
      </w:r>
      <w:r>
        <w:rPr>
          <w:noProof/>
        </w:rPr>
        <w:t>ts and AFAs during the last five years, where the first and the last percentiles are excluded from the analysis</w:t>
      </w:r>
      <w:r>
        <w:rPr>
          <w:rStyle w:val="FootnoteReference"/>
          <w:noProof/>
        </w:rPr>
        <w:footnoteReference w:id="10"/>
      </w:r>
      <w:r>
        <w:rPr>
          <w:noProof/>
        </w:rPr>
        <w:t xml:space="preserve">. In Graphs CP2, PP 2007-2013 and PP 2014-2020 are kept separate. For PP 2007-2013, the AFAs involved in cases related to ESF and EFF have been </w:t>
      </w:r>
      <w:r>
        <w:rPr>
          <w:noProof/>
        </w:rPr>
        <w:t xml:space="preserve">relatively stable during the last five years, while those involved in irregularities related to CF and ERDF have been following upward trends. </w:t>
      </w:r>
    </w:p>
    <w:p w:rsidR="00B83504" w:rsidRDefault="00B55645">
      <w:pPr>
        <w:pStyle w:val="Text1"/>
        <w:ind w:left="0"/>
        <w:rPr>
          <w:noProof/>
        </w:rPr>
      </w:pPr>
      <w:r>
        <w:rPr>
          <w:noProof/>
          <w:lang w:val="fr-BE" w:eastAsia="fr-BE"/>
        </w:rPr>
        <w:drawing>
          <wp:inline distT="0" distB="0" distL="0" distR="0">
            <wp:extent cx="5512373" cy="165527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5526027" cy="1659379"/>
                    </a:xfrm>
                    <a:prstGeom prst="rect">
                      <a:avLst/>
                    </a:prstGeom>
                    <a:noFill/>
                    <a:ln>
                      <a:noFill/>
                    </a:ln>
                  </pic:spPr>
                </pic:pic>
              </a:graphicData>
            </a:graphic>
          </wp:inline>
        </w:drawing>
      </w:r>
    </w:p>
    <w:p w:rsidR="00B83504" w:rsidRDefault="00B55645">
      <w:pPr>
        <w:pStyle w:val="Text1"/>
        <w:ind w:left="0"/>
        <w:rPr>
          <w:noProof/>
        </w:rPr>
      </w:pPr>
      <w:r>
        <w:rPr>
          <w:noProof/>
        </w:rPr>
        <w:t>Extending the analysis to the whole programming period (Graph CP3), it can be noticed that:</w:t>
      </w:r>
    </w:p>
    <w:p w:rsidR="00B83504" w:rsidRDefault="00B55645">
      <w:pPr>
        <w:pStyle w:val="Text1"/>
        <w:numPr>
          <w:ilvl w:val="0"/>
          <w:numId w:val="35"/>
        </w:numPr>
        <w:ind w:left="142" w:hanging="142"/>
        <w:rPr>
          <w:noProof/>
        </w:rPr>
      </w:pPr>
      <w:r>
        <w:rPr>
          <w:noProof/>
        </w:rPr>
        <w:t xml:space="preserve">the rising trend </w:t>
      </w:r>
      <w:r>
        <w:rPr>
          <w:noProof/>
        </w:rPr>
        <w:t>of CF AFA started in 2015 after four years when it had continuously decreased, with the exception of 2012, from the peak it had reached during the fourth year of implementation (2010);</w:t>
      </w:r>
    </w:p>
    <w:p w:rsidR="00B83504" w:rsidRDefault="00B55645">
      <w:pPr>
        <w:pStyle w:val="Text1"/>
        <w:numPr>
          <w:ilvl w:val="0"/>
          <w:numId w:val="35"/>
        </w:numPr>
        <w:ind w:left="142" w:hanging="142"/>
        <w:rPr>
          <w:noProof/>
        </w:rPr>
      </w:pPr>
      <w:r>
        <w:rPr>
          <w:noProof/>
        </w:rPr>
        <w:t>The ERDF AFA followed a more stable rising trend, which accelerated sin</w:t>
      </w:r>
      <w:r>
        <w:rPr>
          <w:noProof/>
        </w:rPr>
        <w:t>ce 2016 and has not reverted yet;</w:t>
      </w:r>
    </w:p>
    <w:p w:rsidR="00B83504" w:rsidRDefault="00B55645">
      <w:pPr>
        <w:pStyle w:val="Text1"/>
        <w:numPr>
          <w:ilvl w:val="0"/>
          <w:numId w:val="35"/>
        </w:numPr>
        <w:ind w:left="142" w:hanging="142"/>
        <w:rPr>
          <w:noProof/>
        </w:rPr>
      </w:pPr>
      <w:r>
        <w:rPr>
          <w:noProof/>
        </w:rPr>
        <w:t>during the third year of implementation (2009), the ESF AFA jumped to the level where it remained quite stable until 2018;</w:t>
      </w:r>
    </w:p>
    <w:p w:rsidR="00B83504" w:rsidRDefault="00B55645">
      <w:pPr>
        <w:pStyle w:val="Text1"/>
        <w:numPr>
          <w:ilvl w:val="0"/>
          <w:numId w:val="35"/>
        </w:numPr>
        <w:ind w:left="142" w:hanging="142"/>
        <w:rPr>
          <w:noProof/>
        </w:rPr>
      </w:pPr>
      <w:r>
        <w:rPr>
          <w:noProof/>
        </w:rPr>
        <w:t xml:space="preserve">The EFF AFA continuosly rose (with the exception of 2011) until the seventh year of implementation </w:t>
      </w:r>
      <w:r>
        <w:rPr>
          <w:noProof/>
        </w:rPr>
        <w:t>(2013) and then it remained quite stable until 2018.</w:t>
      </w:r>
    </w:p>
    <w:p w:rsidR="00B83504" w:rsidRDefault="00B55645">
      <w:pPr>
        <w:pStyle w:val="Text1"/>
        <w:ind w:left="0"/>
        <w:rPr>
          <w:noProof/>
        </w:rPr>
      </w:pPr>
      <w:r>
        <w:rPr>
          <w:noProof/>
          <w:lang w:val="fr-BE" w:eastAsia="fr-BE"/>
        </w:rPr>
        <w:drawing>
          <wp:inline distT="0" distB="0" distL="0" distR="0">
            <wp:extent cx="5572531" cy="167185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5583040" cy="1675011"/>
                    </a:xfrm>
                    <a:prstGeom prst="rect">
                      <a:avLst/>
                    </a:prstGeom>
                    <a:noFill/>
                    <a:ln>
                      <a:noFill/>
                    </a:ln>
                  </pic:spPr>
                </pic:pic>
              </a:graphicData>
            </a:graphic>
          </wp:inline>
        </w:drawing>
      </w:r>
    </w:p>
    <w:p w:rsidR="00B83504" w:rsidRDefault="00B55645">
      <w:pPr>
        <w:pStyle w:val="Text1"/>
        <w:ind w:left="0"/>
        <w:rPr>
          <w:noProof/>
        </w:rPr>
      </w:pPr>
      <w:r>
        <w:rPr>
          <w:noProof/>
        </w:rPr>
        <w:t>Graph CP4b suggests similar patterns in relation to PP 2014-2020:</w:t>
      </w:r>
    </w:p>
    <w:p w:rsidR="00B83504" w:rsidRDefault="00B55645">
      <w:pPr>
        <w:pStyle w:val="Text1"/>
        <w:numPr>
          <w:ilvl w:val="0"/>
          <w:numId w:val="36"/>
        </w:numPr>
        <w:ind w:left="142" w:hanging="142"/>
        <w:rPr>
          <w:noProof/>
        </w:rPr>
      </w:pPr>
      <w:r>
        <w:rPr>
          <w:noProof/>
        </w:rPr>
        <w:t>CF AFA has experienced a sharp rise, which differently from PP 2007-2013 briefly stopped in 2017 before strongly resuming in 2018. If t</w:t>
      </w:r>
      <w:r>
        <w:rPr>
          <w:noProof/>
        </w:rPr>
        <w:t>he PP 2007-2013 patterns are confirmed for this programming period, as the number of controls increase towards a peak that could be reached in 2022-2023, the CF AFA may be expected to decrease, but improvements in terms of risk analysis for targeting contr</w:t>
      </w:r>
      <w:r>
        <w:rPr>
          <w:noProof/>
        </w:rPr>
        <w:t>ols could induce different patterns. So far, apart from 2017, CF AFA for PP 2014-2020 has been higher than in the corresponding years of the previous programming period;</w:t>
      </w:r>
    </w:p>
    <w:p w:rsidR="00B83504" w:rsidRDefault="00B55645">
      <w:pPr>
        <w:pStyle w:val="Text1"/>
        <w:numPr>
          <w:ilvl w:val="0"/>
          <w:numId w:val="36"/>
        </w:numPr>
        <w:ind w:left="142" w:hanging="142"/>
        <w:rPr>
          <w:noProof/>
        </w:rPr>
      </w:pPr>
      <w:r>
        <w:rPr>
          <w:noProof/>
        </w:rPr>
        <w:t>The trend of ERDF AFA is similar to that recorded for PP 2007-2013, even if the ups an</w:t>
      </w:r>
      <w:r>
        <w:rPr>
          <w:noProof/>
        </w:rPr>
        <w:t>d downs have been more 'extreme' for PP 2014-2020. However, it should be considered that, for example, the peak for ERDF in 2016 was just based on 7 irregularities. 2018 is the fifth year of implemention. At the same time of PP 2007-2013, a rising trend st</w:t>
      </w:r>
      <w:r>
        <w:rPr>
          <w:noProof/>
        </w:rPr>
        <w:t xml:space="preserve">arted that has not stopped yet (with the exception of 2015). Improvements in terms of risk analysis for targeting controls might sustain a similar pattern also for the current programming period. So far, ERDF AFA for PP 2014-2020 has been higher than that </w:t>
      </w:r>
      <w:r>
        <w:rPr>
          <w:noProof/>
        </w:rPr>
        <w:t>for the previous programming period;</w:t>
      </w:r>
    </w:p>
    <w:p w:rsidR="00B83504" w:rsidRDefault="00B55645">
      <w:pPr>
        <w:pStyle w:val="Text1"/>
        <w:numPr>
          <w:ilvl w:val="0"/>
          <w:numId w:val="36"/>
        </w:numPr>
        <w:ind w:left="142" w:hanging="142"/>
        <w:rPr>
          <w:noProof/>
        </w:rPr>
      </w:pPr>
      <w:r>
        <w:rPr>
          <w:noProof/>
        </w:rPr>
        <w:t>ESF and EMFF AFA follow more stable patterns.</w:t>
      </w:r>
    </w:p>
    <w:p w:rsidR="00B83504" w:rsidRDefault="00B55645">
      <w:pPr>
        <w:pStyle w:val="Text1"/>
        <w:ind w:left="0"/>
        <w:rPr>
          <w:noProof/>
        </w:rPr>
      </w:pPr>
      <w:r>
        <w:rPr>
          <w:noProof/>
          <w:lang w:val="fr-BE" w:eastAsia="fr-BE"/>
        </w:rPr>
        <w:drawing>
          <wp:inline distT="0" distB="0" distL="0" distR="0">
            <wp:extent cx="5580612" cy="1675770"/>
            <wp:effectExtent l="0" t="0" r="127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5589085" cy="1678314"/>
                    </a:xfrm>
                    <a:prstGeom prst="rect">
                      <a:avLst/>
                    </a:prstGeom>
                    <a:noFill/>
                    <a:ln>
                      <a:noFill/>
                    </a:ln>
                  </pic:spPr>
                </pic:pic>
              </a:graphicData>
            </a:graphic>
          </wp:inline>
        </w:drawing>
      </w:r>
    </w:p>
    <w:p w:rsidR="00B83504" w:rsidRDefault="00B55645">
      <w:pPr>
        <w:pStyle w:val="Text1"/>
        <w:ind w:left="0"/>
        <w:rPr>
          <w:noProof/>
        </w:rPr>
      </w:pPr>
      <w:r>
        <w:rPr>
          <w:noProof/>
        </w:rPr>
        <w:t>For the years 2014-2018, PP 2007-2013 and PP 2014-2020 are considered together in Graphs CP5, which confirm the rise of the AFAs of irregularities related to CF and ERDF.</w:t>
      </w:r>
    </w:p>
    <w:p w:rsidR="00B83504" w:rsidRDefault="00B55645">
      <w:pPr>
        <w:pStyle w:val="Text1"/>
        <w:ind w:left="0"/>
        <w:rPr>
          <w:noProof/>
        </w:rPr>
      </w:pPr>
      <w:r>
        <w:rPr>
          <w:noProof/>
          <w:lang w:val="fr-BE" w:eastAsia="fr-BE"/>
        </w:rPr>
        <w:drawing>
          <wp:inline distT="0" distB="0" distL="0" distR="0">
            <wp:extent cx="5559316" cy="1678240"/>
            <wp:effectExtent l="0" t="0" r="381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5565291" cy="1680044"/>
                    </a:xfrm>
                    <a:prstGeom prst="rect">
                      <a:avLst/>
                    </a:prstGeom>
                    <a:noFill/>
                    <a:ln>
                      <a:noFill/>
                    </a:ln>
                  </pic:spPr>
                </pic:pic>
              </a:graphicData>
            </a:graphic>
          </wp:inline>
        </w:drawing>
      </w:r>
    </w:p>
    <w:p w:rsidR="00B83504" w:rsidRDefault="00B55645">
      <w:pPr>
        <w:pStyle w:val="Text1"/>
        <w:ind w:left="0"/>
        <w:rPr>
          <w:noProof/>
        </w:rPr>
      </w:pPr>
      <w:r>
        <w:rPr>
          <w:noProof/>
        </w:rPr>
        <w:t>Graphs CP6 deepen the analysis of the AFAs, making the distinction between irregularities reported as fraudulent and not reported as fraudulent.</w:t>
      </w:r>
      <w:r>
        <w:rPr>
          <w:rStyle w:val="FootnoteReference"/>
          <w:noProof/>
        </w:rPr>
        <w:footnoteReference w:id="11"/>
      </w:r>
      <w:r>
        <w:rPr>
          <w:noProof/>
        </w:rPr>
        <w:t xml:space="preserve"> For all funds, the AFAs involved in fraudulent irregularities was constantly and, in particular for CF and E</w:t>
      </w:r>
      <w:r>
        <w:rPr>
          <w:noProof/>
        </w:rPr>
        <w:t>RDF, significantly higher than those related to non-fraudulent irregularities. This underlines the importance of co-operation with the judicial authorities in protecting the EU financial interests.</w:t>
      </w:r>
    </w:p>
    <w:p w:rsidR="00B83504" w:rsidRDefault="00B55645">
      <w:pPr>
        <w:pStyle w:val="Text1"/>
        <w:ind w:left="0"/>
        <w:rPr>
          <w:noProof/>
        </w:rPr>
      </w:pPr>
      <w:r>
        <w:rPr>
          <w:noProof/>
          <w:lang w:val="fr-BE" w:eastAsia="fr-BE"/>
        </w:rPr>
        <w:drawing>
          <wp:inline distT="0" distB="0" distL="0" distR="0">
            <wp:extent cx="5403200" cy="3238401"/>
            <wp:effectExtent l="0" t="0" r="7620"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5414798" cy="3245352"/>
                    </a:xfrm>
                    <a:prstGeom prst="rect">
                      <a:avLst/>
                    </a:prstGeom>
                    <a:noFill/>
                    <a:ln>
                      <a:noFill/>
                    </a:ln>
                  </pic:spPr>
                </pic:pic>
              </a:graphicData>
            </a:graphic>
          </wp:inline>
        </w:drawing>
      </w:r>
    </w:p>
    <w:p w:rsidR="00B83504" w:rsidRDefault="00B55645">
      <w:pPr>
        <w:pStyle w:val="Text1"/>
        <w:ind w:left="0"/>
        <w:rPr>
          <w:noProof/>
        </w:rPr>
      </w:pPr>
      <w:r>
        <w:rPr>
          <w:noProof/>
        </w:rPr>
        <w:t>With respect to fraudulent irregularities, the AFAs invo</w:t>
      </w:r>
      <w:r>
        <w:rPr>
          <w:noProof/>
        </w:rPr>
        <w:t>lved in CF cases plummeted from a peak in 2014, while remaining at a level that is still double the one related to ERDF cases. The AFA involved in ERDF cases increased significantly during the last five years.</w:t>
      </w:r>
    </w:p>
    <w:p w:rsidR="00B83504" w:rsidRDefault="00B55645">
      <w:pPr>
        <w:pStyle w:val="Text1"/>
        <w:ind w:left="0"/>
        <w:rPr>
          <w:noProof/>
        </w:rPr>
      </w:pPr>
      <w:r>
        <w:rPr>
          <w:noProof/>
        </w:rPr>
        <w:t>With respect to non-fraudulent irregularities,</w:t>
      </w:r>
      <w:r>
        <w:rPr>
          <w:noProof/>
        </w:rPr>
        <w:t xml:space="preserve"> the AFA involved in CF cases followed the opposite trend: it strongly increased from 2014 to 2017 and in 2018, while decreasing, it remained at a level that is significantly higher than in 2014. The AFA involved in ERDF cases has been increasing since 201</w:t>
      </w:r>
      <w:r>
        <w:rPr>
          <w:noProof/>
        </w:rPr>
        <w:t>5 and was stable in 2018.</w:t>
      </w:r>
    </w:p>
    <w:p w:rsidR="00B83504" w:rsidRDefault="00B55645">
      <w:pPr>
        <w:pStyle w:val="Text1"/>
        <w:ind w:left="0"/>
        <w:rPr>
          <w:noProof/>
        </w:rPr>
      </w:pPr>
      <w:r>
        <w:rPr>
          <w:noProof/>
        </w:rPr>
        <w:t>The findings reported above support the hypothesis of some improvement in the targeting of control activities, which could be underpinned and made durable by the implementation of the recommendations that have been made in last ye</w:t>
      </w:r>
      <w:r>
        <w:rPr>
          <w:noProof/>
        </w:rPr>
        <w:t>ar's Report</w:t>
      </w:r>
      <w:r>
        <w:rPr>
          <w:rStyle w:val="FootnoteReference"/>
          <w:noProof/>
          <w:color w:val="000000" w:themeColor="text1"/>
          <w:szCs w:val="24"/>
        </w:rPr>
        <w:footnoteReference w:id="12"/>
      </w:r>
      <w:r>
        <w:rPr>
          <w:noProof/>
        </w:rPr>
        <w:t>, in particular concerning risk analysis.</w:t>
      </w:r>
    </w:p>
    <w:p w:rsidR="00B83504" w:rsidRDefault="00B55645">
      <w:pPr>
        <w:pStyle w:val="ManualHeading3"/>
        <w:rPr>
          <w:noProof/>
        </w:rPr>
      </w:pPr>
      <w:bookmarkStart w:id="18" w:name="_Toc13152062"/>
      <w:r>
        <w:rPr>
          <w:noProof/>
        </w:rPr>
        <w:t>4.1.1.</w:t>
      </w:r>
      <w:r>
        <w:rPr>
          <w:noProof/>
        </w:rPr>
        <w:tab/>
        <w:t>Irregularities reported as fraudulent</w:t>
      </w:r>
      <w:bookmarkEnd w:id="12"/>
      <w:bookmarkEnd w:id="13"/>
      <w:bookmarkEnd w:id="14"/>
      <w:bookmarkEnd w:id="15"/>
      <w:bookmarkEnd w:id="16"/>
      <w:bookmarkEnd w:id="17"/>
      <w:bookmarkEnd w:id="18"/>
    </w:p>
    <w:p w:rsidR="00B83504" w:rsidRDefault="00B55645">
      <w:pPr>
        <w:pStyle w:val="ManualHeading4"/>
        <w:rPr>
          <w:noProof/>
        </w:rPr>
      </w:pPr>
      <w:bookmarkStart w:id="19" w:name="_Toc424911574"/>
      <w:bookmarkStart w:id="20" w:name="_Toc13152063"/>
      <w:r>
        <w:rPr>
          <w:noProof/>
        </w:rPr>
        <w:t>4.1.1.1.</w:t>
      </w:r>
      <w:r>
        <w:rPr>
          <w:noProof/>
        </w:rPr>
        <w:tab/>
        <w:t>Trend by programming period</w:t>
      </w:r>
      <w:bookmarkEnd w:id="19"/>
      <w:bookmarkEnd w:id="20"/>
    </w:p>
    <w:p w:rsidR="00B83504" w:rsidRDefault="00B55645">
      <w:pPr>
        <w:pStyle w:val="Text1"/>
        <w:ind w:left="0"/>
        <w:rPr>
          <w:i/>
          <w:noProof/>
        </w:rPr>
      </w:pPr>
      <w:r>
        <w:rPr>
          <w:noProof/>
        </w:rPr>
        <w:t xml:space="preserve">Table CP4 provides an overview by PP and fund of the irregularities reported as fraudulent in the last five years </w:t>
      </w:r>
      <w:r>
        <w:rPr>
          <w:noProof/>
        </w:rPr>
        <w:t>(2014-2018). In some cases, the Member States reported irregularities as non- fraudulent, while a penal procedure had been started. This may be due to the need to wait for some procedural steps before classifying the irregularity as fraudulent. These cases</w:t>
      </w:r>
      <w:r>
        <w:rPr>
          <w:noProof/>
        </w:rPr>
        <w:t xml:space="preserve"> are not included as fraudulent in the analysis for this Report; considering them as such would increase the number of fraudulent irregularities by about 9% (3% in terms of financial amounts involved).</w:t>
      </w:r>
    </w:p>
    <w:p w:rsidR="00B83504" w:rsidRDefault="00B55645">
      <w:pPr>
        <w:pStyle w:val="Text1"/>
        <w:ind w:left="0"/>
        <w:rPr>
          <w:noProof/>
        </w:rPr>
      </w:pPr>
      <w:r>
        <w:rPr>
          <w:noProof/>
        </w:rPr>
        <w:t>Irregularities reported as fraudulent have been follow</w:t>
      </w:r>
      <w:r>
        <w:rPr>
          <w:noProof/>
        </w:rPr>
        <w:t>ing a stable trend since 2016. With respect to the peak in 2015, the number of the irregularities reported in 2018 has decreased by just 11%, while it is still 41% higher than the level in 2014.</w:t>
      </w:r>
    </w:p>
    <w:p w:rsidR="00B83504" w:rsidRDefault="00B55645">
      <w:pPr>
        <w:pStyle w:val="Text1"/>
        <w:ind w:left="0"/>
        <w:rPr>
          <w:noProof/>
        </w:rPr>
      </w:pPr>
      <w:r>
        <w:rPr>
          <w:noProof/>
        </w:rPr>
        <w:t>This is the result of different dynamics with reference to di</w:t>
      </w:r>
      <w:r>
        <w:rPr>
          <w:noProof/>
        </w:rPr>
        <w:t>fferent programming periods. During the last five years, while the fraudulent irregularities linked to the PP 2000-06 have been decreasing to reach nearly 0 since 2016, those linked to the PP 2007-13 have peaked in 2015, gradually decreased in the followin</w:t>
      </w:r>
      <w:r>
        <w:rPr>
          <w:noProof/>
        </w:rPr>
        <w:t>g years and dropped in 2018 so that in this year they were overcome by those related to PP 2014-2020. These dynamics were linked to the implementation cycle of PP 2007-2013 and the closure of PP 2000-2006. Reporting related to PP 2014-2020 basically starte</w:t>
      </w:r>
      <w:r>
        <w:rPr>
          <w:noProof/>
        </w:rPr>
        <w:t>d in 2017 and accelerated in 2018. Nearly 20% of all cases reported in 2018 were reported as fraudulent (about 15% for the period 2015-2018). These percentages are significantly higher than those referring to PP 2007-2013. This tendency to focusing on frau</w:t>
      </w:r>
      <w:r>
        <w:rPr>
          <w:noProof/>
        </w:rPr>
        <w:t>dulent behaviours is analysed further in the next Sections.</w:t>
      </w:r>
    </w:p>
    <w:p w:rsidR="00B83504" w:rsidRDefault="00B55645">
      <w:pPr>
        <w:pStyle w:val="Text1"/>
        <w:ind w:left="0"/>
        <w:rPr>
          <w:noProof/>
        </w:rPr>
      </w:pPr>
      <w:r>
        <w:rPr>
          <w:noProof/>
          <w:lang w:val="fr-BE" w:eastAsia="fr-BE"/>
        </w:rPr>
        <w:drawing>
          <wp:inline distT="0" distB="0" distL="0" distR="0">
            <wp:extent cx="4336311" cy="4839201"/>
            <wp:effectExtent l="0" t="0" r="762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4299" cy="4848115"/>
                    </a:xfrm>
                    <a:prstGeom prst="rect">
                      <a:avLst/>
                    </a:prstGeom>
                    <a:noFill/>
                    <a:ln>
                      <a:noFill/>
                    </a:ln>
                  </pic:spPr>
                </pic:pic>
              </a:graphicData>
            </a:graphic>
          </wp:inline>
        </w:drawing>
      </w:r>
    </w:p>
    <w:p w:rsidR="00B83504" w:rsidRDefault="00B55645">
      <w:pPr>
        <w:pStyle w:val="Text1"/>
        <w:ind w:left="0"/>
        <w:rPr>
          <w:noProof/>
        </w:rPr>
      </w:pPr>
      <w:r>
        <w:rPr>
          <w:noProof/>
        </w:rPr>
        <w:t xml:space="preserve">Table CP5 provides an overview by PP and Fund of the financial amounts involved in cases reported as fraudulent. As already indicated on several occasions, the trend of the financial amounts is </w:t>
      </w:r>
      <w:r>
        <w:rPr>
          <w:noProof/>
        </w:rPr>
        <w:t>more subject to fluctuations due to the possibility of individual cases involving high amounts. While the number of irregularities peaked in 2015, the involved financial amounts resumed strong growth in 2017 and skyrocketed in 2018. Growth in 2017 was main</w:t>
      </w:r>
      <w:r>
        <w:rPr>
          <w:noProof/>
        </w:rPr>
        <w:t>ly pushed by PP 2007-2013 (all funds). In 2018, PP 2007-2013 continued to contribute to growth through the ESF, whose financial amounts increased again, but this was due to one case reported by Portugal, where exceptional financial amounts were involved. F</w:t>
      </w:r>
      <w:r>
        <w:rPr>
          <w:noProof/>
        </w:rPr>
        <w:t>or PP 2014-2020, as it could be expected, in 2018 the financial amounts involved in fraudulent irregularities increased for all funds, but the increase related to the ERDF was extreme. This was mainly due to two irregularities reported by Slovakia, account</w:t>
      </w:r>
      <w:r>
        <w:rPr>
          <w:noProof/>
        </w:rPr>
        <w:t>ing for nearly EUR 600 million. However, also net of these cases, the financial amounts involved in ERDF cases would have increase by about EUR 107 million, which is still significant.</w:t>
      </w:r>
    </w:p>
    <w:p w:rsidR="00B83504" w:rsidRDefault="00B55645">
      <w:pPr>
        <w:rPr>
          <w:noProof/>
          <w:lang w:val="fr-BE"/>
        </w:rPr>
      </w:pPr>
      <w:r>
        <w:rPr>
          <w:noProof/>
          <w:lang w:val="fr-BE" w:eastAsia="fr-BE"/>
        </w:rPr>
        <w:drawing>
          <wp:inline distT="0" distB="0" distL="0" distR="0">
            <wp:extent cx="5038256" cy="4978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790" cy="4980904"/>
                    </a:xfrm>
                    <a:prstGeom prst="rect">
                      <a:avLst/>
                    </a:prstGeom>
                    <a:noFill/>
                    <a:ln>
                      <a:noFill/>
                    </a:ln>
                  </pic:spPr>
                </pic:pic>
              </a:graphicData>
            </a:graphic>
          </wp:inline>
        </w:drawing>
      </w:r>
    </w:p>
    <w:p w:rsidR="00B83504" w:rsidRDefault="00B55645">
      <w:pPr>
        <w:pStyle w:val="Text1"/>
        <w:ind w:left="0"/>
        <w:rPr>
          <w:noProof/>
        </w:rPr>
      </w:pPr>
      <w:r>
        <w:rPr>
          <w:noProof/>
        </w:rPr>
        <w:t xml:space="preserve">Focusing on PP 2007-2013, the financial amounts involved in </w:t>
      </w:r>
      <w:r>
        <w:rPr>
          <w:noProof/>
        </w:rPr>
        <w:t>irregularities reported as fraudulent for the ERDF were predominant (79% in 2014-2018), also due to the high share of EU financing that is channel through this fund. A similar trend was emerging also with reference to PP 2014-2020.</w:t>
      </w:r>
    </w:p>
    <w:p w:rsidR="00B83504" w:rsidRDefault="00B55645">
      <w:pPr>
        <w:pStyle w:val="ManualHeading4"/>
        <w:rPr>
          <w:noProof/>
        </w:rPr>
      </w:pPr>
      <w:bookmarkStart w:id="21" w:name="_Toc424911575"/>
      <w:bookmarkStart w:id="22" w:name="_Toc13152064"/>
      <w:r>
        <w:rPr>
          <w:noProof/>
        </w:rPr>
        <w:t>4.1.1.2.</w:t>
      </w:r>
      <w:r>
        <w:rPr>
          <w:noProof/>
        </w:rPr>
        <w:tab/>
        <w:t>Trend by Fund</w:t>
      </w:r>
      <w:bookmarkEnd w:id="21"/>
      <w:bookmarkEnd w:id="22"/>
    </w:p>
    <w:p w:rsidR="00B83504" w:rsidRDefault="00B55645">
      <w:pPr>
        <w:pStyle w:val="Text1"/>
        <w:ind w:left="0"/>
        <w:rPr>
          <w:noProof/>
        </w:rPr>
      </w:pPr>
      <w:r>
        <w:rPr>
          <w:noProof/>
        </w:rPr>
        <w:t>T</w:t>
      </w:r>
      <w:r>
        <w:rPr>
          <w:noProof/>
        </w:rPr>
        <w:t>he analysis of the same data presented in Tables CP4 and CP5 but focussed on the distribution of the irregularities reported as fraudulent by Fund (Tables CP6 and CP7), highlights the following situations:</w:t>
      </w:r>
    </w:p>
    <w:p w:rsidR="00B83504" w:rsidRDefault="00B55645">
      <w:pPr>
        <w:pStyle w:val="Point1number"/>
        <w:numPr>
          <w:ilvl w:val="2"/>
          <w:numId w:val="7"/>
        </w:numPr>
        <w:tabs>
          <w:tab w:val="clear" w:pos="1417"/>
        </w:tabs>
        <w:ind w:left="426" w:hanging="426"/>
        <w:rPr>
          <w:noProof/>
        </w:rPr>
      </w:pPr>
      <w:r>
        <w:rPr>
          <w:noProof/>
        </w:rPr>
        <w:t>ERDF: This fund was impacted by the highest number</w:t>
      </w:r>
      <w:r>
        <w:rPr>
          <w:noProof/>
        </w:rPr>
        <w:t xml:space="preserve"> of cases and absolute financial amounts (but not relative to payments). 2015 witnessed a jump in the total number of irregularities (+98% with respect to 2014). Since then, the number of fraudulent irregularities detected in the Member States remained at </w:t>
      </w:r>
      <w:r>
        <w:rPr>
          <w:noProof/>
        </w:rPr>
        <w:t>this new higher level. In 2018, this was possible because the drop of new cases related to PP 2007-2013 was compensated by the sharp rise of the number of irregularities detected in relation to PP 2014-2020 (see also Section 4.1.3 about a comparison betwee</w:t>
      </w:r>
      <w:r>
        <w:rPr>
          <w:noProof/>
        </w:rPr>
        <w:t xml:space="preserve">n PP 2007-2013 and PP 2014-2020). </w:t>
      </w:r>
    </w:p>
    <w:p w:rsidR="00B83504" w:rsidRDefault="00B55645">
      <w:pPr>
        <w:pStyle w:val="Point1number"/>
        <w:numPr>
          <w:ilvl w:val="0"/>
          <w:numId w:val="0"/>
        </w:numPr>
        <w:ind w:left="426"/>
        <w:rPr>
          <w:noProof/>
        </w:rPr>
      </w:pPr>
      <w:r>
        <w:rPr>
          <w:noProof/>
        </w:rPr>
        <w:t>Instead of peaking in 2015, the financial amounts continued to increase until 2018, when they litteraly burst. The extreme rise in 2018 was strongly influenced by the two irregularities reported by Slovakia (summing up to</w:t>
      </w:r>
      <w:r>
        <w:rPr>
          <w:noProof/>
        </w:rPr>
        <w:t xml:space="preserve"> nearly EUR 600 million). However, even net of these two cases, the increase from 2017 would still be noticeable (+31%). The AFA significantly increased during 2016-2018, by about 20% each year (considering 2018 net of 2 cases where exceptional financial a</w:t>
      </w:r>
      <w:r>
        <w:rPr>
          <w:noProof/>
        </w:rPr>
        <w:t>mounts were involved – see also Graph CP5b);</w:t>
      </w:r>
    </w:p>
    <w:p w:rsidR="00B83504" w:rsidRDefault="00B55645">
      <w:pPr>
        <w:pStyle w:val="Point1number"/>
        <w:numPr>
          <w:ilvl w:val="2"/>
          <w:numId w:val="7"/>
        </w:numPr>
        <w:tabs>
          <w:tab w:val="clear" w:pos="1417"/>
        </w:tabs>
        <w:ind w:left="426" w:hanging="426"/>
        <w:rPr>
          <w:noProof/>
        </w:rPr>
      </w:pPr>
      <w:r>
        <w:rPr>
          <w:noProof/>
        </w:rPr>
        <w:t>ESF: 2015 witnessed a peak in the total number of irregularities (+18% with respect to 2014), after which it declined at a sustained pace. The variations in the related financial amounts were much more accentuat</w:t>
      </w:r>
      <w:r>
        <w:rPr>
          <w:noProof/>
        </w:rPr>
        <w:t xml:space="preserve">ed and did not necessarily follow the changes in numbers. </w:t>
      </w:r>
    </w:p>
    <w:p w:rsidR="00B83504" w:rsidRDefault="00B55645">
      <w:pPr>
        <w:pStyle w:val="Point1number"/>
        <w:numPr>
          <w:ilvl w:val="0"/>
          <w:numId w:val="0"/>
        </w:numPr>
        <w:ind w:left="426"/>
        <w:rPr>
          <w:noProof/>
        </w:rPr>
      </w:pPr>
      <w:r>
        <w:rPr>
          <w:noProof/>
        </w:rPr>
        <w:t>In 2015, the financial amounts recorded an increase of nearly 500%. This was influenced by a sudden, isolated and extreme rise related to PP 2000-2006, based on 2 'exceptional' irregularities repor</w:t>
      </w:r>
      <w:r>
        <w:rPr>
          <w:noProof/>
        </w:rPr>
        <w:t>ted by Italy and accounting for more than EUR 40 million (out of EUR 48 million). In addition, while the number of cases related to PP 2007-2013 increased by 50%, the financial amounts increased nearly fourfold. Also in this case, the disproportionate rise</w:t>
      </w:r>
      <w:r>
        <w:rPr>
          <w:noProof/>
        </w:rPr>
        <w:t xml:space="preserve"> of the financial amounts was mainly due to one 'exceptional' irregularity, this time reported by Portugal.</w:t>
      </w:r>
      <w:r>
        <w:rPr>
          <w:rStyle w:val="FootnoteReference"/>
          <w:noProof/>
        </w:rPr>
        <w:footnoteReference w:id="13"/>
      </w:r>
      <w:r>
        <w:rPr>
          <w:noProof/>
        </w:rPr>
        <w:t xml:space="preserve"> The following two years, the financial amounts dropped back, before bouncing up in 2018 (+188% with respect to 2017). Again, this jump in 2018 was </w:t>
      </w:r>
      <w:r>
        <w:rPr>
          <w:noProof/>
        </w:rPr>
        <w:t>due to one irregularity reported by Portugal where exceptional financial amounts were involved</w:t>
      </w:r>
      <w:r>
        <w:rPr>
          <w:rStyle w:val="FootnoteReference"/>
          <w:noProof/>
        </w:rPr>
        <w:footnoteReference w:id="14"/>
      </w:r>
      <w:r>
        <w:rPr>
          <w:noProof/>
        </w:rPr>
        <w:t>;</w:t>
      </w:r>
    </w:p>
    <w:p w:rsidR="00B83504" w:rsidRDefault="00B55645">
      <w:pPr>
        <w:pStyle w:val="Point1number"/>
        <w:numPr>
          <w:ilvl w:val="2"/>
          <w:numId w:val="7"/>
        </w:numPr>
        <w:tabs>
          <w:tab w:val="clear" w:pos="1417"/>
        </w:tabs>
        <w:ind w:left="426" w:hanging="426"/>
        <w:rPr>
          <w:noProof/>
        </w:rPr>
      </w:pPr>
      <w:r>
        <w:rPr>
          <w:noProof/>
        </w:rPr>
        <w:t>Potential frauds affecting the Cohesion fund are now reported regularly (since 2010), and from 2016 to 2018 they tripled, in terms of number, and more than dou</w:t>
      </w:r>
      <w:r>
        <w:rPr>
          <w:noProof/>
        </w:rPr>
        <w:t>bled, in terms of financial amounts. Fluctuations of the amounts, however, can be particularly significant in respect of these cases, because of fewer cases and high amounts involved in the projects financed by the Cohesion Fund.</w:t>
      </w:r>
    </w:p>
    <w:p w:rsidR="00B83504" w:rsidRDefault="00B55645">
      <w:pPr>
        <w:rPr>
          <w:noProof/>
        </w:rPr>
      </w:pPr>
      <w:r>
        <w:rPr>
          <w:noProof/>
          <w:lang w:val="fr-BE" w:eastAsia="fr-BE"/>
        </w:rPr>
        <w:drawing>
          <wp:inline distT="0" distB="0" distL="0" distR="0">
            <wp:extent cx="5731510" cy="4837709"/>
            <wp:effectExtent l="0" t="0" r="2540"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837709"/>
                    </a:xfrm>
                    <a:prstGeom prst="rect">
                      <a:avLst/>
                    </a:prstGeom>
                    <a:noFill/>
                    <a:ln>
                      <a:noFill/>
                    </a:ln>
                  </pic:spPr>
                </pic:pic>
              </a:graphicData>
            </a:graphic>
          </wp:inline>
        </w:drawing>
      </w:r>
    </w:p>
    <w:p w:rsidR="00B83504" w:rsidRDefault="00B55645">
      <w:pPr>
        <w:rPr>
          <w:noProof/>
          <w:lang w:val="fr-BE"/>
        </w:rPr>
      </w:pPr>
      <w:r>
        <w:rPr>
          <w:noProof/>
          <w:lang w:val="fr-BE" w:eastAsia="fr-BE"/>
        </w:rPr>
        <w:drawing>
          <wp:inline distT="0" distB="0" distL="0" distR="0">
            <wp:extent cx="5731510" cy="4836030"/>
            <wp:effectExtent l="0" t="0" r="2540"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836030"/>
                    </a:xfrm>
                    <a:prstGeom prst="rect">
                      <a:avLst/>
                    </a:prstGeom>
                    <a:noFill/>
                    <a:ln>
                      <a:noFill/>
                    </a:ln>
                  </pic:spPr>
                </pic:pic>
              </a:graphicData>
            </a:graphic>
          </wp:inline>
        </w:drawing>
      </w:r>
    </w:p>
    <w:p w:rsidR="00B83504" w:rsidRDefault="00B55645">
      <w:pPr>
        <w:pStyle w:val="ManualHeading3"/>
        <w:rPr>
          <w:noProof/>
        </w:rPr>
      </w:pPr>
      <w:bookmarkStart w:id="23" w:name="_Toc424911577"/>
      <w:bookmarkStart w:id="24" w:name="_Toc453345598"/>
      <w:bookmarkStart w:id="25" w:name="_Toc485146197"/>
      <w:bookmarkStart w:id="26" w:name="_Toc485146504"/>
      <w:bookmarkStart w:id="27" w:name="_Toc486928850"/>
      <w:bookmarkStart w:id="28" w:name="_Toc510691068"/>
      <w:bookmarkStart w:id="29" w:name="_Toc13152065"/>
      <w:r>
        <w:rPr>
          <w:noProof/>
        </w:rPr>
        <w:t>4.1.2.</w:t>
      </w:r>
      <w:r>
        <w:rPr>
          <w:noProof/>
        </w:rPr>
        <w:tab/>
        <w:t xml:space="preserve">Irregularities </w:t>
      </w:r>
      <w:r>
        <w:rPr>
          <w:noProof/>
        </w:rPr>
        <w:t>not reported as fraudulent</w:t>
      </w:r>
      <w:bookmarkEnd w:id="23"/>
      <w:bookmarkEnd w:id="24"/>
      <w:bookmarkEnd w:id="25"/>
      <w:bookmarkEnd w:id="26"/>
      <w:bookmarkEnd w:id="27"/>
      <w:bookmarkEnd w:id="28"/>
      <w:bookmarkEnd w:id="29"/>
    </w:p>
    <w:p w:rsidR="00B83504" w:rsidRDefault="00B55645">
      <w:pPr>
        <w:pStyle w:val="Text1"/>
        <w:ind w:left="0"/>
        <w:rPr>
          <w:noProof/>
        </w:rPr>
      </w:pPr>
      <w:r>
        <w:rPr>
          <w:noProof/>
        </w:rPr>
        <w:t>Table CP8 provides an overview by PP and fund of the irregularities not reported as fraudulent in the last five years (2014-2018). Table CP9 shows the financial amounts involved in these irregularities. Once more, as already ment</w:t>
      </w:r>
      <w:r>
        <w:rPr>
          <w:noProof/>
        </w:rPr>
        <w:t xml:space="preserve">ioned several times in relation to the financial amounts, fluctuations can happen more often, as they can be linked to individual irregularities or groups of irregularities of significant value, which produce distortive effects from one year to the next. </w:t>
      </w:r>
    </w:p>
    <w:p w:rsidR="00B83504" w:rsidRDefault="00B55645">
      <w:pPr>
        <w:pStyle w:val="Text1"/>
        <w:ind w:left="0"/>
        <w:rPr>
          <w:noProof/>
        </w:rPr>
      </w:pPr>
      <w:r>
        <w:rPr>
          <w:noProof/>
        </w:rPr>
        <w:t xml:space="preserve">The reasons behind the high increase in 2015 have already been explained under Section 4.1. </w:t>
      </w:r>
    </w:p>
    <w:p w:rsidR="00B83504" w:rsidRDefault="00B55645">
      <w:pPr>
        <w:pStyle w:val="Text1"/>
        <w:ind w:left="0"/>
        <w:rPr>
          <w:noProof/>
        </w:rPr>
      </w:pPr>
      <w:r>
        <w:rPr>
          <w:noProof/>
        </w:rPr>
        <w:t>After 2015, the decrease in the number of irregularities related to PP 2007-2013 was fast for the ERDF (as from 2016 and accelerating in 2017), the ESF (as from 20</w:t>
      </w:r>
      <w:r>
        <w:rPr>
          <w:noProof/>
        </w:rPr>
        <w:t>17) and the CF (as from 2016 and accelerating in 2018).</w:t>
      </w:r>
      <w:r>
        <w:rPr>
          <w:rStyle w:val="FootnoteReference"/>
          <w:noProof/>
        </w:rPr>
        <w:footnoteReference w:id="15"/>
      </w:r>
      <w:r>
        <w:rPr>
          <w:noProof/>
        </w:rPr>
        <w:t xml:space="preserve"> The financial amounts followed a different pattern and increased further in 2016, before rapidly falling as from 2017, but not as much as the number of irregularities. </w:t>
      </w:r>
    </w:p>
    <w:p w:rsidR="00B83504" w:rsidRDefault="00B55645">
      <w:pPr>
        <w:pStyle w:val="Text1"/>
        <w:ind w:left="0"/>
        <w:rPr>
          <w:noProof/>
        </w:rPr>
      </w:pPr>
      <w:r>
        <w:rPr>
          <w:noProof/>
          <w:lang w:val="fr-BE" w:eastAsia="fr-BE"/>
        </w:rPr>
        <w:drawing>
          <wp:inline distT="0" distB="0" distL="0" distR="0">
            <wp:extent cx="4647917" cy="6117771"/>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6593" cy="6116028"/>
                    </a:xfrm>
                    <a:prstGeom prst="rect">
                      <a:avLst/>
                    </a:prstGeom>
                    <a:noFill/>
                    <a:ln>
                      <a:noFill/>
                    </a:ln>
                  </pic:spPr>
                </pic:pic>
              </a:graphicData>
            </a:graphic>
          </wp:inline>
        </w:drawing>
      </w:r>
    </w:p>
    <w:p w:rsidR="00B83504" w:rsidRDefault="00B55645">
      <w:pPr>
        <w:pStyle w:val="Text1"/>
        <w:ind w:left="0"/>
        <w:rPr>
          <w:noProof/>
        </w:rPr>
      </w:pPr>
      <w:r>
        <w:rPr>
          <w:noProof/>
        </w:rPr>
        <w:t>The AFAs for PP 2007-2013 ha</w:t>
      </w:r>
      <w:r>
        <w:rPr>
          <w:noProof/>
        </w:rPr>
        <w:t>ve been experiencing different trends depending on the Fund: for the CF they have been decreasing since 2017, while for the ESF, 2018 is the first year of decrease after two years of rise. The AFAs of the ERDF have instead been increasing at an accelerated</w:t>
      </w:r>
      <w:r>
        <w:rPr>
          <w:noProof/>
        </w:rPr>
        <w:t xml:space="preserve"> pace since 2016 (+23% in 2016, +42% in 2017 and +88% in 2018). As mentioned, these trends are influenced by few irregularities where 'exceptional' financial amounts were involved. Considering the fact that irregularities reported as fraudulent usually imp</w:t>
      </w:r>
      <w:r>
        <w:rPr>
          <w:noProof/>
        </w:rPr>
        <w:t xml:space="preserve">ly higher financial amounts, one may suppose that some of the cases notified as non-fraudulent might be reclassified later as potentially fraudulent. </w:t>
      </w:r>
    </w:p>
    <w:p w:rsidR="00B83504" w:rsidRDefault="00B55645">
      <w:pPr>
        <w:pStyle w:val="Text1"/>
        <w:ind w:left="0"/>
        <w:rPr>
          <w:noProof/>
        </w:rPr>
      </w:pPr>
      <w:r>
        <w:rPr>
          <w:noProof/>
        </w:rPr>
        <w:t>The financial amounts reported in relation to PP 2000-2006 are fading towards zero. In 2016, the reportin</w:t>
      </w:r>
      <w:r>
        <w:rPr>
          <w:noProof/>
        </w:rPr>
        <w:t>g of irregularities referring to PP 2014-2020 started and increased in 2017 and 2018, as implementation was progressing. Number and financial amounts were still low, but they can be expected to grow during next years, in line with the implementation cycle.</w:t>
      </w:r>
      <w:r>
        <w:rPr>
          <w:noProof/>
        </w:rPr>
        <w:t xml:space="preserve"> Taking all Funds together, during the period 2014-2018, the AFA for PP 2014-2020 was quite lower than for PP 2007-2013.</w:t>
      </w:r>
    </w:p>
    <w:p w:rsidR="00B83504" w:rsidRDefault="00B55645">
      <w:pPr>
        <w:pStyle w:val="Text1"/>
        <w:ind w:left="0"/>
        <w:rPr>
          <w:noProof/>
        </w:rPr>
      </w:pPr>
      <w:r>
        <w:rPr>
          <w:noProof/>
          <w:lang w:val="fr-BE" w:eastAsia="fr-BE"/>
        </w:rPr>
        <w:drawing>
          <wp:inline distT="0" distB="0" distL="0" distR="0">
            <wp:extent cx="5029200" cy="53554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4369" cy="5360938"/>
                    </a:xfrm>
                    <a:prstGeom prst="rect">
                      <a:avLst/>
                    </a:prstGeom>
                    <a:noFill/>
                    <a:ln>
                      <a:noFill/>
                    </a:ln>
                  </pic:spPr>
                </pic:pic>
              </a:graphicData>
            </a:graphic>
          </wp:inline>
        </w:drawing>
      </w:r>
    </w:p>
    <w:p w:rsidR="00B83504" w:rsidRDefault="00B55645">
      <w:pPr>
        <w:pStyle w:val="Text1"/>
        <w:ind w:left="0"/>
        <w:rPr>
          <w:noProof/>
        </w:rPr>
      </w:pPr>
      <w:r>
        <w:rPr>
          <w:noProof/>
        </w:rPr>
        <w:t>Graph CP6d in Section 4.1 shows, for the different funds, the 'core' trend of AFAs of irregularities not reported as fraudulent, taki</w:t>
      </w:r>
      <w:r>
        <w:rPr>
          <w:noProof/>
        </w:rPr>
        <w:t>ng PP 2007-2013 and PP2014-2020 together. AFA of CF strongly increased until 2017, before falling in 2018. Also the AFA of ERDF, which was constantly and significantly lower than that of CF, increased until 2017, but remained stable in 2018. The AFA of ESF</w:t>
      </w:r>
      <w:r>
        <w:rPr>
          <w:noProof/>
        </w:rPr>
        <w:t xml:space="preserve"> and EFF/EMFF followed a flatter trend, which was still slightly increasing for ESF.</w:t>
      </w:r>
    </w:p>
    <w:p w:rsidR="00B83504" w:rsidRDefault="00B55645">
      <w:pPr>
        <w:pStyle w:val="ManualHeading3"/>
        <w:rPr>
          <w:noProof/>
        </w:rPr>
      </w:pPr>
      <w:bookmarkStart w:id="30" w:name="_Toc13152066"/>
      <w:r>
        <w:rPr>
          <w:noProof/>
        </w:rPr>
        <w:t>4.1.3. Irregularities reported in relation to the PP 2014-2020: comparison with PP 2007-2013</w:t>
      </w:r>
      <w:bookmarkEnd w:id="30"/>
    </w:p>
    <w:p w:rsidR="00B83504" w:rsidRDefault="00B55645">
      <w:pPr>
        <w:pStyle w:val="Text1"/>
        <w:ind w:left="0"/>
        <w:rPr>
          <w:noProof/>
        </w:rPr>
      </w:pPr>
      <w:r>
        <w:rPr>
          <w:noProof/>
        </w:rPr>
        <w:t>The current Programming Period started in 2014, about 5 years ago. Reporting o</w:t>
      </w:r>
      <w:r>
        <w:rPr>
          <w:noProof/>
        </w:rPr>
        <w:t xml:space="preserve">f irregularities basically started in 2016 and increased in 2017 and 2018 (see Table CP2). To put this trend into perspective, it is worth comparing it with the number and financial amounts of the irregularities that were recorded during the first 5 years </w:t>
      </w:r>
      <w:r>
        <w:rPr>
          <w:noProof/>
        </w:rPr>
        <w:t>of PP 2007-2013. Tables CP10 and CP11 provide this information.</w:t>
      </w:r>
      <w:r>
        <w:rPr>
          <w:rStyle w:val="FootnoteReference"/>
          <w:noProof/>
        </w:rPr>
        <w:footnoteReference w:id="16"/>
      </w:r>
    </w:p>
    <w:p w:rsidR="00B83504" w:rsidRDefault="00B55645">
      <w:pPr>
        <w:pStyle w:val="Text1"/>
        <w:ind w:left="0"/>
        <w:rPr>
          <w:noProof/>
        </w:rPr>
      </w:pPr>
      <w:r>
        <w:rPr>
          <w:noProof/>
          <w:lang w:val="fr-BE" w:eastAsia="fr-BE"/>
        </w:rPr>
        <w:drawing>
          <wp:inline distT="0" distB="0" distL="0" distR="0">
            <wp:extent cx="3588482" cy="1277257"/>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8681" cy="1277328"/>
                    </a:xfrm>
                    <a:prstGeom prst="rect">
                      <a:avLst/>
                    </a:prstGeom>
                    <a:noFill/>
                    <a:ln>
                      <a:noFill/>
                    </a:ln>
                  </pic:spPr>
                </pic:pic>
              </a:graphicData>
            </a:graphic>
          </wp:inline>
        </w:drawing>
      </w:r>
    </w:p>
    <w:p w:rsidR="00B83504" w:rsidRDefault="00B83504">
      <w:pPr>
        <w:pStyle w:val="Text1"/>
        <w:ind w:left="0"/>
        <w:rPr>
          <w:noProof/>
        </w:rPr>
      </w:pPr>
    </w:p>
    <w:p w:rsidR="00B83504" w:rsidRDefault="00B55645">
      <w:pPr>
        <w:pStyle w:val="Text1"/>
        <w:ind w:left="0"/>
        <w:rPr>
          <w:noProof/>
        </w:rPr>
      </w:pPr>
      <w:r>
        <w:rPr>
          <w:noProof/>
          <w:lang w:val="fr-BE" w:eastAsia="fr-BE"/>
        </w:rPr>
        <w:drawing>
          <wp:inline distT="0" distB="0" distL="0" distR="0">
            <wp:extent cx="3718551" cy="1299028"/>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8758" cy="1299100"/>
                    </a:xfrm>
                    <a:prstGeom prst="rect">
                      <a:avLst/>
                    </a:prstGeom>
                    <a:noFill/>
                    <a:ln>
                      <a:noFill/>
                    </a:ln>
                  </pic:spPr>
                </pic:pic>
              </a:graphicData>
            </a:graphic>
          </wp:inline>
        </w:drawing>
      </w:r>
    </w:p>
    <w:p w:rsidR="00B83504" w:rsidRDefault="00B55645">
      <w:pPr>
        <w:pStyle w:val="Text1"/>
        <w:ind w:left="0"/>
        <w:rPr>
          <w:noProof/>
        </w:rPr>
      </w:pPr>
      <w:r>
        <w:rPr>
          <w:noProof/>
        </w:rPr>
        <w:t>The following Graphs provide for an even more precise comparison based on the actual date of reporting.</w:t>
      </w:r>
      <w:r>
        <w:rPr>
          <w:rStyle w:val="FootnoteReference"/>
          <w:noProof/>
        </w:rPr>
        <w:footnoteReference w:id="17"/>
      </w:r>
      <w:r>
        <w:rPr>
          <w:noProof/>
        </w:rPr>
        <w:t xml:space="preserve"> In any case, it must be borne in mind that this comparison is affected by the fact that the irregularities related to PP 2007-2013 are more 'mature' than irregularities related to PP 2014-2020, which have been just reported. The number and the financial a</w:t>
      </w:r>
      <w:r>
        <w:rPr>
          <w:noProof/>
        </w:rPr>
        <w:t>mounts involved in the irregularities related to PP 2007-2013 are the result of several years of investigation (after detection) that brought into the picture additional information to confirm or refute the hypothesis that an irregularity had been perpetra</w:t>
      </w:r>
      <w:r>
        <w:rPr>
          <w:noProof/>
        </w:rPr>
        <w:t>ted</w:t>
      </w:r>
      <w:r>
        <w:rPr>
          <w:rStyle w:val="FootnoteReference"/>
          <w:noProof/>
        </w:rPr>
        <w:footnoteReference w:id="18"/>
      </w:r>
      <w:r>
        <w:rPr>
          <w:noProof/>
        </w:rPr>
        <w:t>, to classify the irregularity (fraudulent or non-fraudulent), to quantify the financial amounts actually involved, etc.</w:t>
      </w:r>
    </w:p>
    <w:p w:rsidR="00B83504" w:rsidRDefault="00B55645">
      <w:pPr>
        <w:pStyle w:val="Text1"/>
        <w:ind w:left="0"/>
        <w:rPr>
          <w:noProof/>
        </w:rPr>
      </w:pPr>
      <w:r>
        <w:rPr>
          <w:noProof/>
        </w:rPr>
        <w:t>As shown by Graph CP7, after about 5 years for the start of the programming period, the number of irregularities reported as fraudu</w:t>
      </w:r>
      <w:r>
        <w:rPr>
          <w:noProof/>
        </w:rPr>
        <w:t>lent was higher for PP 2014-2020 than for PP 2007-2013. There was a slower start of detection related to the current programming period, but during the fifth year of implementation there was a strong acceleration that filled the gap. The comparison is more</w:t>
      </w:r>
      <w:r>
        <w:rPr>
          <w:noProof/>
        </w:rPr>
        <w:t xml:space="preserve"> difficult in terms of financial amouts (see Graph CP8) because of the impact of a few cases with exceptional financial amounts involved. The financial amounts reported in relation to PP 2014-2020 are much higher than the previous PP, but there was a notic</w:t>
      </w:r>
      <w:r>
        <w:rPr>
          <w:noProof/>
        </w:rPr>
        <w:t>eable jump at the beginning the fifth year of implementation due to the two cases already mentioned above, which summed up to about EUR 600 million. However, it should be noticed that also PP 2007-2013 experienced a similar, even if smaller, jump, because,</w:t>
      </w:r>
      <w:r>
        <w:rPr>
          <w:noProof/>
        </w:rPr>
        <w:t xml:space="preserve"> at the end of the fourth year of implementation, a case where about EUR 120 million were involved was reported. Taking these outliers out of the analysis, the financial amounts involved in the fraudulent irregularities reported within PP 2014-2020 were st</w:t>
      </w:r>
      <w:r>
        <w:rPr>
          <w:noProof/>
        </w:rPr>
        <w:t>ill higher than the financial amounts reported within PP 2007-2013 during the same period after the start of the programming period.</w:t>
      </w:r>
    </w:p>
    <w:p w:rsidR="00B83504" w:rsidRDefault="00B55645">
      <w:pPr>
        <w:pStyle w:val="Text1"/>
        <w:ind w:left="0"/>
        <w:rPr>
          <w:noProof/>
        </w:rPr>
      </w:pPr>
      <w:r>
        <w:rPr>
          <w:noProof/>
          <w:lang w:val="fr-BE" w:eastAsia="fr-BE"/>
        </w:rPr>
        <mc:AlternateContent>
          <mc:Choice Requires="wps">
            <w:drawing>
              <wp:anchor distT="0" distB="0" distL="114300" distR="114300" simplePos="0" relativeHeight="251742208" behindDoc="0" locked="0" layoutInCell="1" allowOverlap="1">
                <wp:simplePos x="0" y="0"/>
                <wp:positionH relativeFrom="column">
                  <wp:posOffset>2150390</wp:posOffset>
                </wp:positionH>
                <wp:positionV relativeFrom="paragraph">
                  <wp:posOffset>1131722</wp:posOffset>
                </wp:positionV>
                <wp:extent cx="1185341" cy="2596821"/>
                <wp:effectExtent l="0" t="0" r="34290" b="32385"/>
                <wp:wrapNone/>
                <wp:docPr id="188" name="Straight Connector 188"/>
                <wp:cNvGraphicFramePr/>
                <a:graphic xmlns:a="http://schemas.openxmlformats.org/drawingml/2006/main">
                  <a:graphicData uri="http://schemas.microsoft.com/office/word/2010/wordprocessingShape">
                    <wps:wsp>
                      <wps:cNvCnPr/>
                      <wps:spPr>
                        <a:xfrm flipV="1">
                          <a:off x="0" y="0"/>
                          <a:ext cx="1185341" cy="2596821"/>
                        </a:xfrm>
                        <a:prstGeom prst="line">
                          <a:avLst/>
                        </a:prstGeom>
                        <a:ln w="254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D16B0D" id="Straight Connector 188"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3pt,89.1pt" to="262.65pt,2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eq8wEAADwEAAAOAAAAZHJzL2Uyb0RvYy54bWysU02P0zAQvSPxHyzfaZKyuypR0z20KhcE&#10;Fbtwdx07seQveUyT/nvGTho+hQQiByv2zHsz73m8fRyNJhcRQDnb0GpVUiIsd62yXUM/PR9fbSiB&#10;yGzLtLOioVcB9HH38sV28LVYu97pVgSCJBbqwTe0j9HXRQG8F4bBynlhMShdMCziNnRFG9iA7EYX&#10;67J8KAYXWh8cFwB4epiCdJf5pRQ8fpASRCS6odhbzGvI6zmtxW7L6i4w3ys+t8H+oQvDlMWiC9WB&#10;RUa+BPULlVE8OHAyrrgzhZNScZE1oJqq/EnNU8+8yFrQHPCLTfD/aPn7yykQ1eLdbfCqLDN4SU8x&#10;MNX1keydtWihCyRF0avBQ42QvT2FeQf+FJLwUQZDpFb+M1JlK1AcGbPT18VpMUbC8bCqNvev7ypK&#10;OMbW928eNusq8RcTUSL0AeJb4QxJPw3VyiYrWM0u7yBOqbeUdKwtGRLVXVnmNHBatUeldQpC6M57&#10;HciF4RgcjyV+c7Uf0hLfgUE/5cEVDi7Oedpic0n9pDf/xasWU+mPQqKHSddUO02vWAoyzoWNN33a&#10;YnaCSWxuAc5N/wk45yeoyJP9N+AFkSs7GxewUdaF37Udx1vLcsq/OTDpThacXXvNk5CtwRHNNzg/&#10;p/QGvt9n+LdHv/sKAAD//wMAUEsDBBQABgAIAAAAIQADsQZk4AAAAAsBAAAPAAAAZHJzL2Rvd25y&#10;ZXYueG1sTI/BTsMwDIbvSLxDZCRuLF2jblFpOiHEuE3AhgTHrMmaao1TNdlW3h5zYjdb/6ffn6vV&#10;5Ht2tmPsAiqYzzJgFptgOmwVfO7WDxJYTBqN7gNaBT82wqq+val0acIFP+x5m1pGJRhLrcClNJSc&#10;x8ZZr+MsDBYpO4TR60Tr2HIz6guV+57nWbbgXndIF5we7LOzzXF78gp2h83X9/v6rRBe5seNEy/8&#10;VWZK3d9NT4/Akp3SPwx/+qQONTntwwlNZL0CIeSCUAqWMgdGRJEXAtieBrmcA68rfv1D/QsAAP//&#10;AwBQSwECLQAUAAYACAAAACEAtoM4kv4AAADhAQAAEwAAAAAAAAAAAAAAAAAAAAAAW0NvbnRlbnRf&#10;VHlwZXNdLnhtbFBLAQItABQABgAIAAAAIQA4/SH/1gAAAJQBAAALAAAAAAAAAAAAAAAAAC8BAABf&#10;cmVscy8ucmVsc1BLAQItABQABgAIAAAAIQBFF1eq8wEAADwEAAAOAAAAAAAAAAAAAAAAAC4CAABk&#10;cnMvZTJvRG9jLnhtbFBLAQItABQABgAIAAAAIQADsQZk4AAAAAsBAAAPAAAAAAAAAAAAAAAAAE0E&#10;AABkcnMvZG93bnJldi54bWxQSwUGAAAAAAQABADzAAAAWgUAAAAA&#10;" strokecolor="red" strokeweight="2pt">
                <v:stroke dashstyle="1 1"/>
              </v:line>
            </w:pict>
          </mc:Fallback>
        </mc:AlternateContent>
      </w:r>
      <w:r>
        <w:rPr>
          <w:noProof/>
          <w:lang w:val="fr-BE" w:eastAsia="fr-BE"/>
        </w:rPr>
        <mc:AlternateContent>
          <mc:Choice Requires="wps">
            <w:drawing>
              <wp:anchor distT="0" distB="0" distL="114300" distR="114300" simplePos="0" relativeHeight="251740160" behindDoc="0" locked="0" layoutInCell="1" allowOverlap="1">
                <wp:simplePos x="0" y="0"/>
                <wp:positionH relativeFrom="column">
                  <wp:posOffset>651053</wp:posOffset>
                </wp:positionH>
                <wp:positionV relativeFrom="paragraph">
                  <wp:posOffset>2616708</wp:posOffset>
                </wp:positionV>
                <wp:extent cx="87782" cy="1602029"/>
                <wp:effectExtent l="0" t="0" r="26670" b="17780"/>
                <wp:wrapNone/>
                <wp:docPr id="187" name="Straight Connector 187"/>
                <wp:cNvGraphicFramePr/>
                <a:graphic xmlns:a="http://schemas.openxmlformats.org/drawingml/2006/main">
                  <a:graphicData uri="http://schemas.microsoft.com/office/word/2010/wordprocessingShape">
                    <wps:wsp>
                      <wps:cNvCnPr/>
                      <wps:spPr>
                        <a:xfrm flipV="1">
                          <a:off x="0" y="0"/>
                          <a:ext cx="87782" cy="1602029"/>
                        </a:xfrm>
                        <a:prstGeom prst="line">
                          <a:avLst/>
                        </a:prstGeom>
                        <a:ln w="254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411F7E" id="Straight Connector 187" o:spid="_x0000_s1026" style="position:absolute;flip:y;z-index:251740160;visibility:visible;mso-wrap-style:square;mso-wrap-distance-left:9pt;mso-wrap-distance-top:0;mso-wrap-distance-right:9pt;mso-wrap-distance-bottom:0;mso-position-horizontal:absolute;mso-position-horizontal-relative:text;mso-position-vertical:absolute;mso-position-vertical-relative:text" from="51.25pt,206.05pt" to="58.15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Lf9QEAADoEAAAOAAAAZHJzL2Uyb0RvYy54bWysU02v0zAQvCPxHyzfadIIXkvU9B1alQuC&#10;igfcXcdOLPlLa9M0/561kwYeiAOIHKzYOzu7M17vHm9Gk6uAoJxt6HpVUiIsd62yXUO/fD692lIS&#10;IrMt086Kho4i0Mf9yxe7wdeicr3TrQCCJDbUg29oH6OviyLwXhgWVs4Li0HpwLCIW+iKFtiA7EYX&#10;VVk+FIOD1oPjIgQ8PU5Bus/8UgoeP0oZRCS6odhbzCvk9ZLWYr9jdQfM94rPbbB/6MIwZbHoQnVk&#10;kZFvoH6jMoqDC07GFXemcFIqLrIGVLMuf1Hz1DMvshY0J/jFpvD/aPmH6xmIavHuthtKLDN4SU8R&#10;mOr6SA7OWrTQAUlR9GrwocaUgz3DvAv+DEn4TYIhUiv/FamyFSiO3LLT4+K0uEXC8XC72WwrSjhG&#10;1g9lVVZvE3sx0SQ6DyG+E86Q9NNQrWwygtXs+j7ECXqHpGNtydDQ6s3rssyw4LRqT0rrFAzQXQ4a&#10;yJXhEJxOJX5ztWewxHdkoZ9wYQxHF2ectthc0j6pzX9x1GIq/UlIdBBVTbrz7IqlIONc2LhemBCd&#10;0iQ2tyTOTaeh/1PijE+pIs/13yQvGbmys3FJNso6mCx7Xj3e7i3LCX93YNKdLLi4dsxzkK3BAc03&#10;OD+m9AJ+3uf0H09+/x0AAP//AwBQSwMEFAAGAAgAAAAhADlr18fgAAAACwEAAA8AAABkcnMvZG93&#10;bnJldi54bWxMj8tOwzAQRfdI/IM1SOyonUejKMSpEKLsKqBFgqUbT+Oo8TiK3Tb8Pe4KlldzdO+Z&#10;ejXbgZ1x8r0jCclCAENqne6pk/C5Wz+UwHxQpNXgCCX8oIdVc3tTq0q7C33geRs6FkvIV0qCCWGs&#10;OPetQav8wo1I8XZwk1UhxqnjelKXWG4HngpRcKt6igtGjfhssD1uT1bC7rD5+n5fvy0zW6bHjcle&#10;+GsppLy/m58egQWcwx8MV/2oDk102rsTac+GmEW6jKiEPEkTYFciKTJgewlFkefAm5r//6H5BQAA&#10;//8DAFBLAQItABQABgAIAAAAIQC2gziS/gAAAOEBAAATAAAAAAAAAAAAAAAAAAAAAABbQ29udGVu&#10;dF9UeXBlc10ueG1sUEsBAi0AFAAGAAgAAAAhADj9If/WAAAAlAEAAAsAAAAAAAAAAAAAAAAALwEA&#10;AF9yZWxzLy5yZWxzUEsBAi0AFAAGAAgAAAAhAOK1wt/1AQAAOgQAAA4AAAAAAAAAAAAAAAAALgIA&#10;AGRycy9lMm9Eb2MueG1sUEsBAi0AFAAGAAgAAAAhADlr18fgAAAACwEAAA8AAAAAAAAAAAAAAAAA&#10;TwQAAGRycy9kb3ducmV2LnhtbFBLBQYAAAAABAAEAPMAAABcBQAAAAA=&#10;" strokecolor="red" strokeweight="2pt">
                <v:stroke dashstyle="1 1"/>
              </v:line>
            </w:pict>
          </mc:Fallback>
        </mc:AlternateContent>
      </w:r>
      <w:r>
        <w:rPr>
          <w:noProof/>
          <w:lang w:val="fr-BE" w:eastAsia="fr-BE"/>
        </w:rPr>
        <w:drawing>
          <wp:anchor distT="0" distB="0" distL="114300" distR="114300" simplePos="0" relativeHeight="251739136" behindDoc="0" locked="0" layoutInCell="1" allowOverlap="1">
            <wp:simplePos x="0" y="0"/>
            <wp:positionH relativeFrom="column">
              <wp:posOffset>431597</wp:posOffset>
            </wp:positionH>
            <wp:positionV relativeFrom="paragraph">
              <wp:posOffset>378257</wp:posOffset>
            </wp:positionV>
            <wp:extent cx="3085464" cy="2326233"/>
            <wp:effectExtent l="0" t="0" r="127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PP numb zoo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8108" cy="2328226"/>
                    </a:xfrm>
                    <a:prstGeom prst="rect">
                      <a:avLst/>
                    </a:prstGeom>
                  </pic:spPr>
                </pic:pic>
              </a:graphicData>
            </a:graphic>
            <wp14:sizeRelH relativeFrom="page">
              <wp14:pctWidth>0</wp14:pctWidth>
            </wp14:sizeRelH>
            <wp14:sizeRelV relativeFrom="page">
              <wp14:pctHeight>0</wp14:pctHeight>
            </wp14:sizeRelV>
          </wp:anchor>
        </w:drawing>
      </w:r>
      <w:r>
        <w:rPr>
          <w:noProof/>
          <w:lang w:val="fr-BE" w:eastAsia="fr-BE"/>
        </w:rPr>
        <w:drawing>
          <wp:inline distT="0" distB="0" distL="0" distR="0">
            <wp:extent cx="5731510" cy="5220335"/>
            <wp:effectExtent l="0" t="0" r="254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PP numb.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5220335"/>
                    </a:xfrm>
                    <a:prstGeom prst="rect">
                      <a:avLst/>
                    </a:prstGeom>
                  </pic:spPr>
                </pic:pic>
              </a:graphicData>
            </a:graphic>
          </wp:inline>
        </w:drawing>
      </w:r>
    </w:p>
    <w:p w:rsidR="00B83504" w:rsidRDefault="00B83504">
      <w:pPr>
        <w:pStyle w:val="Text1"/>
        <w:ind w:left="0"/>
        <w:rPr>
          <w:noProof/>
        </w:rPr>
      </w:pPr>
    </w:p>
    <w:p w:rsidR="00B83504" w:rsidRDefault="00B55645">
      <w:pPr>
        <w:pStyle w:val="Text1"/>
        <w:ind w:left="0"/>
        <w:rPr>
          <w:noProof/>
        </w:rPr>
      </w:pPr>
      <w:r>
        <w:rPr>
          <w:noProof/>
          <w:lang w:val="fr-BE" w:eastAsia="fr-BE"/>
        </w:rPr>
        <mc:AlternateContent>
          <mc:Choice Requires="wps">
            <w:drawing>
              <wp:anchor distT="0" distB="0" distL="114300" distR="114300" simplePos="0" relativeHeight="251747328" behindDoc="0" locked="0" layoutInCell="1" allowOverlap="1">
                <wp:simplePos x="0" y="0"/>
                <wp:positionH relativeFrom="column">
                  <wp:posOffset>2326234</wp:posOffset>
                </wp:positionH>
                <wp:positionV relativeFrom="paragraph">
                  <wp:posOffset>1901952</wp:posOffset>
                </wp:positionV>
                <wp:extent cx="863193" cy="694741"/>
                <wp:effectExtent l="0" t="0" r="32385" b="29210"/>
                <wp:wrapNone/>
                <wp:docPr id="194" name="Straight Connector 194"/>
                <wp:cNvGraphicFramePr/>
                <a:graphic xmlns:a="http://schemas.openxmlformats.org/drawingml/2006/main">
                  <a:graphicData uri="http://schemas.microsoft.com/office/word/2010/wordprocessingShape">
                    <wps:wsp>
                      <wps:cNvCnPr/>
                      <wps:spPr>
                        <a:xfrm flipV="1">
                          <a:off x="0" y="0"/>
                          <a:ext cx="863193" cy="694741"/>
                        </a:xfrm>
                        <a:prstGeom prst="line">
                          <a:avLst/>
                        </a:prstGeom>
                        <a:ln w="254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412DC" id="Straight Connector 194"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15pt,149.75pt" to="251.1pt,2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fbR+AEAADoEAAAOAAAAZHJzL2Uyb0RvYy54bWysU8GO2yAQvVfqPyDujZ1smm6sOHtIlF6q&#10;Nuq2eycYbCRgENA4+fsO2PHutuqhVX1AhnnzZt5j2DxcjCZn4YMCW9P5rKREWA6Nsm1Nv387vLun&#10;JERmG6bBippeRaAP27dvNr2rxAI60I3wBElsqHpX0y5GVxVF4J0wLMzACYtBCd6wiFvfFo1nPbIb&#10;XSzKclX04BvngYsQ8HQ/BOk280spePwiZRCR6JpibzGvPq+ntBbbDataz1yn+NgG+4cuDFMWi05U&#10;exYZ+eHVb1RGcQ8BZJxxMAVIqbjIGlDNvPxFzWPHnMha0JzgJpvC/6Pln89HT1SDd7deUmKZwUt6&#10;jJ6ptotkB9aiheBJiqJXvQsVpuzs0Y+74I4+Cb9Ib4jUyj0hVbYCxZFLdvo6OS0ukXA8vF/dzdd3&#10;lHAMrdbLD8t5Yi8GmkTnfIgfBRiSfmqqlU1GsIqdP4U4QG+QdKwt6Wu6eL8sywwLoFVzUFqnYPDt&#10;aac9OTMcgsOhxG+s9gqW+PYsdAMuXMMe4ojTFptL2ge1+S9etRhKfxUSHURVg+48u2IqyDgXNt70&#10;aYvolCaxuSlxbDoN/Z8SR3xKFXmu/yZ5ysiVwcYp2SgLfrDsdfV4ubUsB/zNgUF3suAEzTXPQbYG&#10;BzTf4PiY0gt4uc/pz09++xMAAP//AwBQSwMEFAAGAAgAAAAhAK8Jz5/hAAAACwEAAA8AAABkcnMv&#10;ZG93bnJldi54bWxMj8FOwzAQRO9I/IO1SNyoTUKiJGRTIUS5VZQWCY5uvI2jxnYUu234e8wJjqt5&#10;mnlbL2czsDNNvncW4X4hgJFtnepth/CxW90VwHyQVsnBWUL4Jg/L5vqqlpVyF/tO523oWCyxvpII&#10;OoSx4ty3moz0CzeSjdnBTUaGeE4dV5O8xHIz8ESInBvZ27ig5UjPmtrj9mQQdof159dm9ZalpkiO&#10;a52+8NdCIN7ezE+PwALN4Q+GX/2oDk102ruTVZ4NCGmepxFFSMoyAxaJTCQJsD3CgyhK4E3N///Q&#10;/AAAAP//AwBQSwECLQAUAAYACAAAACEAtoM4kv4AAADhAQAAEwAAAAAAAAAAAAAAAAAAAAAAW0Nv&#10;bnRlbnRfVHlwZXNdLnhtbFBLAQItABQABgAIAAAAIQA4/SH/1gAAAJQBAAALAAAAAAAAAAAAAAAA&#10;AC8BAABfcmVscy8ucmVsc1BLAQItABQABgAIAAAAIQDp5fbR+AEAADoEAAAOAAAAAAAAAAAAAAAA&#10;AC4CAABkcnMvZTJvRG9jLnhtbFBLAQItABQABgAIAAAAIQCvCc+f4QAAAAsBAAAPAAAAAAAAAAAA&#10;AAAAAFIEAABkcnMvZG93bnJldi54bWxQSwUGAAAAAAQABADzAAAAYAUAAAAA&#10;" strokecolor="red" strokeweight="2pt">
                <v:stroke dashstyle="1 1"/>
              </v:line>
            </w:pict>
          </mc:Fallback>
        </mc:AlternateContent>
      </w:r>
      <w:r>
        <w:rPr>
          <w:noProof/>
          <w:lang w:val="fr-BE" w:eastAsia="fr-BE"/>
        </w:rPr>
        <mc:AlternateContent>
          <mc:Choice Requires="wps">
            <w:drawing>
              <wp:anchor distT="0" distB="0" distL="114300" distR="114300" simplePos="0" relativeHeight="251745280" behindDoc="0" locked="0" layoutInCell="1" allowOverlap="1">
                <wp:simplePos x="0" y="0"/>
                <wp:positionH relativeFrom="column">
                  <wp:posOffset>746150</wp:posOffset>
                </wp:positionH>
                <wp:positionV relativeFrom="paragraph">
                  <wp:posOffset>2326234</wp:posOffset>
                </wp:positionV>
                <wp:extent cx="146152" cy="1821484"/>
                <wp:effectExtent l="0" t="0" r="25400" b="26670"/>
                <wp:wrapNone/>
                <wp:docPr id="190" name="Straight Connector 190"/>
                <wp:cNvGraphicFramePr/>
                <a:graphic xmlns:a="http://schemas.openxmlformats.org/drawingml/2006/main">
                  <a:graphicData uri="http://schemas.microsoft.com/office/word/2010/wordprocessingShape">
                    <wps:wsp>
                      <wps:cNvCnPr/>
                      <wps:spPr>
                        <a:xfrm flipV="1">
                          <a:off x="0" y="0"/>
                          <a:ext cx="146152" cy="1821484"/>
                        </a:xfrm>
                        <a:prstGeom prst="line">
                          <a:avLst/>
                        </a:prstGeom>
                        <a:ln w="254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FCAEF" id="Straight Connector 190"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5pt,183.15pt" to="70.25pt,3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fV8gEAADsEAAAOAAAAZHJzL2Uyb0RvYy54bWysU8uu0zAQ3SPxD5b3NEnVe1WipnfRqmwQ&#10;VFxg7zp2Y8kvjU2T/D1jJw1PIYHIwoo9Z87MOR7vngajyU1AUM42tFqVlAjLXavstaGfPp5ebSkJ&#10;kdmWaWdFQ0cR6NP+5Ytd72uxdp3TrQCCJDbUvW9oF6OviyLwThgWVs4Li0HpwLCIW7gWLbAe2Y0u&#10;1mX5WPQOWg+OixDw9DgF6T7zSyl4fC9lEJHohmJvMa+Q10tai/2O1VdgvlN8boP9QxeGKYtFF6oj&#10;i4x8AfULlVEcXHAyrrgzhZNScZE1oJqq/EnNc8e8yFrQnOAXm8L/o+XvbmcgqsW7e43+WGbwkp4j&#10;MHXtIjk4a9FCByRF0avehxpTDvYM8y74MyThgwRDpFb+M1JlK1AcGbLT4+K0GCLheFhtHquHNSUc&#10;Q9V2XW22m0RfTDyJz0OIb4QzJP00VCubnGA1u70NcYLeIelYW9I3dP2wKcsMC06r9qS0TsEA18tB&#10;A7kxnILTqcRvrvYDLPEdWegmXBjD0cUZpy02l8RPcvNfHLWYSn8QEi1MsqbaaXjFUpBxLmysFiZE&#10;pzSJzS2Jc9N/SpzxKVXkwf6b5CUjV3Y2LslGWQe/azsO95blhL87MOlOFlxcO+ZByNbghOYbnF9T&#10;egLf73P6tze//woAAP//AwBQSwMEFAAGAAgAAAAhAB2ttlngAAAACwEAAA8AAABkcnMvZG93bnJl&#10;di54bWxMj8FOwzAMhu9IvENkJG4s6UpL1TWdEGLcJmBDYsesyZpqjVM12VbeHu8Ex9/+9PtztZxc&#10;z85mDJ1HCclMADPYeN1hK+Fru3oogIWoUKveo5HwYwIs69ubSpXaX/DTnDexZVSCoVQSbIxDyXlo&#10;rHEqzPxgkHYHPzoVKY4t16O6ULnr+VyInDvVIV2wajAv1jTHzclJ2B7W37uP1XuWumJ+XNv0lb8V&#10;Qsr7u+l5ASyaKf7BcNUndajJae9PqAPrKSdPGaES0jxPgV2JR0GTvYQ8SxPgdcX//1D/AgAA//8D&#10;AFBLAQItABQABgAIAAAAIQC2gziS/gAAAOEBAAATAAAAAAAAAAAAAAAAAAAAAABbQ29udGVudF9U&#10;eXBlc10ueG1sUEsBAi0AFAAGAAgAAAAhADj9If/WAAAAlAEAAAsAAAAAAAAAAAAAAAAALwEAAF9y&#10;ZWxzLy5yZWxzUEsBAi0AFAAGAAgAAAAhAG7IN9XyAQAAOwQAAA4AAAAAAAAAAAAAAAAALgIAAGRy&#10;cy9lMm9Eb2MueG1sUEsBAi0AFAAGAAgAAAAhAB2ttlngAAAACwEAAA8AAAAAAAAAAAAAAAAATAQA&#10;AGRycy9kb3ducmV2LnhtbFBLBQYAAAAABAAEAPMAAABZBQAAAAA=&#10;" strokecolor="red" strokeweight="2pt">
                <v:stroke dashstyle="1 1"/>
              </v:line>
            </w:pict>
          </mc:Fallback>
        </mc:AlternateContent>
      </w:r>
      <w:r>
        <w:rPr>
          <w:noProof/>
          <w:lang w:val="fr-BE" w:eastAsia="fr-BE"/>
        </w:rPr>
        <w:drawing>
          <wp:anchor distT="0" distB="0" distL="114300" distR="114300" simplePos="0" relativeHeight="251743232" behindDoc="0" locked="0" layoutInCell="1" allowOverlap="1">
            <wp:simplePos x="0" y="0"/>
            <wp:positionH relativeFrom="column">
              <wp:posOffset>534010</wp:posOffset>
            </wp:positionH>
            <wp:positionV relativeFrom="paragraph">
              <wp:posOffset>416965</wp:posOffset>
            </wp:positionV>
            <wp:extent cx="2830982" cy="2133883"/>
            <wp:effectExtent l="0" t="0" r="762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PP amount zoom.png"/>
                    <pic:cNvPicPr/>
                  </pic:nvPicPr>
                  <pic:blipFill>
                    <a:blip r:embed="rId34" cstate="screen">
                      <a:extLst>
                        <a:ext uri="{28A0092B-C50C-407E-A947-70E740481C1C}">
                          <a14:useLocalDpi xmlns:a14="http://schemas.microsoft.com/office/drawing/2010/main" val="0"/>
                        </a:ext>
                      </a:extLst>
                    </a:blip>
                    <a:stretch>
                      <a:fillRect/>
                    </a:stretch>
                  </pic:blipFill>
                  <pic:spPr>
                    <a:xfrm>
                      <a:off x="0" y="0"/>
                      <a:ext cx="2830176" cy="2133276"/>
                    </a:xfrm>
                    <a:prstGeom prst="rect">
                      <a:avLst/>
                    </a:prstGeom>
                  </pic:spPr>
                </pic:pic>
              </a:graphicData>
            </a:graphic>
            <wp14:sizeRelH relativeFrom="page">
              <wp14:pctWidth>0</wp14:pctWidth>
            </wp14:sizeRelH>
            <wp14:sizeRelV relativeFrom="page">
              <wp14:pctHeight>0</wp14:pctHeight>
            </wp14:sizeRelV>
          </wp:anchor>
        </w:drawing>
      </w:r>
      <w:r>
        <w:rPr>
          <w:noProof/>
          <w:lang w:val="fr-BE" w:eastAsia="fr-BE"/>
        </w:rPr>
        <w:drawing>
          <wp:inline distT="0" distB="0" distL="0" distR="0">
            <wp:extent cx="5731510" cy="5220335"/>
            <wp:effectExtent l="0" t="0" r="254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PP amount.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5220335"/>
                    </a:xfrm>
                    <a:prstGeom prst="rect">
                      <a:avLst/>
                    </a:prstGeom>
                  </pic:spPr>
                </pic:pic>
              </a:graphicData>
            </a:graphic>
          </wp:inline>
        </w:drawing>
      </w:r>
    </w:p>
    <w:p w:rsidR="00B83504" w:rsidRDefault="00B83504">
      <w:pPr>
        <w:pStyle w:val="Text1"/>
        <w:ind w:left="0"/>
        <w:rPr>
          <w:noProof/>
        </w:rPr>
      </w:pPr>
    </w:p>
    <w:p w:rsidR="00B83504" w:rsidRDefault="00B55645">
      <w:pPr>
        <w:pStyle w:val="Text1"/>
        <w:ind w:left="0"/>
        <w:rPr>
          <w:noProof/>
        </w:rPr>
      </w:pPr>
      <w:r>
        <w:rPr>
          <w:noProof/>
        </w:rPr>
        <w:t>This is the outcome of different patterns followed by different funds (see Graphs CP9a-CP9c). The irregularitie</w:t>
      </w:r>
      <w:r>
        <w:rPr>
          <w:noProof/>
        </w:rPr>
        <w:t>s reported as fraudulent in relation to CF and ERDF significantly increased, while those related to the ESF have been lagging behind by a rather stable number of cases. However, the financial amounts associated to the fraudulent irregularities related to E</w:t>
      </w:r>
      <w:r>
        <w:rPr>
          <w:noProof/>
        </w:rPr>
        <w:t xml:space="preserve">SF for PP 2014-2020 were considerably higher than those for PP 2007-2013. The irregularities related to the fisheries policy have been 11 for PP 2014-2020, while for PP 2007-2013 only one irregularity had been reported. </w:t>
      </w:r>
    </w:p>
    <w:p w:rsidR="00B83504" w:rsidRDefault="00B55645">
      <w:pPr>
        <w:pStyle w:val="Text1"/>
        <w:ind w:left="0"/>
        <w:rPr>
          <w:noProof/>
        </w:rPr>
      </w:pPr>
      <w:r>
        <w:rPr>
          <w:noProof/>
          <w:lang w:val="fr-BE" w:eastAsia="fr-BE"/>
        </w:rPr>
        <w:drawing>
          <wp:inline distT="0" distB="0" distL="0" distR="0">
            <wp:extent cx="5735117" cy="2684678"/>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PP fraud CF.png"/>
                    <pic:cNvPicPr/>
                  </pic:nvPicPr>
                  <pic:blipFill>
                    <a:blip r:embed="rId36" cstate="screen">
                      <a:extLst>
                        <a:ext uri="{28A0092B-C50C-407E-A947-70E740481C1C}">
                          <a14:useLocalDpi xmlns:a14="http://schemas.microsoft.com/office/drawing/2010/main" val="0"/>
                        </a:ext>
                      </a:extLst>
                    </a:blip>
                    <a:stretch>
                      <a:fillRect/>
                    </a:stretch>
                  </pic:blipFill>
                  <pic:spPr>
                    <a:xfrm>
                      <a:off x="0" y="0"/>
                      <a:ext cx="5731510" cy="2682990"/>
                    </a:xfrm>
                    <a:prstGeom prst="rect">
                      <a:avLst/>
                    </a:prstGeom>
                  </pic:spPr>
                </pic:pic>
              </a:graphicData>
            </a:graphic>
          </wp:inline>
        </w:drawing>
      </w:r>
    </w:p>
    <w:p w:rsidR="00B83504" w:rsidRDefault="00B55645">
      <w:pPr>
        <w:pStyle w:val="Text1"/>
        <w:ind w:left="0"/>
        <w:rPr>
          <w:noProof/>
        </w:rPr>
      </w:pPr>
      <w:r>
        <w:rPr>
          <w:noProof/>
          <w:lang w:val="fr-BE" w:eastAsia="fr-BE"/>
        </w:rPr>
        <w:drawing>
          <wp:inline distT="0" distB="0" distL="0" distR="0">
            <wp:extent cx="5735117" cy="267004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PP fraud ERDF.png"/>
                    <pic:cNvPicPr/>
                  </pic:nvPicPr>
                  <pic:blipFill>
                    <a:blip r:embed="rId37" cstate="screen">
                      <a:extLst>
                        <a:ext uri="{28A0092B-C50C-407E-A947-70E740481C1C}">
                          <a14:useLocalDpi xmlns:a14="http://schemas.microsoft.com/office/drawing/2010/main" val="0"/>
                        </a:ext>
                      </a:extLst>
                    </a:blip>
                    <a:stretch>
                      <a:fillRect/>
                    </a:stretch>
                  </pic:blipFill>
                  <pic:spPr>
                    <a:xfrm>
                      <a:off x="0" y="0"/>
                      <a:ext cx="5731510" cy="2668369"/>
                    </a:xfrm>
                    <a:prstGeom prst="rect">
                      <a:avLst/>
                    </a:prstGeom>
                  </pic:spPr>
                </pic:pic>
              </a:graphicData>
            </a:graphic>
          </wp:inline>
        </w:drawing>
      </w:r>
    </w:p>
    <w:p w:rsidR="00B83504" w:rsidRDefault="00B55645">
      <w:pPr>
        <w:pStyle w:val="Text1"/>
        <w:ind w:left="0"/>
        <w:rPr>
          <w:noProof/>
        </w:rPr>
      </w:pPr>
      <w:r>
        <w:rPr>
          <w:noProof/>
          <w:lang w:val="fr-BE" w:eastAsia="fr-BE"/>
        </w:rPr>
        <w:drawing>
          <wp:inline distT="0" distB="0" distL="0" distR="0">
            <wp:extent cx="5735117" cy="2816352"/>
            <wp:effectExtent l="0" t="0" r="0"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PP fraud ESF.png"/>
                    <pic:cNvPicPr/>
                  </pic:nvPicPr>
                  <pic:blipFill>
                    <a:blip r:embed="rId38" cstate="screen">
                      <a:extLst>
                        <a:ext uri="{28A0092B-C50C-407E-A947-70E740481C1C}">
                          <a14:useLocalDpi xmlns:a14="http://schemas.microsoft.com/office/drawing/2010/main" val="0"/>
                        </a:ext>
                      </a:extLst>
                    </a:blip>
                    <a:stretch>
                      <a:fillRect/>
                    </a:stretch>
                  </pic:blipFill>
                  <pic:spPr>
                    <a:xfrm>
                      <a:off x="0" y="0"/>
                      <a:ext cx="5731510" cy="2814581"/>
                    </a:xfrm>
                    <a:prstGeom prst="rect">
                      <a:avLst/>
                    </a:prstGeom>
                  </pic:spPr>
                </pic:pic>
              </a:graphicData>
            </a:graphic>
          </wp:inline>
        </w:drawing>
      </w:r>
    </w:p>
    <w:p w:rsidR="00B83504" w:rsidRDefault="00B55645">
      <w:pPr>
        <w:pStyle w:val="Text1"/>
        <w:ind w:left="0"/>
        <w:rPr>
          <w:noProof/>
        </w:rPr>
      </w:pPr>
      <w:r>
        <w:rPr>
          <w:noProof/>
        </w:rPr>
        <w:t xml:space="preserve">While the increase of CF </w:t>
      </w:r>
      <w:r>
        <w:rPr>
          <w:noProof/>
        </w:rPr>
        <w:t>fraudulent irregularities was mostly due to detections in Slovakia, the increase of ERDF fraudulent irregularities had a broader basis: 13 Member States recorded an increase (in particular, Hungary with 35 cases more than PP 2007-2013, followed by Slovakia</w:t>
      </w:r>
      <w:r>
        <w:rPr>
          <w:noProof/>
        </w:rPr>
        <w:t xml:space="preserve"> – +12 – Czech Republic - +11 – and Poland - +10) and 9 Member States a decrease (in particular the UK with 12 cases less than PP 2007-2013). For the ESF, about half of the Member States have not reported any fraudulent case related to PP 2014-2020 and had</w:t>
      </w:r>
      <w:r>
        <w:rPr>
          <w:noProof/>
        </w:rPr>
        <w:t xml:space="preserve"> done the same after a comparable amount of time after the start of PP 2007-2013. For the rest, 6 Member States recorded an increase and 9 Member States a decrease. These changes have been significant for Germany (minus 48 cases</w:t>
      </w:r>
      <w:r>
        <w:rPr>
          <w:rStyle w:val="FootnoteReference"/>
          <w:noProof/>
        </w:rPr>
        <w:footnoteReference w:id="19"/>
      </w:r>
      <w:r>
        <w:rPr>
          <w:noProof/>
        </w:rPr>
        <w:t>), Poland (plus 37 cases, e</w:t>
      </w:r>
      <w:r>
        <w:rPr>
          <w:noProof/>
        </w:rPr>
        <w:t>venly spread during the fourth and fifth year of implementation) and, to a lesser extent, Bulgaria (minus 12, due to no reporting for PP 2014-2020).</w:t>
      </w:r>
    </w:p>
    <w:p w:rsidR="00B83504" w:rsidRDefault="00B55645">
      <w:pPr>
        <w:pStyle w:val="Text1"/>
        <w:ind w:left="0"/>
        <w:rPr>
          <w:noProof/>
        </w:rPr>
      </w:pPr>
      <w:r>
        <w:rPr>
          <w:noProof/>
        </w:rPr>
        <w:t xml:space="preserve">The irregularities not reported as fraudulent showed a completely different behaviour. The decrease in the </w:t>
      </w:r>
      <w:r>
        <w:rPr>
          <w:noProof/>
        </w:rPr>
        <w:t xml:space="preserve">number and financial amounts reported after 5 years from the start of the programming period is striking (see CP10 and CP11). This significant difference between PP 2007-2013 and the current 2014-2020 warrants for further analysis. </w:t>
      </w:r>
    </w:p>
    <w:p w:rsidR="00B83504" w:rsidRDefault="00B55645">
      <w:pPr>
        <w:pStyle w:val="Text1"/>
        <w:ind w:left="0"/>
        <w:rPr>
          <w:noProof/>
        </w:rPr>
      </w:pPr>
      <w:r>
        <w:rPr>
          <w:noProof/>
          <w:lang w:val="fr-BE" w:eastAsia="fr-BE"/>
        </w:rPr>
        <mc:AlternateContent>
          <mc:Choice Requires="wps">
            <w:drawing>
              <wp:anchor distT="0" distB="0" distL="114300" distR="114300" simplePos="0" relativeHeight="251752448" behindDoc="0" locked="0" layoutInCell="1" allowOverlap="1">
                <wp:simplePos x="0" y="0"/>
                <wp:positionH relativeFrom="column">
                  <wp:posOffset>2304288</wp:posOffset>
                </wp:positionH>
                <wp:positionV relativeFrom="paragraph">
                  <wp:posOffset>2002231</wp:posOffset>
                </wp:positionV>
                <wp:extent cx="1016813" cy="2062303"/>
                <wp:effectExtent l="0" t="0" r="31115" b="14605"/>
                <wp:wrapNone/>
                <wp:docPr id="212" name="Straight Connector 212"/>
                <wp:cNvGraphicFramePr/>
                <a:graphic xmlns:a="http://schemas.openxmlformats.org/drawingml/2006/main">
                  <a:graphicData uri="http://schemas.microsoft.com/office/word/2010/wordprocessingShape">
                    <wps:wsp>
                      <wps:cNvCnPr/>
                      <wps:spPr>
                        <a:xfrm flipV="1">
                          <a:off x="0" y="0"/>
                          <a:ext cx="1016813" cy="2062303"/>
                        </a:xfrm>
                        <a:prstGeom prst="line">
                          <a:avLst/>
                        </a:prstGeom>
                        <a:ln w="254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D163A9" id="Straight Connector 212"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157.65pt" to="261.5pt,3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Wg8wEAADwEAAAOAAAAZHJzL2Uyb0RvYy54bWysU8uu0zAQ3SPxD5b3NI9CdRU1vYtWZYOg&#10;4nLZu46dWPJLY9O0f8/YScNTSCCysGLPmTNzjsfbx6vR5CIgKGdbWq1KSoTlrlO2b+nzp+OrB0pC&#10;ZLZj2lnR0psI9HH38sV29I2o3eB0J4AgiQ3N6Fs6xOibogh8EIaFlfPCYlA6MCziFvqiAzYiu9FF&#10;XZabYnTQeXBchICnhylId5lfSsHjBymDiES3FHuLeYW8ntNa7Las6YH5QfG5DfYPXRimLBZdqA4s&#10;MvIF1C9URnFwwcm44s4UTkrFRdaAaqryJzVPA/Mia0Fzgl9sCv+Plr+/nICorqV1VVNimcFLeorA&#10;VD9EsnfWooUOSIqiV6MPDabs7QnmXfAnSMKvEgyRWvnPOAbZChRHrtnp2+K0uEbC8bAqq81DtaaE&#10;Y6wuN/W6XCf+YiJKhB5CfCucIemnpVrZZAVr2OVdiBP0DknH2pIRqd68LssMC06r7qi0TsEA/Xmv&#10;gVwYjsHxWOI3V/sBlvgOLAwTLtzCwcUZpy02l9RPevNfvGkxlf4oJHqYdE210/SKpSDjXNhYLUyI&#10;TmkSm1sS56b/lDjjU6rIk/03yUtGruxsXJKNsg5+13a83luWE/7uwKQ7WXB23S1PQrYGRzTf4Pyc&#10;0hv4fp/Tvz363VcAAAD//wMAUEsDBBQABgAIAAAAIQCVmpUI4QAAAAsBAAAPAAAAZHJzL2Rvd25y&#10;ZXYueG1sTI/BTsMwDIbvSLxDZCRuLGlLq1KaTggxbhNjQ4Jj1mRNtcapmmwrb485wc2WP/3+/no5&#10;u4GdzRR6jxKShQBmsPW6x07Cx251VwILUaFWg0cj4dsEWDbXV7WqtL/guzlvY8coBEOlJNgYx4rz&#10;0FrjVFj40SDdDn5yKtI6dVxP6kLhbuCpEAV3qkf6YNVonq1pj9uTk7A7rD+/Nqu3PHNlelzb7IW/&#10;lkLK25v56RFYNHP8g+FXn9ShIae9P6EObJCQFekDoTQkeQaMiDzNqN1eQnEvEuBNzf93aH4AAAD/&#10;/wMAUEsBAi0AFAAGAAgAAAAhALaDOJL+AAAA4QEAABMAAAAAAAAAAAAAAAAAAAAAAFtDb250ZW50&#10;X1R5cGVzXS54bWxQSwECLQAUAAYACAAAACEAOP0h/9YAAACUAQAACwAAAAAAAAAAAAAAAAAvAQAA&#10;X3JlbHMvLnJlbHNQSwECLQAUAAYACAAAACEAtkEVoPMBAAA8BAAADgAAAAAAAAAAAAAAAAAuAgAA&#10;ZHJzL2Uyb0RvYy54bWxQSwECLQAUAAYACAAAACEAlZqVCOEAAAALAQAADwAAAAAAAAAAAAAAAABN&#10;BAAAZHJzL2Rvd25yZXYueG1sUEsFBgAAAAAEAAQA8wAAAFsFAAAAAA==&#10;" strokecolor="red" strokeweight="2pt">
                <v:stroke dashstyle="1 1"/>
              </v:line>
            </w:pict>
          </mc:Fallback>
        </mc:AlternateContent>
      </w:r>
      <w:r>
        <w:rPr>
          <w:noProof/>
          <w:lang w:val="fr-BE" w:eastAsia="fr-BE"/>
        </w:rPr>
        <mc:AlternateContent>
          <mc:Choice Requires="wps">
            <w:drawing>
              <wp:anchor distT="0" distB="0" distL="114300" distR="114300" simplePos="0" relativeHeight="251750400" behindDoc="0" locked="0" layoutInCell="1" allowOverlap="1">
                <wp:simplePos x="0" y="0"/>
                <wp:positionH relativeFrom="column">
                  <wp:posOffset>512064</wp:posOffset>
                </wp:positionH>
                <wp:positionV relativeFrom="paragraph">
                  <wp:posOffset>2660599</wp:posOffset>
                </wp:positionV>
                <wp:extent cx="175565" cy="1572260"/>
                <wp:effectExtent l="0" t="0" r="34290" b="27940"/>
                <wp:wrapNone/>
                <wp:docPr id="211" name="Straight Connector 211"/>
                <wp:cNvGraphicFramePr/>
                <a:graphic xmlns:a="http://schemas.openxmlformats.org/drawingml/2006/main">
                  <a:graphicData uri="http://schemas.microsoft.com/office/word/2010/wordprocessingShape">
                    <wps:wsp>
                      <wps:cNvCnPr/>
                      <wps:spPr>
                        <a:xfrm flipV="1">
                          <a:off x="0" y="0"/>
                          <a:ext cx="175565" cy="1572260"/>
                        </a:xfrm>
                        <a:prstGeom prst="line">
                          <a:avLst/>
                        </a:prstGeom>
                        <a:ln w="254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B4D8F" id="Straight Connector 211"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pt,209.5pt" to="54.1pt,3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Y69wEAADsEAAAOAAAAZHJzL2Uyb0RvYy54bWysU8uu2yAQ3VfqPyD2jR9qcisrzl0kSjdV&#10;G/X2dk8wxEjAIKCx8/cdsOM+ValVvUCGOXNmzmHYPo5Gk6vwQYFtabUqKRGWQ6fspaXPn46v3lAS&#10;IrMd02BFS28i0MfdyxfbwTWihh50JzxBEhuawbW0j9E1RRF4LwwLK3DCYlCCNyzi1l+KzrMB2Y0u&#10;6rLcFAP4znngIgQ8PUxBusv8UgoeP0gZRCS6pdhbzKvP6zmtxW7Lmotnrld8boP9QxeGKYtFF6oD&#10;i4x88eoXKqO4hwAyrjiYAqRUXGQNqKYqf1Lz1DMnshY0J7jFpvD/aPn768kT1bW0ripKLDN4SU/R&#10;M3XpI9mDtWgheJKi6NXgQoMpe3vy8y64k0/CR+kNkVq5zzgG2QoUR8bs9G1xWoyRcDysHtbrzZoS&#10;jqFq/VDXm3wVxcST+JwP8a0AQ9JPS7WyyQnWsOu7ELE2Qu+QdKwtGVDD+nVZZlgArbqj0joFg7+c&#10;99qTK8MpOB5L/JIYpPgBlvgOLPQTLtzCAeKM0xbhSfwkN//FmxZT6Y9CooVJ1lQ7Da9YCjLOhY3Z&#10;PqyoLaJTmsTmlsS56T8lzviUKvJg/03ykpErg41LslEW/O/ajuO9ZTnh7w5MupMFZ+hueRCyNTih&#10;2dP5NaUn8P0+p39787uvAAAA//8DAFBLAwQUAAYACAAAACEAjfJn2N8AAAAKAQAADwAAAGRycy9k&#10;b3ducmV2LnhtbEyPwU7DMAyG70i8Q2QkbixZB1VW6k4IMW4TY0Nix6zxmmpNUjXZVt6e7AS+Wf70&#10;+/vLxWg7dqYhtN4hTCcCGLna69Y1CF/b5YMEFqJyWnXeEcIPBVhUtzelKrS/uE86b2LDUogLhUIw&#10;MfYF56E2ZFWY+J5cuh38YFVM69BwPahLCrcdz4TIuVWtSx+M6unVUH3cnCzC9rD63q2XH08zK7Pj&#10;ysze+LsUiPd348szsEhj/IPhqp/UoUpOe39yOrAOQYo8kQiP03nqdAWEzIDtEfI0wKuS/69Q/QIA&#10;AP//AwBQSwECLQAUAAYACAAAACEAtoM4kv4AAADhAQAAEwAAAAAAAAAAAAAAAAAAAAAAW0NvbnRl&#10;bnRfVHlwZXNdLnhtbFBLAQItABQABgAIAAAAIQA4/SH/1gAAAJQBAAALAAAAAAAAAAAAAAAAAC8B&#10;AABfcmVscy8ucmVsc1BLAQItABQABgAIAAAAIQCUL7Y69wEAADsEAAAOAAAAAAAAAAAAAAAAAC4C&#10;AABkcnMvZTJvRG9jLnhtbFBLAQItABQABgAIAAAAIQCN8mfY3wAAAAoBAAAPAAAAAAAAAAAAAAAA&#10;AFEEAABkcnMvZG93bnJldi54bWxQSwUGAAAAAAQABADzAAAAXQUAAAAA&#10;" strokecolor="red" strokeweight="2pt">
                <v:stroke dashstyle="1 1"/>
              </v:line>
            </w:pict>
          </mc:Fallback>
        </mc:AlternateContent>
      </w:r>
      <w:r>
        <w:rPr>
          <w:noProof/>
          <w:lang w:val="fr-BE" w:eastAsia="fr-BE"/>
        </w:rPr>
        <w:drawing>
          <wp:anchor distT="0" distB="0" distL="114300" distR="114300" simplePos="0" relativeHeight="251748352" behindDoc="0" locked="0" layoutInCell="1" allowOverlap="1">
            <wp:simplePos x="0" y="0"/>
            <wp:positionH relativeFrom="column">
              <wp:posOffset>343814</wp:posOffset>
            </wp:positionH>
            <wp:positionV relativeFrom="paragraph">
              <wp:posOffset>490118</wp:posOffset>
            </wp:positionV>
            <wp:extent cx="3167482" cy="2387838"/>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PP numb nf zoom.png"/>
                    <pic:cNvPicPr/>
                  </pic:nvPicPr>
                  <pic:blipFill>
                    <a:blip r:embed="rId39" cstate="screen">
                      <a:extLst>
                        <a:ext uri="{28A0092B-C50C-407E-A947-70E740481C1C}">
                          <a14:useLocalDpi xmlns:a14="http://schemas.microsoft.com/office/drawing/2010/main" val="0"/>
                        </a:ext>
                      </a:extLst>
                    </a:blip>
                    <a:stretch>
                      <a:fillRect/>
                    </a:stretch>
                  </pic:blipFill>
                  <pic:spPr>
                    <a:xfrm>
                      <a:off x="0" y="0"/>
                      <a:ext cx="3172340" cy="2391500"/>
                    </a:xfrm>
                    <a:prstGeom prst="rect">
                      <a:avLst/>
                    </a:prstGeom>
                  </pic:spPr>
                </pic:pic>
              </a:graphicData>
            </a:graphic>
            <wp14:sizeRelH relativeFrom="page">
              <wp14:pctWidth>0</wp14:pctWidth>
            </wp14:sizeRelH>
            <wp14:sizeRelV relativeFrom="page">
              <wp14:pctHeight>0</wp14:pctHeight>
            </wp14:sizeRelV>
          </wp:anchor>
        </w:drawing>
      </w:r>
      <w:r>
        <w:rPr>
          <w:noProof/>
          <w:lang w:val="fr-BE" w:eastAsia="fr-BE"/>
        </w:rPr>
        <w:drawing>
          <wp:inline distT="0" distB="0" distL="0" distR="0">
            <wp:extent cx="5731510" cy="5220335"/>
            <wp:effectExtent l="0" t="0" r="254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PP numb no fraud.png"/>
                    <pic:cNvPicPr/>
                  </pic:nvPicPr>
                  <pic:blipFill>
                    <a:blip r:embed="rId40">
                      <a:extLst>
                        <a:ext uri="{28A0092B-C50C-407E-A947-70E740481C1C}">
                          <a14:useLocalDpi xmlns:a14="http://schemas.microsoft.com/office/drawing/2010/main" val="0"/>
                        </a:ext>
                      </a:extLst>
                    </a:blip>
                    <a:stretch>
                      <a:fillRect/>
                    </a:stretch>
                  </pic:blipFill>
                  <pic:spPr>
                    <a:xfrm>
                      <a:off x="0" y="0"/>
                      <a:ext cx="5731510" cy="5220335"/>
                    </a:xfrm>
                    <a:prstGeom prst="rect">
                      <a:avLst/>
                    </a:prstGeom>
                  </pic:spPr>
                </pic:pic>
              </a:graphicData>
            </a:graphic>
          </wp:inline>
        </w:drawing>
      </w:r>
    </w:p>
    <w:p w:rsidR="00B83504" w:rsidRDefault="00B55645">
      <w:pPr>
        <w:pStyle w:val="Text1"/>
        <w:ind w:left="0"/>
        <w:rPr>
          <w:noProof/>
        </w:rPr>
      </w:pPr>
      <w:r>
        <w:rPr>
          <w:noProof/>
          <w:lang w:val="fr-BE" w:eastAsia="fr-BE"/>
        </w:rPr>
        <mc:AlternateContent>
          <mc:Choice Requires="wps">
            <w:drawing>
              <wp:anchor distT="0" distB="0" distL="114300" distR="114300" simplePos="0" relativeHeight="251757568" behindDoc="0" locked="0" layoutInCell="1" allowOverlap="1">
                <wp:simplePos x="0" y="0"/>
                <wp:positionH relativeFrom="column">
                  <wp:posOffset>2465222</wp:posOffset>
                </wp:positionH>
                <wp:positionV relativeFrom="paragraph">
                  <wp:posOffset>1806854</wp:posOffset>
                </wp:positionV>
                <wp:extent cx="994588" cy="2275028"/>
                <wp:effectExtent l="0" t="0" r="34290" b="30480"/>
                <wp:wrapNone/>
                <wp:docPr id="307" name="Straight Connector 307"/>
                <wp:cNvGraphicFramePr/>
                <a:graphic xmlns:a="http://schemas.openxmlformats.org/drawingml/2006/main">
                  <a:graphicData uri="http://schemas.microsoft.com/office/word/2010/wordprocessingShape">
                    <wps:wsp>
                      <wps:cNvCnPr/>
                      <wps:spPr>
                        <a:xfrm flipV="1">
                          <a:off x="0" y="0"/>
                          <a:ext cx="994588" cy="2275028"/>
                        </a:xfrm>
                        <a:prstGeom prst="line">
                          <a:avLst/>
                        </a:prstGeom>
                        <a:ln w="254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F0EE0D" id="Straight Connector 307"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1pt,142.25pt" to="272.4pt,3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4qe+AEAADsEAAAOAAAAZHJzL2Uyb0RvYy54bWysU8GO0zAQvSPxD5bvNGnZst2o6R5alQuC&#10;igXurmM3lmyPZZsm+XvGThp2QRxA5GDFnjdv5j2Pt4+90eQqfFBga7pclJQIy6FR9lLTr1+ObzaU&#10;hMhswzRYUdNBBPq4e/1q27lKrKAF3QhPkMSGqnM1bWN0VVEE3grDwgKcsBiU4A2LuPWXovGsQ3aj&#10;i1VZvis68I3zwEUIeHoYg3SX+aUUPH6SMohIdE2xt5hXn9dzWovdllUXz1yr+NQG+4cuDFMWi85U&#10;BxYZ+e7Vb1RGcQ8BZFxwMAVIqbjIGlDNsvxFzVPLnMha0JzgZpvC/6PlH68nT1RT07flPSWWGbyk&#10;p+iZurSR7MFatBA8SVH0qnOhwpS9PflpF9zJJ+G99IZIrdw3HINsBYojfXZ6mJ0WfSQcDx8e7tYb&#10;HA2OodXqfl2uNom+GHkSn/MhvhdgSPqpqVY2OcEqdv0Q4gi9QdKxtqRDqvVdWWZYAK2ao9I6BYO/&#10;nPfakyvDKTgeS/ymai9gie/AQjviwhAOECectthcEj/KzX9x0GIs/VlItBBljcLz8Iq5IONc2Lic&#10;mRCd0iQ2NydOTaep/1PihE+pIg/23yTPGbky2DgnG2XBj5a9rB77W8tyxN8cGHUnC87QDHkQsjU4&#10;ofkGp9eUnsDzfU7/+eZ3PwAAAP//AwBQSwMEFAAGAAgAAAAhAECguffgAAAACwEAAA8AAABkcnMv&#10;ZG93bnJldi54bWxMj8FOwzAQRO9I/IO1SNyog5NUVohTIUS5VUCLBEc33sZR43UUu234e8wJjqt9&#10;mnlTr2Y3sDNOofek4H6RAUNqvempU/CxW99JYCFqMnrwhAq+McCqub6qdWX8hd7xvI0dSyEUKq3A&#10;xjhWnIfWotNh4Uek9Dv4yemYzqnjZtKXFO4GLrJsyZ3uKTVYPeKTxfa4PTkFu8Pm8+tt/VrmTorj&#10;xubP/EVmSt3ezI8PwCLO8Q+GX/2kDk1y2vsTmcAGBbmUIqEKhCxKYIkoiyKN2StYFkICb2r+f0Pz&#10;AwAA//8DAFBLAQItABQABgAIAAAAIQC2gziS/gAAAOEBAAATAAAAAAAAAAAAAAAAAAAAAABbQ29u&#10;dGVudF9UeXBlc10ueG1sUEsBAi0AFAAGAAgAAAAhADj9If/WAAAAlAEAAAsAAAAAAAAAAAAAAAAA&#10;LwEAAF9yZWxzLy5yZWxzUEsBAi0AFAAGAAgAAAAhAEP3ip74AQAAOwQAAA4AAAAAAAAAAAAAAAAA&#10;LgIAAGRycy9lMm9Eb2MueG1sUEsBAi0AFAAGAAgAAAAhAECguffgAAAACwEAAA8AAAAAAAAAAAAA&#10;AAAAUgQAAGRycy9kb3ducmV2LnhtbFBLBQYAAAAABAAEAPMAAABfBQAAAAA=&#10;" strokecolor="red" strokeweight="2pt">
                <v:stroke dashstyle="1 1"/>
              </v:line>
            </w:pict>
          </mc:Fallback>
        </mc:AlternateContent>
      </w:r>
      <w:r>
        <w:rPr>
          <w:noProof/>
          <w:lang w:val="fr-BE" w:eastAsia="fr-BE"/>
        </w:rPr>
        <mc:AlternateContent>
          <mc:Choice Requires="wps">
            <w:drawing>
              <wp:anchor distT="0" distB="0" distL="114300" distR="114300" simplePos="0" relativeHeight="251755520" behindDoc="0" locked="0" layoutInCell="1" allowOverlap="1">
                <wp:simplePos x="0" y="0"/>
                <wp:positionH relativeFrom="column">
                  <wp:posOffset>716890</wp:posOffset>
                </wp:positionH>
                <wp:positionV relativeFrom="paragraph">
                  <wp:posOffset>2487168</wp:posOffset>
                </wp:positionV>
                <wp:extent cx="175260" cy="1733194"/>
                <wp:effectExtent l="0" t="0" r="34290" b="19685"/>
                <wp:wrapNone/>
                <wp:docPr id="306" name="Straight Connector 306"/>
                <wp:cNvGraphicFramePr/>
                <a:graphic xmlns:a="http://schemas.openxmlformats.org/drawingml/2006/main">
                  <a:graphicData uri="http://schemas.microsoft.com/office/word/2010/wordprocessingShape">
                    <wps:wsp>
                      <wps:cNvCnPr/>
                      <wps:spPr>
                        <a:xfrm flipV="1">
                          <a:off x="0" y="0"/>
                          <a:ext cx="175260" cy="1733194"/>
                        </a:xfrm>
                        <a:prstGeom prst="line">
                          <a:avLst/>
                        </a:prstGeom>
                        <a:ln w="254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147C72" id="Straight Connector 306"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5pt,195.85pt" to="70.25pt,3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th9QEAADsEAAAOAAAAZHJzL2Uyb0RvYy54bWysU02P0zAQvSPxHyzfaZJ2twtR0z20KhcE&#10;Fbtwdx27seQvjU2T/nvGTho+hQQiByv2vHkz73m8eRyMJhcBQTnb0GpRUiIsd62y54Z+ej68ek1J&#10;iMy2TDsrGnoVgT5uX77Y9L4WS9c53QogSGJD3fuGdjH6uigC74RhYeG8sBiUDgyLuIVz0QLrkd3o&#10;YlmW66J30HpwXISAp/sxSLeZX0rB4wcpg4hENxR7i3mFvJ7SWmw3rD4D853iUxvsH7owTFksOlPt&#10;WWTkC6hfqIzi4IKTccGdKZyUiousAdVU5U9qnjrmRdaC5gQ/2xT+Hy1/fzkCUW1DV+WaEssMXtJT&#10;BKbOXSQ7Zy1a6ICkKHrV+1Bjys4eYdoFf4QkfJBgiNTKf8YxyFagODJkp6+z02KIhONh9XC/XON9&#10;cAxVD6tV9eYu0RcjT+LzEOJb4QxJPw3VyiYnWM0u70IcoTdIOtaW9A1d3t+VZYYFp1V7UFqnYIDz&#10;aaeBXBhOweFQ4jdV+wGW+PYsdCMuXMPexQmnLTaXxI9y81+8ajGW/igkWphkjbXT8Iq5IONc2FjN&#10;TIhOaRKbmxOnpv+UOOFTqsiD/TfJc0au7Gyck42yDn7XdhxuLcsRf3Ng1J0sOLn2mgchW4MTmm9w&#10;ek3pCXy/z+nf3vz2KwAAAP//AwBQSwMEFAAGAAgAAAAhAIdS2aHhAAAACwEAAA8AAABkcnMvZG93&#10;bnJldi54bWxMj8FuwjAQRO+V+g/WVuqt2EkgDWkcVFWlN0QLSPRokiWOiNdRbCD9+5pTexzt08zb&#10;YjGajl1wcK0lCdFEAEOqbN1SI2G3XT5lwJxXVKvOEkr4QQeL8v6uUHltr/SFl41vWCghlysJ2vs+&#10;59xVGo1yE9sjhdvRDkb5EIeG14O6hnLT8ViIlBvVUljQqsc3jdVpczYStsfV/vtzuZ4lJotPK528&#10;849MSPn4ML6+APM4+j8YbvpBHcrgdLBnqh3rQo7ieUAlJPPoGdiNmIoZsIOENJ2mwMuC//+h/AUA&#10;AP//AwBQSwECLQAUAAYACAAAACEAtoM4kv4AAADhAQAAEwAAAAAAAAAAAAAAAAAAAAAAW0NvbnRl&#10;bnRfVHlwZXNdLnhtbFBLAQItABQABgAIAAAAIQA4/SH/1gAAAJQBAAALAAAAAAAAAAAAAAAAAC8B&#10;AABfcmVscy8ucmVsc1BLAQItABQABgAIAAAAIQDGJAth9QEAADsEAAAOAAAAAAAAAAAAAAAAAC4C&#10;AABkcnMvZTJvRG9jLnhtbFBLAQItABQABgAIAAAAIQCHUtmh4QAAAAsBAAAPAAAAAAAAAAAAAAAA&#10;AE8EAABkcnMvZG93bnJldi54bWxQSwUGAAAAAAQABADzAAAAXQUAAAAA&#10;" strokecolor="red" strokeweight="2pt">
                <v:stroke dashstyle="1 1"/>
              </v:line>
            </w:pict>
          </mc:Fallback>
        </mc:AlternateContent>
      </w:r>
      <w:r>
        <w:rPr>
          <w:noProof/>
          <w:lang w:val="fr-BE" w:eastAsia="fr-BE"/>
        </w:rPr>
        <w:drawing>
          <wp:anchor distT="0" distB="0" distL="114300" distR="114300" simplePos="0" relativeHeight="251753472" behindDoc="0" locked="0" layoutInCell="1" allowOverlap="1">
            <wp:simplePos x="0" y="0"/>
            <wp:positionH relativeFrom="column">
              <wp:posOffset>614477</wp:posOffset>
            </wp:positionH>
            <wp:positionV relativeFrom="paragraph">
              <wp:posOffset>438912</wp:posOffset>
            </wp:positionV>
            <wp:extent cx="3021177" cy="2277926"/>
            <wp:effectExtent l="0" t="0" r="8255" b="825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PP amount nf zoom.png"/>
                    <pic:cNvPicPr/>
                  </pic:nvPicPr>
                  <pic:blipFill>
                    <a:blip r:embed="rId41" cstate="screen">
                      <a:extLst>
                        <a:ext uri="{28A0092B-C50C-407E-A947-70E740481C1C}">
                          <a14:useLocalDpi xmlns:a14="http://schemas.microsoft.com/office/drawing/2010/main" val="0"/>
                        </a:ext>
                      </a:extLst>
                    </a:blip>
                    <a:stretch>
                      <a:fillRect/>
                    </a:stretch>
                  </pic:blipFill>
                  <pic:spPr>
                    <a:xfrm>
                      <a:off x="0" y="0"/>
                      <a:ext cx="3020902" cy="2277719"/>
                    </a:xfrm>
                    <a:prstGeom prst="rect">
                      <a:avLst/>
                    </a:prstGeom>
                  </pic:spPr>
                </pic:pic>
              </a:graphicData>
            </a:graphic>
            <wp14:sizeRelH relativeFrom="page">
              <wp14:pctWidth>0</wp14:pctWidth>
            </wp14:sizeRelH>
            <wp14:sizeRelV relativeFrom="page">
              <wp14:pctHeight>0</wp14:pctHeight>
            </wp14:sizeRelV>
          </wp:anchor>
        </w:drawing>
      </w:r>
      <w:r>
        <w:rPr>
          <w:noProof/>
          <w:lang w:val="fr-BE" w:eastAsia="fr-BE"/>
        </w:rPr>
        <w:drawing>
          <wp:inline distT="0" distB="0" distL="0" distR="0">
            <wp:extent cx="5731510" cy="5220335"/>
            <wp:effectExtent l="0" t="0" r="254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PP amount no fraud.png"/>
                    <pic:cNvPicPr/>
                  </pic:nvPicPr>
                  <pic:blipFill>
                    <a:blip r:embed="rId42">
                      <a:extLst>
                        <a:ext uri="{28A0092B-C50C-407E-A947-70E740481C1C}">
                          <a14:useLocalDpi xmlns:a14="http://schemas.microsoft.com/office/drawing/2010/main" val="0"/>
                        </a:ext>
                      </a:extLst>
                    </a:blip>
                    <a:stretch>
                      <a:fillRect/>
                    </a:stretch>
                  </pic:blipFill>
                  <pic:spPr>
                    <a:xfrm>
                      <a:off x="0" y="0"/>
                      <a:ext cx="5731510" cy="5220335"/>
                    </a:xfrm>
                    <a:prstGeom prst="rect">
                      <a:avLst/>
                    </a:prstGeom>
                  </pic:spPr>
                </pic:pic>
              </a:graphicData>
            </a:graphic>
          </wp:inline>
        </w:drawing>
      </w:r>
    </w:p>
    <w:p w:rsidR="00B83504" w:rsidRDefault="00B55645">
      <w:pPr>
        <w:pStyle w:val="Text1"/>
        <w:ind w:left="0"/>
        <w:rPr>
          <w:noProof/>
        </w:rPr>
      </w:pPr>
      <w:r>
        <w:rPr>
          <w:noProof/>
        </w:rPr>
        <w:t>The number an</w:t>
      </w:r>
      <w:r>
        <w:rPr>
          <w:noProof/>
        </w:rPr>
        <w:t>d related amounts of irregularities not reported as fraudulent can be influenced by the state of implementation of the programming period. An indicator to gauge the state of implementation may be the interim payments that have been made to the Member State</w:t>
      </w:r>
      <w:r>
        <w:rPr>
          <w:noProof/>
        </w:rPr>
        <w:t>s, as these payments should reflect the progression of eligigle expenditure.</w:t>
      </w:r>
      <w:r>
        <w:rPr>
          <w:rStyle w:val="FootnoteReference"/>
          <w:noProof/>
        </w:rPr>
        <w:t xml:space="preserve"> </w:t>
      </w:r>
      <w:r>
        <w:rPr>
          <w:rStyle w:val="FootnoteReference"/>
          <w:noProof/>
        </w:rPr>
        <w:footnoteReference w:id="20"/>
      </w:r>
      <w:r>
        <w:rPr>
          <w:noProof/>
        </w:rPr>
        <w:t xml:space="preserve"> This is shown by Graph CP12, including CF, ERDF and ESF, which absorb most of the financial resources.</w:t>
      </w:r>
      <w:r>
        <w:rPr>
          <w:rStyle w:val="FootnoteReference"/>
          <w:noProof/>
        </w:rPr>
        <w:footnoteReference w:id="21"/>
      </w:r>
      <w:r>
        <w:rPr>
          <w:noProof/>
        </w:rPr>
        <w:t xml:space="preserve"> </w:t>
      </w:r>
    </w:p>
    <w:p w:rsidR="00B83504" w:rsidRDefault="00B55645">
      <w:pPr>
        <w:pStyle w:val="Text1"/>
        <w:ind w:left="0"/>
        <w:rPr>
          <w:noProof/>
        </w:rPr>
      </w:pPr>
      <w:r>
        <w:rPr>
          <w:noProof/>
          <w:lang w:val="fr-BE" w:eastAsia="fr-BE"/>
        </w:rPr>
        <w:drawing>
          <wp:inline distT="0" distB="0" distL="0" distR="0">
            <wp:extent cx="5925312" cy="353173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5926432" cy="3532403"/>
                    </a:xfrm>
                    <a:prstGeom prst="rect">
                      <a:avLst/>
                    </a:prstGeom>
                    <a:noFill/>
                  </pic:spPr>
                </pic:pic>
              </a:graphicData>
            </a:graphic>
          </wp:inline>
        </w:drawing>
      </w:r>
    </w:p>
    <w:p w:rsidR="00B83504" w:rsidRDefault="00B55645">
      <w:pPr>
        <w:pStyle w:val="Text1"/>
        <w:ind w:left="0"/>
        <w:rPr>
          <w:noProof/>
        </w:rPr>
      </w:pPr>
      <w:r>
        <w:rPr>
          <w:noProof/>
        </w:rPr>
        <w:t xml:space="preserve">During the first 5 years from the start of PP 2014-2020 (from 2014 to </w:t>
      </w:r>
      <w:r>
        <w:rPr>
          <w:noProof/>
        </w:rPr>
        <w:t>2018), the Member States have received less interim payments than during the first 5 years from the start of PP 2007-2013 (from 2007 to 2011). At the end of 2018, this (cumulative) gap still amounted to about -25%, but it was higher before (see CP12). This</w:t>
      </w:r>
      <w:r>
        <w:rPr>
          <w:noProof/>
        </w:rPr>
        <w:t xml:space="preserve"> may contribute to explain the difference in terms of number of non-fraudulent irregularities, which is higher (about -60% - see Table CP10 and Graph CP10). </w:t>
      </w:r>
    </w:p>
    <w:p w:rsidR="00B83504" w:rsidRDefault="00B55645">
      <w:pPr>
        <w:pStyle w:val="Text1"/>
        <w:ind w:left="0"/>
        <w:rPr>
          <w:noProof/>
        </w:rPr>
      </w:pPr>
      <w:r>
        <w:rPr>
          <w:noProof/>
        </w:rPr>
        <w:t>A closer look at Graph CP10 and the underlying data reveals that a significant share of the gap is</w:t>
      </w:r>
      <w:r>
        <w:rPr>
          <w:noProof/>
        </w:rPr>
        <w:t xml:space="preserve"> due to a sudden acceleration in the number irregularities related to 2010 (fourth year of implementation of PP 2007-2013), which were reported at the beginning of 2011. More than half of this jump was due to irregularities reported by two Member States (G</w:t>
      </w:r>
      <w:r>
        <w:rPr>
          <w:noProof/>
        </w:rPr>
        <w:t>reece and the UK – see also below Graph CP16). Then during the fifth year of implementation (2011) the number of irregularities continued to grow at a sustained pace. PP 2014-2020 followed a different pattern. There was no significant increase related to 2</w:t>
      </w:r>
      <w:r>
        <w:rPr>
          <w:noProof/>
        </w:rPr>
        <w:t>017 (fourth year of implementation, as it was 2010 for PP 2007-2013); reporting continued to raise at the same pace, instead of accelerating. At the beginning of 2019 (with reference to the year 2018, fifth year of implementation), a noticeable increase in</w:t>
      </w:r>
      <w:r>
        <w:rPr>
          <w:noProof/>
        </w:rPr>
        <w:t xml:space="preserve"> the number of irregularities reported took place. This sudden growth was smaller than the one recorded for PP 2007-2013 after four (and not five) years from the start of the programming period (see above), but it might corroborate the hypothesis that, at </w:t>
      </w:r>
      <w:r>
        <w:rPr>
          <w:noProof/>
        </w:rPr>
        <w:t xml:space="preserve">least in part, this gap in reporting may have been influenced by delayed implementation of the programming period. </w:t>
      </w:r>
    </w:p>
    <w:p w:rsidR="00B83504" w:rsidRDefault="00B55645">
      <w:pPr>
        <w:pStyle w:val="Text1"/>
        <w:ind w:left="0"/>
        <w:rPr>
          <w:noProof/>
        </w:rPr>
      </w:pPr>
      <w:r>
        <w:rPr>
          <w:noProof/>
        </w:rPr>
        <w:t xml:space="preserve">In Graphs CP 13-15, the irregularities not reported as fraudulent are split by fund. The widest gap is recorded for the ERDF, for which the </w:t>
      </w:r>
      <w:r>
        <w:rPr>
          <w:noProof/>
        </w:rPr>
        <w:t xml:space="preserve">irregularities reported were just one third of those reported during the first 5 years of PP 2007-2013. For the CF and ESF, there was still a significant gap with respect to PP 2007-2013, even if it was not as wide as for ERDF. Furthemore, for the CF this </w:t>
      </w:r>
      <w:r>
        <w:rPr>
          <w:noProof/>
        </w:rPr>
        <w:t>negative gap was decreasing, in terms of numbers, while the financial amounts reported in relation to PP 2014-2020 were significantly higher than those related to PP 2007-2013. For the ESF, the negative gap started to widen towards the end of fifth year of</w:t>
      </w:r>
      <w:r>
        <w:rPr>
          <w:noProof/>
        </w:rPr>
        <w:t xml:space="preserve"> implementation, both in terms of number and financial amounts. Also for the fisheries policy, the number of irregularities was decreasing (from 30 for PP 2007-2013 to 15 for PP 2014-2020) while the financial amounts were broadly stable around 1million.</w:t>
      </w:r>
    </w:p>
    <w:p w:rsidR="00B83504" w:rsidRDefault="00B55645">
      <w:pPr>
        <w:pStyle w:val="Text1"/>
        <w:ind w:left="0"/>
        <w:rPr>
          <w:noProof/>
        </w:rPr>
      </w:pPr>
      <w:r>
        <w:rPr>
          <w:noProof/>
          <w:lang w:val="fr-BE" w:eastAsia="fr-BE"/>
        </w:rPr>
        <w:drawing>
          <wp:inline distT="0" distB="0" distL="0" distR="0">
            <wp:extent cx="5735117" cy="2699308"/>
            <wp:effectExtent l="0" t="0" r="0" b="6350"/>
            <wp:docPr id="1092768" name="Picture 109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PP no fraud CF.png"/>
                    <pic:cNvPicPr/>
                  </pic:nvPicPr>
                  <pic:blipFill>
                    <a:blip r:embed="rId44" cstate="screen">
                      <a:extLst>
                        <a:ext uri="{28A0092B-C50C-407E-A947-70E740481C1C}">
                          <a14:useLocalDpi xmlns:a14="http://schemas.microsoft.com/office/drawing/2010/main" val="0"/>
                        </a:ext>
                      </a:extLst>
                    </a:blip>
                    <a:stretch>
                      <a:fillRect/>
                    </a:stretch>
                  </pic:blipFill>
                  <pic:spPr>
                    <a:xfrm>
                      <a:off x="0" y="0"/>
                      <a:ext cx="5731510" cy="2697610"/>
                    </a:xfrm>
                    <a:prstGeom prst="rect">
                      <a:avLst/>
                    </a:prstGeom>
                  </pic:spPr>
                </pic:pic>
              </a:graphicData>
            </a:graphic>
          </wp:inline>
        </w:drawing>
      </w:r>
      <w:r>
        <w:rPr>
          <w:noProof/>
          <w:lang w:val="fr-BE" w:eastAsia="fr-BE"/>
        </w:rPr>
        <w:drawing>
          <wp:inline distT="0" distB="0" distL="0" distR="0">
            <wp:extent cx="5735117" cy="2728569"/>
            <wp:effectExtent l="0" t="0" r="0" b="0"/>
            <wp:docPr id="1092769" name="Picture 109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PP no fraud ERDF.png"/>
                    <pic:cNvPicPr/>
                  </pic:nvPicPr>
                  <pic:blipFill>
                    <a:blip r:embed="rId45" cstate="screen">
                      <a:extLst>
                        <a:ext uri="{28A0092B-C50C-407E-A947-70E740481C1C}">
                          <a14:useLocalDpi xmlns:a14="http://schemas.microsoft.com/office/drawing/2010/main" val="0"/>
                        </a:ext>
                      </a:extLst>
                    </a:blip>
                    <a:stretch>
                      <a:fillRect/>
                    </a:stretch>
                  </pic:blipFill>
                  <pic:spPr>
                    <a:xfrm>
                      <a:off x="0" y="0"/>
                      <a:ext cx="5731510" cy="2726853"/>
                    </a:xfrm>
                    <a:prstGeom prst="rect">
                      <a:avLst/>
                    </a:prstGeom>
                  </pic:spPr>
                </pic:pic>
              </a:graphicData>
            </a:graphic>
          </wp:inline>
        </w:drawing>
      </w:r>
    </w:p>
    <w:p w:rsidR="00B83504" w:rsidRDefault="00B55645">
      <w:pPr>
        <w:pStyle w:val="Text1"/>
        <w:ind w:left="0"/>
        <w:rPr>
          <w:noProof/>
        </w:rPr>
      </w:pPr>
      <w:r>
        <w:rPr>
          <w:noProof/>
          <w:lang w:val="fr-BE" w:eastAsia="fr-BE"/>
        </w:rPr>
        <w:drawing>
          <wp:inline distT="0" distB="0" distL="0" distR="0">
            <wp:extent cx="5735117" cy="2743200"/>
            <wp:effectExtent l="0" t="0" r="0" b="0"/>
            <wp:docPr id="1092770" name="Picture 109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PP no fraud ESF.png"/>
                    <pic:cNvPicPr/>
                  </pic:nvPicPr>
                  <pic:blipFill>
                    <a:blip r:embed="rId46" cstate="screen">
                      <a:extLst>
                        <a:ext uri="{28A0092B-C50C-407E-A947-70E740481C1C}">
                          <a14:useLocalDpi xmlns:a14="http://schemas.microsoft.com/office/drawing/2010/main" val="0"/>
                        </a:ext>
                      </a:extLst>
                    </a:blip>
                    <a:stretch>
                      <a:fillRect/>
                    </a:stretch>
                  </pic:blipFill>
                  <pic:spPr>
                    <a:xfrm>
                      <a:off x="0" y="0"/>
                      <a:ext cx="5731510" cy="2741475"/>
                    </a:xfrm>
                    <a:prstGeom prst="rect">
                      <a:avLst/>
                    </a:prstGeom>
                  </pic:spPr>
                </pic:pic>
              </a:graphicData>
            </a:graphic>
          </wp:inline>
        </w:drawing>
      </w:r>
    </w:p>
    <w:p w:rsidR="00B83504" w:rsidRDefault="00B55645">
      <w:pPr>
        <w:pStyle w:val="Text1"/>
        <w:ind w:left="0"/>
        <w:rPr>
          <w:noProof/>
        </w:rPr>
      </w:pPr>
      <w:r>
        <w:rPr>
          <w:noProof/>
        </w:rPr>
        <w:t>Given that ERDF showed the widest and most persistent gap between PP 2007-2013 and PP 2014-2020, Graph CP16 shows the comparison, MS by MS, in terms of number of irregularities not reported as fraudulent, with specific reference to this fund. These data</w:t>
      </w:r>
      <w:r>
        <w:rPr>
          <w:noProof/>
        </w:rPr>
        <w:t xml:space="preserve"> should be read while comparing the stage of implementation of the two PPs, for example on the basis of the payments already received by the Member State (see above). This is outside the scope of this Report, but the competent national authorities can buil</w:t>
      </w:r>
      <w:r>
        <w:rPr>
          <w:noProof/>
        </w:rPr>
        <w:t xml:space="preserve">d on it to tailor and deepen the analysis, to ensure that the decrease in reporting is not due to lower quality and intensity of detections and enforcement activities. For the majority of MS, the numbers of non-fraudulent irregularities related to the two </w:t>
      </w:r>
      <w:r>
        <w:rPr>
          <w:noProof/>
        </w:rPr>
        <w:t>PPs are on persistently diverging paths (Austria, Belgium, the Czech Republic, Germany, Spain, Finland, Greece, Italy, Lithuania, Latvia, the Netherlands, Poland, Romania, Sweden, Slovenia). For other Member States, at the cut-off dates, the gap was signif</w:t>
      </w:r>
      <w:r>
        <w:rPr>
          <w:noProof/>
        </w:rPr>
        <w:t>icant, while there had been times during these five years when the number of non-fraudulent irregularities related to PP 2014-2020 were nearer to those related to PP 2007-2013 (Portugal, Slovakia, the UK). Finally, there are Member States were there was no</w:t>
      </w:r>
      <w:r>
        <w:rPr>
          <w:noProof/>
        </w:rPr>
        <w:t xml:space="preserve"> significant gap (Cyprus, Denmark, Estonia, Malta) or the irregularities related to the current PP were more than those related to PP 2007-2013 (Bulgaria, France, Croatia, Hungary). During the first five years of both PP 2007-2013 and PP 2014-2020, Ireland</w:t>
      </w:r>
      <w:r>
        <w:rPr>
          <w:noProof/>
        </w:rPr>
        <w:t xml:space="preserve"> and Luxembourg have not reported any non-fraudulent irregularity related to ERDF.</w:t>
      </w:r>
      <w:r>
        <w:rPr>
          <w:noProof/>
        </w:rPr>
        <w:br w:type="page"/>
      </w:r>
    </w:p>
    <w:p w:rsidR="00B83504" w:rsidRDefault="00B55645">
      <w:pPr>
        <w:pStyle w:val="Text1"/>
        <w:ind w:left="0"/>
        <w:rPr>
          <w:noProof/>
        </w:rPr>
      </w:pPr>
      <w:r>
        <w:rPr>
          <w:noProof/>
          <w:lang w:val="fr-BE" w:eastAsia="fr-BE"/>
        </w:rPr>
        <w:drawing>
          <wp:inline distT="0" distB="0" distL="0" distR="0">
            <wp:extent cx="5193792" cy="2936972"/>
            <wp:effectExtent l="0" t="0" r="6985" b="0"/>
            <wp:docPr id="1092771" name="Picture 109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AT BE BG CY CZ DE.png"/>
                    <pic:cNvPicPr/>
                  </pic:nvPicPr>
                  <pic:blipFill>
                    <a:blip r:embed="rId47" cstate="screen">
                      <a:extLst>
                        <a:ext uri="{28A0092B-C50C-407E-A947-70E740481C1C}">
                          <a14:useLocalDpi xmlns:a14="http://schemas.microsoft.com/office/drawing/2010/main" val="0"/>
                        </a:ext>
                      </a:extLst>
                    </a:blip>
                    <a:stretch>
                      <a:fillRect/>
                    </a:stretch>
                  </pic:blipFill>
                  <pic:spPr>
                    <a:xfrm>
                      <a:off x="0" y="0"/>
                      <a:ext cx="5190525" cy="2935125"/>
                    </a:xfrm>
                    <a:prstGeom prst="rect">
                      <a:avLst/>
                    </a:prstGeom>
                  </pic:spPr>
                </pic:pic>
              </a:graphicData>
            </a:graphic>
          </wp:inline>
        </w:drawing>
      </w:r>
    </w:p>
    <w:p w:rsidR="00B83504" w:rsidRDefault="00B55645">
      <w:pPr>
        <w:pStyle w:val="Text1"/>
        <w:ind w:left="0"/>
        <w:rPr>
          <w:noProof/>
        </w:rPr>
      </w:pPr>
      <w:r>
        <w:rPr>
          <w:noProof/>
          <w:lang w:val="fr-BE" w:eastAsia="fr-BE"/>
        </w:rPr>
        <w:drawing>
          <wp:inline distT="0" distB="0" distL="0" distR="0">
            <wp:extent cx="5188857" cy="2793911"/>
            <wp:effectExtent l="0" t="0" r="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DK EE ES FI FR EL.png"/>
                    <pic:cNvPicPr/>
                  </pic:nvPicPr>
                  <pic:blipFill>
                    <a:blip r:embed="rId48" cstate="screen">
                      <a:extLst>
                        <a:ext uri="{28A0092B-C50C-407E-A947-70E740481C1C}">
                          <a14:useLocalDpi xmlns:a14="http://schemas.microsoft.com/office/drawing/2010/main" val="0"/>
                        </a:ext>
                      </a:extLst>
                    </a:blip>
                    <a:stretch>
                      <a:fillRect/>
                    </a:stretch>
                  </pic:blipFill>
                  <pic:spPr>
                    <a:xfrm>
                      <a:off x="0" y="0"/>
                      <a:ext cx="5187380" cy="2793116"/>
                    </a:xfrm>
                    <a:prstGeom prst="rect">
                      <a:avLst/>
                    </a:prstGeom>
                  </pic:spPr>
                </pic:pic>
              </a:graphicData>
            </a:graphic>
          </wp:inline>
        </w:drawing>
      </w:r>
    </w:p>
    <w:p w:rsidR="00B83504" w:rsidRDefault="00B55645">
      <w:pPr>
        <w:pStyle w:val="Text1"/>
        <w:ind w:left="0"/>
        <w:rPr>
          <w:noProof/>
        </w:rPr>
      </w:pPr>
      <w:r>
        <w:rPr>
          <w:noProof/>
          <w:lang w:val="fr-BE" w:eastAsia="fr-BE"/>
        </w:rPr>
        <w:drawing>
          <wp:inline distT="0" distB="0" distL="0" distR="0">
            <wp:extent cx="5194785" cy="2786743"/>
            <wp:effectExtent l="0" t="0" r="6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HR HU IE IT LT LU.png"/>
                    <pic:cNvPicPr/>
                  </pic:nvPicPr>
                  <pic:blipFill>
                    <a:blip r:embed="rId49" cstate="screen">
                      <a:extLst>
                        <a:ext uri="{28A0092B-C50C-407E-A947-70E740481C1C}">
                          <a14:useLocalDpi xmlns:a14="http://schemas.microsoft.com/office/drawing/2010/main" val="0"/>
                        </a:ext>
                      </a:extLst>
                    </a:blip>
                    <a:stretch>
                      <a:fillRect/>
                    </a:stretch>
                  </pic:blipFill>
                  <pic:spPr>
                    <a:xfrm>
                      <a:off x="0" y="0"/>
                      <a:ext cx="5193306" cy="2785950"/>
                    </a:xfrm>
                    <a:prstGeom prst="rect">
                      <a:avLst/>
                    </a:prstGeom>
                  </pic:spPr>
                </pic:pic>
              </a:graphicData>
            </a:graphic>
          </wp:inline>
        </w:drawing>
      </w:r>
    </w:p>
    <w:p w:rsidR="00B83504" w:rsidRDefault="00B55645">
      <w:pPr>
        <w:pStyle w:val="Text1"/>
        <w:ind w:left="0"/>
        <w:rPr>
          <w:noProof/>
        </w:rPr>
      </w:pPr>
      <w:r>
        <w:rPr>
          <w:noProof/>
          <w:lang w:val="fr-BE" w:eastAsia="fr-BE"/>
        </w:rPr>
        <w:drawing>
          <wp:inline distT="0" distB="0" distL="0" distR="0">
            <wp:extent cx="5274259" cy="2855672"/>
            <wp:effectExtent l="0" t="0" r="3175"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LV MT NL PL PT RO.png"/>
                    <pic:cNvPicPr/>
                  </pic:nvPicPr>
                  <pic:blipFill>
                    <a:blip r:embed="rId50" cstate="screen">
                      <a:extLst>
                        <a:ext uri="{28A0092B-C50C-407E-A947-70E740481C1C}">
                          <a14:useLocalDpi xmlns:a14="http://schemas.microsoft.com/office/drawing/2010/main" val="0"/>
                        </a:ext>
                      </a:extLst>
                    </a:blip>
                    <a:stretch>
                      <a:fillRect/>
                    </a:stretch>
                  </pic:blipFill>
                  <pic:spPr>
                    <a:xfrm>
                      <a:off x="0" y="0"/>
                      <a:ext cx="5272869" cy="2854919"/>
                    </a:xfrm>
                    <a:prstGeom prst="rect">
                      <a:avLst/>
                    </a:prstGeom>
                  </pic:spPr>
                </pic:pic>
              </a:graphicData>
            </a:graphic>
          </wp:inline>
        </w:drawing>
      </w:r>
    </w:p>
    <w:p w:rsidR="00B83504" w:rsidRDefault="00B55645">
      <w:pPr>
        <w:pStyle w:val="Text1"/>
        <w:ind w:left="0"/>
        <w:rPr>
          <w:noProof/>
        </w:rPr>
      </w:pPr>
      <w:r>
        <w:rPr>
          <w:noProof/>
          <w:lang w:val="fr-BE" w:eastAsia="fr-BE"/>
        </w:rPr>
        <w:drawing>
          <wp:inline distT="0" distB="0" distL="0" distR="0">
            <wp:extent cx="5376672" cy="145169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SE SI SK.png"/>
                    <pic:cNvPicPr/>
                  </pic:nvPicPr>
                  <pic:blipFill>
                    <a:blip r:embed="rId51" cstate="screen">
                      <a:extLst>
                        <a:ext uri="{28A0092B-C50C-407E-A947-70E740481C1C}">
                          <a14:useLocalDpi xmlns:a14="http://schemas.microsoft.com/office/drawing/2010/main" val="0"/>
                        </a:ext>
                      </a:extLst>
                    </a:blip>
                    <a:stretch>
                      <a:fillRect/>
                    </a:stretch>
                  </pic:blipFill>
                  <pic:spPr>
                    <a:xfrm>
                      <a:off x="0" y="0"/>
                      <a:ext cx="5375254" cy="1451307"/>
                    </a:xfrm>
                    <a:prstGeom prst="rect">
                      <a:avLst/>
                    </a:prstGeom>
                  </pic:spPr>
                </pic:pic>
              </a:graphicData>
            </a:graphic>
          </wp:inline>
        </w:drawing>
      </w:r>
    </w:p>
    <w:p w:rsidR="00B83504" w:rsidRDefault="00B55645">
      <w:pPr>
        <w:pStyle w:val="Text1"/>
        <w:ind w:left="0"/>
        <w:rPr>
          <w:noProof/>
        </w:rPr>
      </w:pPr>
      <w:r>
        <w:rPr>
          <w:noProof/>
          <w:lang w:val="fr-BE" w:eastAsia="fr-BE"/>
        </w:rPr>
        <w:drawing>
          <wp:inline distT="0" distB="0" distL="0" distR="0">
            <wp:extent cx="1980889" cy="1770278"/>
            <wp:effectExtent l="0" t="0" r="635" b="190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UK.png"/>
                    <pic:cNvPicPr/>
                  </pic:nvPicPr>
                  <pic:blipFill>
                    <a:blip r:embed="rId52" cstate="screen">
                      <a:extLst>
                        <a:ext uri="{28A0092B-C50C-407E-A947-70E740481C1C}">
                          <a14:useLocalDpi xmlns:a14="http://schemas.microsoft.com/office/drawing/2010/main" val="0"/>
                        </a:ext>
                      </a:extLst>
                    </a:blip>
                    <a:stretch>
                      <a:fillRect/>
                    </a:stretch>
                  </pic:blipFill>
                  <pic:spPr>
                    <a:xfrm>
                      <a:off x="0" y="0"/>
                      <a:ext cx="1983842" cy="1772917"/>
                    </a:xfrm>
                    <a:prstGeom prst="rect">
                      <a:avLst/>
                    </a:prstGeom>
                  </pic:spPr>
                </pic:pic>
              </a:graphicData>
            </a:graphic>
          </wp:inline>
        </w:drawing>
      </w:r>
    </w:p>
    <w:p w:rsidR="00B83504" w:rsidRDefault="00B55645">
      <w:pPr>
        <w:pStyle w:val="Text1"/>
        <w:ind w:left="0"/>
        <w:rPr>
          <w:noProof/>
        </w:rPr>
      </w:pPr>
      <w:r>
        <w:rPr>
          <w:noProof/>
        </w:rPr>
        <w:t>Graphs CP17 shows the same comparison MS by MS, but in terms of financial amounts. For the majority of MS, the financial amounts involved in non-fraudulent irre</w:t>
      </w:r>
      <w:r>
        <w:rPr>
          <w:noProof/>
        </w:rPr>
        <w:t>gularities related to the two PPs were on persistently diverging paths (Austria, the Czech Republic, Germany, Spain, Greece, Hungary, Italy, Lithuania, Latvia, the Netherlands, Romania, Sweden, Slovenia, the UK). For other Member States, at the cut-off dat</w:t>
      </w:r>
      <w:r>
        <w:rPr>
          <w:noProof/>
        </w:rPr>
        <w:t>es, the gap was significant, while there had been times during these five years when the financial amounts involved in non-fraudulent irregularities related to PP 2014-2020 were nearer to those related to PP 2007-2013 (Estonia,  Poland, Portugal). Finally,</w:t>
      </w:r>
      <w:r>
        <w:rPr>
          <w:noProof/>
        </w:rPr>
        <w:t xml:space="preserve"> there are Member States were there was no significant gap (Denmark, Malta) or the irregular financial amounts detected in relation to the current PP were more than those related to PP 2007-2013 (Belgium, Bulgaria, Cyprus, Finland, France, Croatia, Slovaki</w:t>
      </w:r>
      <w:r>
        <w:rPr>
          <w:noProof/>
        </w:rPr>
        <w:t>a). As mentioned, during the first five years of both PP 2007-2013 and PP 2014-2020, Ireland and Luxembourg have not reported any non-fraudulent irregularity related to ERDF.</w:t>
      </w:r>
    </w:p>
    <w:p w:rsidR="00B83504" w:rsidRDefault="00B55645">
      <w:pPr>
        <w:pStyle w:val="Text1"/>
        <w:ind w:left="0"/>
        <w:rPr>
          <w:noProof/>
        </w:rPr>
      </w:pPr>
      <w:r>
        <w:rPr>
          <w:noProof/>
          <w:lang w:val="fr-BE" w:eastAsia="fr-BE"/>
        </w:rPr>
        <w:drawing>
          <wp:inline distT="0" distB="0" distL="0" distR="0">
            <wp:extent cx="5731510" cy="3183890"/>
            <wp:effectExtent l="0" t="0" r="2540" b="0"/>
            <wp:docPr id="1092772" name="Picture 109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 MS amounts AT BE BG CY CZ DE.png"/>
                    <pic:cNvPicPr/>
                  </pic:nvPicPr>
                  <pic:blipFill>
                    <a:blip r:embed="rId53" cstate="screen">
                      <a:extLst>
                        <a:ext uri="{28A0092B-C50C-407E-A947-70E740481C1C}">
                          <a14:useLocalDpi xmlns:a14="http://schemas.microsoft.com/office/drawing/2010/main" val="0"/>
                        </a:ext>
                      </a:extLst>
                    </a:blip>
                    <a:stretch>
                      <a:fillRect/>
                    </a:stretch>
                  </pic:blipFill>
                  <pic:spPr>
                    <a:xfrm>
                      <a:off x="0" y="0"/>
                      <a:ext cx="5731510" cy="3183890"/>
                    </a:xfrm>
                    <a:prstGeom prst="rect">
                      <a:avLst/>
                    </a:prstGeom>
                  </pic:spPr>
                </pic:pic>
              </a:graphicData>
            </a:graphic>
          </wp:inline>
        </w:drawing>
      </w:r>
    </w:p>
    <w:p w:rsidR="00B83504" w:rsidRDefault="00B55645">
      <w:pPr>
        <w:pStyle w:val="Text1"/>
        <w:ind w:left="0"/>
        <w:rPr>
          <w:noProof/>
        </w:rPr>
      </w:pPr>
      <w:r>
        <w:rPr>
          <w:noProof/>
          <w:lang w:val="fr-BE" w:eastAsia="fr-BE"/>
        </w:rPr>
        <w:drawing>
          <wp:inline distT="0" distB="0" distL="0" distR="0">
            <wp:extent cx="5731510" cy="3077210"/>
            <wp:effectExtent l="0" t="0" r="2540" b="889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 MS amounts DK EE ES FI FR EL.png"/>
                    <pic:cNvPicPr/>
                  </pic:nvPicPr>
                  <pic:blipFill>
                    <a:blip r:embed="rId54" cstate="screen">
                      <a:extLst>
                        <a:ext uri="{28A0092B-C50C-407E-A947-70E740481C1C}">
                          <a14:useLocalDpi xmlns:a14="http://schemas.microsoft.com/office/drawing/2010/main" val="0"/>
                        </a:ext>
                      </a:extLst>
                    </a:blip>
                    <a:stretch>
                      <a:fillRect/>
                    </a:stretch>
                  </pic:blipFill>
                  <pic:spPr>
                    <a:xfrm>
                      <a:off x="0" y="0"/>
                      <a:ext cx="5731510" cy="3077210"/>
                    </a:xfrm>
                    <a:prstGeom prst="rect">
                      <a:avLst/>
                    </a:prstGeom>
                  </pic:spPr>
                </pic:pic>
              </a:graphicData>
            </a:graphic>
          </wp:inline>
        </w:drawing>
      </w:r>
    </w:p>
    <w:p w:rsidR="00B83504" w:rsidRDefault="00B55645">
      <w:pPr>
        <w:pStyle w:val="Text1"/>
        <w:ind w:left="0"/>
        <w:rPr>
          <w:noProof/>
        </w:rPr>
      </w:pPr>
      <w:r>
        <w:rPr>
          <w:noProof/>
          <w:lang w:val="fr-BE" w:eastAsia="fr-BE"/>
        </w:rPr>
        <w:drawing>
          <wp:inline distT="0" distB="0" distL="0" distR="0">
            <wp:extent cx="5731510" cy="3060700"/>
            <wp:effectExtent l="0" t="0" r="2540"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 MS amounts HR HU IE IT LT LU.png"/>
                    <pic:cNvPicPr/>
                  </pic:nvPicPr>
                  <pic:blipFill>
                    <a:blip r:embed="rId55" cstate="screen">
                      <a:extLst>
                        <a:ext uri="{28A0092B-C50C-407E-A947-70E740481C1C}">
                          <a14:useLocalDpi xmlns:a14="http://schemas.microsoft.com/office/drawing/2010/main" val="0"/>
                        </a:ext>
                      </a:extLst>
                    </a:blip>
                    <a:stretch>
                      <a:fillRect/>
                    </a:stretch>
                  </pic:blipFill>
                  <pic:spPr>
                    <a:xfrm>
                      <a:off x="0" y="0"/>
                      <a:ext cx="5731510" cy="3060700"/>
                    </a:xfrm>
                    <a:prstGeom prst="rect">
                      <a:avLst/>
                    </a:prstGeom>
                  </pic:spPr>
                </pic:pic>
              </a:graphicData>
            </a:graphic>
          </wp:inline>
        </w:drawing>
      </w:r>
    </w:p>
    <w:p w:rsidR="00B83504" w:rsidRDefault="00B55645">
      <w:pPr>
        <w:pStyle w:val="Text1"/>
        <w:ind w:left="0"/>
        <w:rPr>
          <w:noProof/>
        </w:rPr>
      </w:pPr>
      <w:r>
        <w:rPr>
          <w:noProof/>
          <w:lang w:val="fr-BE" w:eastAsia="fr-BE"/>
        </w:rPr>
        <w:drawing>
          <wp:inline distT="0" distB="0" distL="0" distR="0">
            <wp:extent cx="5731510" cy="3086100"/>
            <wp:effectExtent l="0" t="0" r="254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 MS amounts LV MT NL PL PT RO.png"/>
                    <pic:cNvPicPr/>
                  </pic:nvPicPr>
                  <pic:blipFill>
                    <a:blip r:embed="rId56" cstate="screen">
                      <a:extLst>
                        <a:ext uri="{28A0092B-C50C-407E-A947-70E740481C1C}">
                          <a14:useLocalDpi xmlns:a14="http://schemas.microsoft.com/office/drawing/2010/main" val="0"/>
                        </a:ext>
                      </a:extLst>
                    </a:blip>
                    <a:stretch>
                      <a:fillRect/>
                    </a:stretch>
                  </pic:blipFill>
                  <pic:spPr>
                    <a:xfrm>
                      <a:off x="0" y="0"/>
                      <a:ext cx="5731510" cy="3086100"/>
                    </a:xfrm>
                    <a:prstGeom prst="rect">
                      <a:avLst/>
                    </a:prstGeom>
                  </pic:spPr>
                </pic:pic>
              </a:graphicData>
            </a:graphic>
          </wp:inline>
        </w:drawing>
      </w:r>
    </w:p>
    <w:p w:rsidR="00B83504" w:rsidRDefault="00B55645">
      <w:pPr>
        <w:pStyle w:val="Text1"/>
        <w:ind w:left="0"/>
        <w:rPr>
          <w:noProof/>
        </w:rPr>
      </w:pPr>
      <w:r>
        <w:rPr>
          <w:noProof/>
          <w:lang w:val="fr-BE" w:eastAsia="fr-BE"/>
        </w:rPr>
        <w:drawing>
          <wp:inline distT="0" distB="0" distL="0" distR="0">
            <wp:extent cx="5731510" cy="1583055"/>
            <wp:effectExtent l="0" t="0" r="254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 MS amounts SE SI SK.png"/>
                    <pic:cNvPicPr/>
                  </pic:nvPicPr>
                  <pic:blipFill>
                    <a:blip r:embed="rId57" cstate="screen">
                      <a:extLst>
                        <a:ext uri="{28A0092B-C50C-407E-A947-70E740481C1C}">
                          <a14:useLocalDpi xmlns:a14="http://schemas.microsoft.com/office/drawing/2010/main" val="0"/>
                        </a:ext>
                      </a:extLst>
                    </a:blip>
                    <a:stretch>
                      <a:fillRect/>
                    </a:stretch>
                  </pic:blipFill>
                  <pic:spPr>
                    <a:xfrm>
                      <a:off x="0" y="0"/>
                      <a:ext cx="5731510" cy="1583055"/>
                    </a:xfrm>
                    <a:prstGeom prst="rect">
                      <a:avLst/>
                    </a:prstGeom>
                  </pic:spPr>
                </pic:pic>
              </a:graphicData>
            </a:graphic>
          </wp:inline>
        </w:drawing>
      </w:r>
    </w:p>
    <w:p w:rsidR="00B83504" w:rsidRDefault="00B55645">
      <w:pPr>
        <w:pStyle w:val="Text1"/>
        <w:ind w:left="0"/>
        <w:rPr>
          <w:noProof/>
        </w:rPr>
      </w:pPr>
      <w:r>
        <w:rPr>
          <w:noProof/>
          <w:lang w:val="fr-BE" w:eastAsia="fr-BE"/>
        </w:rPr>
        <w:drawing>
          <wp:inline distT="0" distB="0" distL="0" distR="0">
            <wp:extent cx="1894114" cy="1711348"/>
            <wp:effectExtent l="0" t="0" r="0" b="317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 MS amounts UK.png"/>
                    <pic:cNvPicPr/>
                  </pic:nvPicPr>
                  <pic:blipFill>
                    <a:blip r:embed="rId58" cstate="screen">
                      <a:extLst>
                        <a:ext uri="{28A0092B-C50C-407E-A947-70E740481C1C}">
                          <a14:useLocalDpi xmlns:a14="http://schemas.microsoft.com/office/drawing/2010/main" val="0"/>
                        </a:ext>
                      </a:extLst>
                    </a:blip>
                    <a:stretch>
                      <a:fillRect/>
                    </a:stretch>
                  </pic:blipFill>
                  <pic:spPr>
                    <a:xfrm>
                      <a:off x="0" y="0"/>
                      <a:ext cx="1893350" cy="1710658"/>
                    </a:xfrm>
                    <a:prstGeom prst="rect">
                      <a:avLst/>
                    </a:prstGeom>
                  </pic:spPr>
                </pic:pic>
              </a:graphicData>
            </a:graphic>
          </wp:inline>
        </w:drawing>
      </w:r>
    </w:p>
    <w:p w:rsidR="00B83504" w:rsidRDefault="00B55645">
      <w:pPr>
        <w:pStyle w:val="Text1"/>
        <w:ind w:left="0"/>
        <w:rPr>
          <w:noProof/>
        </w:rPr>
      </w:pPr>
      <w:r>
        <w:rPr>
          <w:noProof/>
        </w:rPr>
        <w:t>This comparative analysis between PP 2007-2013 and 2014-2020 suggests the need for the Member States to carefully monitor the situation, also in order to exclude that the decrease of non-fraudulent irregularities reported is due to a decline in the intensi</w:t>
      </w:r>
      <w:r>
        <w:rPr>
          <w:noProof/>
        </w:rPr>
        <w:t xml:space="preserve">ty or quality of detection activities. At least in part, this decrease might be a delay due to a slower implementation of PP 2014-2020 in comparison with PP 2007-2013 (see above in this Section). However, this effect should fade down as the implementation </w:t>
      </w:r>
      <w:r>
        <w:rPr>
          <w:noProof/>
        </w:rPr>
        <w:t>of PP 2014-2020 catches up. Besides detection efforts and degree of implementation, other explanatory factors may lay in differences in the management and control systems of the different Member States in relation to the two programming periods, with an im</w:t>
      </w:r>
      <w:r>
        <w:rPr>
          <w:noProof/>
        </w:rPr>
        <w:t xml:space="preserve">pact in terms of prevention. </w:t>
      </w:r>
    </w:p>
    <w:p w:rsidR="00B83504" w:rsidRDefault="00B55645">
      <w:pPr>
        <w:pStyle w:val="Text1"/>
        <w:ind w:left="0"/>
        <w:rPr>
          <w:noProof/>
        </w:rPr>
      </w:pPr>
      <w:r>
        <w:rPr>
          <w:noProof/>
        </w:rPr>
        <w:t>In general, rules on thematic concentration</w:t>
      </w:r>
      <w:r>
        <w:rPr>
          <w:rStyle w:val="FootnoteReference"/>
          <w:noProof/>
        </w:rPr>
        <w:footnoteReference w:id="22"/>
      </w:r>
      <w:r>
        <w:rPr>
          <w:noProof/>
        </w:rPr>
        <w:t xml:space="preserve"> might have led to more effective spending. Focusing more on the management side, the 2007-2013 National Strategic Reference Frameworks (NSRF) have been replaced with the 2014-2020 P</w:t>
      </w:r>
      <w:r>
        <w:rPr>
          <w:noProof/>
        </w:rPr>
        <w:t xml:space="preserve">artnership Agreements. </w:t>
      </w:r>
      <w:r>
        <w:rPr>
          <w:i/>
          <w:noProof/>
        </w:rPr>
        <w:t>Inter alia</w:t>
      </w:r>
      <w:r>
        <w:rPr>
          <w:noProof/>
        </w:rPr>
        <w:t>, the latter must present an assessment of the administrative capacities of the authorities involved in implementation of the ESI Funds together with – where necessary – a summary of actions in order to improve them. In add</w:t>
      </w:r>
      <w:r>
        <w:rPr>
          <w:noProof/>
        </w:rPr>
        <w:t>ition, the legal framework at the basis of PP 2014-2020 requests the managing authorities put in place effective and proportionate anti-fraud measures taking into account the risks identified.</w:t>
      </w:r>
      <w:r>
        <w:rPr>
          <w:rStyle w:val="FootnoteReference"/>
          <w:noProof/>
        </w:rPr>
        <w:footnoteReference w:id="23"/>
      </w:r>
      <w:r>
        <w:rPr>
          <w:noProof/>
        </w:rPr>
        <w:t xml:space="preserve"> Furthermore, with reference to PP 2014-2020 the possibility to</w:t>
      </w:r>
      <w:r>
        <w:rPr>
          <w:noProof/>
        </w:rPr>
        <w:t xml:space="preserve"> use simplified cost options has been extended, but the impact depends on the extent to which implementing partners took advantage of this possibility.</w:t>
      </w:r>
    </w:p>
    <w:p w:rsidR="00B83504" w:rsidRDefault="00B55645">
      <w:pPr>
        <w:pStyle w:val="Text1"/>
        <w:ind w:left="0"/>
        <w:rPr>
          <w:noProof/>
        </w:rPr>
      </w:pPr>
      <w:r>
        <w:rPr>
          <w:noProof/>
        </w:rPr>
        <w:t>Another change that can be of relevance to explain the pattern of non-fraudulent irregularities is the i</w:t>
      </w:r>
      <w:r>
        <w:rPr>
          <w:noProof/>
        </w:rPr>
        <w:t xml:space="preserve">ntroduction of annual accounts that are prepared by the Member Stares and then examined and accepted by the EC each year (instead of at the closure of the programming period only). An unqualified audit opinion is necessary to accept accounts. </w:t>
      </w:r>
      <w:r>
        <w:rPr>
          <w:rStyle w:val="FootnoteReference"/>
          <w:noProof/>
        </w:rPr>
        <w:footnoteReference w:id="24"/>
      </w:r>
      <w:r>
        <w:rPr>
          <w:noProof/>
        </w:rPr>
        <w:t xml:space="preserve"> This might </w:t>
      </w:r>
      <w:r>
        <w:rPr>
          <w:noProof/>
        </w:rPr>
        <w:t>have contributed to strenghtening internal control at Member State level. In this framework, Member States may have an increased tendency to exclude from the annual accounts expenditure for which they have doubts about legality and regularity; this expendi</w:t>
      </w:r>
      <w:r>
        <w:rPr>
          <w:noProof/>
        </w:rPr>
        <w:t xml:space="preserve">ture can be included in an application for interim payment relating to subsequent accounting years, while for the current year, it is automatically recovered by the EC (without constituting a financial correction and without reducing support from the Fund </w:t>
      </w:r>
      <w:r>
        <w:rPr>
          <w:noProof/>
        </w:rPr>
        <w:t xml:space="preserve">to the relevant operational programme). </w:t>
      </w:r>
    </w:p>
    <w:p w:rsidR="00B83504" w:rsidRDefault="00B55645">
      <w:pPr>
        <w:pStyle w:val="Text1"/>
        <w:ind w:left="0"/>
        <w:rPr>
          <w:noProof/>
        </w:rPr>
      </w:pPr>
      <w:r>
        <w:rPr>
          <w:noProof/>
        </w:rPr>
        <w:t>These are just a few examples of factors that might potentially influence the number of irregularities reported, but the actual relevance and impact of these or other changes in the different Member States should be</w:t>
      </w:r>
      <w:r>
        <w:rPr>
          <w:noProof/>
        </w:rPr>
        <w:t xml:space="preserve"> properly evaluated before being taken as the explanation of a persistent decline in detections.</w:t>
      </w:r>
    </w:p>
    <w:p w:rsidR="00B83504" w:rsidRDefault="00B55645">
      <w:pPr>
        <w:pStyle w:val="Text1"/>
        <w:ind w:left="0"/>
        <w:rPr>
          <w:noProof/>
        </w:rPr>
      </w:pPr>
      <w:r>
        <w:rPr>
          <w:noProof/>
        </w:rPr>
        <w:t>Changes in the legal framework and implementation context, including anti-fraud systems, may be reflected in the most reported types of irregularities detected</w:t>
      </w:r>
      <w:r>
        <w:rPr>
          <w:noProof/>
        </w:rPr>
        <w:t xml:space="preserve"> by the Member States. The following Tables provide an overview for the irregularities reported as fraudulent (Table CP12) and not reported as fraudulent (Table CP13) by the Member States in relation to PP 2007-2013 and PP 2014-2020. As above, for PP 2007-</w:t>
      </w:r>
      <w:r>
        <w:rPr>
          <w:noProof/>
        </w:rPr>
        <w:t>2013, only the irregularities that had been reported after a comparable period of time from the start of the programming period are considered.</w:t>
      </w:r>
    </w:p>
    <w:p w:rsidR="00B83504" w:rsidRDefault="00B55645">
      <w:pPr>
        <w:pStyle w:val="Text1"/>
        <w:ind w:left="0"/>
        <w:rPr>
          <w:noProof/>
        </w:rPr>
      </w:pPr>
      <w:r>
        <w:rPr>
          <w:noProof/>
          <w:lang w:val="fr-BE" w:eastAsia="fr-BE"/>
        </w:rPr>
        <w:drawing>
          <wp:inline distT="0" distB="0" distL="0" distR="0">
            <wp:extent cx="4767644" cy="2358572"/>
            <wp:effectExtent l="0" t="0" r="0" b="381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6286" cy="2357900"/>
                    </a:xfrm>
                    <a:prstGeom prst="rect">
                      <a:avLst/>
                    </a:prstGeom>
                    <a:noFill/>
                    <a:ln>
                      <a:noFill/>
                    </a:ln>
                  </pic:spPr>
                </pic:pic>
              </a:graphicData>
            </a:graphic>
          </wp:inline>
        </w:drawing>
      </w:r>
    </w:p>
    <w:p w:rsidR="00B83504" w:rsidRDefault="00B55645">
      <w:pPr>
        <w:pStyle w:val="Text1"/>
        <w:ind w:left="0"/>
        <w:rPr>
          <w:noProof/>
        </w:rPr>
      </w:pPr>
      <w:r>
        <w:rPr>
          <w:noProof/>
          <w:lang w:val="fr-BE" w:eastAsia="fr-BE"/>
        </w:rPr>
        <w:drawing>
          <wp:inline distT="0" distB="0" distL="0" distR="0">
            <wp:extent cx="4767943" cy="2574787"/>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78856" cy="2580680"/>
                    </a:xfrm>
                    <a:prstGeom prst="rect">
                      <a:avLst/>
                    </a:prstGeom>
                    <a:noFill/>
                    <a:ln>
                      <a:noFill/>
                    </a:ln>
                  </pic:spPr>
                </pic:pic>
              </a:graphicData>
            </a:graphic>
          </wp:inline>
        </w:drawing>
      </w:r>
    </w:p>
    <w:p w:rsidR="00B83504" w:rsidRDefault="00B55645">
      <w:pPr>
        <w:pStyle w:val="Text1"/>
        <w:ind w:left="0"/>
        <w:rPr>
          <w:noProof/>
        </w:rPr>
      </w:pPr>
      <w:r>
        <w:rPr>
          <w:noProof/>
        </w:rPr>
        <w:t>For the irregularities reported as fraudulent, Table CP12 shows significant increases in the number of cases</w:t>
      </w:r>
      <w:r>
        <w:rPr>
          <w:noProof/>
        </w:rPr>
        <w:t xml:space="preserve"> related to incorrect/missing or false documents, infringement of public procurement rules and ethics &amp; integrity, which nevertheless were not always accompanied by increases in the financial amounts involved. The most significant declines concerned violat</w:t>
      </w:r>
      <w:r>
        <w:rPr>
          <w:noProof/>
        </w:rPr>
        <w:t>ions related to eligibility/legitimacy of expenditure or measure and the infringement of contract provisions/rules.</w:t>
      </w:r>
    </w:p>
    <w:p w:rsidR="00B83504" w:rsidRDefault="00B55645">
      <w:pPr>
        <w:pStyle w:val="Text1"/>
        <w:ind w:left="0"/>
        <w:rPr>
          <w:noProof/>
        </w:rPr>
      </w:pPr>
      <w:r>
        <w:rPr>
          <w:noProof/>
        </w:rPr>
        <w:t>For the irregularities not reported as fraudulent, Table CP13 shows that for each of the four most reported categories for PP 2014-2020, the</w:t>
      </w:r>
      <w:r>
        <w:rPr>
          <w:noProof/>
        </w:rPr>
        <w:t xml:space="preserve"> number of cases where they were mentioned is about one third of the number of cases where they had been mentioned for PP 2007-2013 after a comparable period of time. In relative terms, multiple financing experienced the biggest decrease, while infringemen</w:t>
      </w:r>
      <w:r>
        <w:rPr>
          <w:noProof/>
        </w:rPr>
        <w:t>ts concerning the request, accounts and bankruptcy were more stable with respect to PP 2007-2013. '</w:t>
      </w:r>
      <w:r>
        <w:rPr>
          <w:i/>
          <w:noProof/>
        </w:rPr>
        <w:t>Product, species and/or land</w:t>
      </w:r>
      <w:r>
        <w:rPr>
          <w:noProof/>
        </w:rPr>
        <w:t>' was the only category with an increase in comparison with PP 2007-2013. Most of these violations were reported by Poland and ma</w:t>
      </w:r>
      <w:r>
        <w:rPr>
          <w:noProof/>
        </w:rPr>
        <w:t>inly concerned variations in quality or content.</w:t>
      </w:r>
    </w:p>
    <w:p w:rsidR="00B83504" w:rsidRDefault="00B55645">
      <w:pPr>
        <w:pStyle w:val="ManualHeading2"/>
        <w:rPr>
          <w:noProof/>
        </w:rPr>
      </w:pPr>
      <w:bookmarkStart w:id="31" w:name="_Toc424911578"/>
      <w:bookmarkStart w:id="32" w:name="_Toc453345599"/>
      <w:bookmarkStart w:id="33" w:name="_Toc485146198"/>
      <w:bookmarkStart w:id="34" w:name="_Toc485146505"/>
      <w:bookmarkStart w:id="35" w:name="_Toc486928851"/>
      <w:bookmarkStart w:id="36" w:name="_Toc510691069"/>
      <w:bookmarkStart w:id="37" w:name="_Toc13152067"/>
      <w:r>
        <w:rPr>
          <w:noProof/>
        </w:rPr>
        <w:t>4.2.</w:t>
      </w:r>
      <w:r>
        <w:rPr>
          <w:noProof/>
        </w:rPr>
        <w:tab/>
        <w:t>Specific Analysis – Irregularities reported in relation to the Programming Period 2007-13</w:t>
      </w:r>
      <w:bookmarkEnd w:id="31"/>
      <w:bookmarkEnd w:id="32"/>
      <w:bookmarkEnd w:id="33"/>
      <w:bookmarkEnd w:id="34"/>
      <w:bookmarkEnd w:id="35"/>
      <w:bookmarkEnd w:id="36"/>
      <w:bookmarkEnd w:id="37"/>
      <w:r>
        <w:rPr>
          <w:noProof/>
        </w:rPr>
        <w:t xml:space="preserve">   </w:t>
      </w:r>
    </w:p>
    <w:p w:rsidR="00B83504" w:rsidRDefault="00B55645">
      <w:pPr>
        <w:pStyle w:val="Text1"/>
        <w:spacing w:after="0"/>
        <w:ind w:left="0"/>
        <w:rPr>
          <w:noProof/>
        </w:rPr>
      </w:pPr>
      <w:r>
        <w:rPr>
          <w:noProof/>
        </w:rPr>
        <w:t>This Section of the analysis focuses on the irregularities reported in relation to the PP 2007-13. The closur</w:t>
      </w:r>
      <w:r>
        <w:rPr>
          <w:noProof/>
        </w:rPr>
        <w:t>e for the programming period started in March 2017</w:t>
      </w:r>
      <w:r>
        <w:rPr>
          <w:rStyle w:val="FootnoteReference"/>
          <w:noProof/>
        </w:rPr>
        <w:footnoteReference w:id="25"/>
      </w:r>
      <w:r>
        <w:rPr>
          <w:noProof/>
        </w:rPr>
        <w:t>; it therefore offers an ideal opportunity to present an overview of what has happened. Consequently, the analysis will cover a greater time span than the previous Section (2014 to 2018), to examine all in</w:t>
      </w:r>
      <w:r>
        <w:rPr>
          <w:noProof/>
        </w:rPr>
        <w:t>formation available, which dates back to 2008. Comparisons between the first years of implementation of PP 2007-2013 and the situation concerning PP 2014-2020 until December 2018 are included, as relevant.</w:t>
      </w:r>
    </w:p>
    <w:p w:rsidR="00B83504" w:rsidRDefault="00B55645">
      <w:pPr>
        <w:pStyle w:val="Text1"/>
        <w:spacing w:after="0"/>
        <w:ind w:left="0"/>
        <w:rPr>
          <w:noProof/>
        </w:rPr>
      </w:pPr>
      <w:r>
        <w:rPr>
          <w:noProof/>
        </w:rPr>
        <w:t>It will cover the following aspects:</w:t>
      </w:r>
    </w:p>
    <w:p w:rsidR="00B83504" w:rsidRDefault="00B55645">
      <w:pPr>
        <w:pStyle w:val="Text1"/>
        <w:numPr>
          <w:ilvl w:val="0"/>
          <w:numId w:val="8"/>
        </w:numPr>
        <w:spacing w:after="0"/>
        <w:ind w:left="142" w:hanging="142"/>
        <w:rPr>
          <w:noProof/>
        </w:rPr>
      </w:pPr>
      <w:r>
        <w:rPr>
          <w:noProof/>
        </w:rPr>
        <w:t>Objectives;</w:t>
      </w:r>
    </w:p>
    <w:p w:rsidR="00B83504" w:rsidRDefault="00B55645">
      <w:pPr>
        <w:pStyle w:val="Text1"/>
        <w:numPr>
          <w:ilvl w:val="0"/>
          <w:numId w:val="8"/>
        </w:numPr>
        <w:spacing w:after="0"/>
        <w:ind w:left="142" w:hanging="142"/>
        <w:rPr>
          <w:noProof/>
        </w:rPr>
      </w:pPr>
      <w:r>
        <w:rPr>
          <w:noProof/>
        </w:rPr>
        <w:t>P</w:t>
      </w:r>
      <w:r>
        <w:rPr>
          <w:noProof/>
        </w:rPr>
        <w:t>riorities and themes affected;</w:t>
      </w:r>
    </w:p>
    <w:p w:rsidR="00B83504" w:rsidRDefault="00B55645">
      <w:pPr>
        <w:pStyle w:val="Text1"/>
        <w:numPr>
          <w:ilvl w:val="0"/>
          <w:numId w:val="8"/>
        </w:numPr>
        <w:spacing w:after="0"/>
        <w:ind w:left="142" w:hanging="142"/>
        <w:rPr>
          <w:noProof/>
        </w:rPr>
      </w:pPr>
      <w:r>
        <w:rPr>
          <w:noProof/>
        </w:rPr>
        <w:t>Types of irregularity</w:t>
      </w:r>
    </w:p>
    <w:p w:rsidR="00B83504" w:rsidRDefault="00B55645">
      <w:pPr>
        <w:pStyle w:val="ManualHeading3"/>
        <w:rPr>
          <w:noProof/>
        </w:rPr>
      </w:pPr>
      <w:bookmarkStart w:id="38" w:name="_Toc485146199"/>
      <w:bookmarkStart w:id="39" w:name="_Toc485146506"/>
      <w:bookmarkStart w:id="40" w:name="_Toc486928852"/>
      <w:bookmarkStart w:id="41" w:name="_Toc510691070"/>
      <w:bookmarkStart w:id="42" w:name="_Toc13152068"/>
      <w:r>
        <w:rPr>
          <w:noProof/>
        </w:rPr>
        <w:t>4.2.1.</w:t>
      </w:r>
      <w:r>
        <w:rPr>
          <w:noProof/>
        </w:rPr>
        <w:tab/>
        <w:t>Objectives concerned by the reported irregularities</w:t>
      </w:r>
      <w:bookmarkEnd w:id="38"/>
      <w:bookmarkEnd w:id="39"/>
      <w:bookmarkEnd w:id="40"/>
      <w:bookmarkEnd w:id="41"/>
      <w:bookmarkEnd w:id="42"/>
    </w:p>
    <w:p w:rsidR="00B83504" w:rsidRDefault="00B55645">
      <w:pPr>
        <w:pStyle w:val="Text1"/>
        <w:ind w:left="0"/>
        <w:rPr>
          <w:noProof/>
        </w:rPr>
      </w:pPr>
      <w:r>
        <w:rPr>
          <w:noProof/>
        </w:rPr>
        <w:t>The reported irregularities followed the pattern that could be expected in relation to the implementation cycle (Table CP14). The majority of th</w:t>
      </w:r>
      <w:r>
        <w:rPr>
          <w:noProof/>
        </w:rPr>
        <w:t>e irregularities were notified over the period 2015-2017, which was between the ninth and eleventh year from the start of the programming period. They mainly concerned the Convergence objective (60% of the total), in line with the fact that this is the obj</w:t>
      </w:r>
      <w:r>
        <w:rPr>
          <w:noProof/>
        </w:rPr>
        <w:t xml:space="preserve">ective to which the greatest financial resources are allocated and in relation to which higher risks are associated. The anomaly concerning the year 2015 has already been explained (see Section 4.1). For 186 irregularities, the objective was not mentioned </w:t>
      </w:r>
      <w:r>
        <w:rPr>
          <w:noProof/>
        </w:rPr>
        <w:t>by the Member States.</w:t>
      </w:r>
    </w:p>
    <w:p w:rsidR="00B83504" w:rsidRDefault="00B55645">
      <w:pPr>
        <w:rPr>
          <w:noProof/>
          <w:color w:val="FF0000"/>
          <w:lang w:val="fr-BE"/>
        </w:rPr>
      </w:pPr>
      <w:r>
        <w:rPr>
          <w:noProof/>
          <w:lang w:val="fr-BE" w:eastAsia="fr-BE"/>
        </w:rPr>
        <w:drawing>
          <wp:inline distT="0" distB="0" distL="0" distR="0">
            <wp:extent cx="5731510" cy="4814936"/>
            <wp:effectExtent l="0" t="0" r="2540" b="50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screen">
                      <a:extLst>
                        <a:ext uri="{28A0092B-C50C-407E-A947-70E740481C1C}">
                          <a14:useLocalDpi xmlns:a14="http://schemas.microsoft.com/office/drawing/2010/main" val="0"/>
                        </a:ext>
                      </a:extLst>
                    </a:blip>
                    <a:srcRect/>
                    <a:stretch>
                      <a:fillRect/>
                    </a:stretch>
                  </pic:blipFill>
                  <pic:spPr bwMode="auto">
                    <a:xfrm>
                      <a:off x="0" y="0"/>
                      <a:ext cx="5731510" cy="4814936"/>
                    </a:xfrm>
                    <a:prstGeom prst="rect">
                      <a:avLst/>
                    </a:prstGeom>
                    <a:noFill/>
                    <a:ln>
                      <a:noFill/>
                    </a:ln>
                  </pic:spPr>
                </pic:pic>
              </a:graphicData>
            </a:graphic>
          </wp:inline>
        </w:drawing>
      </w:r>
    </w:p>
    <w:p w:rsidR="00B83504" w:rsidRDefault="00B55645">
      <w:pPr>
        <w:pStyle w:val="Text1"/>
        <w:ind w:left="0"/>
        <w:rPr>
          <w:noProof/>
        </w:rPr>
      </w:pPr>
      <w:r>
        <w:rPr>
          <w:noProof/>
        </w:rPr>
        <w:t>Table CP15 provides information about the financial amounts involved in the reported irregularities. They broadly followed the same pattern of the number of irregularities in Table CP14, with the exception of the amounts linked to:</w:t>
      </w:r>
    </w:p>
    <w:p w:rsidR="00B83504" w:rsidRDefault="00B55645">
      <w:pPr>
        <w:pStyle w:val="Text1"/>
        <w:numPr>
          <w:ilvl w:val="0"/>
          <w:numId w:val="30"/>
        </w:numPr>
        <w:ind w:left="142" w:hanging="142"/>
        <w:rPr>
          <w:noProof/>
        </w:rPr>
      </w:pPr>
      <w:r>
        <w:rPr>
          <w:noProof/>
        </w:rPr>
        <w:t>the Convergence objective reported in 2012, which exceeded those related to the following two years, and those related to 2016, which were higher than those reported in 2015 (which was instead the peak, in terms of numbers). In 2016, irregular amounts repo</w:t>
      </w:r>
      <w:r>
        <w:rPr>
          <w:noProof/>
        </w:rPr>
        <w:t>rted in relation to the Cohesion Fund were exceptionally high, as already showed in Table CP3 and highlighted in Section 4.1;</w:t>
      </w:r>
    </w:p>
    <w:p w:rsidR="00B83504" w:rsidRDefault="00B55645">
      <w:pPr>
        <w:pStyle w:val="Text1"/>
        <w:numPr>
          <w:ilvl w:val="0"/>
          <w:numId w:val="30"/>
        </w:numPr>
        <w:ind w:left="142" w:hanging="142"/>
        <w:rPr>
          <w:noProof/>
        </w:rPr>
      </w:pPr>
      <w:r>
        <w:rPr>
          <w:noProof/>
        </w:rPr>
        <w:t>the Multiobjective actions reported in 2018, where the irregularities fell abruptly while the financial amounts involved were stab</w:t>
      </w:r>
      <w:r>
        <w:rPr>
          <w:noProof/>
        </w:rPr>
        <w:t xml:space="preserve">le. This was impacted by two cases reported in 2018 by Slovakia, whose irregular financial amounts summed up to about EUR 160 million. To put it into perspective, it can be considered that the two biggest cases reported during the previous year (by Spain) </w:t>
      </w:r>
      <w:r>
        <w:rPr>
          <w:noProof/>
        </w:rPr>
        <w:t>summed up the about EUR 75 million. See also Section 4.2.1.1, about fraudulent irregularities.</w:t>
      </w:r>
    </w:p>
    <w:p w:rsidR="00B83504" w:rsidRDefault="00B55645">
      <w:pPr>
        <w:pStyle w:val="Text1"/>
        <w:ind w:left="0"/>
        <w:rPr>
          <w:noProof/>
        </w:rPr>
      </w:pPr>
      <w:r>
        <w:rPr>
          <w:noProof/>
        </w:rPr>
        <w:t>As for the number of irregularities, the majority of financial amounts were notified during the period 2015-2017 and mainly concerned the Convergence objective (</w:t>
      </w:r>
      <w:r>
        <w:rPr>
          <w:noProof/>
        </w:rPr>
        <w:t>75%).</w:t>
      </w:r>
    </w:p>
    <w:p w:rsidR="00B83504" w:rsidRDefault="00B55645">
      <w:pPr>
        <w:rPr>
          <w:noProof/>
          <w:lang w:val="fr-BE"/>
        </w:rPr>
      </w:pPr>
      <w:r>
        <w:rPr>
          <w:noProof/>
          <w:lang w:val="fr-BE" w:eastAsia="fr-BE"/>
        </w:rPr>
        <w:drawing>
          <wp:inline distT="0" distB="0" distL="0" distR="0">
            <wp:extent cx="5731510" cy="3965032"/>
            <wp:effectExtent l="0" t="0" r="2540" b="0"/>
            <wp:docPr id="1092773" name="Picture 109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screen">
                      <a:extLst>
                        <a:ext uri="{28A0092B-C50C-407E-A947-70E740481C1C}">
                          <a14:useLocalDpi xmlns:a14="http://schemas.microsoft.com/office/drawing/2010/main" val="0"/>
                        </a:ext>
                      </a:extLst>
                    </a:blip>
                    <a:srcRect/>
                    <a:stretch>
                      <a:fillRect/>
                    </a:stretch>
                  </pic:blipFill>
                  <pic:spPr bwMode="auto">
                    <a:xfrm>
                      <a:off x="0" y="0"/>
                      <a:ext cx="5731510" cy="3965032"/>
                    </a:xfrm>
                    <a:prstGeom prst="rect">
                      <a:avLst/>
                    </a:prstGeom>
                    <a:noFill/>
                    <a:ln>
                      <a:noFill/>
                    </a:ln>
                  </pic:spPr>
                </pic:pic>
              </a:graphicData>
            </a:graphic>
          </wp:inline>
        </w:drawing>
      </w:r>
    </w:p>
    <w:p w:rsidR="00B83504" w:rsidRDefault="00B55645">
      <w:pPr>
        <w:pStyle w:val="ManualHeading4"/>
        <w:rPr>
          <w:noProof/>
        </w:rPr>
      </w:pPr>
      <w:bookmarkStart w:id="43" w:name="_Toc485146200"/>
      <w:bookmarkStart w:id="44" w:name="_Toc485146507"/>
      <w:bookmarkStart w:id="45" w:name="_Toc486928853"/>
      <w:bookmarkStart w:id="46" w:name="_Toc13152069"/>
      <w:r>
        <w:rPr>
          <w:noProof/>
        </w:rPr>
        <w:t>4.2.1.1.</w:t>
      </w:r>
      <w:r>
        <w:rPr>
          <w:noProof/>
        </w:rPr>
        <w:tab/>
        <w:t>Irregularities reported as fraudulent by Objective</w:t>
      </w:r>
      <w:bookmarkEnd w:id="43"/>
      <w:bookmarkEnd w:id="44"/>
      <w:bookmarkEnd w:id="45"/>
      <w:bookmarkEnd w:id="46"/>
    </w:p>
    <w:p w:rsidR="00B83504" w:rsidRDefault="00B55645">
      <w:pPr>
        <w:pStyle w:val="Text1"/>
        <w:ind w:left="0"/>
        <w:rPr>
          <w:noProof/>
        </w:rPr>
      </w:pPr>
      <w:r>
        <w:rPr>
          <w:noProof/>
        </w:rPr>
        <w:t>Tables CP16 and CP17 include only the irregularities reported as fraudulent in relation to PP 2007-13. The trends are similar to those presented in the previous Section for all irregularit</w:t>
      </w:r>
      <w:r>
        <w:rPr>
          <w:noProof/>
        </w:rPr>
        <w:t>ies in relation to PP 2007-2013. A difference that is worth highlighting is the strong increase in the number of irregularities in 2016 in relation to Convergence (while the sum of fraudulent and non fraudulent irregularities decreased) and the exceptional</w:t>
      </w:r>
      <w:r>
        <w:rPr>
          <w:noProof/>
        </w:rPr>
        <w:t xml:space="preserve"> drop in 2016 in relation to 'Regional competitiveness and employment'. </w:t>
      </w:r>
    </w:p>
    <w:p w:rsidR="00B83504" w:rsidRDefault="00B55645">
      <w:pPr>
        <w:pStyle w:val="Text1"/>
        <w:ind w:left="0"/>
        <w:rPr>
          <w:noProof/>
        </w:rPr>
      </w:pPr>
      <w:r>
        <w:rPr>
          <w:noProof/>
        </w:rPr>
        <w:t>With reference to the financial amounts, fluctuations are emphasized, as high profile cases can have a significant impact. It is worth highlighting the record-high reporting of irregu</w:t>
      </w:r>
      <w:r>
        <w:rPr>
          <w:noProof/>
        </w:rPr>
        <w:t xml:space="preserve">lar financial amounts in 2018 for the Multiobjective actions. This was due to 4 large cases (with more than EUR 10 million involved in each irregularity) reported by Slovakia, Portugal and the Czech Republic, summing up to about EUR 97 million. </w:t>
      </w:r>
    </w:p>
    <w:p w:rsidR="00B83504" w:rsidRDefault="00B55645">
      <w:pPr>
        <w:pStyle w:val="Text1"/>
        <w:ind w:left="0"/>
        <w:rPr>
          <w:noProof/>
        </w:rPr>
      </w:pPr>
      <w:r>
        <w:rPr>
          <w:noProof/>
        </w:rPr>
        <w:t>The higher</w:t>
      </w:r>
      <w:r>
        <w:rPr>
          <w:noProof/>
        </w:rPr>
        <w:t xml:space="preserve"> share represented by the Convergence objective in comparison with that presented in the previous Section was also significant (69% of cases and 83% of financial amounts).</w:t>
      </w:r>
    </w:p>
    <w:p w:rsidR="00B83504" w:rsidRDefault="00B55645">
      <w:pPr>
        <w:rPr>
          <w:noProof/>
        </w:rPr>
      </w:pPr>
      <w:r>
        <w:rPr>
          <w:noProof/>
          <w:lang w:val="fr-BE" w:eastAsia="fr-BE"/>
        </w:rPr>
        <w:drawing>
          <wp:inline distT="0" distB="0" distL="0" distR="0">
            <wp:extent cx="5731510" cy="4148183"/>
            <wp:effectExtent l="0" t="0" r="2540"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screen">
                      <a:extLst>
                        <a:ext uri="{28A0092B-C50C-407E-A947-70E740481C1C}">
                          <a14:useLocalDpi xmlns:a14="http://schemas.microsoft.com/office/drawing/2010/main" val="0"/>
                        </a:ext>
                      </a:extLst>
                    </a:blip>
                    <a:srcRect/>
                    <a:stretch>
                      <a:fillRect/>
                    </a:stretch>
                  </pic:blipFill>
                  <pic:spPr bwMode="auto">
                    <a:xfrm>
                      <a:off x="0" y="0"/>
                      <a:ext cx="5731510" cy="4148183"/>
                    </a:xfrm>
                    <a:prstGeom prst="rect">
                      <a:avLst/>
                    </a:prstGeom>
                    <a:noFill/>
                    <a:ln>
                      <a:noFill/>
                    </a:ln>
                  </pic:spPr>
                </pic:pic>
              </a:graphicData>
            </a:graphic>
          </wp:inline>
        </w:drawing>
      </w:r>
    </w:p>
    <w:p w:rsidR="00B83504" w:rsidRDefault="00B55645">
      <w:pPr>
        <w:pStyle w:val="Text1"/>
        <w:ind w:left="142"/>
        <w:rPr>
          <w:noProof/>
        </w:rPr>
      </w:pPr>
      <w:r>
        <w:rPr>
          <w:noProof/>
        </w:rPr>
        <w:t>Irregularities reported as fraudulent represented about 4.9% of the total number o</w:t>
      </w:r>
      <w:r>
        <w:rPr>
          <w:noProof/>
        </w:rPr>
        <w:t>f irregularities reported for PP 2007-13. The highest percentage (Fraud Frequency Level – FFL</w:t>
      </w:r>
      <w:r>
        <w:rPr>
          <w:rStyle w:val="FootnoteReference"/>
          <w:noProof/>
        </w:rPr>
        <w:footnoteReference w:id="26"/>
      </w:r>
      <w:r>
        <w:rPr>
          <w:noProof/>
        </w:rPr>
        <w:t>) was related to the Fisheries (6.8%), the European Territorial Cooperation (6.8%) and to the Convergence (5.7%) objectives. Regional competitiveness and Employme</w:t>
      </w:r>
      <w:r>
        <w:rPr>
          <w:noProof/>
        </w:rPr>
        <w:t>nt had the lowest FFL (2.8%).</w:t>
      </w:r>
    </w:p>
    <w:p w:rsidR="00B83504" w:rsidRDefault="00B55645">
      <w:pPr>
        <w:rPr>
          <w:noProof/>
          <w:lang w:val="fr-BE"/>
        </w:rPr>
      </w:pPr>
      <w:r>
        <w:rPr>
          <w:noProof/>
          <w:lang w:val="fr-BE" w:eastAsia="fr-BE"/>
        </w:rPr>
        <w:drawing>
          <wp:inline distT="0" distB="0" distL="0" distR="0">
            <wp:extent cx="5731510" cy="3965032"/>
            <wp:effectExtent l="0" t="0" r="2540" b="0"/>
            <wp:docPr id="1092774" name="Picture 109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screen">
                      <a:extLst>
                        <a:ext uri="{28A0092B-C50C-407E-A947-70E740481C1C}">
                          <a14:useLocalDpi xmlns:a14="http://schemas.microsoft.com/office/drawing/2010/main" val="0"/>
                        </a:ext>
                      </a:extLst>
                    </a:blip>
                    <a:srcRect/>
                    <a:stretch>
                      <a:fillRect/>
                    </a:stretch>
                  </pic:blipFill>
                  <pic:spPr bwMode="auto">
                    <a:xfrm>
                      <a:off x="0" y="0"/>
                      <a:ext cx="5731510" cy="3965032"/>
                    </a:xfrm>
                    <a:prstGeom prst="rect">
                      <a:avLst/>
                    </a:prstGeom>
                    <a:noFill/>
                    <a:ln>
                      <a:noFill/>
                    </a:ln>
                  </pic:spPr>
                </pic:pic>
              </a:graphicData>
            </a:graphic>
          </wp:inline>
        </w:drawing>
      </w:r>
    </w:p>
    <w:p w:rsidR="00B83504" w:rsidRDefault="00B55645">
      <w:pPr>
        <w:pStyle w:val="Text1"/>
        <w:ind w:left="0"/>
        <w:rPr>
          <w:noProof/>
        </w:rPr>
      </w:pPr>
      <w:r>
        <w:rPr>
          <w:noProof/>
        </w:rPr>
        <w:t>Financial amounts involved in irregularities reported as fraudulent represented about 15.8% of the total reported for PP 2007-13. The highest share (Fraud Amount Level – FAL</w:t>
      </w:r>
      <w:r>
        <w:rPr>
          <w:rStyle w:val="FootnoteReference"/>
          <w:noProof/>
        </w:rPr>
        <w:footnoteReference w:id="27"/>
      </w:r>
      <w:r>
        <w:rPr>
          <w:noProof/>
        </w:rPr>
        <w:t>) was related to Fisheries (18.7%), Convergence (1</w:t>
      </w:r>
      <w:r>
        <w:rPr>
          <w:noProof/>
        </w:rPr>
        <w:t xml:space="preserve">7.5%), the European Territorial Cooperation (16.9%). Regional competitiveness and Employment had the lowest FAL (4.8%). </w:t>
      </w:r>
    </w:p>
    <w:p w:rsidR="00B83504" w:rsidRDefault="00B55645">
      <w:pPr>
        <w:pStyle w:val="Text1"/>
        <w:ind w:left="0"/>
        <w:rPr>
          <w:rFonts w:asciiTheme="minorHAnsi" w:hAnsiTheme="minorHAnsi" w:cstheme="minorHAnsi"/>
          <w:b/>
          <w:i/>
          <w:noProof/>
          <w:sz w:val="20"/>
        </w:rPr>
      </w:pPr>
      <w:r>
        <w:rPr>
          <w:noProof/>
        </w:rPr>
        <w:t>The difference between FFL and FAL indicates the higher financial impact of fraudulent irregularities compared to the non-fraudulent in</w:t>
      </w:r>
      <w:r>
        <w:rPr>
          <w:noProof/>
        </w:rPr>
        <w:t>fringements; the average financial value involved in irregularities reported as fraudulent is more than three times higher than that related to the non-fraudulent types.</w:t>
      </w:r>
    </w:p>
    <w:p w:rsidR="00B83504" w:rsidRDefault="00B55645">
      <w:pPr>
        <w:pStyle w:val="ManualHeading4"/>
        <w:rPr>
          <w:noProof/>
        </w:rPr>
      </w:pPr>
      <w:bookmarkStart w:id="47" w:name="_Toc486928854"/>
      <w:bookmarkStart w:id="48" w:name="_Toc13152070"/>
      <w:r>
        <w:rPr>
          <w:noProof/>
        </w:rPr>
        <w:t>4.2.1.2.</w:t>
      </w:r>
      <w:r>
        <w:rPr>
          <w:noProof/>
        </w:rPr>
        <w:tab/>
        <w:t>Fraud and Irregularity Detection Rates by Objective</w:t>
      </w:r>
      <w:bookmarkEnd w:id="47"/>
      <w:bookmarkEnd w:id="48"/>
    </w:p>
    <w:p w:rsidR="00B83504" w:rsidRDefault="00B55645">
      <w:pPr>
        <w:jc w:val="both"/>
        <w:rPr>
          <w:rFonts w:ascii="Times New Roman" w:hAnsi="Times New Roman" w:cs="Times New Roman"/>
          <w:noProof/>
          <w:sz w:val="24"/>
          <w:szCs w:val="24"/>
        </w:rPr>
      </w:pPr>
      <w:r>
        <w:rPr>
          <w:rFonts w:ascii="Times New Roman" w:hAnsi="Times New Roman" w:cs="Times New Roman"/>
          <w:noProof/>
          <w:sz w:val="24"/>
          <w:szCs w:val="24"/>
        </w:rPr>
        <w:t xml:space="preserve">Table CP18 shows the FDR </w:t>
      </w:r>
      <w:r>
        <w:rPr>
          <w:rFonts w:ascii="Times New Roman" w:hAnsi="Times New Roman" w:cs="Times New Roman"/>
          <w:noProof/>
          <w:sz w:val="24"/>
          <w:szCs w:val="24"/>
        </w:rPr>
        <w:t>and the IDR per objective.</w:t>
      </w:r>
    </w:p>
    <w:p w:rsidR="00B83504" w:rsidRDefault="00B55645">
      <w:pPr>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noProof/>
          <w:lang w:val="fr-BE" w:eastAsia="fr-BE"/>
        </w:rPr>
        <w:drawing>
          <wp:inline distT="0" distB="0" distL="0" distR="0">
            <wp:extent cx="3086360" cy="16618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6360" cy="1661886"/>
                    </a:xfrm>
                    <a:prstGeom prst="rect">
                      <a:avLst/>
                    </a:prstGeom>
                    <a:noFill/>
                    <a:ln>
                      <a:noFill/>
                    </a:ln>
                  </pic:spPr>
                </pic:pic>
              </a:graphicData>
            </a:graphic>
          </wp:inline>
        </w:drawing>
      </w:r>
    </w:p>
    <w:p w:rsidR="00B83504" w:rsidRDefault="00B5564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Looking at the overall detection rate (FDR+IDR), Regional competitiveness and employment programmes show a relatively low level of detection. European Territorial Cooperation programmes, however, show an anomalously low level </w:t>
      </w:r>
      <w:r>
        <w:rPr>
          <w:rFonts w:ascii="Times New Roman" w:hAnsi="Times New Roman" w:cs="Times New Roman"/>
          <w:noProof/>
          <w:sz w:val="24"/>
          <w:szCs w:val="24"/>
        </w:rPr>
        <w:t>of detection (about four times lower than the previous objective), especially if one considers that the previous two indicators (FFL and FAL) were high. The situation is different for Multiobjective programmes, Convergence and Fisheries where the detection</w:t>
      </w:r>
      <w:r>
        <w:rPr>
          <w:rFonts w:ascii="Times New Roman" w:hAnsi="Times New Roman" w:cs="Times New Roman"/>
          <w:noProof/>
          <w:sz w:val="24"/>
          <w:szCs w:val="24"/>
        </w:rPr>
        <w:t xml:space="preserve"> rate is about 3%.</w:t>
      </w:r>
    </w:p>
    <w:p w:rsidR="00B83504" w:rsidRDefault="00B55645">
      <w:pPr>
        <w:pStyle w:val="ManualHeading3"/>
        <w:rPr>
          <w:noProof/>
          <w:color w:val="000000" w:themeColor="text1"/>
        </w:rPr>
      </w:pPr>
      <w:bookmarkStart w:id="49" w:name="_Toc485146201"/>
      <w:bookmarkStart w:id="50" w:name="_Toc485146508"/>
      <w:bookmarkStart w:id="51" w:name="_Toc486928855"/>
      <w:bookmarkStart w:id="52" w:name="_Toc510691071"/>
      <w:bookmarkStart w:id="53" w:name="_Toc13152071"/>
      <w:r>
        <w:rPr>
          <w:noProof/>
          <w:color w:val="000000" w:themeColor="text1"/>
        </w:rPr>
        <w:t>4.2.2.</w:t>
      </w:r>
      <w:r>
        <w:rPr>
          <w:noProof/>
          <w:color w:val="000000" w:themeColor="text1"/>
        </w:rPr>
        <w:tab/>
        <w:t>Priorities concerned by the reported irregularities</w:t>
      </w:r>
      <w:bookmarkEnd w:id="49"/>
      <w:bookmarkEnd w:id="50"/>
      <w:bookmarkEnd w:id="51"/>
      <w:bookmarkEnd w:id="52"/>
      <w:bookmarkEnd w:id="53"/>
      <w:r>
        <w:rPr>
          <w:noProof/>
          <w:color w:val="000000" w:themeColor="text1"/>
        </w:rPr>
        <w:t xml:space="preserve"> </w:t>
      </w:r>
    </w:p>
    <w:p w:rsidR="00B83504" w:rsidRDefault="00B55645">
      <w:pPr>
        <w:pStyle w:val="ManualHeading4"/>
        <w:rPr>
          <w:noProof/>
          <w:color w:val="000000" w:themeColor="text1"/>
        </w:rPr>
      </w:pPr>
      <w:bookmarkStart w:id="54" w:name="_Toc485146202"/>
      <w:bookmarkStart w:id="55" w:name="_Toc485146509"/>
      <w:bookmarkStart w:id="56" w:name="_Toc486928856"/>
      <w:bookmarkStart w:id="57" w:name="_Toc510691072"/>
      <w:bookmarkStart w:id="58" w:name="_Toc13152072"/>
      <w:r>
        <w:rPr>
          <w:noProof/>
          <w:color w:val="000000" w:themeColor="text1"/>
        </w:rPr>
        <w:t>4.2.2.1.</w:t>
      </w:r>
      <w:r>
        <w:rPr>
          <w:noProof/>
          <w:color w:val="000000" w:themeColor="text1"/>
        </w:rPr>
        <w:tab/>
        <w:t>Irregularities reported as fraudulent (fisheries not included)</w:t>
      </w:r>
      <w:bookmarkEnd w:id="54"/>
      <w:bookmarkEnd w:id="55"/>
      <w:bookmarkEnd w:id="56"/>
      <w:bookmarkEnd w:id="57"/>
      <w:bookmarkEnd w:id="58"/>
    </w:p>
    <w:p w:rsidR="00B83504" w:rsidRDefault="00B55645">
      <w:pPr>
        <w:pStyle w:val="Text1"/>
        <w:ind w:left="0"/>
        <w:rPr>
          <w:noProof/>
          <w:color w:val="000000" w:themeColor="text1"/>
        </w:rPr>
      </w:pPr>
      <w:r>
        <w:rPr>
          <w:noProof/>
          <w:color w:val="000000" w:themeColor="text1"/>
        </w:rPr>
        <w:t>The operational programmes financed by the Cohesion Policy are implemented in relation to the already men</w:t>
      </w:r>
      <w:r>
        <w:rPr>
          <w:noProof/>
          <w:color w:val="000000" w:themeColor="text1"/>
        </w:rPr>
        <w:t xml:space="preserve">tioned objectives, but also along identified Priorities and Themes. </w:t>
      </w:r>
    </w:p>
    <w:p w:rsidR="00B83504" w:rsidRDefault="00B55645">
      <w:pPr>
        <w:pStyle w:val="Text1"/>
        <w:ind w:left="0"/>
        <w:rPr>
          <w:noProof/>
          <w:color w:val="000000" w:themeColor="text1"/>
        </w:rPr>
      </w:pPr>
      <w:r>
        <w:rPr>
          <w:noProof/>
          <w:color w:val="000000" w:themeColor="text1"/>
        </w:rPr>
        <w:t>The information provided by the Member States allows for an analysis of the priority areas in relation to which projects potentially affected by fraudulent practices have been identified.</w:t>
      </w:r>
      <w:r>
        <w:rPr>
          <w:noProof/>
          <w:color w:val="000000" w:themeColor="text1"/>
        </w:rPr>
        <w:t xml:space="preserve"> </w:t>
      </w:r>
    </w:p>
    <w:p w:rsidR="00B83504" w:rsidRDefault="00B55645">
      <w:pPr>
        <w:pStyle w:val="Text1"/>
        <w:ind w:left="0"/>
        <w:rPr>
          <w:noProof/>
          <w:color w:val="000000" w:themeColor="text1"/>
        </w:rPr>
      </w:pPr>
      <w:r>
        <w:rPr>
          <w:noProof/>
          <w:color w:val="000000" w:themeColor="text1"/>
        </w:rPr>
        <w:t>Table CP19 shows the number of irregularities reported as fraudulent by priority area since the beginning of the PP 2007-13, their related financial amounts, the average amount per irregularity, FFL, FAL and FDR.</w:t>
      </w:r>
    </w:p>
    <w:p w:rsidR="00B83504" w:rsidRDefault="00B55645">
      <w:pPr>
        <w:pStyle w:val="Text1"/>
        <w:ind w:left="0"/>
        <w:rPr>
          <w:noProof/>
          <w:color w:val="000000" w:themeColor="text1"/>
        </w:rPr>
      </w:pPr>
      <w:r>
        <w:rPr>
          <w:noProof/>
          <w:color w:val="000000" w:themeColor="text1"/>
        </w:rPr>
        <w:t>In terms of numbers, the 'Priorities' mos</w:t>
      </w:r>
      <w:r>
        <w:rPr>
          <w:noProof/>
          <w:color w:val="000000" w:themeColor="text1"/>
        </w:rPr>
        <w:t xml:space="preserve">t concerned were </w:t>
      </w:r>
      <w:r>
        <w:rPr>
          <w:i/>
          <w:noProof/>
          <w:color w:val="000000" w:themeColor="text1"/>
        </w:rPr>
        <w:t>'Research and Technological Development (RTD)</w:t>
      </w:r>
      <w:r>
        <w:rPr>
          <w:noProof/>
          <w:color w:val="000000" w:themeColor="text1"/>
        </w:rPr>
        <w:t>', '</w:t>
      </w:r>
      <w:r>
        <w:rPr>
          <w:i/>
          <w:noProof/>
          <w:color w:val="000000" w:themeColor="text1"/>
        </w:rPr>
        <w:t>Increasing the adaptability of workers and firms, enterprises and entrepreneurs</w:t>
      </w:r>
      <w:r>
        <w:rPr>
          <w:noProof/>
          <w:color w:val="000000" w:themeColor="text1"/>
        </w:rPr>
        <w:t>' and '</w:t>
      </w:r>
      <w:r>
        <w:rPr>
          <w:i/>
          <w:noProof/>
          <w:color w:val="000000" w:themeColor="text1"/>
        </w:rPr>
        <w:t>Improving access to employment and sustainability</w:t>
      </w:r>
      <w:r>
        <w:rPr>
          <w:noProof/>
          <w:color w:val="000000" w:themeColor="text1"/>
        </w:rPr>
        <w:t>'. Irregularities reported as fraudulent in relation to</w:t>
      </w:r>
      <w:r>
        <w:rPr>
          <w:noProof/>
          <w:color w:val="000000" w:themeColor="text1"/>
        </w:rPr>
        <w:t xml:space="preserve"> these three priorities represented about 39% of the total.</w:t>
      </w:r>
    </w:p>
    <w:p w:rsidR="00B83504" w:rsidRDefault="00B55645">
      <w:pPr>
        <w:pStyle w:val="Text1"/>
        <w:ind w:left="0"/>
        <w:rPr>
          <w:noProof/>
          <w:color w:val="000000" w:themeColor="text1"/>
        </w:rPr>
      </w:pPr>
      <w:r>
        <w:rPr>
          <w:noProof/>
          <w:color w:val="000000" w:themeColor="text1"/>
        </w:rPr>
        <w:t>FFL was highest for '</w:t>
      </w:r>
      <w:r>
        <w:rPr>
          <w:i/>
          <w:noProof/>
          <w:color w:val="000000" w:themeColor="text1"/>
        </w:rPr>
        <w:t>Tourism</w:t>
      </w:r>
      <w:r>
        <w:rPr>
          <w:noProof/>
          <w:color w:val="000000" w:themeColor="text1"/>
        </w:rPr>
        <w:t>' (11.8%) and the top four priorities (in terms of FFL) in Table CP19 were all above or about 9%, which was nearly double the average.</w:t>
      </w:r>
    </w:p>
    <w:p w:rsidR="00B83504" w:rsidRDefault="00B55645">
      <w:pPr>
        <w:pStyle w:val="Text1"/>
        <w:ind w:left="0"/>
        <w:rPr>
          <w:noProof/>
          <w:color w:val="000000" w:themeColor="text1"/>
        </w:rPr>
      </w:pPr>
      <w:r>
        <w:rPr>
          <w:noProof/>
          <w:color w:val="000000" w:themeColor="text1"/>
        </w:rPr>
        <w:t xml:space="preserve">From the financial amounts point of view, the most significant impact concerned </w:t>
      </w:r>
      <w:r>
        <w:rPr>
          <w:i/>
          <w:noProof/>
          <w:color w:val="000000" w:themeColor="text1"/>
        </w:rPr>
        <w:t>'RTD</w:t>
      </w:r>
      <w:r>
        <w:rPr>
          <w:noProof/>
          <w:color w:val="000000" w:themeColor="text1"/>
        </w:rPr>
        <w:t>' and '</w:t>
      </w:r>
      <w:r>
        <w:rPr>
          <w:i/>
          <w:noProof/>
          <w:color w:val="000000" w:themeColor="text1"/>
        </w:rPr>
        <w:t xml:space="preserve">Transport'. </w:t>
      </w:r>
      <w:r>
        <w:rPr>
          <w:noProof/>
          <w:color w:val="000000" w:themeColor="text1"/>
        </w:rPr>
        <w:t>Financial amounts related to the irregularities reported as fraudulent in relation to these two priorities represented 44% of the total. ‘</w:t>
      </w:r>
      <w:r>
        <w:rPr>
          <w:i/>
          <w:noProof/>
          <w:color w:val="000000" w:themeColor="text1"/>
        </w:rPr>
        <w:t>Transport</w:t>
      </w:r>
      <w:r>
        <w:rPr>
          <w:noProof/>
          <w:color w:val="000000" w:themeColor="text1"/>
        </w:rPr>
        <w:t>’ reta</w:t>
      </w:r>
      <w:r>
        <w:rPr>
          <w:noProof/>
          <w:color w:val="000000" w:themeColor="text1"/>
        </w:rPr>
        <w:t xml:space="preserve">ined by far the highest average value, about eight times </w:t>
      </w:r>
      <w:r>
        <w:rPr>
          <w:i/>
          <w:noProof/>
          <w:color w:val="000000" w:themeColor="text1"/>
        </w:rPr>
        <w:t>R&amp;TD</w:t>
      </w:r>
      <w:r>
        <w:rPr>
          <w:noProof/>
          <w:color w:val="000000" w:themeColor="text1"/>
        </w:rPr>
        <w:t xml:space="preserve"> and nine times the overall average. These two priorities were followed, at a distance, by another group of priorities that were affected by significant irregular financial amounts</w:t>
      </w:r>
      <w:r>
        <w:rPr>
          <w:i/>
          <w:noProof/>
          <w:color w:val="000000" w:themeColor="text1"/>
        </w:rPr>
        <w:t>: 'Urban and ru</w:t>
      </w:r>
      <w:r>
        <w:rPr>
          <w:i/>
          <w:noProof/>
          <w:color w:val="000000" w:themeColor="text1"/>
        </w:rPr>
        <w:t>ral regeneration', 'Tourism' and 'Environmental protection and risk prevention'.</w:t>
      </w:r>
    </w:p>
    <w:p w:rsidR="00B83504" w:rsidRDefault="00B55645">
      <w:pPr>
        <w:pStyle w:val="Text1"/>
        <w:ind w:left="0"/>
        <w:rPr>
          <w:noProof/>
          <w:color w:val="000000" w:themeColor="text1"/>
        </w:rPr>
      </w:pPr>
      <w:r>
        <w:rPr>
          <w:noProof/>
          <w:color w:val="000000" w:themeColor="text1"/>
        </w:rPr>
        <w:t>FAL was highest for '</w:t>
      </w:r>
      <w:r>
        <w:rPr>
          <w:i/>
          <w:noProof/>
          <w:color w:val="000000" w:themeColor="text1"/>
        </w:rPr>
        <w:t>Tourism</w:t>
      </w:r>
      <w:r>
        <w:rPr>
          <w:noProof/>
          <w:color w:val="000000" w:themeColor="text1"/>
        </w:rPr>
        <w:t>' (34%), '</w:t>
      </w:r>
      <w:r>
        <w:rPr>
          <w:i/>
          <w:noProof/>
          <w:color w:val="000000" w:themeColor="text1"/>
        </w:rPr>
        <w:t>Urban and rural regeneration</w:t>
      </w:r>
      <w:r>
        <w:rPr>
          <w:noProof/>
          <w:color w:val="000000" w:themeColor="text1"/>
        </w:rPr>
        <w:t>' (33%), '</w:t>
      </w:r>
      <w:r>
        <w:rPr>
          <w:i/>
          <w:noProof/>
          <w:color w:val="000000" w:themeColor="text1"/>
        </w:rPr>
        <w:t>Improving human capital</w:t>
      </w:r>
      <w:r>
        <w:rPr>
          <w:noProof/>
          <w:color w:val="000000" w:themeColor="text1"/>
        </w:rPr>
        <w:t>' (32%). The priorities '</w:t>
      </w:r>
      <w:r>
        <w:rPr>
          <w:i/>
          <w:noProof/>
          <w:color w:val="000000" w:themeColor="text1"/>
        </w:rPr>
        <w:t>Tourism</w:t>
      </w:r>
      <w:r>
        <w:rPr>
          <w:noProof/>
          <w:color w:val="000000" w:themeColor="text1"/>
        </w:rPr>
        <w:t>' and '</w:t>
      </w:r>
      <w:r>
        <w:rPr>
          <w:i/>
          <w:noProof/>
          <w:color w:val="000000" w:themeColor="text1"/>
        </w:rPr>
        <w:t>Urban and rural regeneration</w:t>
      </w:r>
      <w:r>
        <w:rPr>
          <w:noProof/>
          <w:color w:val="000000" w:themeColor="text1"/>
        </w:rPr>
        <w:t>' stood o</w:t>
      </w:r>
      <w:r>
        <w:rPr>
          <w:noProof/>
          <w:color w:val="000000" w:themeColor="text1"/>
        </w:rPr>
        <w:t xml:space="preserve">ut in terms of FDR. </w:t>
      </w:r>
    </w:p>
    <w:p w:rsidR="00B83504" w:rsidRDefault="00B55645">
      <w:pPr>
        <w:rPr>
          <w:noProof/>
        </w:rPr>
      </w:pPr>
      <w:r>
        <w:rPr>
          <w:noProof/>
          <w:lang w:val="fr-BE" w:eastAsia="fr-BE"/>
        </w:rPr>
        <w:drawing>
          <wp:inline distT="0" distB="0" distL="0" distR="0">
            <wp:extent cx="5377180" cy="3858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77180" cy="3858895"/>
                    </a:xfrm>
                    <a:prstGeom prst="rect">
                      <a:avLst/>
                    </a:prstGeom>
                    <a:noFill/>
                  </pic:spPr>
                </pic:pic>
              </a:graphicData>
            </a:graphic>
          </wp:inline>
        </w:drawing>
      </w:r>
    </w:p>
    <w:p w:rsidR="00B83504" w:rsidRDefault="00B55645">
      <w:pPr>
        <w:pStyle w:val="Text1"/>
        <w:ind w:left="0"/>
        <w:rPr>
          <w:noProof/>
          <w:color w:val="000000" w:themeColor="text1"/>
        </w:rPr>
      </w:pPr>
      <w:r>
        <w:rPr>
          <w:noProof/>
        </w:rPr>
        <w:t>Irregularities linked to the EFF have not been included. Reference to '</w:t>
      </w:r>
      <w:r>
        <w:rPr>
          <w:i/>
          <w:noProof/>
        </w:rPr>
        <w:t>Technical assistance Fisheries</w:t>
      </w:r>
      <w:r>
        <w:rPr>
          <w:noProof/>
        </w:rPr>
        <w:t>' and '</w:t>
      </w:r>
      <w:r>
        <w:rPr>
          <w:i/>
          <w:noProof/>
        </w:rPr>
        <w:t>Measures of common interest – fishery</w:t>
      </w:r>
      <w:r>
        <w:rPr>
          <w:noProof/>
        </w:rPr>
        <w:t>' in Table CP19 may depend on erro</w:t>
      </w:r>
      <w:r>
        <w:rPr>
          <w:noProof/>
          <w:color w:val="000000" w:themeColor="text1"/>
        </w:rPr>
        <w:t>rs in encoding by Member States.</w:t>
      </w:r>
    </w:p>
    <w:p w:rsidR="00B83504" w:rsidRDefault="00B55645">
      <w:pPr>
        <w:pStyle w:val="Text1"/>
        <w:ind w:left="0"/>
        <w:rPr>
          <w:noProof/>
          <w:color w:val="000000" w:themeColor="text1"/>
        </w:rPr>
      </w:pPr>
      <w:r>
        <w:rPr>
          <w:noProof/>
          <w:color w:val="000000" w:themeColor="text1"/>
        </w:rPr>
        <w:t xml:space="preserve">For about 25% of the </w:t>
      </w:r>
      <w:r>
        <w:rPr>
          <w:noProof/>
          <w:color w:val="000000" w:themeColor="text1"/>
        </w:rPr>
        <w:t xml:space="preserve">irregularities used for this analysis, information was not provided about the priority area concerned, decreasing in comparison with previous years. </w:t>
      </w:r>
    </w:p>
    <w:p w:rsidR="00B83504" w:rsidRDefault="00B55645">
      <w:pPr>
        <w:pStyle w:val="Text1"/>
        <w:ind w:left="0"/>
        <w:rPr>
          <w:noProof/>
          <w:color w:val="000000" w:themeColor="text1"/>
        </w:rPr>
      </w:pPr>
      <w:r>
        <w:rPr>
          <w:noProof/>
          <w:color w:val="000000" w:themeColor="text1"/>
        </w:rPr>
        <w:t>Table CP20 is related to PP 2014-20. It shows the number of irregularities reported as fraudulent by prior</w:t>
      </w:r>
      <w:r>
        <w:rPr>
          <w:noProof/>
          <w:color w:val="000000" w:themeColor="text1"/>
        </w:rPr>
        <w:t>ity area since the beginning of the PP, their related financial amounts, and allows the comparison with the situation concerning PP 2007-2013 when the same period of time had passed after the start of the programming period. Comparison with the full 2007-2</w:t>
      </w:r>
      <w:r>
        <w:rPr>
          <w:noProof/>
          <w:color w:val="000000" w:themeColor="text1"/>
        </w:rPr>
        <w:t>013 would be misleading as projects pertaining to different priorities can have different timelines for the implementation; this may influence the time when irregularities are more likely to be detected. This is possibly the reason why only one irregularit</w:t>
      </w:r>
      <w:r>
        <w:rPr>
          <w:noProof/>
          <w:color w:val="000000" w:themeColor="text1"/>
        </w:rPr>
        <w:t>y has been reported with reference to the priority '</w:t>
      </w:r>
      <w:r>
        <w:rPr>
          <w:i/>
          <w:noProof/>
          <w:color w:val="000000" w:themeColor="text1"/>
        </w:rPr>
        <w:t xml:space="preserve">Transport' </w:t>
      </w:r>
      <w:r>
        <w:rPr>
          <w:noProof/>
          <w:color w:val="000000" w:themeColor="text1"/>
        </w:rPr>
        <w:t>for PP 2014-2020</w:t>
      </w:r>
      <w:r>
        <w:rPr>
          <w:i/>
          <w:noProof/>
          <w:color w:val="000000" w:themeColor="text1"/>
        </w:rPr>
        <w:t xml:space="preserve">. </w:t>
      </w:r>
      <w:r>
        <w:rPr>
          <w:noProof/>
          <w:color w:val="000000" w:themeColor="text1"/>
        </w:rPr>
        <w:t>In fact, this happened also for PP 2007-2013 when the same amount of time had passed after the start of the programming period (see Table CP20).</w:t>
      </w:r>
    </w:p>
    <w:p w:rsidR="00B83504" w:rsidRDefault="00B55645">
      <w:pPr>
        <w:pStyle w:val="Text1"/>
        <w:ind w:left="0"/>
        <w:rPr>
          <w:noProof/>
          <w:color w:val="000000" w:themeColor="text1"/>
        </w:rPr>
      </w:pPr>
      <w:r>
        <w:rPr>
          <w:noProof/>
          <w:color w:val="000000" w:themeColor="text1"/>
        </w:rPr>
        <w:t xml:space="preserve">The priorities for the PP </w:t>
      </w:r>
      <w:r>
        <w:rPr>
          <w:noProof/>
          <w:color w:val="000000" w:themeColor="text1"/>
        </w:rPr>
        <w:t>2014-2020 are listed in the Commission Implementing Regulations (EU) 184/2014 and 215/2014 and they are different from the priorities for PP 2007-2013. In Table CP20, the priorities for PP 2014-2020 are reported in white; contrary to the Regulations in for</w:t>
      </w:r>
      <w:r>
        <w:rPr>
          <w:noProof/>
          <w:color w:val="000000" w:themeColor="text1"/>
        </w:rPr>
        <w:t>ce, the Member States continued to encode the irregularities in IMS using the priorities that were valid for PP 2007-2013. The correct priorities were used only in 3 cases out of 233.</w:t>
      </w:r>
    </w:p>
    <w:p w:rsidR="00B83504" w:rsidRDefault="00B55645">
      <w:pPr>
        <w:pStyle w:val="Text1"/>
        <w:ind w:left="0"/>
        <w:rPr>
          <w:noProof/>
          <w:color w:val="000000" w:themeColor="text1"/>
        </w:rPr>
      </w:pPr>
      <w:r>
        <w:rPr>
          <w:noProof/>
          <w:color w:val="000000" w:themeColor="text1"/>
        </w:rPr>
        <w:t>First of all, in Table CP20, it can be noticed that the fraudulent irreg</w:t>
      </w:r>
      <w:r>
        <w:rPr>
          <w:noProof/>
          <w:color w:val="000000" w:themeColor="text1"/>
        </w:rPr>
        <w:t>ularities detected by the Member States increased by about 15%, from 199 to 233. The number of cases where the priority was not specificed decreased from more than 50% to 15%, which was a remarkable improvement. However, this improvement impacts on the com</w:t>
      </w:r>
      <w:r>
        <w:rPr>
          <w:noProof/>
          <w:color w:val="000000" w:themeColor="text1"/>
        </w:rPr>
        <w:t>parison at the level of single priorities, because, to a different extent, increases in the number of irregularities may have been underpinned by the higher number of irregularities for which the priority has been specified rather than by the higher number</w:t>
      </w:r>
      <w:r>
        <w:rPr>
          <w:noProof/>
          <w:color w:val="000000" w:themeColor="text1"/>
        </w:rPr>
        <w:t xml:space="preserve"> of detections. This is impacting even more the analysis of the non-fraudulent irregularities (see Section 4.2.2.2).</w:t>
      </w:r>
    </w:p>
    <w:p w:rsidR="00B83504" w:rsidRDefault="00B55645">
      <w:pPr>
        <w:pStyle w:val="Text1"/>
        <w:ind w:left="0"/>
        <w:rPr>
          <w:noProof/>
          <w:color w:val="000000" w:themeColor="text1"/>
        </w:rPr>
      </w:pPr>
      <w:r>
        <w:rPr>
          <w:noProof/>
          <w:color w:val="000000" w:themeColor="text1"/>
        </w:rPr>
        <w:t>With reference to PP 2014-2020, the prevalence of the priority '</w:t>
      </w:r>
      <w:r>
        <w:rPr>
          <w:i/>
          <w:noProof/>
          <w:color w:val="000000" w:themeColor="text1"/>
        </w:rPr>
        <w:t>R&amp;TD</w:t>
      </w:r>
      <w:r>
        <w:rPr>
          <w:noProof/>
          <w:color w:val="000000" w:themeColor="text1"/>
        </w:rPr>
        <w:t>' was even more marked than for PP 2007-2013</w:t>
      </w:r>
      <w:r>
        <w:rPr>
          <w:rStyle w:val="FootnoteReference"/>
          <w:noProof/>
          <w:color w:val="000000" w:themeColor="text1"/>
        </w:rPr>
        <w:footnoteReference w:id="28"/>
      </w:r>
      <w:r>
        <w:rPr>
          <w:noProof/>
          <w:color w:val="000000" w:themeColor="text1"/>
        </w:rPr>
        <w:t>. The priority '</w:t>
      </w:r>
      <w:r>
        <w:rPr>
          <w:i/>
          <w:noProof/>
          <w:color w:val="000000" w:themeColor="text1"/>
        </w:rPr>
        <w:t xml:space="preserve">Improving </w:t>
      </w:r>
      <w:r>
        <w:rPr>
          <w:i/>
          <w:noProof/>
          <w:color w:val="000000" w:themeColor="text1"/>
        </w:rPr>
        <w:t>access to employment and sustainabily</w:t>
      </w:r>
      <w:r>
        <w:rPr>
          <w:noProof/>
          <w:color w:val="000000" w:themeColor="text1"/>
        </w:rPr>
        <w:t>' ranked second in relation to PP 2014-2020, with a number of cases similar to PP 2007-2013, but higher financial amounts involved. A relatively high number of irregularities (and related financial amounts) have been de</w:t>
      </w:r>
      <w:r>
        <w:rPr>
          <w:noProof/>
          <w:color w:val="000000" w:themeColor="text1"/>
        </w:rPr>
        <w:t>tected in relation to '</w:t>
      </w:r>
      <w:r>
        <w:rPr>
          <w:i/>
          <w:noProof/>
          <w:color w:val="000000" w:themeColor="text1"/>
        </w:rPr>
        <w:t>Environment protection and risk prevention</w:t>
      </w:r>
      <w:r>
        <w:rPr>
          <w:noProof/>
          <w:color w:val="000000" w:themeColor="text1"/>
        </w:rPr>
        <w:t>', which was not yet the case at the same stage of PP 2007-2013. This is mostly due to reporting by Slovakia (see also Section 4.2.2.3).</w:t>
      </w:r>
    </w:p>
    <w:p w:rsidR="00B83504" w:rsidRDefault="00B55645">
      <w:pPr>
        <w:pStyle w:val="Text1"/>
        <w:ind w:left="0"/>
        <w:rPr>
          <w:noProof/>
          <w:color w:val="000000" w:themeColor="text1"/>
        </w:rPr>
      </w:pPr>
      <w:r>
        <w:rPr>
          <w:noProof/>
          <w:lang w:val="fr-BE" w:eastAsia="fr-BE"/>
        </w:rPr>
        <w:drawing>
          <wp:inline distT="0" distB="0" distL="0" distR="0">
            <wp:extent cx="4315172" cy="4223657"/>
            <wp:effectExtent l="0" t="0" r="9525" b="571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18030" cy="4226454"/>
                    </a:xfrm>
                    <a:prstGeom prst="rect">
                      <a:avLst/>
                    </a:prstGeom>
                    <a:noFill/>
                    <a:ln>
                      <a:noFill/>
                    </a:ln>
                  </pic:spPr>
                </pic:pic>
              </a:graphicData>
            </a:graphic>
          </wp:inline>
        </w:drawing>
      </w:r>
    </w:p>
    <w:p w:rsidR="00B83504" w:rsidRDefault="00B55645">
      <w:pPr>
        <w:pStyle w:val="ManualHeading4"/>
        <w:rPr>
          <w:noProof/>
          <w:color w:val="000000" w:themeColor="text1"/>
        </w:rPr>
      </w:pPr>
      <w:bookmarkStart w:id="59" w:name="_Toc424911580"/>
      <w:bookmarkStart w:id="60" w:name="_Toc453345601"/>
      <w:bookmarkStart w:id="61" w:name="_Toc485146203"/>
      <w:bookmarkStart w:id="62" w:name="_Toc485146510"/>
      <w:bookmarkStart w:id="63" w:name="_Toc486928857"/>
      <w:bookmarkStart w:id="64" w:name="_Toc13152073"/>
      <w:r>
        <w:rPr>
          <w:noProof/>
          <w:color w:val="000000" w:themeColor="text1"/>
        </w:rPr>
        <w:t>4.2.2.2.</w:t>
      </w:r>
      <w:r>
        <w:rPr>
          <w:noProof/>
          <w:color w:val="000000" w:themeColor="text1"/>
        </w:rPr>
        <w:tab/>
        <w:t>Irregularities not reported as fraudulent</w:t>
      </w:r>
      <w:bookmarkEnd w:id="59"/>
      <w:bookmarkEnd w:id="60"/>
      <w:r>
        <w:rPr>
          <w:noProof/>
          <w:color w:val="000000" w:themeColor="text1"/>
        </w:rPr>
        <w:t xml:space="preserve"> (</w:t>
      </w:r>
      <w:r>
        <w:rPr>
          <w:noProof/>
          <w:color w:val="000000" w:themeColor="text1"/>
        </w:rPr>
        <w:t>fisheries not included)</w:t>
      </w:r>
      <w:bookmarkEnd w:id="61"/>
      <w:bookmarkEnd w:id="62"/>
      <w:bookmarkEnd w:id="63"/>
      <w:bookmarkEnd w:id="64"/>
    </w:p>
    <w:p w:rsidR="00B83504" w:rsidRDefault="00B55645">
      <w:pPr>
        <w:pStyle w:val="Text1"/>
        <w:ind w:left="0"/>
        <w:rPr>
          <w:noProof/>
          <w:color w:val="000000" w:themeColor="text1"/>
        </w:rPr>
      </w:pPr>
      <w:r>
        <w:rPr>
          <w:noProof/>
          <w:color w:val="000000" w:themeColor="text1"/>
        </w:rPr>
        <w:t>The same analysis showed in the previous Section for the irregularities reported as fraudulent is presented here for the irregularities not reported as fraudulent in relation to the PP 2007-13.</w:t>
      </w:r>
    </w:p>
    <w:p w:rsidR="00B83504" w:rsidRDefault="00B55645">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Table CP21 provides an overview of the</w:t>
      </w:r>
      <w:r>
        <w:rPr>
          <w:rFonts w:ascii="Times New Roman" w:hAnsi="Times New Roman" w:cs="Times New Roman"/>
          <w:noProof/>
          <w:color w:val="000000" w:themeColor="text1"/>
          <w:sz w:val="24"/>
          <w:szCs w:val="24"/>
        </w:rPr>
        <w:t xml:space="preserve"> number of irregularities not reported as fraudulent by priority area since the beginning of the PP 2007-13, their related financial amounts and average amount per irregularity and IDR. </w:t>
      </w:r>
    </w:p>
    <w:p w:rsidR="00B83504" w:rsidRDefault="00B55645">
      <w:pPr>
        <w:pStyle w:val="Text1"/>
        <w:ind w:left="0"/>
        <w:rPr>
          <w:noProof/>
          <w:color w:val="000000" w:themeColor="text1"/>
        </w:rPr>
      </w:pPr>
      <w:r>
        <w:rPr>
          <w:noProof/>
          <w:color w:val="000000" w:themeColor="text1"/>
        </w:rPr>
        <w:t>Again, ‘</w:t>
      </w:r>
      <w:r>
        <w:rPr>
          <w:i/>
          <w:noProof/>
          <w:color w:val="000000" w:themeColor="text1"/>
        </w:rPr>
        <w:t>Research and Technological Development (R&amp;TD)</w:t>
      </w:r>
      <w:r>
        <w:rPr>
          <w:noProof/>
          <w:color w:val="000000" w:themeColor="text1"/>
        </w:rPr>
        <w:t>’ was the priori</w:t>
      </w:r>
      <w:r>
        <w:rPr>
          <w:noProof/>
          <w:color w:val="000000" w:themeColor="text1"/>
        </w:rPr>
        <w:t>ty with the highest number of occurrences, followed by ‘</w:t>
      </w:r>
      <w:r>
        <w:rPr>
          <w:i/>
          <w:noProof/>
          <w:color w:val="000000" w:themeColor="text1"/>
        </w:rPr>
        <w:t>Environmental protection and risk prevention</w:t>
      </w:r>
      <w:r>
        <w:rPr>
          <w:noProof/>
          <w:color w:val="000000" w:themeColor="text1"/>
        </w:rPr>
        <w:t>’. Then there was a group of four priorities that recorded between 1 500 and 2 000 irregularities each. Two of them relate to investments in infrastructures</w:t>
      </w:r>
      <w:r>
        <w:rPr>
          <w:noProof/>
          <w:color w:val="000000" w:themeColor="text1"/>
        </w:rPr>
        <w:t xml:space="preserve"> ('</w:t>
      </w:r>
      <w:r>
        <w:rPr>
          <w:i/>
          <w:noProof/>
          <w:color w:val="000000" w:themeColor="text1"/>
        </w:rPr>
        <w:t>Investment in social infrastructure</w:t>
      </w:r>
      <w:r>
        <w:rPr>
          <w:noProof/>
          <w:color w:val="000000" w:themeColor="text1"/>
        </w:rPr>
        <w:t>' and '</w:t>
      </w:r>
      <w:r>
        <w:rPr>
          <w:i/>
          <w:noProof/>
          <w:color w:val="000000" w:themeColor="text1"/>
        </w:rPr>
        <w:t>Transport</w:t>
      </w:r>
      <w:r>
        <w:rPr>
          <w:noProof/>
          <w:color w:val="000000" w:themeColor="text1"/>
        </w:rPr>
        <w:t>') while the other two refer more to investing in human capital ('</w:t>
      </w:r>
      <w:r>
        <w:rPr>
          <w:i/>
          <w:noProof/>
          <w:color w:val="000000" w:themeColor="text1"/>
        </w:rPr>
        <w:t xml:space="preserve">Improving human capital' </w:t>
      </w:r>
      <w:r>
        <w:rPr>
          <w:noProof/>
          <w:color w:val="000000" w:themeColor="text1"/>
        </w:rPr>
        <w:t>and ‘</w:t>
      </w:r>
      <w:r>
        <w:rPr>
          <w:i/>
          <w:noProof/>
          <w:color w:val="000000" w:themeColor="text1"/>
        </w:rPr>
        <w:t>Increasing the adaptability of workers and firms, enterprises and entrepreneurs</w:t>
      </w:r>
      <w:r>
        <w:rPr>
          <w:noProof/>
          <w:color w:val="000000" w:themeColor="text1"/>
        </w:rPr>
        <w:t>'). ‘</w:t>
      </w:r>
      <w:r>
        <w:rPr>
          <w:i/>
          <w:noProof/>
          <w:color w:val="000000" w:themeColor="text1"/>
        </w:rPr>
        <w:t>Research and Technolog</w:t>
      </w:r>
      <w:r>
        <w:rPr>
          <w:i/>
          <w:noProof/>
          <w:color w:val="000000" w:themeColor="text1"/>
        </w:rPr>
        <w:t>ical Development (R&amp;TD)</w:t>
      </w:r>
      <w:r>
        <w:rPr>
          <w:noProof/>
          <w:color w:val="000000" w:themeColor="text1"/>
        </w:rPr>
        <w:t>’ was first also in terms of financial amounts, closely followed by '</w:t>
      </w:r>
      <w:r>
        <w:rPr>
          <w:i/>
          <w:noProof/>
          <w:color w:val="000000" w:themeColor="text1"/>
        </w:rPr>
        <w:t>Transport</w:t>
      </w:r>
      <w:r>
        <w:rPr>
          <w:noProof/>
          <w:color w:val="000000" w:themeColor="text1"/>
        </w:rPr>
        <w:t>' and, at a distance, by ‘</w:t>
      </w:r>
      <w:r>
        <w:rPr>
          <w:i/>
          <w:noProof/>
          <w:color w:val="000000" w:themeColor="text1"/>
        </w:rPr>
        <w:t>Environmental protection and risk prevention</w:t>
      </w:r>
      <w:r>
        <w:rPr>
          <w:noProof/>
          <w:color w:val="000000" w:themeColor="text1"/>
        </w:rPr>
        <w:t>’. Irregularities linked to these three priorities together represent 24% of the tota</w:t>
      </w:r>
      <w:r>
        <w:rPr>
          <w:noProof/>
          <w:color w:val="000000" w:themeColor="text1"/>
        </w:rPr>
        <w:t>l number and 46% of the total amounts.</w:t>
      </w:r>
    </w:p>
    <w:p w:rsidR="00B83504" w:rsidRDefault="00B55645">
      <w:pPr>
        <w:pStyle w:val="Text1"/>
        <w:ind w:left="0"/>
        <w:rPr>
          <w:noProof/>
          <w:color w:val="000000" w:themeColor="text1"/>
        </w:rPr>
      </w:pPr>
      <w:r>
        <w:rPr>
          <w:noProof/>
          <w:color w:val="000000" w:themeColor="text1"/>
        </w:rPr>
        <w:t>The priorities '</w:t>
      </w:r>
      <w:r>
        <w:rPr>
          <w:i/>
          <w:noProof/>
          <w:color w:val="000000" w:themeColor="text1"/>
        </w:rPr>
        <w:t>Tourism</w:t>
      </w:r>
      <w:r>
        <w:rPr>
          <w:noProof/>
          <w:color w:val="000000" w:themeColor="text1"/>
        </w:rPr>
        <w:t>', ‘</w:t>
      </w:r>
      <w:r>
        <w:rPr>
          <w:i/>
          <w:noProof/>
          <w:color w:val="000000" w:themeColor="text1"/>
        </w:rPr>
        <w:t>Research and Technological Development (R&amp;TD)</w:t>
      </w:r>
      <w:r>
        <w:rPr>
          <w:noProof/>
          <w:color w:val="000000" w:themeColor="text1"/>
        </w:rPr>
        <w:t xml:space="preserve">’, </w:t>
      </w:r>
      <w:r>
        <w:rPr>
          <w:i/>
          <w:noProof/>
          <w:color w:val="000000" w:themeColor="text1"/>
        </w:rPr>
        <w:t xml:space="preserve">'Information society' </w:t>
      </w:r>
      <w:r>
        <w:rPr>
          <w:noProof/>
          <w:color w:val="000000" w:themeColor="text1"/>
        </w:rPr>
        <w:t>and</w:t>
      </w:r>
      <w:r>
        <w:rPr>
          <w:i/>
          <w:noProof/>
          <w:color w:val="000000" w:themeColor="text1"/>
        </w:rPr>
        <w:t xml:space="preserve"> </w:t>
      </w:r>
      <w:r>
        <w:rPr>
          <w:noProof/>
          <w:color w:val="000000" w:themeColor="text1"/>
        </w:rPr>
        <w:t xml:space="preserve"> ‘</w:t>
      </w:r>
      <w:r>
        <w:rPr>
          <w:i/>
          <w:noProof/>
          <w:color w:val="000000" w:themeColor="text1"/>
        </w:rPr>
        <w:t>Transport</w:t>
      </w:r>
      <w:r>
        <w:rPr>
          <w:noProof/>
          <w:color w:val="000000" w:themeColor="text1"/>
        </w:rPr>
        <w:t>’ show a IDR higher than or equal to 2%.</w:t>
      </w:r>
    </w:p>
    <w:p w:rsidR="00B83504" w:rsidRDefault="00B55645">
      <w:pPr>
        <w:jc w:val="center"/>
        <w:rPr>
          <w:noProof/>
        </w:rPr>
      </w:pPr>
      <w:r>
        <w:rPr>
          <w:noProof/>
          <w:lang w:val="fr-BE" w:eastAsia="fr-BE"/>
        </w:rPr>
        <w:drawing>
          <wp:inline distT="0" distB="0" distL="0" distR="0">
            <wp:extent cx="4328795" cy="5114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28795" cy="5114925"/>
                    </a:xfrm>
                    <a:prstGeom prst="rect">
                      <a:avLst/>
                    </a:prstGeom>
                    <a:noFill/>
                  </pic:spPr>
                </pic:pic>
              </a:graphicData>
            </a:graphic>
          </wp:inline>
        </w:drawing>
      </w:r>
    </w:p>
    <w:p w:rsidR="00B83504" w:rsidRDefault="00B55645">
      <w:pPr>
        <w:pStyle w:val="Text1"/>
        <w:ind w:left="0"/>
        <w:rPr>
          <w:noProof/>
          <w:color w:val="000000" w:themeColor="text1"/>
        </w:rPr>
      </w:pPr>
      <w:r>
        <w:rPr>
          <w:noProof/>
        </w:rPr>
        <w:t>Irregularities linked to the EFF have not been included. Refer</w:t>
      </w:r>
      <w:r>
        <w:rPr>
          <w:noProof/>
        </w:rPr>
        <w:t>ence to priorities specifi</w:t>
      </w:r>
      <w:r>
        <w:rPr>
          <w:noProof/>
          <w:color w:val="000000" w:themeColor="text1"/>
        </w:rPr>
        <w:t>c to this policy area may depend on errors in encoding by national authorities.</w:t>
      </w:r>
    </w:p>
    <w:p w:rsidR="00B83504" w:rsidRDefault="00B55645">
      <w:pPr>
        <w:pStyle w:val="Text1"/>
        <w:ind w:left="0"/>
        <w:rPr>
          <w:noProof/>
          <w:color w:val="000000" w:themeColor="text1"/>
        </w:rPr>
      </w:pPr>
      <w:r>
        <w:rPr>
          <w:noProof/>
          <w:color w:val="000000" w:themeColor="text1"/>
        </w:rPr>
        <w:t>The number of cases not reported as fraudulent for which information about the priority area concerned was missing remained high (43%) and higher than</w:t>
      </w:r>
      <w:r>
        <w:rPr>
          <w:noProof/>
          <w:color w:val="000000" w:themeColor="text1"/>
        </w:rPr>
        <w:t xml:space="preserve"> for the fraudulent irregularities, while it was improving.</w:t>
      </w:r>
    </w:p>
    <w:p w:rsidR="00B83504" w:rsidRDefault="00B55645">
      <w:pPr>
        <w:pStyle w:val="Text1"/>
        <w:ind w:left="0"/>
        <w:rPr>
          <w:noProof/>
          <w:color w:val="000000" w:themeColor="text1"/>
        </w:rPr>
      </w:pPr>
      <w:r>
        <w:rPr>
          <w:noProof/>
          <w:color w:val="000000" w:themeColor="text1"/>
        </w:rPr>
        <w:t>Table CP22 is related to PP 2014-20. It shows the number of irregularities not reported as fraudulent by priority area since the beginning of the PP, their related financial amounts, and allows th</w:t>
      </w:r>
      <w:r>
        <w:rPr>
          <w:noProof/>
          <w:color w:val="000000" w:themeColor="text1"/>
        </w:rPr>
        <w:t xml:space="preserve">e comparison with the situation concerning PP 2007-2013 when the same period of time had passed after the start of the programming period. As mentioned above, there are new priorities for PP 2014-2020; they are reported in white in Table CP22. Contrary to </w:t>
      </w:r>
      <w:r>
        <w:rPr>
          <w:noProof/>
          <w:color w:val="000000" w:themeColor="text1"/>
        </w:rPr>
        <w:t>the Regulations in force, the Member States continued to encode the irregularities in IMS using the priorities that were valid for PP 2007-2013. The correct priorities were used only in about 50 cases out of 1 400.</w:t>
      </w:r>
    </w:p>
    <w:p w:rsidR="00B83504" w:rsidRDefault="00B55645">
      <w:pPr>
        <w:pStyle w:val="Text1"/>
        <w:ind w:left="0"/>
        <w:rPr>
          <w:noProof/>
          <w:color w:val="000000" w:themeColor="text1"/>
        </w:rPr>
      </w:pPr>
      <w:r>
        <w:rPr>
          <w:noProof/>
          <w:color w:val="000000" w:themeColor="text1"/>
        </w:rPr>
        <w:t xml:space="preserve">First of all, it can be noticed that the </w:t>
      </w:r>
      <w:r>
        <w:rPr>
          <w:noProof/>
          <w:color w:val="000000" w:themeColor="text1"/>
        </w:rPr>
        <w:t xml:space="preserve">non-fraudulent irregularities detected by the Member States decreased by about 60%, as already highlighted in Section 4.1.3. The number of cases where the priority was not specificed decreased from more than 63% to 16%, which was a remarkable improvement. </w:t>
      </w:r>
      <w:r>
        <w:rPr>
          <w:noProof/>
          <w:color w:val="000000" w:themeColor="text1"/>
        </w:rPr>
        <w:t>As mentioned, this improvement has a significant impact on the comparison between single priorities in different programming periods. In relation to the first five years of implementation of PP 2007-2013, 2 070 non-fraudulent irregularites had been left wi</w:t>
      </w:r>
      <w:r>
        <w:rPr>
          <w:noProof/>
          <w:color w:val="000000" w:themeColor="text1"/>
        </w:rPr>
        <w:t>th no specification of the affected priority. In relation to PP 2014-2020, this declined to just 218.</w:t>
      </w:r>
    </w:p>
    <w:p w:rsidR="00B83504" w:rsidRDefault="00B55645">
      <w:pPr>
        <w:pStyle w:val="Text1"/>
        <w:ind w:left="0"/>
        <w:jc w:val="center"/>
        <w:rPr>
          <w:noProof/>
          <w:color w:val="000000" w:themeColor="text1"/>
        </w:rPr>
      </w:pPr>
      <w:r>
        <w:rPr>
          <w:noProof/>
          <w:color w:val="000000" w:themeColor="text1"/>
          <w:lang w:val="fr-BE" w:eastAsia="fr-BE"/>
        </w:rPr>
        <w:drawing>
          <wp:inline distT="0" distB="0" distL="0" distR="0">
            <wp:extent cx="4255135" cy="5657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55135" cy="5657850"/>
                    </a:xfrm>
                    <a:prstGeom prst="rect">
                      <a:avLst/>
                    </a:prstGeom>
                    <a:noFill/>
                  </pic:spPr>
                </pic:pic>
              </a:graphicData>
            </a:graphic>
          </wp:inline>
        </w:drawing>
      </w:r>
    </w:p>
    <w:p w:rsidR="00B83504" w:rsidRDefault="00B55645">
      <w:pPr>
        <w:pStyle w:val="Text1"/>
        <w:ind w:left="0"/>
        <w:rPr>
          <w:noProof/>
          <w:color w:val="000000" w:themeColor="text1"/>
        </w:rPr>
      </w:pPr>
      <w:r>
        <w:rPr>
          <w:noProof/>
          <w:color w:val="000000" w:themeColor="text1"/>
        </w:rPr>
        <w:t>'</w:t>
      </w:r>
      <w:r>
        <w:rPr>
          <w:i/>
          <w:noProof/>
          <w:color w:val="000000" w:themeColor="text1"/>
        </w:rPr>
        <w:t>R&amp;TD</w:t>
      </w:r>
      <w:r>
        <w:rPr>
          <w:noProof/>
          <w:color w:val="000000" w:themeColor="text1"/>
        </w:rPr>
        <w:t>' was the priority most affected by irregularities, with an increasing number of cases and financial amounts involved, with respect to PP 2007-2013</w:t>
      </w:r>
      <w:r>
        <w:rPr>
          <w:noProof/>
          <w:color w:val="000000" w:themeColor="text1"/>
        </w:rPr>
        <w:t>. The priority that recorded the highest relative increase in numbers was '</w:t>
      </w:r>
      <w:r>
        <w:rPr>
          <w:i/>
          <w:noProof/>
          <w:color w:val="000000" w:themeColor="text1"/>
        </w:rPr>
        <w:t>Energy</w:t>
      </w:r>
      <w:r>
        <w:rPr>
          <w:noProof/>
          <w:color w:val="000000" w:themeColor="text1"/>
        </w:rPr>
        <w:t>', mostly due to reporting by the UK and Poland. For several other priorities, the number of irregularities increased, but it must be considered that, to a different extent, t</w:t>
      </w:r>
      <w:r>
        <w:rPr>
          <w:noProof/>
          <w:color w:val="000000" w:themeColor="text1"/>
        </w:rPr>
        <w:t>his may have been influenced by the huge difference between the two PP, in terms of cases where the priorty was not specified (see Section 4.2.2.1). Despite this, '</w:t>
      </w:r>
      <w:r>
        <w:rPr>
          <w:i/>
          <w:noProof/>
          <w:color w:val="000000" w:themeColor="text1"/>
        </w:rPr>
        <w:t>Trasport</w:t>
      </w:r>
      <w:r>
        <w:rPr>
          <w:noProof/>
          <w:color w:val="000000" w:themeColor="text1"/>
        </w:rPr>
        <w:t>' fell to less than one third of the number of cases reported for PP 2007-2013 after</w:t>
      </w:r>
      <w:r>
        <w:rPr>
          <w:noProof/>
          <w:color w:val="000000" w:themeColor="text1"/>
        </w:rPr>
        <w:t xml:space="preserve"> the same period from the start of the programming period. However, the financial amounts decreased only by less than a half. A similar pattern was being followed by </w:t>
      </w:r>
      <w:r>
        <w:rPr>
          <w:i/>
          <w:noProof/>
          <w:color w:val="000000" w:themeColor="text1"/>
        </w:rPr>
        <w:t>'Increasing the adaptability of workers and firms, enterprises and entrepreneurs</w:t>
      </w:r>
      <w:r>
        <w:rPr>
          <w:noProof/>
          <w:color w:val="000000" w:themeColor="text1"/>
        </w:rPr>
        <w:t>' and '</w:t>
      </w:r>
      <w:r>
        <w:rPr>
          <w:i/>
          <w:noProof/>
          <w:color w:val="000000" w:themeColor="text1"/>
        </w:rPr>
        <w:t>Inv</w:t>
      </w:r>
      <w:r>
        <w:rPr>
          <w:i/>
          <w:noProof/>
          <w:color w:val="000000" w:themeColor="text1"/>
        </w:rPr>
        <w:t>estment in social infrastructure</w:t>
      </w:r>
      <w:r>
        <w:rPr>
          <w:noProof/>
          <w:color w:val="000000" w:themeColor="text1"/>
        </w:rPr>
        <w:t>'. However, for the latter, the financial amounts decreased much more. It can be considered that the new priorities '</w:t>
      </w:r>
      <w:r>
        <w:rPr>
          <w:i/>
          <w:noProof/>
          <w:color w:val="000000" w:themeColor="text1"/>
        </w:rPr>
        <w:t>Social, health and education infrastructure and related</w:t>
      </w:r>
      <w:r>
        <w:rPr>
          <w:noProof/>
          <w:color w:val="000000" w:themeColor="text1"/>
        </w:rPr>
        <w:t>' and '</w:t>
      </w:r>
      <w:r>
        <w:rPr>
          <w:i/>
          <w:noProof/>
          <w:color w:val="000000" w:themeColor="text1"/>
        </w:rPr>
        <w:t>Investing in education, training and vocation</w:t>
      </w:r>
      <w:r>
        <w:rPr>
          <w:i/>
          <w:noProof/>
          <w:color w:val="000000" w:themeColor="text1"/>
        </w:rPr>
        <w:t>al training for skills and lifelong learning investment</w:t>
      </w:r>
      <w:r>
        <w:rPr>
          <w:noProof/>
          <w:color w:val="000000" w:themeColor="text1"/>
        </w:rPr>
        <w:t xml:space="preserve">' covered similar initiatives, but with 19 irregularities reported, they could not compensate. </w:t>
      </w:r>
    </w:p>
    <w:p w:rsidR="00B83504" w:rsidRDefault="00B55645">
      <w:pPr>
        <w:pStyle w:val="Text1"/>
        <w:widowControl w:val="0"/>
        <w:ind w:left="0"/>
        <w:rPr>
          <w:noProof/>
          <w:color w:val="000000" w:themeColor="text1"/>
        </w:rPr>
      </w:pPr>
      <w:r>
        <w:rPr>
          <w:noProof/>
          <w:color w:val="000000" w:themeColor="text1"/>
        </w:rPr>
        <w:t>Apart from '</w:t>
      </w:r>
      <w:r>
        <w:rPr>
          <w:i/>
          <w:noProof/>
          <w:color w:val="000000" w:themeColor="text1"/>
        </w:rPr>
        <w:t>R&amp;TD</w:t>
      </w:r>
      <w:r>
        <w:rPr>
          <w:noProof/>
          <w:color w:val="000000" w:themeColor="text1"/>
        </w:rPr>
        <w:t>', '</w:t>
      </w:r>
      <w:r>
        <w:rPr>
          <w:i/>
          <w:noProof/>
          <w:color w:val="000000" w:themeColor="text1"/>
        </w:rPr>
        <w:t xml:space="preserve">Environmental protection and risk prevention' </w:t>
      </w:r>
      <w:r>
        <w:rPr>
          <w:noProof/>
          <w:color w:val="000000" w:themeColor="text1"/>
        </w:rPr>
        <w:t>was basically the only priority which r</w:t>
      </w:r>
      <w:r>
        <w:rPr>
          <w:noProof/>
          <w:color w:val="000000" w:themeColor="text1"/>
        </w:rPr>
        <w:t xml:space="preserve">ecorded a significant increase in financial amounts in PP 2014-2020. </w:t>
      </w:r>
    </w:p>
    <w:p w:rsidR="00B83504" w:rsidRDefault="00B55645">
      <w:pPr>
        <w:pStyle w:val="ManualHeading4"/>
        <w:rPr>
          <w:noProof/>
          <w:color w:val="000000" w:themeColor="text1"/>
        </w:rPr>
      </w:pPr>
      <w:bookmarkStart w:id="65" w:name="_Toc485146204"/>
      <w:bookmarkStart w:id="66" w:name="_Toc485146511"/>
      <w:bookmarkStart w:id="67" w:name="_Toc486928858"/>
      <w:bookmarkStart w:id="68" w:name="_Toc510691073"/>
      <w:bookmarkStart w:id="69" w:name="_Toc13152074"/>
      <w:r>
        <w:rPr>
          <w:noProof/>
          <w:color w:val="000000" w:themeColor="text1"/>
        </w:rPr>
        <w:t>4.2.2.3.</w:t>
      </w:r>
      <w:r>
        <w:rPr>
          <w:noProof/>
          <w:color w:val="000000" w:themeColor="text1"/>
        </w:rPr>
        <w:tab/>
        <w:t>PP 2007-2013: irregularities related to the priorities '</w:t>
      </w:r>
      <w:bookmarkEnd w:id="65"/>
      <w:bookmarkEnd w:id="66"/>
      <w:bookmarkEnd w:id="67"/>
      <w:r>
        <w:rPr>
          <w:noProof/>
          <w:color w:val="000000" w:themeColor="text1"/>
        </w:rPr>
        <w:t>Tourism' and 'Environment' by theme</w:t>
      </w:r>
      <w:bookmarkEnd w:id="68"/>
      <w:bookmarkEnd w:id="69"/>
    </w:p>
    <w:p w:rsidR="00B83504" w:rsidRDefault="00B55645">
      <w:pPr>
        <w:pStyle w:val="FootnoteText"/>
        <w:jc w:val="both"/>
        <w:rPr>
          <w:rFonts w:ascii="Times New Roman" w:hAnsi="Times New Roman" w:cs="Times New Roman"/>
          <w:noProof/>
        </w:rPr>
      </w:pPr>
      <w:r>
        <w:rPr>
          <w:rFonts w:ascii="Times New Roman" w:hAnsi="Times New Roman" w:cs="Times New Roman"/>
          <w:noProof/>
          <w:color w:val="000000" w:themeColor="text1"/>
          <w:sz w:val="24"/>
          <w:szCs w:val="24"/>
        </w:rPr>
        <w:t>In last year's Report</w:t>
      </w:r>
      <w:r>
        <w:rPr>
          <w:rStyle w:val="FootnoteReference"/>
          <w:rFonts w:ascii="Times New Roman" w:hAnsi="Times New Roman" w:cs="Times New Roman"/>
          <w:noProof/>
          <w:color w:val="000000" w:themeColor="text1"/>
          <w:sz w:val="24"/>
          <w:szCs w:val="24"/>
        </w:rPr>
        <w:footnoteReference w:id="29"/>
      </w:r>
      <w:r>
        <w:rPr>
          <w:rFonts w:ascii="Times New Roman" w:hAnsi="Times New Roman" w:cs="Times New Roman"/>
          <w:noProof/>
          <w:color w:val="000000" w:themeColor="text1"/>
          <w:sz w:val="24"/>
          <w:szCs w:val="24"/>
        </w:rPr>
        <w:t>, an analysis by themes of the priorities '</w:t>
      </w:r>
      <w:r>
        <w:rPr>
          <w:rFonts w:ascii="Times New Roman" w:hAnsi="Times New Roman" w:cs="Times New Roman"/>
          <w:i/>
          <w:noProof/>
          <w:color w:val="000000" w:themeColor="text1"/>
          <w:sz w:val="24"/>
          <w:szCs w:val="24"/>
        </w:rPr>
        <w:t>R&amp;TD</w:t>
      </w:r>
      <w:r>
        <w:rPr>
          <w:rFonts w:ascii="Times New Roman" w:hAnsi="Times New Roman" w:cs="Times New Roman"/>
          <w:noProof/>
          <w:color w:val="000000" w:themeColor="text1"/>
          <w:sz w:val="24"/>
          <w:szCs w:val="24"/>
        </w:rPr>
        <w:t>' and '</w:t>
      </w:r>
      <w:r>
        <w:rPr>
          <w:rFonts w:ascii="Times New Roman" w:hAnsi="Times New Roman" w:cs="Times New Roman"/>
          <w:i/>
          <w:noProof/>
          <w:color w:val="000000" w:themeColor="text1"/>
          <w:sz w:val="24"/>
          <w:szCs w:val="24"/>
        </w:rPr>
        <w:t>Transport</w:t>
      </w:r>
      <w:r>
        <w:rPr>
          <w:rFonts w:ascii="Times New Roman" w:hAnsi="Times New Roman" w:cs="Times New Roman"/>
          <w:noProof/>
          <w:color w:val="000000" w:themeColor="text1"/>
          <w:sz w:val="24"/>
          <w:szCs w:val="24"/>
        </w:rPr>
        <w:t xml:space="preserve">' has been presented. The irregularities reported during 2018 did not change significantly the picture - which consolidated already during the previous eleven years of the PP. </w:t>
      </w:r>
      <w:r>
        <w:rPr>
          <w:rFonts w:ascii="Times New Roman" w:hAnsi="Times New Roman" w:cs="Times New Roman"/>
          <w:noProof/>
          <w:sz w:val="24"/>
          <w:szCs w:val="24"/>
        </w:rPr>
        <w:t>However, the financial amounts involved in irregularities reported as fraudulent</w:t>
      </w:r>
      <w:r>
        <w:rPr>
          <w:rFonts w:ascii="Times New Roman" w:hAnsi="Times New Roman" w:cs="Times New Roman"/>
          <w:noProof/>
          <w:sz w:val="24"/>
          <w:szCs w:val="24"/>
        </w:rPr>
        <w:t xml:space="preserve"> in relation to the priority</w:t>
      </w:r>
      <w:r>
        <w:rPr>
          <w:rFonts w:ascii="Times New Roman" w:hAnsi="Times New Roman" w:cs="Times New Roman"/>
          <w:i/>
          <w:noProof/>
          <w:sz w:val="24"/>
          <w:szCs w:val="24"/>
        </w:rPr>
        <w:t xml:space="preserve"> 'R&amp;TD</w:t>
      </w:r>
      <w:r>
        <w:rPr>
          <w:rFonts w:ascii="Times New Roman" w:hAnsi="Times New Roman" w:cs="Times New Roman"/>
          <w:noProof/>
          <w:sz w:val="24"/>
          <w:szCs w:val="24"/>
        </w:rPr>
        <w:t>' increased by about EUR 100 million (+33%). About half of this increase was due to 2 cases reported by Slovakia concerning the themes '</w:t>
      </w:r>
      <w:r>
        <w:rPr>
          <w:rFonts w:ascii="Times New Roman" w:hAnsi="Times New Roman" w:cs="Times New Roman"/>
          <w:i/>
          <w:noProof/>
          <w:sz w:val="24"/>
          <w:szCs w:val="24"/>
        </w:rPr>
        <w:t>RTD activities in research centers</w:t>
      </w:r>
      <w:r>
        <w:rPr>
          <w:rFonts w:ascii="Times New Roman" w:hAnsi="Times New Roman" w:cs="Times New Roman"/>
          <w:noProof/>
          <w:sz w:val="24"/>
          <w:szCs w:val="24"/>
        </w:rPr>
        <w:t xml:space="preserve">' and </w:t>
      </w:r>
      <w:r>
        <w:rPr>
          <w:rFonts w:ascii="Times New Roman" w:hAnsi="Times New Roman" w:cs="Times New Roman"/>
          <w:i/>
          <w:noProof/>
          <w:sz w:val="24"/>
          <w:szCs w:val="24"/>
        </w:rPr>
        <w:t xml:space="preserve">'Technology transfer and improvement of </w:t>
      </w:r>
      <w:r>
        <w:rPr>
          <w:rFonts w:ascii="Times New Roman" w:hAnsi="Times New Roman" w:cs="Times New Roman"/>
          <w:i/>
          <w:noProof/>
          <w:sz w:val="24"/>
          <w:szCs w:val="24"/>
        </w:rPr>
        <w:t>cooperation networks involving SMEs'</w:t>
      </w:r>
      <w:r>
        <w:rPr>
          <w:rFonts w:ascii="Times New Roman" w:hAnsi="Times New Roman" w:cs="Times New Roman"/>
          <w:noProof/>
          <w:sz w:val="24"/>
          <w:szCs w:val="24"/>
        </w:rPr>
        <w:t>. The latter was significantly impacted also by two other cases reported by Slovakia as non-fraudulent and accounting for about EUR 160 million.</w:t>
      </w:r>
    </w:p>
    <w:p w:rsidR="00B83504" w:rsidRDefault="00B55645">
      <w:pPr>
        <w:pStyle w:val="Text1"/>
        <w:ind w:left="0"/>
        <w:rPr>
          <w:noProof/>
        </w:rPr>
      </w:pPr>
      <w:r>
        <w:rPr>
          <w:noProof/>
        </w:rPr>
        <w:t>Concerning the impact of potential fraud on the priority '</w:t>
      </w:r>
      <w:r>
        <w:rPr>
          <w:i/>
          <w:noProof/>
        </w:rPr>
        <w:t>Transport</w:t>
      </w:r>
      <w:r>
        <w:rPr>
          <w:noProof/>
        </w:rPr>
        <w:t>', the f</w:t>
      </w:r>
      <w:r>
        <w:rPr>
          <w:noProof/>
        </w:rPr>
        <w:t>inancial amounts involved in irregularities concerning the themes:</w:t>
      </w:r>
    </w:p>
    <w:p w:rsidR="00B83504" w:rsidRDefault="00B55645">
      <w:pPr>
        <w:pStyle w:val="Text1"/>
        <w:numPr>
          <w:ilvl w:val="0"/>
          <w:numId w:val="33"/>
        </w:numPr>
        <w:ind w:left="142" w:hanging="142"/>
        <w:rPr>
          <w:noProof/>
        </w:rPr>
      </w:pPr>
      <w:r>
        <w:rPr>
          <w:i/>
          <w:noProof/>
        </w:rPr>
        <w:t>'Railways</w:t>
      </w:r>
      <w:r>
        <w:rPr>
          <w:noProof/>
        </w:rPr>
        <w:t>' significantly decreased (-70%), as a result of three cases cancelled by Italy;</w:t>
      </w:r>
    </w:p>
    <w:p w:rsidR="00B83504" w:rsidRDefault="00B55645">
      <w:pPr>
        <w:pStyle w:val="Text1"/>
        <w:numPr>
          <w:ilvl w:val="0"/>
          <w:numId w:val="33"/>
        </w:numPr>
        <w:ind w:left="142" w:hanging="142"/>
        <w:rPr>
          <w:noProof/>
        </w:rPr>
      </w:pPr>
      <w:r>
        <w:rPr>
          <w:i/>
          <w:noProof/>
        </w:rPr>
        <w:t xml:space="preserve">'National roads' </w:t>
      </w:r>
      <w:r>
        <w:rPr>
          <w:noProof/>
        </w:rPr>
        <w:t>increased nearly fivefold, because of a new irregularity detected by Romania and a</w:t>
      </w:r>
      <w:r>
        <w:rPr>
          <w:noProof/>
        </w:rPr>
        <w:t xml:space="preserve"> case reported by Italy in 2016, which has been re-classified as fraudulent and to which much higher irregular financial amounts have been associated. </w:t>
      </w:r>
    </w:p>
    <w:p w:rsidR="00B83504" w:rsidRDefault="00B55645">
      <w:pPr>
        <w:pStyle w:val="Text1"/>
        <w:ind w:left="0"/>
        <w:rPr>
          <w:noProof/>
        </w:rPr>
      </w:pPr>
      <w:r>
        <w:rPr>
          <w:noProof/>
        </w:rPr>
        <w:t xml:space="preserve">In terms of number of non-fraudulent irregularities, </w:t>
      </w:r>
      <w:r>
        <w:rPr>
          <w:i/>
          <w:noProof/>
        </w:rPr>
        <w:t>'Regional/local roads'</w:t>
      </w:r>
      <w:r>
        <w:rPr>
          <w:noProof/>
        </w:rPr>
        <w:t xml:space="preserve"> remained the most affected t</w:t>
      </w:r>
      <w:r>
        <w:rPr>
          <w:noProof/>
        </w:rPr>
        <w:t>heme, with 44% of the total. In terms of financial amounts, the themes '</w:t>
      </w:r>
      <w:r>
        <w:rPr>
          <w:i/>
          <w:noProof/>
        </w:rPr>
        <w:t>Railways</w:t>
      </w:r>
      <w:r>
        <w:rPr>
          <w:noProof/>
        </w:rPr>
        <w:t>' and '</w:t>
      </w:r>
      <w:r>
        <w:rPr>
          <w:i/>
          <w:noProof/>
        </w:rPr>
        <w:t>Motorways (TEN-T)</w:t>
      </w:r>
      <w:r>
        <w:rPr>
          <w:noProof/>
        </w:rPr>
        <w:t>' were still the most impacted, accounting together for about 58% of the total. The irregular financial amounts involved in the theme '</w:t>
      </w:r>
      <w:r>
        <w:rPr>
          <w:i/>
          <w:noProof/>
        </w:rPr>
        <w:t>Railways</w:t>
      </w:r>
      <w:r>
        <w:rPr>
          <w:noProof/>
        </w:rPr>
        <w:t>' increas</w:t>
      </w:r>
      <w:r>
        <w:rPr>
          <w:noProof/>
        </w:rPr>
        <w:t>ed by about EUR 20 million</w:t>
      </w:r>
      <w:r>
        <w:rPr>
          <w:rStyle w:val="FootnoteReference"/>
          <w:noProof/>
        </w:rPr>
        <w:footnoteReference w:id="30"/>
      </w:r>
      <w:r>
        <w:rPr>
          <w:noProof/>
        </w:rPr>
        <w:t xml:space="preserve"> (which is just about 5%) but the number of irregularities increased by 37%, mainly due to cases reported by Italy</w:t>
      </w:r>
      <w:r>
        <w:rPr>
          <w:rStyle w:val="FootnoteReference"/>
          <w:noProof/>
        </w:rPr>
        <w:footnoteReference w:id="31"/>
      </w:r>
      <w:r>
        <w:rPr>
          <w:noProof/>
        </w:rPr>
        <w:t xml:space="preserve">. </w:t>
      </w:r>
    </w:p>
    <w:p w:rsidR="00B83504" w:rsidRDefault="00B55645">
      <w:pPr>
        <w:pStyle w:val="Text1"/>
        <w:ind w:left="0"/>
        <w:rPr>
          <w:noProof/>
          <w:color w:val="000000" w:themeColor="text1"/>
        </w:rPr>
      </w:pPr>
      <w:r>
        <w:rPr>
          <w:noProof/>
          <w:color w:val="000000" w:themeColor="text1"/>
        </w:rPr>
        <w:t>Given the above, this year the analysis of two other priorities is provided:</w:t>
      </w:r>
    </w:p>
    <w:p w:rsidR="00B83504" w:rsidRDefault="00B55645">
      <w:pPr>
        <w:pStyle w:val="Text1"/>
        <w:numPr>
          <w:ilvl w:val="0"/>
          <w:numId w:val="31"/>
        </w:numPr>
        <w:ind w:left="142" w:hanging="142"/>
        <w:rPr>
          <w:noProof/>
          <w:color w:val="000000" w:themeColor="text1"/>
        </w:rPr>
      </w:pPr>
      <w:r>
        <w:rPr>
          <w:noProof/>
          <w:color w:val="000000" w:themeColor="text1"/>
        </w:rPr>
        <w:t>'</w:t>
      </w:r>
      <w:r>
        <w:rPr>
          <w:i/>
          <w:noProof/>
          <w:color w:val="000000" w:themeColor="text1"/>
        </w:rPr>
        <w:t>Tourism</w:t>
      </w:r>
      <w:r>
        <w:rPr>
          <w:noProof/>
          <w:color w:val="000000" w:themeColor="text1"/>
        </w:rPr>
        <w:t>', which is the priority w</w:t>
      </w:r>
      <w:r>
        <w:rPr>
          <w:noProof/>
          <w:color w:val="000000" w:themeColor="text1"/>
        </w:rPr>
        <w:t>ith the highest incidence of fraud;</w:t>
      </w:r>
    </w:p>
    <w:p w:rsidR="00B83504" w:rsidRDefault="00B55645">
      <w:pPr>
        <w:pStyle w:val="Text1"/>
        <w:numPr>
          <w:ilvl w:val="0"/>
          <w:numId w:val="31"/>
        </w:numPr>
        <w:ind w:left="142" w:hanging="142"/>
        <w:rPr>
          <w:noProof/>
          <w:color w:val="000000" w:themeColor="text1"/>
        </w:rPr>
      </w:pPr>
      <w:r>
        <w:rPr>
          <w:noProof/>
          <w:color w:val="000000" w:themeColor="text1"/>
        </w:rPr>
        <w:t>‘</w:t>
      </w:r>
      <w:r>
        <w:rPr>
          <w:i/>
          <w:noProof/>
          <w:color w:val="000000" w:themeColor="text1"/>
        </w:rPr>
        <w:t>Environmental protection and risk prevention</w:t>
      </w:r>
      <w:r>
        <w:rPr>
          <w:noProof/>
          <w:color w:val="000000" w:themeColor="text1"/>
        </w:rPr>
        <w:t>’, which is a priority that ranks among the most affected by non-fraudulent irregularities and recorded the second highest average financial amount related to fraudulent irreg</w:t>
      </w:r>
      <w:r>
        <w:rPr>
          <w:noProof/>
          <w:color w:val="000000" w:themeColor="text1"/>
        </w:rPr>
        <w:t>ularities.</w:t>
      </w:r>
    </w:p>
    <w:p w:rsidR="00B83504" w:rsidRDefault="00B55645">
      <w:pPr>
        <w:pStyle w:val="Text1"/>
        <w:ind w:left="0"/>
        <w:rPr>
          <w:i/>
          <w:noProof/>
        </w:rPr>
      </w:pPr>
      <w:r>
        <w:rPr>
          <w:i/>
          <w:noProof/>
        </w:rPr>
        <w:t>Tourism</w:t>
      </w:r>
    </w:p>
    <w:p w:rsidR="00B83504" w:rsidRDefault="00B55645">
      <w:pPr>
        <w:pStyle w:val="Text1"/>
        <w:ind w:left="0"/>
        <w:rPr>
          <w:noProof/>
        </w:rPr>
      </w:pPr>
      <w:r>
        <w:rPr>
          <w:noProof/>
        </w:rPr>
        <w:t>As metioned, ‘</w:t>
      </w:r>
      <w:r>
        <w:rPr>
          <w:i/>
          <w:noProof/>
        </w:rPr>
        <w:t>Tourism</w:t>
      </w:r>
      <w:r>
        <w:rPr>
          <w:noProof/>
        </w:rPr>
        <w:t xml:space="preserve">’ is the priority with the highest FFL (11.8%), FAL (34%) and FDR (1.4%). In addition, it has the highest IDR. </w:t>
      </w:r>
    </w:p>
    <w:p w:rsidR="00B83504" w:rsidRDefault="00B55645">
      <w:pPr>
        <w:pStyle w:val="Text1"/>
        <w:ind w:left="0"/>
        <w:rPr>
          <w:noProof/>
        </w:rPr>
      </w:pPr>
      <w:r>
        <w:rPr>
          <w:noProof/>
        </w:rPr>
        <w:t>Figure CP1 details the specific priority themes that were affected by irregularities reported as fraudul</w:t>
      </w:r>
      <w:r>
        <w:rPr>
          <w:noProof/>
        </w:rPr>
        <w:t>ent. The larger the square, the higher the number of irregularities; the darker the colour, the higher the financial amounts involved.</w:t>
      </w:r>
      <w:r>
        <w:rPr>
          <w:rStyle w:val="FootnoteReference"/>
          <w:noProof/>
        </w:rPr>
        <w:footnoteReference w:id="32"/>
      </w:r>
    </w:p>
    <w:p w:rsidR="00B83504" w:rsidRDefault="00B55645">
      <w:pPr>
        <w:pStyle w:val="Text1"/>
        <w:ind w:left="0"/>
        <w:rPr>
          <w:noProof/>
        </w:rPr>
      </w:pPr>
      <w:r>
        <w:rPr>
          <w:noProof/>
        </w:rPr>
        <w:t xml:space="preserve">The residual theme </w:t>
      </w:r>
      <w:r>
        <w:rPr>
          <w:i/>
          <w:noProof/>
        </w:rPr>
        <w:t>'Other assistance to improve tourist services'</w:t>
      </w:r>
      <w:r>
        <w:rPr>
          <w:noProof/>
        </w:rPr>
        <w:t xml:space="preserve"> was by far the most impacted. It represented about 74%</w:t>
      </w:r>
      <w:r>
        <w:rPr>
          <w:noProof/>
        </w:rPr>
        <w:t xml:space="preserve"> of the irregularities reported as fraudulent, and about 71% of the related financial amounts. About half of these irregularities were detected in Romania, while Slovakia was the Member State with the highest financial amounts involved. Four countries (Slo</w:t>
      </w:r>
      <w:r>
        <w:rPr>
          <w:noProof/>
        </w:rPr>
        <w:t>vakia, Romania, Czech Republic and Portugal) accounted for 94% of the financial amounts. Two other themes shared the remaining irregularities: '</w:t>
      </w:r>
      <w:r>
        <w:rPr>
          <w:i/>
          <w:noProof/>
        </w:rPr>
        <w:t>Protection and development of natural heritage</w:t>
      </w:r>
      <w:r>
        <w:rPr>
          <w:noProof/>
        </w:rPr>
        <w:t>'  and '</w:t>
      </w:r>
      <w:r>
        <w:rPr>
          <w:i/>
          <w:noProof/>
        </w:rPr>
        <w:t>Promotion of natural assets</w:t>
      </w:r>
      <w:r>
        <w:rPr>
          <w:noProof/>
        </w:rPr>
        <w:t xml:space="preserve">' (most of cases and irregular </w:t>
      </w:r>
      <w:r>
        <w:rPr>
          <w:noProof/>
        </w:rPr>
        <w:t xml:space="preserve">financial amounts detected in Romania). </w:t>
      </w:r>
    </w:p>
    <w:p w:rsidR="00B83504" w:rsidRDefault="00B55645">
      <w:pPr>
        <w:pStyle w:val="Text1"/>
        <w:ind w:left="0"/>
        <w:rPr>
          <w:noProof/>
          <w:color w:val="000000" w:themeColor="text1"/>
        </w:rPr>
      </w:pPr>
      <w:r>
        <w:rPr>
          <w:noProof/>
          <w:color w:val="000000" w:themeColor="text1"/>
        </w:rPr>
        <w:t>Figure CP2 shows the same level of detail for the irregularities not reported as fraudulent.</w:t>
      </w:r>
    </w:p>
    <w:p w:rsidR="00B83504" w:rsidRDefault="00B55645">
      <w:pPr>
        <w:pStyle w:val="Text1"/>
        <w:ind w:left="0"/>
        <w:rPr>
          <w:noProof/>
          <w:color w:val="000000" w:themeColor="text1"/>
        </w:rPr>
      </w:pPr>
      <w:r>
        <w:rPr>
          <w:noProof/>
          <w:color w:val="000000" w:themeColor="text1"/>
        </w:rPr>
        <w:t xml:space="preserve">The picture is similar to the one referring to the fraudulent </w:t>
      </w:r>
      <w:r>
        <w:rPr>
          <w:noProof/>
        </w:rPr>
        <w:t>irregularities: the residual theme was involved in 71% of th</w:t>
      </w:r>
      <w:r>
        <w:rPr>
          <w:noProof/>
        </w:rPr>
        <w:t>e non-fraudulent irregularities, accounti</w:t>
      </w:r>
      <w:r>
        <w:rPr>
          <w:noProof/>
          <w:color w:val="000000" w:themeColor="text1"/>
        </w:rPr>
        <w:t>ng for 80% of the financial amounts. About half of these irregularities (and related financial amounts) was detected in Poland and the Czech Republic. The two other themes recorded a similar number of irregularities</w:t>
      </w:r>
      <w:r>
        <w:rPr>
          <w:noProof/>
          <w:color w:val="000000" w:themeColor="text1"/>
        </w:rPr>
        <w:t>.</w:t>
      </w:r>
    </w:p>
    <w:p w:rsidR="00B83504" w:rsidRDefault="00B83504">
      <w:pPr>
        <w:pStyle w:val="Text1"/>
        <w:ind w:left="0"/>
        <w:rPr>
          <w:noProof/>
          <w:color w:val="000000" w:themeColor="text1"/>
        </w:rPr>
      </w:pPr>
    </w:p>
    <w:p w:rsidR="00B83504" w:rsidRDefault="00B83504">
      <w:pPr>
        <w:pStyle w:val="Text1"/>
        <w:ind w:left="0"/>
        <w:rPr>
          <w:noProof/>
          <w:color w:val="FF0000"/>
        </w:rPr>
        <w:sectPr w:rsidR="00B83504">
          <w:headerReference w:type="even" r:id="rId70"/>
          <w:headerReference w:type="default" r:id="rId71"/>
          <w:footerReference w:type="even" r:id="rId72"/>
          <w:footerReference w:type="default" r:id="rId73"/>
          <w:headerReference w:type="first" r:id="rId74"/>
          <w:footerReference w:type="first" r:id="rId75"/>
          <w:footnotePr>
            <w:numStart w:val="85"/>
          </w:footnotePr>
          <w:pgSz w:w="11906" w:h="16838"/>
          <w:pgMar w:top="1440" w:right="1440" w:bottom="1440" w:left="1440" w:header="708" w:footer="708" w:gutter="0"/>
          <w:pgNumType w:start="54"/>
          <w:cols w:space="708"/>
          <w:docGrid w:linePitch="360"/>
        </w:sectPr>
      </w:pPr>
    </w:p>
    <w:p w:rsidR="00B83504" w:rsidRDefault="00B55645">
      <w:pPr>
        <w:pStyle w:val="Text1"/>
        <w:ind w:left="0"/>
        <w:rPr>
          <w:noProof/>
          <w:color w:val="FF0000"/>
        </w:rPr>
      </w:pPr>
      <w:r>
        <w:rPr>
          <w:noProof/>
          <w:color w:val="FF0000"/>
          <w:lang w:val="fr-BE" w:eastAsia="fr-BE"/>
        </w:rPr>
        <w:drawing>
          <wp:inline distT="0" distB="0" distL="0" distR="0">
            <wp:extent cx="6045891" cy="392373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screen">
                      <a:extLst>
                        <a:ext uri="{28A0092B-C50C-407E-A947-70E740481C1C}">
                          <a14:useLocalDpi xmlns:a14="http://schemas.microsoft.com/office/drawing/2010/main" val="0"/>
                        </a:ext>
                      </a:extLst>
                    </a:blip>
                    <a:srcRect/>
                    <a:stretch>
                      <a:fillRect/>
                    </a:stretch>
                  </pic:blipFill>
                  <pic:spPr bwMode="auto">
                    <a:xfrm>
                      <a:off x="0" y="0"/>
                      <a:ext cx="6069924" cy="3939328"/>
                    </a:xfrm>
                    <a:prstGeom prst="rect">
                      <a:avLst/>
                    </a:prstGeom>
                    <a:noFill/>
                  </pic:spPr>
                </pic:pic>
              </a:graphicData>
            </a:graphic>
          </wp:inline>
        </w:drawing>
      </w:r>
    </w:p>
    <w:p w:rsidR="00B83504" w:rsidRDefault="00B55645">
      <w:pPr>
        <w:pStyle w:val="Text1"/>
        <w:ind w:left="0"/>
        <w:rPr>
          <w:noProof/>
          <w:color w:val="FF0000"/>
        </w:rPr>
        <w:sectPr w:rsidR="00B83504">
          <w:headerReference w:type="even" r:id="rId77"/>
          <w:headerReference w:type="default" r:id="rId78"/>
          <w:footerReference w:type="even" r:id="rId79"/>
          <w:footerReference w:type="default" r:id="rId80"/>
          <w:headerReference w:type="first" r:id="rId81"/>
          <w:footerReference w:type="first" r:id="rId82"/>
          <w:pgSz w:w="11906" w:h="16838"/>
          <w:pgMar w:top="1440" w:right="1440" w:bottom="1440" w:left="1440" w:header="708" w:footer="708" w:gutter="0"/>
          <w:cols w:space="708"/>
          <w:docGrid w:linePitch="360"/>
        </w:sectPr>
      </w:pPr>
      <w:r>
        <w:rPr>
          <w:noProof/>
          <w:color w:val="FF0000"/>
          <w:lang w:val="fr-BE" w:eastAsia="fr-BE"/>
        </w:rPr>
        <w:drawing>
          <wp:inline distT="0" distB="0" distL="0" distR="0">
            <wp:extent cx="6025487" cy="39125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TOU.png"/>
                    <pic:cNvPicPr/>
                  </pic:nvPicPr>
                  <pic:blipFill>
                    <a:blip r:embed="rId83" cstate="screen">
                      <a:extLst>
                        <a:ext uri="{28A0092B-C50C-407E-A947-70E740481C1C}">
                          <a14:useLocalDpi xmlns:a14="http://schemas.microsoft.com/office/drawing/2010/main" val="0"/>
                        </a:ext>
                      </a:extLst>
                    </a:blip>
                    <a:stretch>
                      <a:fillRect/>
                    </a:stretch>
                  </pic:blipFill>
                  <pic:spPr>
                    <a:xfrm>
                      <a:off x="0" y="0"/>
                      <a:ext cx="6038938" cy="3921296"/>
                    </a:xfrm>
                    <a:prstGeom prst="rect">
                      <a:avLst/>
                    </a:prstGeom>
                  </pic:spPr>
                </pic:pic>
              </a:graphicData>
            </a:graphic>
          </wp:inline>
        </w:drawing>
      </w:r>
    </w:p>
    <w:p w:rsidR="00B83504" w:rsidRDefault="00B55645">
      <w:pPr>
        <w:pStyle w:val="Text1"/>
        <w:ind w:left="0"/>
        <w:rPr>
          <w:noProof/>
          <w:color w:val="000000" w:themeColor="text1"/>
        </w:rPr>
      </w:pPr>
      <w:r>
        <w:rPr>
          <w:i/>
          <w:noProof/>
          <w:color w:val="000000" w:themeColor="text1"/>
        </w:rPr>
        <w:t>Environmental protection and risk prevention</w:t>
      </w:r>
      <w:r>
        <w:rPr>
          <w:noProof/>
          <w:color w:val="000000" w:themeColor="text1"/>
        </w:rPr>
        <w:t xml:space="preserve"> </w:t>
      </w:r>
    </w:p>
    <w:p w:rsidR="00B83504" w:rsidRDefault="00B55645">
      <w:pPr>
        <w:pStyle w:val="Text1"/>
        <w:ind w:left="0"/>
        <w:rPr>
          <w:i/>
          <w:noProof/>
          <w:color w:val="000000" w:themeColor="text1"/>
        </w:rPr>
      </w:pPr>
      <w:r>
        <w:rPr>
          <w:noProof/>
          <w:color w:val="000000" w:themeColor="text1"/>
        </w:rPr>
        <w:t>As mentioned, ‘</w:t>
      </w:r>
      <w:r>
        <w:rPr>
          <w:i/>
          <w:noProof/>
          <w:color w:val="000000" w:themeColor="text1"/>
        </w:rPr>
        <w:t>Environmental protection and risk prevention</w:t>
      </w:r>
      <w:r>
        <w:rPr>
          <w:noProof/>
          <w:color w:val="000000" w:themeColor="text1"/>
        </w:rPr>
        <w:t xml:space="preserve">’ was hit by the second highest number of non-fraudulent irregularities (after </w:t>
      </w:r>
      <w:r>
        <w:rPr>
          <w:i/>
          <w:noProof/>
          <w:color w:val="000000" w:themeColor="text1"/>
        </w:rPr>
        <w:t>'R&amp;TD'</w:t>
      </w:r>
      <w:r>
        <w:rPr>
          <w:noProof/>
          <w:color w:val="000000" w:themeColor="text1"/>
        </w:rPr>
        <w:t xml:space="preserve">) and the third highest level of irregular (non-fraudulent) financial amounts (after </w:t>
      </w:r>
      <w:r>
        <w:rPr>
          <w:i/>
          <w:noProof/>
          <w:color w:val="000000" w:themeColor="text1"/>
        </w:rPr>
        <w:t>'R&amp;TD'</w:t>
      </w:r>
      <w:r>
        <w:rPr>
          <w:noProof/>
          <w:color w:val="000000" w:themeColor="text1"/>
        </w:rPr>
        <w:t xml:space="preserve"> and </w:t>
      </w:r>
      <w:r>
        <w:rPr>
          <w:i/>
          <w:noProof/>
          <w:color w:val="000000" w:themeColor="text1"/>
        </w:rPr>
        <w:t>'Transport'</w:t>
      </w:r>
      <w:r>
        <w:rPr>
          <w:noProof/>
          <w:color w:val="000000" w:themeColor="text1"/>
        </w:rPr>
        <w:t>). At the same time, this priority was not immune from fraud: it</w:t>
      </w:r>
      <w:r>
        <w:rPr>
          <w:noProof/>
          <w:color w:val="000000" w:themeColor="text1"/>
        </w:rPr>
        <w:t xml:space="preserve"> recorded the fifth highest level of irregular financial amounts (after </w:t>
      </w:r>
      <w:r>
        <w:rPr>
          <w:i/>
          <w:noProof/>
          <w:color w:val="000000" w:themeColor="text1"/>
        </w:rPr>
        <w:t xml:space="preserve">'R&amp;TD', 'Transport', 'Urban and rural regeneration' </w:t>
      </w:r>
      <w:r>
        <w:rPr>
          <w:noProof/>
          <w:color w:val="000000" w:themeColor="text1"/>
        </w:rPr>
        <w:t>and</w:t>
      </w:r>
      <w:r>
        <w:rPr>
          <w:i/>
          <w:noProof/>
          <w:color w:val="000000" w:themeColor="text1"/>
        </w:rPr>
        <w:t xml:space="preserve"> 'Tourism'</w:t>
      </w:r>
      <w:r>
        <w:rPr>
          <w:noProof/>
          <w:color w:val="000000" w:themeColor="text1"/>
        </w:rPr>
        <w:t>).</w:t>
      </w:r>
    </w:p>
    <w:p w:rsidR="00B83504" w:rsidRDefault="00B55645">
      <w:pPr>
        <w:pStyle w:val="Text1"/>
        <w:ind w:left="0"/>
        <w:rPr>
          <w:noProof/>
          <w:color w:val="000000" w:themeColor="text1"/>
        </w:rPr>
      </w:pPr>
      <w:r>
        <w:rPr>
          <w:noProof/>
          <w:color w:val="000000" w:themeColor="text1"/>
        </w:rPr>
        <w:t>Similar to Figure CP1, Figure CP3 details the specific priority themes that were affected by these irregularities re</w:t>
      </w:r>
      <w:r>
        <w:rPr>
          <w:noProof/>
          <w:color w:val="000000" w:themeColor="text1"/>
        </w:rPr>
        <w:t xml:space="preserve">ported as fraudulent. </w:t>
      </w:r>
    </w:p>
    <w:p w:rsidR="00B83504" w:rsidRDefault="00B55645">
      <w:pPr>
        <w:pStyle w:val="Text1"/>
        <w:ind w:left="0"/>
        <w:rPr>
          <w:noProof/>
          <w:color w:val="000000" w:themeColor="text1"/>
        </w:rPr>
      </w:pPr>
      <w:r>
        <w:rPr>
          <w:noProof/>
          <w:color w:val="000000" w:themeColor="text1"/>
        </w:rPr>
        <w:t>The highest number of fraudulent irregularities related to '</w:t>
      </w:r>
      <w:r>
        <w:rPr>
          <w:i/>
          <w:noProof/>
          <w:color w:val="000000" w:themeColor="text1"/>
        </w:rPr>
        <w:t>Management of household and industrial waste</w:t>
      </w:r>
      <w:r>
        <w:rPr>
          <w:noProof/>
          <w:color w:val="000000" w:themeColor="text1"/>
        </w:rPr>
        <w:t>'. About half of the fraudulent irregularities and 60% of the related financial amounts concerning this theme were detected in Sl</w:t>
      </w:r>
      <w:r>
        <w:rPr>
          <w:noProof/>
          <w:color w:val="000000" w:themeColor="text1"/>
        </w:rPr>
        <w:t>ovakia. The highest level of irregular financial amounts pertained to '</w:t>
      </w:r>
      <w:r>
        <w:rPr>
          <w:i/>
          <w:noProof/>
          <w:color w:val="000000" w:themeColor="text1"/>
        </w:rPr>
        <w:t>Water treatment (waste water)</w:t>
      </w:r>
      <w:r>
        <w:rPr>
          <w:noProof/>
          <w:color w:val="000000" w:themeColor="text1"/>
        </w:rPr>
        <w:t xml:space="preserve">', which reached an average financial amount of about EUR 3.2 million. Half of the fraudulent irregularities and about 80% of the related financial amounts </w:t>
      </w:r>
      <w:r>
        <w:rPr>
          <w:noProof/>
          <w:color w:val="000000" w:themeColor="text1"/>
        </w:rPr>
        <w:t>concerning this theme were detected in Slovakia. Also '</w:t>
      </w:r>
      <w:r>
        <w:rPr>
          <w:i/>
          <w:noProof/>
          <w:color w:val="000000" w:themeColor="text1"/>
        </w:rPr>
        <w:t>Risk prevention</w:t>
      </w:r>
      <w:r>
        <w:rPr>
          <w:noProof/>
          <w:color w:val="000000" w:themeColor="text1"/>
        </w:rPr>
        <w:t>' was quite impacted by fraud, with most cases in the Czech Republic and most of the irregular financial amounts detected in Poland.</w:t>
      </w:r>
    </w:p>
    <w:p w:rsidR="00B83504" w:rsidRDefault="00B55645">
      <w:pPr>
        <w:pStyle w:val="Text1"/>
        <w:ind w:left="0"/>
        <w:rPr>
          <w:noProof/>
          <w:color w:val="000000" w:themeColor="text1"/>
        </w:rPr>
      </w:pPr>
      <w:r>
        <w:rPr>
          <w:noProof/>
          <w:color w:val="000000" w:themeColor="text1"/>
        </w:rPr>
        <w:t>As mentioned in Section 4.2.2.1, in relation to PP 20</w:t>
      </w:r>
      <w:r>
        <w:rPr>
          <w:noProof/>
          <w:color w:val="000000" w:themeColor="text1"/>
        </w:rPr>
        <w:t>14-2020 and differently from what had happened during the same period after the start of PP 2007-2013, the priority ‘</w:t>
      </w:r>
      <w:r>
        <w:rPr>
          <w:i/>
          <w:noProof/>
          <w:color w:val="000000" w:themeColor="text1"/>
        </w:rPr>
        <w:t>Environmental protection and risk prevention</w:t>
      </w:r>
      <w:r>
        <w:rPr>
          <w:noProof/>
          <w:color w:val="000000" w:themeColor="text1"/>
        </w:rPr>
        <w:t xml:space="preserve">’ has already been impacted by a significant number of fraudulent irregularities. Most of them </w:t>
      </w:r>
      <w:r>
        <w:rPr>
          <w:noProof/>
          <w:color w:val="000000" w:themeColor="text1"/>
        </w:rPr>
        <w:t>are still related to '</w:t>
      </w:r>
      <w:r>
        <w:rPr>
          <w:i/>
          <w:noProof/>
          <w:color w:val="000000" w:themeColor="text1"/>
        </w:rPr>
        <w:t>Management of household and industrial waste</w:t>
      </w:r>
      <w:r>
        <w:rPr>
          <w:noProof/>
          <w:color w:val="000000" w:themeColor="text1"/>
        </w:rPr>
        <w:t>' and reported by Slovakia.</w:t>
      </w:r>
    </w:p>
    <w:p w:rsidR="00B83504" w:rsidRDefault="00B55645">
      <w:pPr>
        <w:pStyle w:val="Text1"/>
        <w:ind w:left="0"/>
        <w:rPr>
          <w:noProof/>
          <w:color w:val="000000" w:themeColor="text1"/>
        </w:rPr>
      </w:pPr>
      <w:r>
        <w:rPr>
          <w:noProof/>
          <w:color w:val="000000" w:themeColor="text1"/>
        </w:rPr>
        <w:t>Figure CP4 shows the same level of detail for the irregularities not reported as fraudulent.</w:t>
      </w:r>
    </w:p>
    <w:p w:rsidR="00B83504" w:rsidRDefault="00B55645">
      <w:pPr>
        <w:pStyle w:val="Text1"/>
        <w:ind w:left="0"/>
        <w:rPr>
          <w:noProof/>
          <w:color w:val="000000" w:themeColor="text1"/>
        </w:rPr>
      </w:pPr>
      <w:r>
        <w:rPr>
          <w:noProof/>
          <w:color w:val="000000" w:themeColor="text1"/>
        </w:rPr>
        <w:t>The highest number of non-fraudulent irregularities related to '</w:t>
      </w:r>
      <w:r>
        <w:rPr>
          <w:i/>
          <w:noProof/>
          <w:color w:val="000000" w:themeColor="text1"/>
        </w:rPr>
        <w:t>Water</w:t>
      </w:r>
      <w:r>
        <w:rPr>
          <w:i/>
          <w:noProof/>
          <w:color w:val="000000" w:themeColor="text1"/>
        </w:rPr>
        <w:t xml:space="preserve"> treatment (waste water)</w:t>
      </w:r>
      <w:r>
        <w:rPr>
          <w:noProof/>
          <w:color w:val="000000" w:themeColor="text1"/>
        </w:rPr>
        <w:t>'. About half of the non-fraudulent irregularities and related financial amounts concerning this theme were detected in Poland. Adding '</w:t>
      </w:r>
      <w:r>
        <w:rPr>
          <w:i/>
          <w:noProof/>
          <w:color w:val="000000" w:themeColor="text1"/>
        </w:rPr>
        <w:t>Management of household and industrial waste</w:t>
      </w:r>
      <w:r>
        <w:rPr>
          <w:noProof/>
          <w:color w:val="000000" w:themeColor="text1"/>
        </w:rPr>
        <w:t xml:space="preserve">', these two themes covered about half of the </w:t>
      </w:r>
      <w:r>
        <w:rPr>
          <w:noProof/>
          <w:color w:val="000000" w:themeColor="text1"/>
        </w:rPr>
        <w:t>non-fraudulent irregularities related to this priority. The theme '</w:t>
      </w:r>
      <w:r>
        <w:rPr>
          <w:i/>
          <w:noProof/>
          <w:color w:val="000000" w:themeColor="text1"/>
        </w:rPr>
        <w:t>Management and distribution of water (drinking water)</w:t>
      </w:r>
      <w:r>
        <w:rPr>
          <w:noProof/>
          <w:color w:val="000000" w:themeColor="text1"/>
        </w:rPr>
        <w:t>' ranked third, both in terms of number of irregularities and financial amounts involved (mainly because of detections in Romania). Then</w:t>
      </w:r>
      <w:r>
        <w:rPr>
          <w:noProof/>
          <w:color w:val="000000" w:themeColor="text1"/>
        </w:rPr>
        <w:t xml:space="preserve"> '</w:t>
      </w:r>
      <w:r>
        <w:rPr>
          <w:i/>
          <w:noProof/>
          <w:color w:val="000000" w:themeColor="text1"/>
        </w:rPr>
        <w:t>Risk prevention</w:t>
      </w:r>
      <w:r>
        <w:rPr>
          <w:noProof/>
          <w:color w:val="000000" w:themeColor="text1"/>
        </w:rPr>
        <w:t>' was also significantly impacted by non-fraudulent irregularities, with Italy, Poland and the Czech Republic accounting for about half of cases and irregular financial amounts.</w:t>
      </w:r>
    </w:p>
    <w:p w:rsidR="00B83504" w:rsidRDefault="00B55645">
      <w:pPr>
        <w:pStyle w:val="Text1"/>
        <w:ind w:left="0"/>
        <w:rPr>
          <w:noProof/>
          <w:color w:val="000000" w:themeColor="text1"/>
        </w:rPr>
      </w:pPr>
      <w:r>
        <w:rPr>
          <w:noProof/>
          <w:color w:val="000000" w:themeColor="text1"/>
        </w:rPr>
        <w:t>As mentioned in Section 4.2.2.2, in relation to PP 2014-2020,</w:t>
      </w:r>
      <w:r>
        <w:rPr>
          <w:noProof/>
          <w:color w:val="000000" w:themeColor="text1"/>
        </w:rPr>
        <w:t xml:space="preserve"> the financial amounts involved in non-fraudulent irregularities concerning the priority ‘</w:t>
      </w:r>
      <w:r>
        <w:rPr>
          <w:i/>
          <w:noProof/>
          <w:color w:val="000000" w:themeColor="text1"/>
        </w:rPr>
        <w:t>Environmental protection and risk prevention</w:t>
      </w:r>
      <w:r>
        <w:rPr>
          <w:noProof/>
          <w:color w:val="000000" w:themeColor="text1"/>
        </w:rPr>
        <w:t>’ significantly increased in comparison with PP 2007-2013 during the same period after the start of the programming period</w:t>
      </w:r>
      <w:r>
        <w:rPr>
          <w:noProof/>
          <w:color w:val="000000" w:themeColor="text1"/>
        </w:rPr>
        <w:t>. Most of these irregular financial amounts are still related to '</w:t>
      </w:r>
      <w:r>
        <w:rPr>
          <w:i/>
          <w:noProof/>
          <w:color w:val="000000" w:themeColor="text1"/>
        </w:rPr>
        <w:t>Water treatment (waste water)</w:t>
      </w:r>
      <w:r>
        <w:rPr>
          <w:noProof/>
          <w:color w:val="000000" w:themeColor="text1"/>
        </w:rPr>
        <w:t>', but they have been reported by Slovakia.</w:t>
      </w:r>
    </w:p>
    <w:p w:rsidR="00B83504" w:rsidRDefault="00B83504">
      <w:pPr>
        <w:pStyle w:val="Text1"/>
        <w:ind w:left="0"/>
        <w:rPr>
          <w:noProof/>
          <w:color w:val="000000" w:themeColor="text1"/>
        </w:rPr>
      </w:pPr>
    </w:p>
    <w:p w:rsidR="00B83504" w:rsidRDefault="00B83504">
      <w:pPr>
        <w:spacing w:line="240" w:lineRule="auto"/>
        <w:jc w:val="both"/>
        <w:rPr>
          <w:rFonts w:ascii="Times New Roman" w:eastAsia="Times New Roman" w:hAnsi="Times New Roman" w:cs="Times New Roman"/>
          <w:noProof/>
          <w:sz w:val="24"/>
          <w:lang w:eastAsia="en-GB"/>
        </w:rPr>
      </w:pPr>
    </w:p>
    <w:p w:rsidR="00B83504" w:rsidRDefault="00B83504">
      <w:pPr>
        <w:jc w:val="both"/>
        <w:rPr>
          <w:rFonts w:ascii="Times New Roman" w:eastAsia="Times New Roman" w:hAnsi="Times New Roman" w:cs="Times New Roman"/>
          <w:noProof/>
          <w:color w:val="FF0000"/>
          <w:sz w:val="24"/>
          <w:lang w:eastAsia="en-GB"/>
        </w:rPr>
        <w:sectPr w:rsidR="00B83504">
          <w:headerReference w:type="even" r:id="rId84"/>
          <w:headerReference w:type="default" r:id="rId85"/>
          <w:footerReference w:type="even" r:id="rId86"/>
          <w:footerReference w:type="default" r:id="rId87"/>
          <w:headerReference w:type="first" r:id="rId88"/>
          <w:footerReference w:type="first" r:id="rId89"/>
          <w:pgSz w:w="11906" w:h="16838"/>
          <w:pgMar w:top="1440" w:right="1440" w:bottom="1440" w:left="1440" w:header="708" w:footer="708" w:gutter="0"/>
          <w:cols w:space="708"/>
          <w:docGrid w:linePitch="360"/>
        </w:sectPr>
      </w:pPr>
    </w:p>
    <w:p w:rsidR="00B83504" w:rsidRDefault="00B55645">
      <w:pPr>
        <w:pStyle w:val="Text1"/>
        <w:ind w:left="0"/>
        <w:rPr>
          <w:noProof/>
          <w:color w:val="FF0000"/>
        </w:rPr>
      </w:pPr>
      <w:r>
        <w:rPr>
          <w:noProof/>
          <w:color w:val="FF0000"/>
          <w:lang w:val="fr-BE" w:eastAsia="fr-BE"/>
        </w:rPr>
        <w:drawing>
          <wp:inline distT="0" distB="0" distL="0" distR="0">
            <wp:extent cx="7145020" cy="46393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45020" cy="4639310"/>
                    </a:xfrm>
                    <a:prstGeom prst="rect">
                      <a:avLst/>
                    </a:prstGeom>
                    <a:noFill/>
                  </pic:spPr>
                </pic:pic>
              </a:graphicData>
            </a:graphic>
          </wp:inline>
        </w:drawing>
      </w:r>
    </w:p>
    <w:p w:rsidR="00B83504" w:rsidRDefault="00B55645">
      <w:pPr>
        <w:pStyle w:val="Text1"/>
        <w:ind w:left="0"/>
        <w:rPr>
          <w:noProof/>
          <w:color w:val="FF0000"/>
        </w:rPr>
      </w:pPr>
      <w:r>
        <w:rPr>
          <w:noProof/>
          <w:color w:val="FF0000"/>
          <w:lang w:val="fr-BE" w:eastAsia="fr-BE"/>
        </w:rPr>
        <w:drawing>
          <wp:inline distT="0" distB="0" distL="0" distR="0">
            <wp:extent cx="7145020" cy="46393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145020" cy="4639310"/>
                    </a:xfrm>
                    <a:prstGeom prst="rect">
                      <a:avLst/>
                    </a:prstGeom>
                    <a:noFill/>
                  </pic:spPr>
                </pic:pic>
              </a:graphicData>
            </a:graphic>
          </wp:inline>
        </w:drawing>
      </w:r>
    </w:p>
    <w:p w:rsidR="00B83504" w:rsidRDefault="00B83504">
      <w:pPr>
        <w:rPr>
          <w:noProof/>
          <w:color w:val="FF0000"/>
        </w:rPr>
        <w:sectPr w:rsidR="00B83504">
          <w:headerReference w:type="even" r:id="rId92"/>
          <w:headerReference w:type="default" r:id="rId93"/>
          <w:footerReference w:type="even" r:id="rId94"/>
          <w:footerReference w:type="default" r:id="rId95"/>
          <w:headerReference w:type="first" r:id="rId96"/>
          <w:footerReference w:type="first" r:id="rId97"/>
          <w:pgSz w:w="16838" w:h="11906" w:orient="landscape"/>
          <w:pgMar w:top="1440" w:right="1440" w:bottom="1440" w:left="1440" w:header="708" w:footer="708" w:gutter="0"/>
          <w:cols w:space="708"/>
          <w:docGrid w:linePitch="360"/>
        </w:sectPr>
      </w:pPr>
    </w:p>
    <w:p w:rsidR="00B83504" w:rsidRDefault="00B55645">
      <w:pPr>
        <w:pStyle w:val="ManualHeading4"/>
        <w:rPr>
          <w:noProof/>
          <w:color w:val="000000" w:themeColor="text1"/>
        </w:rPr>
      </w:pPr>
      <w:bookmarkStart w:id="70" w:name="_Toc485146205"/>
      <w:bookmarkStart w:id="71" w:name="_Toc485146512"/>
      <w:bookmarkStart w:id="72" w:name="_Toc486928859"/>
      <w:bookmarkStart w:id="73" w:name="_Toc13152075"/>
      <w:r>
        <w:rPr>
          <w:noProof/>
          <w:color w:val="000000" w:themeColor="text1"/>
        </w:rPr>
        <w:t>4.2.2.4.</w:t>
      </w:r>
      <w:r>
        <w:rPr>
          <w:noProof/>
          <w:color w:val="000000" w:themeColor="text1"/>
        </w:rPr>
        <w:tab/>
        <w:t>Types of irregularities / modus operandi detected related to the priorities 'Tourism'</w:t>
      </w:r>
      <w:bookmarkEnd w:id="70"/>
      <w:bookmarkEnd w:id="71"/>
      <w:bookmarkEnd w:id="72"/>
      <w:r>
        <w:rPr>
          <w:noProof/>
          <w:color w:val="000000" w:themeColor="text1"/>
        </w:rPr>
        <w:t xml:space="preserve"> and 'Environment protection and Risk prevention'</w:t>
      </w:r>
      <w:bookmarkEnd w:id="73"/>
    </w:p>
    <w:p w:rsidR="00B83504" w:rsidRDefault="00B55645">
      <w:pPr>
        <w:pStyle w:val="Text1"/>
        <w:spacing w:after="0"/>
        <w:ind w:left="0"/>
        <w:rPr>
          <w:noProof/>
          <w:color w:val="000000" w:themeColor="text1"/>
        </w:rPr>
      </w:pPr>
      <w:r>
        <w:rPr>
          <w:noProof/>
          <w:color w:val="000000" w:themeColor="text1"/>
        </w:rPr>
        <w:t>Table CP23 provides an overview of the categories of irregularities reported in connection with the priority ‘</w:t>
      </w:r>
      <w:r>
        <w:rPr>
          <w:i/>
          <w:noProof/>
          <w:color w:val="000000" w:themeColor="text1"/>
        </w:rPr>
        <w:t>To</w:t>
      </w:r>
      <w:r>
        <w:rPr>
          <w:i/>
          <w:noProof/>
          <w:color w:val="000000" w:themeColor="text1"/>
        </w:rPr>
        <w:t>urism</w:t>
      </w:r>
      <w:r>
        <w:rPr>
          <w:noProof/>
          <w:color w:val="000000" w:themeColor="text1"/>
        </w:rPr>
        <w:t>’ within PP 2007-2013.</w:t>
      </w:r>
      <w:r>
        <w:rPr>
          <w:rStyle w:val="FootnoteReference"/>
          <w:noProof/>
          <w:color w:val="000000" w:themeColor="text1"/>
        </w:rPr>
        <w:footnoteReference w:id="33"/>
      </w:r>
    </w:p>
    <w:p w:rsidR="00B83504" w:rsidRDefault="00B55645">
      <w:pPr>
        <w:pStyle w:val="Text1"/>
        <w:spacing w:after="0"/>
        <w:ind w:left="0"/>
        <w:rPr>
          <w:noProof/>
        </w:rPr>
      </w:pPr>
      <w:r>
        <w:rPr>
          <w:noProof/>
          <w:lang w:val="fr-BE" w:eastAsia="fr-BE"/>
        </w:rPr>
        <w:drawing>
          <wp:inline distT="0" distB="0" distL="0" distR="0">
            <wp:extent cx="5731510" cy="2571399"/>
            <wp:effectExtent l="0" t="0" r="2540" b="63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2571399"/>
                    </a:xfrm>
                    <a:prstGeom prst="rect">
                      <a:avLst/>
                    </a:prstGeom>
                    <a:noFill/>
                    <a:ln>
                      <a:noFill/>
                    </a:ln>
                  </pic:spPr>
                </pic:pic>
              </a:graphicData>
            </a:graphic>
          </wp:inline>
        </w:drawing>
      </w:r>
    </w:p>
    <w:p w:rsidR="00B83504" w:rsidRDefault="00B55645">
      <w:pPr>
        <w:pStyle w:val="Text1"/>
        <w:ind w:left="0"/>
        <w:rPr>
          <w:noProof/>
          <w:color w:val="000000" w:themeColor="text1"/>
        </w:rPr>
      </w:pPr>
      <w:r>
        <w:rPr>
          <w:noProof/>
        </w:rPr>
        <w:t xml:space="preserve">The same irregularity may be associated to several categories of infringement. That is why </w:t>
      </w:r>
      <w:r>
        <w:rPr>
          <w:noProof/>
          <w:color w:val="000000" w:themeColor="text1"/>
        </w:rPr>
        <w:t>the row of totals has been omitted: it would have resulted in multiple counting of the same notification of irregularity.</w:t>
      </w:r>
    </w:p>
    <w:p w:rsidR="00B83504" w:rsidRDefault="00B55645">
      <w:pPr>
        <w:pStyle w:val="Text1"/>
        <w:spacing w:after="0"/>
        <w:ind w:left="0"/>
        <w:rPr>
          <w:noProof/>
          <w:color w:val="000000" w:themeColor="text1"/>
        </w:rPr>
      </w:pPr>
      <w:r>
        <w:rPr>
          <w:noProof/>
          <w:color w:val="000000" w:themeColor="text1"/>
        </w:rPr>
        <w:t xml:space="preserve">In general, </w:t>
      </w:r>
      <w:r>
        <w:rPr>
          <w:noProof/>
          <w:color w:val="000000" w:themeColor="text1"/>
        </w:rPr>
        <w:t>12% of cases affecting the priority ‘</w:t>
      </w:r>
      <w:r>
        <w:rPr>
          <w:i/>
          <w:noProof/>
          <w:color w:val="000000" w:themeColor="text1"/>
        </w:rPr>
        <w:t>Tourism</w:t>
      </w:r>
      <w:r>
        <w:rPr>
          <w:noProof/>
          <w:color w:val="000000" w:themeColor="text1"/>
        </w:rPr>
        <w:t>’ were reported as fraudulent (see table CP19).</w:t>
      </w:r>
    </w:p>
    <w:p w:rsidR="00B83504" w:rsidRDefault="00B55645">
      <w:pPr>
        <w:pStyle w:val="Text1"/>
        <w:spacing w:after="0"/>
        <w:ind w:left="0"/>
        <w:rPr>
          <w:noProof/>
          <w:color w:val="000000" w:themeColor="text1"/>
        </w:rPr>
      </w:pPr>
      <w:r>
        <w:rPr>
          <w:noProof/>
          <w:color w:val="000000" w:themeColor="text1"/>
        </w:rPr>
        <w:t>Focusing on the irregularities reported as fraudulent, the most mentioned categories were referring to '</w:t>
      </w:r>
      <w:r>
        <w:rPr>
          <w:i/>
          <w:noProof/>
          <w:color w:val="000000" w:themeColor="text1"/>
        </w:rPr>
        <w:t>incorrect/missing/false or falsified documents</w:t>
      </w:r>
      <w:r>
        <w:rPr>
          <w:noProof/>
          <w:color w:val="000000" w:themeColor="text1"/>
        </w:rPr>
        <w:t xml:space="preserve">' and the </w:t>
      </w:r>
      <w:r>
        <w:rPr>
          <w:i/>
          <w:noProof/>
          <w:color w:val="000000" w:themeColor="text1"/>
        </w:rPr>
        <w:t>'eli</w:t>
      </w:r>
      <w:r>
        <w:rPr>
          <w:i/>
          <w:noProof/>
          <w:color w:val="000000" w:themeColor="text1"/>
        </w:rPr>
        <w:t>gibility or legitimacy of the expenditure/measure</w:t>
      </w:r>
      <w:r>
        <w:rPr>
          <w:noProof/>
          <w:color w:val="000000" w:themeColor="text1"/>
        </w:rPr>
        <w:t>', often combined in the same case. Infringements of public procurement rules were less frequent, but they were associated to higher average irregular financial amounts (more than EUR 800 000). The violation</w:t>
      </w:r>
      <w:r>
        <w:rPr>
          <w:noProof/>
          <w:color w:val="000000" w:themeColor="text1"/>
        </w:rPr>
        <w:t>s concerning '</w:t>
      </w:r>
      <w:r>
        <w:rPr>
          <w:i/>
          <w:noProof/>
          <w:color w:val="000000" w:themeColor="text1"/>
        </w:rPr>
        <w:t>ethics and integrity</w:t>
      </w:r>
      <w:r>
        <w:rPr>
          <w:noProof/>
          <w:color w:val="000000" w:themeColor="text1"/>
        </w:rPr>
        <w:t>' concerned conflict of interest or bribery/corruption.</w:t>
      </w:r>
    </w:p>
    <w:p w:rsidR="00B83504" w:rsidRDefault="00B55645">
      <w:pPr>
        <w:pStyle w:val="Text1"/>
        <w:spacing w:after="0"/>
        <w:ind w:left="0"/>
        <w:rPr>
          <w:noProof/>
          <w:color w:val="000000" w:themeColor="text1"/>
        </w:rPr>
      </w:pPr>
      <w:r>
        <w:rPr>
          <w:noProof/>
          <w:color w:val="000000" w:themeColor="text1"/>
        </w:rPr>
        <w:t xml:space="preserve">Focusing of the irregularities not reported as fraudulent, infringements of public procurement rules were the most mentioned, followed by violations concerning the </w:t>
      </w:r>
      <w:r>
        <w:rPr>
          <w:i/>
          <w:noProof/>
          <w:color w:val="000000" w:themeColor="text1"/>
        </w:rPr>
        <w:t>'e</w:t>
      </w:r>
      <w:r>
        <w:rPr>
          <w:i/>
          <w:noProof/>
          <w:color w:val="000000" w:themeColor="text1"/>
        </w:rPr>
        <w:t>ligibility or legitimacy of the expenditure/measure</w:t>
      </w:r>
      <w:r>
        <w:rPr>
          <w:noProof/>
          <w:color w:val="000000" w:themeColor="text1"/>
        </w:rPr>
        <w:t xml:space="preserve">'. They were often combined in the same case. The categories </w:t>
      </w:r>
      <w:r>
        <w:rPr>
          <w:i/>
          <w:noProof/>
          <w:color w:val="000000" w:themeColor="text1"/>
        </w:rPr>
        <w:t>incorrect/missing/false or falsified documents</w:t>
      </w:r>
      <w:r>
        <w:rPr>
          <w:noProof/>
          <w:color w:val="000000" w:themeColor="text1"/>
        </w:rPr>
        <w:t>'</w:t>
      </w:r>
      <w:r>
        <w:rPr>
          <w:rStyle w:val="FootnoteReference"/>
          <w:noProof/>
          <w:color w:val="000000" w:themeColor="text1"/>
        </w:rPr>
        <w:footnoteReference w:id="34"/>
      </w:r>
      <w:r>
        <w:rPr>
          <w:noProof/>
          <w:color w:val="000000" w:themeColor="text1"/>
        </w:rPr>
        <w:t xml:space="preserve"> and '</w:t>
      </w:r>
      <w:r>
        <w:rPr>
          <w:i/>
          <w:noProof/>
          <w:color w:val="000000" w:themeColor="text1"/>
        </w:rPr>
        <w:t>contract provisions/rules</w:t>
      </w:r>
      <w:r>
        <w:rPr>
          <w:noProof/>
          <w:color w:val="000000" w:themeColor="text1"/>
        </w:rPr>
        <w:t xml:space="preserve">' were also used quite often and the latter was the one with the </w:t>
      </w:r>
      <w:r>
        <w:rPr>
          <w:noProof/>
          <w:color w:val="000000" w:themeColor="text1"/>
        </w:rPr>
        <w:t>highest irregular financial amounts involved (among the aforementioned most reported categories).</w:t>
      </w:r>
    </w:p>
    <w:p w:rsidR="00B83504" w:rsidRDefault="00B55645">
      <w:pPr>
        <w:pStyle w:val="Text1"/>
        <w:spacing w:after="0"/>
        <w:ind w:left="0"/>
        <w:rPr>
          <w:noProof/>
        </w:rPr>
      </w:pPr>
      <w:r>
        <w:rPr>
          <w:noProof/>
          <w:color w:val="000000" w:themeColor="text1"/>
        </w:rPr>
        <w:t>The categories '</w:t>
      </w:r>
      <w:r>
        <w:rPr>
          <w:i/>
          <w:noProof/>
          <w:color w:val="000000" w:themeColor="text1"/>
        </w:rPr>
        <w:t>ethics and integrity</w:t>
      </w:r>
      <w:r>
        <w:rPr>
          <w:noProof/>
          <w:color w:val="000000" w:themeColor="text1"/>
        </w:rPr>
        <w:t>' and '</w:t>
      </w:r>
      <w:r>
        <w:rPr>
          <w:i/>
          <w:noProof/>
          <w:color w:val="000000" w:themeColor="text1"/>
        </w:rPr>
        <w:t>incorrect/missing/false or falsified documents</w:t>
      </w:r>
      <w:r>
        <w:rPr>
          <w:noProof/>
          <w:color w:val="000000" w:themeColor="text1"/>
        </w:rPr>
        <w:t xml:space="preserve">' featured the highest FFLs (respectively 69% and 43%), followed, at </w:t>
      </w:r>
      <w:r>
        <w:rPr>
          <w:noProof/>
          <w:color w:val="000000" w:themeColor="text1"/>
        </w:rPr>
        <w:t xml:space="preserve">a distance, by </w:t>
      </w:r>
      <w:r>
        <w:rPr>
          <w:i/>
          <w:noProof/>
          <w:color w:val="000000" w:themeColor="text1"/>
        </w:rPr>
        <w:t>'eligibility or legitimacy of the expenditure/measure</w:t>
      </w:r>
      <w:r>
        <w:rPr>
          <w:noProof/>
          <w:color w:val="000000" w:themeColor="text1"/>
        </w:rPr>
        <w:t xml:space="preserve">' (17%). </w:t>
      </w:r>
      <w:r>
        <w:rPr>
          <w:i/>
          <w:noProof/>
          <w:color w:val="000000" w:themeColor="text1"/>
        </w:rPr>
        <w:t xml:space="preserve">'Infringement of public procurement rules' </w:t>
      </w:r>
      <w:r>
        <w:rPr>
          <w:noProof/>
          <w:color w:val="000000" w:themeColor="text1"/>
        </w:rPr>
        <w:t>and</w:t>
      </w:r>
      <w:r>
        <w:rPr>
          <w:i/>
          <w:noProof/>
          <w:color w:val="000000" w:themeColor="text1"/>
        </w:rPr>
        <w:t xml:space="preserve"> 'Violations of contract provisions/rules' </w:t>
      </w:r>
      <w:r>
        <w:rPr>
          <w:noProof/>
          <w:color w:val="000000" w:themeColor="text1"/>
        </w:rPr>
        <w:t xml:space="preserve">had relatively low FFLs (respectively 5% and 8%).The average financial amounts associated </w:t>
      </w:r>
      <w:r>
        <w:rPr>
          <w:noProof/>
          <w:color w:val="000000" w:themeColor="text1"/>
        </w:rPr>
        <w:t xml:space="preserve">to these categories were much higher in case the related irregularities </w:t>
      </w:r>
      <w:r>
        <w:rPr>
          <w:noProof/>
        </w:rPr>
        <w:t>were reported as fraudulent.</w:t>
      </w:r>
    </w:p>
    <w:p w:rsidR="00B83504" w:rsidRDefault="00B55645">
      <w:pPr>
        <w:pStyle w:val="Text1"/>
        <w:spacing w:after="0"/>
        <w:ind w:left="0"/>
        <w:rPr>
          <w:noProof/>
          <w:color w:val="000000" w:themeColor="text1"/>
        </w:rPr>
      </w:pPr>
      <w:r>
        <w:rPr>
          <w:noProof/>
          <w:color w:val="000000" w:themeColor="text1"/>
        </w:rPr>
        <w:t>Similarly to Table CP23, Table CP24 provides an overview of the categories of irregularities reported in connection with the priority ‘</w:t>
      </w:r>
      <w:r>
        <w:rPr>
          <w:i/>
          <w:noProof/>
          <w:color w:val="000000" w:themeColor="text1"/>
        </w:rPr>
        <w:t>Environment protecti</w:t>
      </w:r>
      <w:r>
        <w:rPr>
          <w:i/>
          <w:noProof/>
          <w:color w:val="000000" w:themeColor="text1"/>
        </w:rPr>
        <w:t>on and Risk prevention'</w:t>
      </w:r>
      <w:r>
        <w:rPr>
          <w:noProof/>
          <w:color w:val="000000" w:themeColor="text1"/>
        </w:rPr>
        <w:t>’ within PP 2007-2013.</w:t>
      </w:r>
    </w:p>
    <w:p w:rsidR="00B83504" w:rsidRDefault="00B55645">
      <w:pPr>
        <w:pStyle w:val="Text1"/>
        <w:ind w:left="0"/>
        <w:rPr>
          <w:noProof/>
          <w:color w:val="000000" w:themeColor="text1"/>
        </w:rPr>
      </w:pPr>
      <w:r>
        <w:rPr>
          <w:noProof/>
          <w:color w:val="000000" w:themeColor="text1"/>
        </w:rPr>
        <w:t>In general, it can be noticed that 2.7% of cases affecting this priority were reported as fraudulent (see table CP19).</w:t>
      </w:r>
    </w:p>
    <w:p w:rsidR="00B83504" w:rsidRDefault="00B55645">
      <w:pPr>
        <w:rPr>
          <w:noProof/>
        </w:rPr>
      </w:pPr>
      <w:r>
        <w:rPr>
          <w:noProof/>
          <w:lang w:val="fr-BE" w:eastAsia="fr-BE"/>
        </w:rPr>
        <w:drawing>
          <wp:inline distT="0" distB="0" distL="0" distR="0">
            <wp:extent cx="5731510" cy="2712631"/>
            <wp:effectExtent l="0" t="0" r="254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1510" cy="2712631"/>
                    </a:xfrm>
                    <a:prstGeom prst="rect">
                      <a:avLst/>
                    </a:prstGeom>
                    <a:noFill/>
                    <a:ln>
                      <a:noFill/>
                    </a:ln>
                  </pic:spPr>
                </pic:pic>
              </a:graphicData>
            </a:graphic>
          </wp:inline>
        </w:drawing>
      </w:r>
    </w:p>
    <w:p w:rsidR="00B83504" w:rsidRDefault="00B55645">
      <w:pPr>
        <w:pStyle w:val="Text1"/>
        <w:ind w:left="0"/>
        <w:rPr>
          <w:noProof/>
          <w:color w:val="000000" w:themeColor="text1"/>
        </w:rPr>
      </w:pPr>
      <w:r>
        <w:rPr>
          <w:noProof/>
          <w:color w:val="000000" w:themeColor="text1"/>
        </w:rPr>
        <w:t>Focusing on the irregularitiers reported as fraudulent, the most mentioned categories wer</w:t>
      </w:r>
      <w:r>
        <w:rPr>
          <w:noProof/>
          <w:color w:val="000000" w:themeColor="text1"/>
        </w:rPr>
        <w:t xml:space="preserve">e referring to </w:t>
      </w:r>
      <w:r>
        <w:rPr>
          <w:i/>
          <w:noProof/>
          <w:color w:val="000000" w:themeColor="text1"/>
        </w:rPr>
        <w:t xml:space="preserve">'Infringement of public procurement rules' </w:t>
      </w:r>
      <w:r>
        <w:rPr>
          <w:noProof/>
          <w:color w:val="000000" w:themeColor="text1"/>
        </w:rPr>
        <w:t>and</w:t>
      </w:r>
      <w:r>
        <w:rPr>
          <w:i/>
          <w:noProof/>
          <w:color w:val="000000" w:themeColor="text1"/>
        </w:rPr>
        <w:t xml:space="preserve"> 'eligibility or legitimacy of the expenditure/measure</w:t>
      </w:r>
      <w:r>
        <w:rPr>
          <w:noProof/>
          <w:color w:val="000000" w:themeColor="text1"/>
        </w:rPr>
        <w:t>', often combined in the same case. 'I</w:t>
      </w:r>
      <w:r>
        <w:rPr>
          <w:i/>
          <w:noProof/>
          <w:color w:val="000000" w:themeColor="text1"/>
        </w:rPr>
        <w:t>ncorrect/missing/false or falsified documents</w:t>
      </w:r>
      <w:r>
        <w:rPr>
          <w:noProof/>
          <w:color w:val="000000" w:themeColor="text1"/>
        </w:rPr>
        <w:t>' were mentioned less often, but with the highest financia</w:t>
      </w:r>
      <w:r>
        <w:rPr>
          <w:noProof/>
          <w:color w:val="000000" w:themeColor="text1"/>
        </w:rPr>
        <w:t>l amounts involved. Half of the violations concerning '</w:t>
      </w:r>
      <w:r>
        <w:rPr>
          <w:i/>
          <w:noProof/>
          <w:color w:val="000000" w:themeColor="text1"/>
        </w:rPr>
        <w:t>ethics and integrity</w:t>
      </w:r>
      <w:r>
        <w:rPr>
          <w:noProof/>
          <w:color w:val="000000" w:themeColor="text1"/>
        </w:rPr>
        <w:t>' concerned corruption. One case was about conflict of interest.</w:t>
      </w:r>
    </w:p>
    <w:p w:rsidR="00B83504" w:rsidRDefault="00B55645">
      <w:pPr>
        <w:pStyle w:val="Text1"/>
        <w:ind w:left="0"/>
        <w:rPr>
          <w:noProof/>
          <w:color w:val="000000" w:themeColor="text1"/>
        </w:rPr>
      </w:pPr>
      <w:r>
        <w:rPr>
          <w:noProof/>
          <w:color w:val="000000" w:themeColor="text1"/>
        </w:rPr>
        <w:t>Focusing of the irregularities not reported as fraudulent, '</w:t>
      </w:r>
      <w:r>
        <w:rPr>
          <w:i/>
          <w:noProof/>
          <w:color w:val="000000" w:themeColor="text1"/>
        </w:rPr>
        <w:t>Infringements of public procurement rules</w:t>
      </w:r>
      <w:r>
        <w:rPr>
          <w:noProof/>
          <w:color w:val="000000" w:themeColor="text1"/>
        </w:rPr>
        <w:t>' were by far t</w:t>
      </w:r>
      <w:r>
        <w:rPr>
          <w:noProof/>
          <w:color w:val="000000" w:themeColor="text1"/>
        </w:rPr>
        <w:t>he most mentioned, followed by violations concerning '</w:t>
      </w:r>
      <w:r>
        <w:rPr>
          <w:i/>
          <w:noProof/>
          <w:color w:val="000000" w:themeColor="text1"/>
        </w:rPr>
        <w:t>contract provisions/rules</w:t>
      </w:r>
      <w:r>
        <w:rPr>
          <w:noProof/>
          <w:color w:val="000000" w:themeColor="text1"/>
        </w:rPr>
        <w:t xml:space="preserve">' and </w:t>
      </w:r>
      <w:r>
        <w:rPr>
          <w:i/>
          <w:noProof/>
          <w:color w:val="000000" w:themeColor="text1"/>
        </w:rPr>
        <w:t>'eligibility or legitimacy of the expenditure/measure</w:t>
      </w:r>
      <w:r>
        <w:rPr>
          <w:noProof/>
          <w:color w:val="000000" w:themeColor="text1"/>
        </w:rPr>
        <w:t xml:space="preserve">'. </w:t>
      </w:r>
    </w:p>
    <w:p w:rsidR="00B83504" w:rsidRDefault="00B55645">
      <w:pPr>
        <w:pStyle w:val="Text1"/>
        <w:ind w:left="0"/>
        <w:rPr>
          <w:noProof/>
          <w:color w:val="000000" w:themeColor="text1"/>
        </w:rPr>
      </w:pPr>
      <w:r>
        <w:rPr>
          <w:noProof/>
          <w:color w:val="000000" w:themeColor="text1"/>
        </w:rPr>
        <w:t xml:space="preserve">The FFL for </w:t>
      </w:r>
      <w:r>
        <w:rPr>
          <w:i/>
          <w:noProof/>
          <w:color w:val="000000" w:themeColor="text1"/>
        </w:rPr>
        <w:t>'Infringement of public procurement rules'</w:t>
      </w:r>
      <w:r>
        <w:rPr>
          <w:noProof/>
          <w:color w:val="000000" w:themeColor="text1"/>
        </w:rPr>
        <w:t xml:space="preserve"> and</w:t>
      </w:r>
      <w:r>
        <w:rPr>
          <w:i/>
          <w:noProof/>
          <w:color w:val="000000" w:themeColor="text1"/>
        </w:rPr>
        <w:t xml:space="preserve"> </w:t>
      </w:r>
      <w:r>
        <w:rPr>
          <w:noProof/>
          <w:color w:val="000000" w:themeColor="text1"/>
        </w:rPr>
        <w:t>'</w:t>
      </w:r>
      <w:r>
        <w:rPr>
          <w:i/>
          <w:noProof/>
          <w:color w:val="000000" w:themeColor="text1"/>
        </w:rPr>
        <w:t>of contract provisions/rules</w:t>
      </w:r>
      <w:r>
        <w:rPr>
          <w:noProof/>
          <w:color w:val="000000" w:themeColor="text1"/>
        </w:rPr>
        <w:t>' were low (about 2%). 'I</w:t>
      </w:r>
      <w:r>
        <w:rPr>
          <w:i/>
          <w:noProof/>
          <w:color w:val="000000" w:themeColor="text1"/>
        </w:rPr>
        <w:t>n</w:t>
      </w:r>
      <w:r>
        <w:rPr>
          <w:i/>
          <w:noProof/>
          <w:color w:val="000000" w:themeColor="text1"/>
        </w:rPr>
        <w:t>correct/missing/false or falsified documents</w:t>
      </w:r>
      <w:r>
        <w:rPr>
          <w:noProof/>
          <w:color w:val="000000" w:themeColor="text1"/>
        </w:rPr>
        <w:t>'</w:t>
      </w:r>
      <w:r>
        <w:rPr>
          <w:rStyle w:val="FootnoteReference"/>
          <w:noProof/>
          <w:color w:val="000000" w:themeColor="text1"/>
        </w:rPr>
        <w:footnoteReference w:id="35"/>
      </w:r>
      <w:r>
        <w:rPr>
          <w:noProof/>
          <w:color w:val="000000" w:themeColor="text1"/>
        </w:rPr>
        <w:t xml:space="preserve"> had the highest FFL among the most reported categories (about 16%).</w:t>
      </w:r>
    </w:p>
    <w:p w:rsidR="00B83504" w:rsidRDefault="00B55645">
      <w:pPr>
        <w:pStyle w:val="ManualHeading4"/>
        <w:rPr>
          <w:noProof/>
          <w:color w:val="000000" w:themeColor="text1"/>
        </w:rPr>
      </w:pPr>
      <w:bookmarkStart w:id="74" w:name="_Toc485146206"/>
      <w:bookmarkStart w:id="75" w:name="_Toc485146513"/>
      <w:bookmarkStart w:id="76" w:name="_Toc486928860"/>
      <w:bookmarkStart w:id="77" w:name="_Toc13152076"/>
      <w:r>
        <w:rPr>
          <w:noProof/>
          <w:color w:val="000000" w:themeColor="text1"/>
        </w:rPr>
        <w:t>4.2.2.5.</w:t>
      </w:r>
      <w:r>
        <w:rPr>
          <w:noProof/>
          <w:color w:val="000000" w:themeColor="text1"/>
        </w:rPr>
        <w:tab/>
        <w:t xml:space="preserve">Geographical distribution of irregularities (fraudulent and non-fraudulent) detected in relation to the 'Tourism' and 'Environment </w:t>
      </w:r>
      <w:r>
        <w:rPr>
          <w:noProof/>
          <w:color w:val="000000" w:themeColor="text1"/>
        </w:rPr>
        <w:t>protection and Risk prevention'</w:t>
      </w:r>
      <w:bookmarkEnd w:id="74"/>
      <w:bookmarkEnd w:id="75"/>
      <w:bookmarkEnd w:id="76"/>
      <w:bookmarkEnd w:id="77"/>
    </w:p>
    <w:p w:rsidR="00B83504" w:rsidRDefault="00B55645">
      <w:pPr>
        <w:pStyle w:val="Text1"/>
        <w:ind w:left="0"/>
        <w:rPr>
          <w:noProof/>
          <w:color w:val="000000" w:themeColor="text1"/>
        </w:rPr>
      </w:pPr>
      <w:r>
        <w:rPr>
          <w:noProof/>
          <w:color w:val="000000" w:themeColor="text1"/>
        </w:rPr>
        <w:t xml:space="preserve">Maps CP1 and CP2 show the geographical distribution of the irregularities (fraudulent and non-fraudulent) reported in relation to the priorities </w:t>
      </w:r>
      <w:r>
        <w:rPr>
          <w:i/>
          <w:noProof/>
          <w:color w:val="000000" w:themeColor="text1"/>
        </w:rPr>
        <w:t>Tourism</w:t>
      </w:r>
      <w:r>
        <w:rPr>
          <w:noProof/>
          <w:color w:val="000000" w:themeColor="text1"/>
        </w:rPr>
        <w:t xml:space="preserve"> and </w:t>
      </w:r>
      <w:r>
        <w:rPr>
          <w:i/>
          <w:noProof/>
          <w:color w:val="000000" w:themeColor="text1"/>
        </w:rPr>
        <w:t>'Environment protection and Risk prevention'</w:t>
      </w:r>
      <w:r>
        <w:rPr>
          <w:noProof/>
          <w:color w:val="000000" w:themeColor="text1"/>
        </w:rPr>
        <w:t>. It is worth reminding</w:t>
      </w:r>
      <w:r>
        <w:rPr>
          <w:noProof/>
          <w:color w:val="000000" w:themeColor="text1"/>
        </w:rPr>
        <w:t xml:space="preserve"> that this is based on the irregularities for which the Member States have specified the priority affected by the irregularity. For example, France has never specified the affected priority, so even if a number of irregularities might possibly concern </w:t>
      </w:r>
      <w:r>
        <w:rPr>
          <w:i/>
          <w:noProof/>
          <w:color w:val="000000" w:themeColor="text1"/>
        </w:rPr>
        <w:t>Tour</w:t>
      </w:r>
      <w:r>
        <w:rPr>
          <w:i/>
          <w:noProof/>
          <w:color w:val="000000" w:themeColor="text1"/>
        </w:rPr>
        <w:t>ism</w:t>
      </w:r>
      <w:r>
        <w:rPr>
          <w:noProof/>
          <w:color w:val="000000" w:themeColor="text1"/>
        </w:rPr>
        <w:t xml:space="preserve"> or </w:t>
      </w:r>
      <w:r>
        <w:rPr>
          <w:i/>
          <w:noProof/>
          <w:color w:val="000000" w:themeColor="text1"/>
        </w:rPr>
        <w:t>'Environment protection and Risk prevention'</w:t>
      </w:r>
      <w:r>
        <w:rPr>
          <w:noProof/>
          <w:color w:val="000000" w:themeColor="text1"/>
        </w:rPr>
        <w:t>, this cannot be reflected in this analysis and in Maps CP1 and CP2.</w:t>
      </w:r>
    </w:p>
    <w:p w:rsidR="00B83504" w:rsidRDefault="00B55645">
      <w:pPr>
        <w:pStyle w:val="Text1"/>
        <w:ind w:left="0"/>
        <w:rPr>
          <w:noProof/>
        </w:rPr>
      </w:pPr>
      <w:r>
        <w:rPr>
          <w:noProof/>
          <w:color w:val="FF0000"/>
          <w:lang w:val="fr-BE" w:eastAsia="fr-BE"/>
        </w:rPr>
        <w:drawing>
          <wp:inline distT="0" distB="0" distL="0" distR="0">
            <wp:extent cx="5816420" cy="402045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TOU.png"/>
                    <pic:cNvPicPr/>
                  </pic:nvPicPr>
                  <pic:blipFill>
                    <a:blip r:embed="rId100" cstate="screen">
                      <a:extLst>
                        <a:ext uri="{28A0092B-C50C-407E-A947-70E740481C1C}">
                          <a14:useLocalDpi xmlns:a14="http://schemas.microsoft.com/office/drawing/2010/main" val="0"/>
                        </a:ext>
                      </a:extLst>
                    </a:blip>
                    <a:stretch>
                      <a:fillRect/>
                    </a:stretch>
                  </pic:blipFill>
                  <pic:spPr>
                    <a:xfrm>
                      <a:off x="0" y="0"/>
                      <a:ext cx="5820166" cy="4023046"/>
                    </a:xfrm>
                    <a:prstGeom prst="rect">
                      <a:avLst/>
                    </a:prstGeom>
                  </pic:spPr>
                </pic:pic>
              </a:graphicData>
            </a:graphic>
          </wp:inline>
        </w:drawing>
      </w:r>
    </w:p>
    <w:p w:rsidR="00B83504" w:rsidRDefault="00B55645">
      <w:pPr>
        <w:pStyle w:val="Text1"/>
        <w:ind w:left="0"/>
        <w:rPr>
          <w:noProof/>
        </w:rPr>
      </w:pPr>
      <w:r>
        <w:rPr>
          <w:noProof/>
          <w:lang w:val="fr-BE" w:eastAsia="fr-BE"/>
        </w:rPr>
        <w:drawing>
          <wp:inline distT="0" distB="0" distL="0" distR="0">
            <wp:extent cx="5795423" cy="400594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ENVIR.png"/>
                    <pic:cNvPicPr/>
                  </pic:nvPicPr>
                  <pic:blipFill>
                    <a:blip r:embed="rId101" cstate="screen">
                      <a:extLst>
                        <a:ext uri="{28A0092B-C50C-407E-A947-70E740481C1C}">
                          <a14:useLocalDpi xmlns:a14="http://schemas.microsoft.com/office/drawing/2010/main" val="0"/>
                        </a:ext>
                      </a:extLst>
                    </a:blip>
                    <a:stretch>
                      <a:fillRect/>
                    </a:stretch>
                  </pic:blipFill>
                  <pic:spPr>
                    <a:xfrm>
                      <a:off x="0" y="0"/>
                      <a:ext cx="5794494" cy="4005301"/>
                    </a:xfrm>
                    <a:prstGeom prst="rect">
                      <a:avLst/>
                    </a:prstGeom>
                  </pic:spPr>
                </pic:pic>
              </a:graphicData>
            </a:graphic>
          </wp:inline>
        </w:drawing>
      </w:r>
    </w:p>
    <w:p w:rsidR="00B83504" w:rsidRDefault="00B55645">
      <w:pPr>
        <w:pStyle w:val="Text1"/>
        <w:ind w:left="0"/>
        <w:rPr>
          <w:noProof/>
        </w:rPr>
      </w:pPr>
      <w:r>
        <w:rPr>
          <w:noProof/>
          <w:color w:val="000000" w:themeColor="text1"/>
        </w:rPr>
        <w:t xml:space="preserve">Some Member States were relatively more affected by (or were more efficient in detecting) irregularities related to </w:t>
      </w:r>
      <w:r>
        <w:rPr>
          <w:i/>
          <w:noProof/>
          <w:color w:val="000000" w:themeColor="text1"/>
        </w:rPr>
        <w:t xml:space="preserve">'Tourism', </w:t>
      </w:r>
      <w:r>
        <w:rPr>
          <w:noProof/>
          <w:color w:val="000000" w:themeColor="text1"/>
        </w:rPr>
        <w:t xml:space="preserve">such as Hungary and the United Kingdom, while in other Member States irregularities related to </w:t>
      </w:r>
      <w:r>
        <w:rPr>
          <w:i/>
          <w:noProof/>
          <w:color w:val="000000" w:themeColor="text1"/>
        </w:rPr>
        <w:t>'Environment protection and Risk prevention'</w:t>
      </w:r>
      <w:r>
        <w:rPr>
          <w:noProof/>
          <w:color w:val="000000" w:themeColor="text1"/>
        </w:rPr>
        <w:t xml:space="preserve"> weighed more, such as in Bulgaria and Poland.</w:t>
      </w:r>
      <w:r>
        <w:rPr>
          <w:rStyle w:val="FootnoteReference"/>
          <w:noProof/>
          <w:color w:val="000000" w:themeColor="text1"/>
        </w:rPr>
        <w:footnoteReference w:id="36"/>
      </w:r>
    </w:p>
    <w:p w:rsidR="00B83504" w:rsidRDefault="00B55645">
      <w:pPr>
        <w:pStyle w:val="ManualHeading2"/>
        <w:rPr>
          <w:noProof/>
        </w:rPr>
      </w:pPr>
      <w:bookmarkStart w:id="78" w:name="_Toc510691074"/>
      <w:bookmarkStart w:id="79" w:name="_Toc13152077"/>
      <w:r>
        <w:rPr>
          <w:noProof/>
        </w:rPr>
        <w:t>4.3 Reasons for performing control</w:t>
      </w:r>
      <w:bookmarkEnd w:id="78"/>
      <w:bookmarkEnd w:id="79"/>
    </w:p>
    <w:p w:rsidR="00B83504" w:rsidRDefault="00B55645">
      <w:pPr>
        <w:pStyle w:val="Text1"/>
        <w:ind w:left="0"/>
        <w:rPr>
          <w:noProof/>
          <w:color w:val="000000" w:themeColor="text1"/>
        </w:rPr>
      </w:pPr>
      <w:r>
        <w:rPr>
          <w:noProof/>
        </w:rPr>
        <w:t>In the context of the antifraud cy</w:t>
      </w:r>
      <w:r>
        <w:rPr>
          <w:noProof/>
        </w:rPr>
        <w:t xml:space="preserve">cle, the detection capability is a key feature, which </w:t>
      </w:r>
      <w:r>
        <w:rPr>
          <w:noProof/>
          <w:color w:val="000000" w:themeColor="text1"/>
        </w:rPr>
        <w:t>contributes to the effectiveness and efficiency of the system for the protection of the EU budget.</w:t>
      </w:r>
    </w:p>
    <w:p w:rsidR="00B83504" w:rsidRDefault="00B55645">
      <w:pPr>
        <w:pStyle w:val="Text1"/>
        <w:ind w:left="0"/>
        <w:rPr>
          <w:noProof/>
        </w:rPr>
      </w:pPr>
      <w:r>
        <w:rPr>
          <w:noProof/>
        </w:rPr>
        <w:t>In last year's Report, an analysis of the reasons for performing controls was introduced and led to the</w:t>
      </w:r>
      <w:r>
        <w:rPr>
          <w:noProof/>
        </w:rPr>
        <w:t xml:space="preserve"> recommendation to further exploit the potential of risk analysis, tailoring the approach to the different types of expenditure and taking advantage of best practices and the risk elements highlighted in that Report. Furthermore, it was recommended to faci</w:t>
      </w:r>
      <w:r>
        <w:rPr>
          <w:noProof/>
        </w:rPr>
        <w:t>litate and assess the spontaneous reporting of potential irregularities from the civil society and strengthen the protection of whistle-blowers that are also a crucial source for investigative journalism.</w:t>
      </w:r>
    </w:p>
    <w:p w:rsidR="00B83504" w:rsidRDefault="00B55645">
      <w:pPr>
        <w:pStyle w:val="Text1"/>
        <w:ind w:left="0"/>
        <w:rPr>
          <w:noProof/>
        </w:rPr>
      </w:pPr>
      <w:r>
        <w:rPr>
          <w:noProof/>
        </w:rPr>
        <w:t>Tables CP25 and CP26 seem to confirm that so far th</w:t>
      </w:r>
      <w:r>
        <w:rPr>
          <w:noProof/>
        </w:rPr>
        <w:t xml:space="preserve">ere has been little improvement on the ground. However, as last year's Report was adopted at the beginning of September 2018, it is probably too early to draw any conclusion. Effective evolution from reactive to proactive detections based on risk analysis </w:t>
      </w:r>
      <w:r>
        <w:rPr>
          <w:noProof/>
        </w:rPr>
        <w:t>may take time.</w:t>
      </w:r>
    </w:p>
    <w:p w:rsidR="00B83504" w:rsidRDefault="00B55645">
      <w:pPr>
        <w:pStyle w:val="Text1"/>
        <w:ind w:left="0"/>
        <w:rPr>
          <w:noProof/>
        </w:rPr>
      </w:pPr>
      <w:r>
        <w:rPr>
          <w:noProof/>
        </w:rPr>
        <w:t xml:space="preserve">With a focus on controls that led to discover irregularities reported as fraudulent, Table CP25 provides information on the number of controls that were performed because of reasons that can be linked to the above mentioned recommendations. </w:t>
      </w:r>
      <w:r>
        <w:rPr>
          <w:noProof/>
        </w:rPr>
        <w:t>It compares the situation until 2017 with the situation in 2018. On the one hand, Table CP25 does not show any significant change concerning the use of risk analysis.</w:t>
      </w:r>
      <w:r>
        <w:rPr>
          <w:rStyle w:val="FootnoteReference"/>
          <w:noProof/>
        </w:rPr>
        <w:footnoteReference w:id="37"/>
      </w:r>
      <w:r>
        <w:rPr>
          <w:noProof/>
        </w:rPr>
        <w:t xml:space="preserve"> On the other hand, it shows a noticeable increase in the share of fraudulent irregularit</w:t>
      </w:r>
      <w:r>
        <w:rPr>
          <w:noProof/>
        </w:rPr>
        <w:t>ies detected through tips (from 7% to 17%</w:t>
      </w:r>
      <w:r>
        <w:rPr>
          <w:rStyle w:val="FootnoteReference"/>
          <w:noProof/>
        </w:rPr>
        <w:footnoteReference w:id="38"/>
      </w:r>
      <w:r>
        <w:rPr>
          <w:noProof/>
        </w:rPr>
        <w:t>), but this was not broad-based in terms of the Member States contributing to this improvement. Table CP25 shows also that, to a lesser extent, there was an increase in the share of fraudulent irregularities detect</w:t>
      </w:r>
      <w:r>
        <w:rPr>
          <w:noProof/>
        </w:rPr>
        <w:t>ed through the use of information published by the media (from 2% to 3.5%).</w:t>
      </w:r>
    </w:p>
    <w:p w:rsidR="00B83504" w:rsidRDefault="00B55645">
      <w:pPr>
        <w:pStyle w:val="Text1"/>
        <w:ind w:left="0"/>
        <w:rPr>
          <w:noProof/>
        </w:rPr>
      </w:pPr>
      <w:r>
        <w:rPr>
          <w:noProof/>
          <w:lang w:val="fr-BE" w:eastAsia="fr-BE"/>
        </w:rPr>
        <w:drawing>
          <wp:inline distT="0" distB="0" distL="0" distR="0">
            <wp:extent cx="4303486" cy="1600891"/>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02260" cy="1600435"/>
                    </a:xfrm>
                    <a:prstGeom prst="rect">
                      <a:avLst/>
                    </a:prstGeom>
                    <a:noFill/>
                    <a:ln>
                      <a:noFill/>
                    </a:ln>
                  </pic:spPr>
                </pic:pic>
              </a:graphicData>
            </a:graphic>
          </wp:inline>
        </w:drawing>
      </w:r>
    </w:p>
    <w:p w:rsidR="00B83504" w:rsidRDefault="00B55645">
      <w:pPr>
        <w:pStyle w:val="Text1"/>
        <w:ind w:left="0"/>
        <w:rPr>
          <w:noProof/>
        </w:rPr>
      </w:pPr>
      <w:r>
        <w:rPr>
          <w:noProof/>
        </w:rPr>
        <w:t>Table CP26 provides the same overview of Table CP25, with a focus on controls that led to discover irregularities not reported as fraudulent.</w:t>
      </w:r>
    </w:p>
    <w:p w:rsidR="00B83504" w:rsidRDefault="00B55645">
      <w:pPr>
        <w:pStyle w:val="Text1"/>
        <w:ind w:left="0"/>
        <w:rPr>
          <w:noProof/>
        </w:rPr>
      </w:pPr>
      <w:r>
        <w:rPr>
          <w:noProof/>
          <w:lang w:val="fr-BE" w:eastAsia="fr-BE"/>
        </w:rPr>
        <w:drawing>
          <wp:inline distT="0" distB="0" distL="0" distR="0">
            <wp:extent cx="4267200" cy="1657348"/>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65984" cy="1656876"/>
                    </a:xfrm>
                    <a:prstGeom prst="rect">
                      <a:avLst/>
                    </a:prstGeom>
                    <a:noFill/>
                    <a:ln>
                      <a:noFill/>
                    </a:ln>
                  </pic:spPr>
                </pic:pic>
              </a:graphicData>
            </a:graphic>
          </wp:inline>
        </w:drawing>
      </w:r>
    </w:p>
    <w:p w:rsidR="00B83504" w:rsidRDefault="00B55645">
      <w:pPr>
        <w:pStyle w:val="Text1"/>
        <w:ind w:left="0"/>
        <w:rPr>
          <w:noProof/>
        </w:rPr>
      </w:pPr>
      <w:r>
        <w:rPr>
          <w:noProof/>
        </w:rPr>
        <w:t>On the one hand, Table CP26 does n</w:t>
      </w:r>
      <w:r>
        <w:rPr>
          <w:noProof/>
        </w:rPr>
        <w:t>ot show any significant change concerning the share of non-fraudulent irregularities detected through tips (as it was instead the case for the fraudulent irregularities). On the other hand, it shows some increase in the share of non-fraudulent irregulariti</w:t>
      </w:r>
      <w:r>
        <w:rPr>
          <w:noProof/>
        </w:rPr>
        <w:t>es detected through the use of risk analysis (from 0.9% to 4.2%) and, to a lesser extent, making use of information published by the media (from 0.3% to 1.4%). Nearly all non-fraudulent irregularities detected through risk analysis in 2018 were reported by</w:t>
      </w:r>
      <w:r>
        <w:rPr>
          <w:noProof/>
        </w:rPr>
        <w:t xml:space="preserve"> Poland and the Czech Republic, which were amongst the Member States that detected more often irregularities on the basis of risk analysis also before 2018.</w:t>
      </w:r>
    </w:p>
    <w:p w:rsidR="00B83504" w:rsidRDefault="00B55645">
      <w:pPr>
        <w:pStyle w:val="ManualHeading2"/>
        <w:rPr>
          <w:noProof/>
        </w:rPr>
      </w:pPr>
      <w:bookmarkStart w:id="80" w:name="_Toc424911584"/>
      <w:bookmarkStart w:id="81" w:name="_Toc453345605"/>
      <w:bookmarkStart w:id="82" w:name="_Toc13152078"/>
      <w:bookmarkStart w:id="83" w:name="_Toc485146208"/>
      <w:bookmarkStart w:id="84" w:name="_Toc485146515"/>
      <w:bookmarkStart w:id="85" w:name="_Toc486928861"/>
      <w:bookmarkStart w:id="86" w:name="_Toc510691076"/>
      <w:r>
        <w:rPr>
          <w:noProof/>
        </w:rPr>
        <w:t>4.4.</w:t>
      </w:r>
      <w:r>
        <w:rPr>
          <w:noProof/>
        </w:rPr>
        <w:tab/>
        <w:t>Antifraud and control activities by Member States</w:t>
      </w:r>
      <w:bookmarkEnd w:id="80"/>
      <w:bookmarkEnd w:id="81"/>
      <w:bookmarkEnd w:id="82"/>
      <w:r>
        <w:rPr>
          <w:noProof/>
        </w:rPr>
        <w:t xml:space="preserve"> </w:t>
      </w:r>
      <w:bookmarkEnd w:id="83"/>
      <w:bookmarkEnd w:id="84"/>
      <w:bookmarkEnd w:id="85"/>
      <w:bookmarkEnd w:id="86"/>
    </w:p>
    <w:p w:rsidR="00B83504" w:rsidRDefault="00B55645">
      <w:pPr>
        <w:pStyle w:val="Text1"/>
        <w:ind w:left="0"/>
        <w:rPr>
          <w:noProof/>
        </w:rPr>
      </w:pPr>
      <w:r>
        <w:rPr>
          <w:noProof/>
        </w:rPr>
        <w:t>Previous Sections have examined the trend a</w:t>
      </w:r>
      <w:r>
        <w:rPr>
          <w:noProof/>
        </w:rPr>
        <w:t>nd main characteristics of the reported irregularities.</w:t>
      </w:r>
    </w:p>
    <w:p w:rsidR="00B83504" w:rsidRDefault="00B55645">
      <w:pPr>
        <w:pStyle w:val="Text1"/>
        <w:ind w:left="0"/>
        <w:rPr>
          <w:noProof/>
        </w:rPr>
      </w:pPr>
      <w:r>
        <w:rPr>
          <w:noProof/>
        </w:rPr>
        <w:t>The present Section aims at examining some aspects linked to the antifraud and control activities and results of Member States. Four elements are taken into account:</w:t>
      </w:r>
    </w:p>
    <w:p w:rsidR="00B83504" w:rsidRDefault="00B55645">
      <w:pPr>
        <w:pStyle w:val="Point1number"/>
        <w:numPr>
          <w:ilvl w:val="2"/>
          <w:numId w:val="9"/>
        </w:numPr>
        <w:tabs>
          <w:tab w:val="clear" w:pos="1417"/>
        </w:tabs>
        <w:ind w:left="142" w:hanging="142"/>
        <w:rPr>
          <w:noProof/>
        </w:rPr>
      </w:pPr>
      <w:r>
        <w:rPr>
          <w:noProof/>
        </w:rPr>
        <w:t>the duration of the irregularities</w:t>
      </w:r>
      <w:r>
        <w:rPr>
          <w:noProof/>
        </w:rPr>
        <w:t>;</w:t>
      </w:r>
    </w:p>
    <w:p w:rsidR="00B83504" w:rsidRDefault="00B55645">
      <w:pPr>
        <w:pStyle w:val="Point1number"/>
        <w:numPr>
          <w:ilvl w:val="2"/>
          <w:numId w:val="9"/>
        </w:numPr>
        <w:tabs>
          <w:tab w:val="clear" w:pos="1417"/>
        </w:tabs>
        <w:ind w:left="142" w:hanging="142"/>
        <w:rPr>
          <w:noProof/>
        </w:rPr>
      </w:pPr>
      <w:r>
        <w:rPr>
          <w:noProof/>
        </w:rPr>
        <w:t>the number of irregularities reported as fraudulent by each Member State;</w:t>
      </w:r>
    </w:p>
    <w:p w:rsidR="00B83504" w:rsidRDefault="00B55645">
      <w:pPr>
        <w:pStyle w:val="Point1number"/>
        <w:numPr>
          <w:ilvl w:val="2"/>
          <w:numId w:val="9"/>
        </w:numPr>
        <w:tabs>
          <w:tab w:val="clear" w:pos="1417"/>
        </w:tabs>
        <w:ind w:left="142" w:hanging="142"/>
        <w:rPr>
          <w:noProof/>
        </w:rPr>
      </w:pPr>
      <w:r>
        <w:rPr>
          <w:noProof/>
        </w:rPr>
        <w:t>the fraud detection rate (FDR - the ratio between the amounts involved in cases reported as fraudulent and the payments occurred in relation to the PP 2007-13) and the irregularity</w:t>
      </w:r>
      <w:r>
        <w:rPr>
          <w:noProof/>
        </w:rPr>
        <w:t xml:space="preserve"> detection rate (IDR - the ratio between the amounts involved in cases not reported as fraudulent and the payments occurred in relation to the PP 2007-13)</w:t>
      </w:r>
      <w:r>
        <w:rPr>
          <w:rStyle w:val="FootnoteReference"/>
          <w:noProof/>
        </w:rPr>
        <w:t xml:space="preserve"> </w:t>
      </w:r>
      <w:r>
        <w:rPr>
          <w:rStyle w:val="FootnoteReference"/>
          <w:noProof/>
        </w:rPr>
        <w:footnoteReference w:id="39"/>
      </w:r>
      <w:r>
        <w:rPr>
          <w:noProof/>
        </w:rPr>
        <w:t>;</w:t>
      </w:r>
    </w:p>
    <w:p w:rsidR="00B83504" w:rsidRDefault="00B55645">
      <w:pPr>
        <w:pStyle w:val="Point1number"/>
        <w:numPr>
          <w:ilvl w:val="2"/>
          <w:numId w:val="9"/>
        </w:numPr>
        <w:tabs>
          <w:tab w:val="clear" w:pos="1417"/>
        </w:tabs>
        <w:ind w:left="142" w:hanging="142"/>
        <w:rPr>
          <w:noProof/>
        </w:rPr>
      </w:pPr>
      <w:r>
        <w:rPr>
          <w:noProof/>
        </w:rPr>
        <w:t xml:space="preserve">the ratio of cases of established fraud on the total number of irregularities reported as </w:t>
      </w:r>
      <w:r>
        <w:rPr>
          <w:noProof/>
        </w:rPr>
        <w:t>fraudulent.</w:t>
      </w:r>
    </w:p>
    <w:p w:rsidR="00B83504" w:rsidRDefault="00B55645">
      <w:pPr>
        <w:pStyle w:val="ManualHeading3"/>
        <w:rPr>
          <w:noProof/>
        </w:rPr>
      </w:pPr>
      <w:bookmarkStart w:id="87" w:name="_Toc424911585"/>
      <w:bookmarkStart w:id="88" w:name="_Toc453345606"/>
      <w:bookmarkStart w:id="89" w:name="_Toc485146209"/>
      <w:bookmarkStart w:id="90" w:name="_Toc485146516"/>
      <w:bookmarkStart w:id="91" w:name="_Toc486928862"/>
      <w:bookmarkStart w:id="92" w:name="_Toc510691077"/>
      <w:bookmarkStart w:id="93" w:name="_Toc13152079"/>
      <w:r>
        <w:rPr>
          <w:noProof/>
        </w:rPr>
        <w:t>4.4.1.</w:t>
      </w:r>
      <w:r>
        <w:rPr>
          <w:noProof/>
        </w:rPr>
        <w:tab/>
        <w:t>Duration of irregularities</w:t>
      </w:r>
      <w:bookmarkEnd w:id="87"/>
      <w:bookmarkEnd w:id="88"/>
      <w:bookmarkEnd w:id="89"/>
      <w:bookmarkEnd w:id="90"/>
      <w:bookmarkEnd w:id="91"/>
      <w:bookmarkEnd w:id="92"/>
      <w:bookmarkEnd w:id="93"/>
      <w:r>
        <w:rPr>
          <w:noProof/>
        </w:rPr>
        <w:t xml:space="preserve"> </w:t>
      </w:r>
    </w:p>
    <w:p w:rsidR="00B83504" w:rsidRDefault="00B55645">
      <w:pPr>
        <w:pStyle w:val="Text1"/>
        <w:ind w:left="0"/>
        <w:rPr>
          <w:noProof/>
          <w:highlight w:val="yellow"/>
        </w:rPr>
      </w:pPr>
      <w:r>
        <w:rPr>
          <w:noProof/>
        </w:rPr>
        <w:t>With reference to the Cohesion and Fisheries policies, of the 40 776 irregularities (fraudulent and non-fraudulent) reported by Member States in relation to the PP 2007-13, 20 298 (50% of the total) involved i</w:t>
      </w:r>
      <w:r>
        <w:rPr>
          <w:noProof/>
        </w:rPr>
        <w:t>nfringements that have been protracted during a span of time. For the 2 010 irregularities reported as fraudulent, this percentage was higher, at about 60%. The remaining part of the dataset refers to irregularities which consisted of a single act identifi</w:t>
      </w:r>
      <w:r>
        <w:rPr>
          <w:noProof/>
        </w:rPr>
        <w:t>able on a precise date (about 23% of the whole dataset and 30% of that including exclusively the fraudulent irregularities) or for which no reliable information has been provided by the Member States</w:t>
      </w:r>
      <w:r>
        <w:rPr>
          <w:rStyle w:val="FootnoteReference"/>
          <w:noProof/>
        </w:rPr>
        <w:footnoteReference w:id="40"/>
      </w:r>
      <w:r>
        <w:rPr>
          <w:noProof/>
        </w:rPr>
        <w:t xml:space="preserve"> (27% of the whole dataset and 11% of the irregularities</w:t>
      </w:r>
      <w:r>
        <w:rPr>
          <w:noProof/>
        </w:rPr>
        <w:t xml:space="preserve"> reported as fraudulent).</w:t>
      </w:r>
    </w:p>
    <w:p w:rsidR="00B83504" w:rsidRDefault="00B55645">
      <w:pPr>
        <w:pStyle w:val="Text1"/>
        <w:ind w:left="0"/>
        <w:rPr>
          <w:noProof/>
        </w:rPr>
      </w:pPr>
      <w:r>
        <w:rPr>
          <w:noProof/>
        </w:rPr>
        <w:t>The average duration of the irregularities which have been protracted over time was 21 months (</w:t>
      </w:r>
      <w:r>
        <w:rPr>
          <w:i/>
          <w:noProof/>
        </w:rPr>
        <w:t>i.e.</w:t>
      </w:r>
      <w:r>
        <w:rPr>
          <w:noProof/>
        </w:rPr>
        <w:t xml:space="preserve"> 1 year and 9 month). For the irregularities reported as fraudulent, this average was similar: 20 months.</w:t>
      </w:r>
    </w:p>
    <w:p w:rsidR="00B83504" w:rsidRDefault="00B55645">
      <w:pPr>
        <w:pStyle w:val="Text1"/>
        <w:ind w:left="0"/>
        <w:rPr>
          <w:noProof/>
        </w:rPr>
      </w:pPr>
      <w:r>
        <w:rPr>
          <w:noProof/>
        </w:rPr>
        <w:t xml:space="preserve">Figures CP5 and CP6 show </w:t>
      </w:r>
      <w:r>
        <w:rPr>
          <w:noProof/>
        </w:rPr>
        <w:t>the average duration of the different phases a case can go through, from perpetration to case closure. Figure CP5 focuses on irregularities reported as fraudulent, while Figure CP6 covers the ones not reported as fraudulent. Both Figures refer to the PP 20</w:t>
      </w:r>
      <w:r>
        <w:rPr>
          <w:noProof/>
        </w:rPr>
        <w:t>07-2013 (Cohesion and Fisheries policies).</w:t>
      </w:r>
    </w:p>
    <w:p w:rsidR="00B83504" w:rsidRDefault="00B55645">
      <w:pPr>
        <w:pStyle w:val="Text1"/>
        <w:ind w:left="0"/>
        <w:rPr>
          <w:noProof/>
        </w:rPr>
      </w:pPr>
      <w:r>
        <w:rPr>
          <w:noProof/>
          <w:lang w:val="fr-BE" w:eastAsia="fr-BE"/>
        </w:rPr>
        <w:drawing>
          <wp:inline distT="0" distB="0" distL="0" distR="0">
            <wp:extent cx="5731510" cy="3252228"/>
            <wp:effectExtent l="0" t="0" r="2540" b="57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screen">
                      <a:extLst>
                        <a:ext uri="{28A0092B-C50C-407E-A947-70E740481C1C}">
                          <a14:useLocalDpi xmlns:a14="http://schemas.microsoft.com/office/drawing/2010/main" val="0"/>
                        </a:ext>
                      </a:extLst>
                    </a:blip>
                    <a:srcRect/>
                    <a:stretch>
                      <a:fillRect/>
                    </a:stretch>
                  </pic:blipFill>
                  <pic:spPr bwMode="auto">
                    <a:xfrm>
                      <a:off x="0" y="0"/>
                      <a:ext cx="5731510" cy="3252228"/>
                    </a:xfrm>
                    <a:prstGeom prst="rect">
                      <a:avLst/>
                    </a:prstGeom>
                    <a:noFill/>
                    <a:ln>
                      <a:noFill/>
                    </a:ln>
                  </pic:spPr>
                </pic:pic>
              </a:graphicData>
            </a:graphic>
          </wp:inline>
        </w:drawing>
      </w:r>
    </w:p>
    <w:p w:rsidR="00B83504" w:rsidRDefault="00B55645">
      <w:pPr>
        <w:pStyle w:val="Text1"/>
        <w:ind w:left="0"/>
        <w:rPr>
          <w:noProof/>
        </w:rPr>
      </w:pPr>
      <w:r>
        <w:rPr>
          <w:noProof/>
          <w:lang w:val="fr-BE" w:eastAsia="fr-BE"/>
        </w:rPr>
        <w:drawing>
          <wp:inline distT="0" distB="0" distL="0" distR="0">
            <wp:extent cx="5731510" cy="3252228"/>
            <wp:effectExtent l="0" t="0" r="2540" b="57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screen">
                      <a:extLst>
                        <a:ext uri="{28A0092B-C50C-407E-A947-70E740481C1C}">
                          <a14:useLocalDpi xmlns:a14="http://schemas.microsoft.com/office/drawing/2010/main" val="0"/>
                        </a:ext>
                      </a:extLst>
                    </a:blip>
                    <a:srcRect/>
                    <a:stretch>
                      <a:fillRect/>
                    </a:stretch>
                  </pic:blipFill>
                  <pic:spPr bwMode="auto">
                    <a:xfrm>
                      <a:off x="0" y="0"/>
                      <a:ext cx="5731510" cy="3252228"/>
                    </a:xfrm>
                    <a:prstGeom prst="rect">
                      <a:avLst/>
                    </a:prstGeom>
                    <a:noFill/>
                    <a:ln>
                      <a:noFill/>
                    </a:ln>
                  </pic:spPr>
                </pic:pic>
              </a:graphicData>
            </a:graphic>
          </wp:inline>
        </w:drawing>
      </w:r>
    </w:p>
    <w:p w:rsidR="00B83504" w:rsidRDefault="00B55645">
      <w:pPr>
        <w:pStyle w:val="Text1"/>
        <w:ind w:left="0"/>
        <w:rPr>
          <w:noProof/>
        </w:rPr>
      </w:pPr>
      <w:r>
        <w:rPr>
          <w:noProof/>
        </w:rPr>
        <w:t>Both for fraudulent and non-fraudulent irregularities, on average, it took more than two years to come to the suspicion that an irregularities had been or was being perpetrated. Once the suspicion arose, the M</w:t>
      </w:r>
      <w:r>
        <w:rPr>
          <w:noProof/>
        </w:rPr>
        <w:t>ember State detected the irregularity in less than half a year. Then the irregulary was reported to the Commission only after eight months from the detection. The only significant difference between fraudulent and non-fraudulent irregularities was in the a</w:t>
      </w:r>
      <w:r>
        <w:rPr>
          <w:noProof/>
        </w:rPr>
        <w:t>verage time from the reporting to the Commission to the case closure, which was much longer for the irregularities reported as fraudulent. This is consistent with the longer duration of penal proceedings. This is reflected also in the procedures for imposi</w:t>
      </w:r>
      <w:r>
        <w:rPr>
          <w:noProof/>
        </w:rPr>
        <w:t>ng sanctions or penalties. They started after a similar time period after detection (8 or 10 months for fraudulent and non-fraudulent irregularities, respectively), but then it took, on average, one year to close the procedure in case of a non-fraudulent i</w:t>
      </w:r>
      <w:r>
        <w:rPr>
          <w:noProof/>
        </w:rPr>
        <w:t xml:space="preserve">rregularity and nearly two years in case of a fraudulent irregularity. This may be due to overlaps with the penal procedure. </w:t>
      </w:r>
    </w:p>
    <w:p w:rsidR="00B83504" w:rsidRDefault="00B55645">
      <w:pPr>
        <w:pStyle w:val="Text1"/>
        <w:ind w:left="0"/>
        <w:rPr>
          <w:noProof/>
        </w:rPr>
      </w:pPr>
      <w:r>
        <w:rPr>
          <w:noProof/>
        </w:rPr>
        <w:t xml:space="preserve">Figure CP7 shows the average times for the irregularities referring to PP 2014-2020 (Cohesion and Fisheries policies). These </w:t>
      </w:r>
      <w:r>
        <w:rPr>
          <w:noProof/>
        </w:rPr>
        <w:t>average times were shorter than the ones related to PP 2007-2013. However, it should be considered that these durations are based on much less cases and that irregularities that are more craftily hidden or that are more difficult to investigate will probab</w:t>
      </w:r>
      <w:r>
        <w:rPr>
          <w:noProof/>
        </w:rPr>
        <w:t>ly add as time passes, pushing these averages up. The average times in Figure CP7 are similar to those in Figure CP8</w:t>
      </w:r>
      <w:r>
        <w:rPr>
          <w:rStyle w:val="FootnoteReference"/>
          <w:noProof/>
        </w:rPr>
        <w:footnoteReference w:id="41"/>
      </w:r>
      <w:r>
        <w:rPr>
          <w:noProof/>
        </w:rPr>
        <w:t>, which refers to the cases related to PP 2007-13 that had been reported after a comparable period of time from the start of the programmin</w:t>
      </w:r>
      <w:r>
        <w:rPr>
          <w:noProof/>
        </w:rPr>
        <w:t>g period.</w:t>
      </w:r>
    </w:p>
    <w:p w:rsidR="00B83504" w:rsidRDefault="00B55645">
      <w:pPr>
        <w:pStyle w:val="Text1"/>
        <w:ind w:left="0"/>
        <w:rPr>
          <w:noProof/>
        </w:rPr>
      </w:pPr>
      <w:r>
        <w:rPr>
          <w:noProof/>
          <w:lang w:val="fr-BE" w:eastAsia="fr-BE"/>
        </w:rPr>
        <w:drawing>
          <wp:inline distT="0" distB="0" distL="0" distR="0">
            <wp:extent cx="5731510" cy="4093792"/>
            <wp:effectExtent l="0" t="0" r="254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screen">
                      <a:extLst>
                        <a:ext uri="{28A0092B-C50C-407E-A947-70E740481C1C}">
                          <a14:useLocalDpi xmlns:a14="http://schemas.microsoft.com/office/drawing/2010/main" val="0"/>
                        </a:ext>
                      </a:extLst>
                    </a:blip>
                    <a:srcRect/>
                    <a:stretch>
                      <a:fillRect/>
                    </a:stretch>
                  </pic:blipFill>
                  <pic:spPr bwMode="auto">
                    <a:xfrm>
                      <a:off x="0" y="0"/>
                      <a:ext cx="5731510" cy="4093792"/>
                    </a:xfrm>
                    <a:prstGeom prst="rect">
                      <a:avLst/>
                    </a:prstGeom>
                    <a:noFill/>
                    <a:ln>
                      <a:noFill/>
                    </a:ln>
                  </pic:spPr>
                </pic:pic>
              </a:graphicData>
            </a:graphic>
          </wp:inline>
        </w:drawing>
      </w:r>
    </w:p>
    <w:p w:rsidR="00B83504" w:rsidRDefault="00B55645">
      <w:pPr>
        <w:pStyle w:val="Text1"/>
        <w:ind w:left="0"/>
        <w:rPr>
          <w:noProof/>
        </w:rPr>
      </w:pPr>
      <w:r>
        <w:rPr>
          <w:noProof/>
          <w:lang w:val="fr-BE" w:eastAsia="fr-BE"/>
        </w:rPr>
        <w:drawing>
          <wp:inline distT="0" distB="0" distL="0" distR="0">
            <wp:extent cx="5731510" cy="4093792"/>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screen">
                      <a:extLst>
                        <a:ext uri="{28A0092B-C50C-407E-A947-70E740481C1C}">
                          <a14:useLocalDpi xmlns:a14="http://schemas.microsoft.com/office/drawing/2010/main" val="0"/>
                        </a:ext>
                      </a:extLst>
                    </a:blip>
                    <a:srcRect/>
                    <a:stretch>
                      <a:fillRect/>
                    </a:stretch>
                  </pic:blipFill>
                  <pic:spPr bwMode="auto">
                    <a:xfrm>
                      <a:off x="0" y="0"/>
                      <a:ext cx="5731510" cy="4093792"/>
                    </a:xfrm>
                    <a:prstGeom prst="rect">
                      <a:avLst/>
                    </a:prstGeom>
                    <a:noFill/>
                    <a:ln>
                      <a:noFill/>
                    </a:ln>
                  </pic:spPr>
                </pic:pic>
              </a:graphicData>
            </a:graphic>
          </wp:inline>
        </w:drawing>
      </w:r>
    </w:p>
    <w:p w:rsidR="00B83504" w:rsidRDefault="00B55645">
      <w:pPr>
        <w:pStyle w:val="ManualHeading3"/>
        <w:rPr>
          <w:noProof/>
        </w:rPr>
      </w:pPr>
      <w:bookmarkStart w:id="94" w:name="_Toc424911586"/>
      <w:bookmarkStart w:id="95" w:name="_Toc453345607"/>
      <w:bookmarkStart w:id="96" w:name="_Toc13152080"/>
      <w:bookmarkStart w:id="97" w:name="_Toc485146210"/>
      <w:bookmarkStart w:id="98" w:name="_Toc485146517"/>
      <w:bookmarkStart w:id="99" w:name="_Toc486928863"/>
      <w:bookmarkStart w:id="100" w:name="_Toc510691078"/>
      <w:r>
        <w:rPr>
          <w:noProof/>
        </w:rPr>
        <w:t>4.4.2.</w:t>
      </w:r>
      <w:r>
        <w:rPr>
          <w:noProof/>
        </w:rPr>
        <w:tab/>
        <w:t>Detection of irregularities reported as fraudulent by Member State</w:t>
      </w:r>
      <w:bookmarkEnd w:id="94"/>
      <w:bookmarkEnd w:id="95"/>
      <w:bookmarkEnd w:id="96"/>
      <w:r>
        <w:rPr>
          <w:noProof/>
        </w:rPr>
        <w:t xml:space="preserve"> </w:t>
      </w:r>
      <w:bookmarkEnd w:id="97"/>
      <w:bookmarkEnd w:id="98"/>
      <w:bookmarkEnd w:id="99"/>
      <w:bookmarkEnd w:id="100"/>
    </w:p>
    <w:p w:rsidR="00B83504" w:rsidRDefault="00B55645">
      <w:pPr>
        <w:pStyle w:val="Text1"/>
        <w:ind w:left="0"/>
        <w:rPr>
          <w:noProof/>
        </w:rPr>
      </w:pPr>
      <w:r>
        <w:rPr>
          <w:noProof/>
        </w:rPr>
        <w:t xml:space="preserve">Map CP3 shows the number of irregularities reported as fraudulent by Member State in relation to the PP 2007-13. </w:t>
      </w:r>
    </w:p>
    <w:p w:rsidR="00B83504" w:rsidRDefault="00B55645">
      <w:pPr>
        <w:pStyle w:val="Text1"/>
        <w:ind w:left="0"/>
        <w:rPr>
          <w:noProof/>
        </w:rPr>
      </w:pPr>
      <w:r>
        <w:rPr>
          <w:noProof/>
        </w:rPr>
        <w:t>Only Luxembourg has notified no irregularity as fraud</w:t>
      </w:r>
      <w:r>
        <w:rPr>
          <w:noProof/>
        </w:rPr>
        <w:t>ulent; fourteen (14) Member States reported less than 30 potentially fraudulent irregularities; Three (3) countries reported between 30 and 60; three (3) Member States between 60 and 90; seven (7) more than 90.</w:t>
      </w:r>
    </w:p>
    <w:p w:rsidR="00B83504" w:rsidRDefault="00B55645">
      <w:pPr>
        <w:pStyle w:val="Text1"/>
        <w:ind w:left="0"/>
        <w:rPr>
          <w:noProof/>
        </w:rPr>
      </w:pPr>
      <w:r>
        <w:rPr>
          <w:noProof/>
        </w:rPr>
        <w:t>Poland, Romania and Germany are the three cou</w:t>
      </w:r>
      <w:r>
        <w:rPr>
          <w:noProof/>
        </w:rPr>
        <w:t>ntries which have reported the highest numbers.</w:t>
      </w:r>
    </w:p>
    <w:p w:rsidR="00B83504" w:rsidRDefault="00B55645">
      <w:pPr>
        <w:pStyle w:val="Text1"/>
        <w:ind w:left="0"/>
        <w:jc w:val="center"/>
        <w:rPr>
          <w:noProof/>
        </w:rPr>
      </w:pPr>
      <w:r>
        <w:rPr>
          <w:noProof/>
          <w:lang w:val="fr-BE" w:eastAsia="fr-BE"/>
        </w:rPr>
        <w:drawing>
          <wp:inline distT="0" distB="0" distL="0" distR="0">
            <wp:extent cx="3877310" cy="433451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77310" cy="4334510"/>
                    </a:xfrm>
                    <a:prstGeom prst="rect">
                      <a:avLst/>
                    </a:prstGeom>
                    <a:noFill/>
                  </pic:spPr>
                </pic:pic>
              </a:graphicData>
            </a:graphic>
          </wp:inline>
        </w:drawing>
      </w:r>
    </w:p>
    <w:p w:rsidR="00B83504" w:rsidRDefault="00B55645">
      <w:pPr>
        <w:pStyle w:val="Text1"/>
        <w:ind w:left="0"/>
        <w:rPr>
          <w:noProof/>
        </w:rPr>
      </w:pPr>
      <w:r>
        <w:rPr>
          <w:noProof/>
        </w:rPr>
        <w:t>Map CP4 shows the geographic distribution of detections related to the current PP 2014-2020. Twenty (20) Member States have already reported at least one irregularity as fraudulent.</w:t>
      </w:r>
    </w:p>
    <w:p w:rsidR="00B83504" w:rsidRDefault="00B55645">
      <w:pPr>
        <w:pStyle w:val="Text1"/>
        <w:ind w:left="0"/>
        <w:rPr>
          <w:noProof/>
        </w:rPr>
      </w:pPr>
      <w:r>
        <w:rPr>
          <w:noProof/>
        </w:rPr>
        <w:t>Map CP5 refers to the ir</w:t>
      </w:r>
      <w:r>
        <w:rPr>
          <w:noProof/>
        </w:rPr>
        <w:t>regularities that had been reported after a comparable period of time from the start of the programming period 2007-13. It is too early to draw any conclusion. However, it is noticeble the decrease in the number of irregularites reported as fraudulent by G</w:t>
      </w:r>
      <w:r>
        <w:rPr>
          <w:noProof/>
        </w:rPr>
        <w:t>ermany and the increase of those reported by Poland, Hungary and Slovakia.</w:t>
      </w:r>
    </w:p>
    <w:p w:rsidR="00B83504" w:rsidRDefault="00B83504">
      <w:pPr>
        <w:pStyle w:val="Text1"/>
        <w:ind w:left="0"/>
        <w:rPr>
          <w:noProof/>
        </w:rPr>
      </w:pPr>
    </w:p>
    <w:p w:rsidR="00B83504" w:rsidRDefault="00B83504">
      <w:pPr>
        <w:pStyle w:val="Text1"/>
        <w:ind w:left="0"/>
        <w:rPr>
          <w:noProof/>
        </w:rPr>
      </w:pPr>
    </w:p>
    <w:p w:rsidR="00B83504" w:rsidRDefault="00B55645">
      <w:pPr>
        <w:pStyle w:val="Text1"/>
        <w:ind w:left="0"/>
        <w:rPr>
          <w:noProof/>
        </w:rPr>
      </w:pPr>
      <w:r>
        <w:rPr>
          <w:noProof/>
          <w:color w:val="FF0000"/>
          <w:lang w:val="fr-BE" w:eastAsia="fr-BE"/>
        </w:rPr>
        <w:drawing>
          <wp:inline distT="0" distB="0" distL="0" distR="0">
            <wp:extent cx="3798000" cy="4053600"/>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CP4.png"/>
                    <pic:cNvPicPr/>
                  </pic:nvPicPr>
                  <pic:blipFill>
                    <a:blip r:embed="rId109" cstate="screen">
                      <a:extLst>
                        <a:ext uri="{28A0092B-C50C-407E-A947-70E740481C1C}">
                          <a14:useLocalDpi xmlns:a14="http://schemas.microsoft.com/office/drawing/2010/main" val="0"/>
                        </a:ext>
                      </a:extLst>
                    </a:blip>
                    <a:stretch>
                      <a:fillRect/>
                    </a:stretch>
                  </pic:blipFill>
                  <pic:spPr>
                    <a:xfrm>
                      <a:off x="0" y="0"/>
                      <a:ext cx="3798000" cy="4053600"/>
                    </a:xfrm>
                    <a:prstGeom prst="rect">
                      <a:avLst/>
                    </a:prstGeom>
                  </pic:spPr>
                </pic:pic>
              </a:graphicData>
            </a:graphic>
          </wp:inline>
        </w:drawing>
      </w:r>
      <w:r>
        <w:rPr>
          <w:noProof/>
          <w:lang w:val="fr-BE" w:eastAsia="fr-BE"/>
        </w:rPr>
        <w:drawing>
          <wp:inline distT="0" distB="0" distL="0" distR="0">
            <wp:extent cx="3769200" cy="3002400"/>
            <wp:effectExtent l="0" t="0" r="3175"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CP5.png"/>
                    <pic:cNvPicPr/>
                  </pic:nvPicPr>
                  <pic:blipFill>
                    <a:blip r:embed="rId110" cstate="screen">
                      <a:extLst>
                        <a:ext uri="{28A0092B-C50C-407E-A947-70E740481C1C}">
                          <a14:useLocalDpi xmlns:a14="http://schemas.microsoft.com/office/drawing/2010/main" val="0"/>
                        </a:ext>
                      </a:extLst>
                    </a:blip>
                    <a:stretch>
                      <a:fillRect/>
                    </a:stretch>
                  </pic:blipFill>
                  <pic:spPr>
                    <a:xfrm>
                      <a:off x="0" y="0"/>
                      <a:ext cx="3769200" cy="3002400"/>
                    </a:xfrm>
                    <a:prstGeom prst="rect">
                      <a:avLst/>
                    </a:prstGeom>
                  </pic:spPr>
                </pic:pic>
              </a:graphicData>
            </a:graphic>
          </wp:inline>
        </w:drawing>
      </w:r>
    </w:p>
    <w:p w:rsidR="00B83504" w:rsidRDefault="00B55645">
      <w:pPr>
        <w:pStyle w:val="Text1"/>
        <w:ind w:left="0"/>
        <w:rPr>
          <w:noProof/>
          <w:color w:val="000000" w:themeColor="text1"/>
        </w:rPr>
      </w:pPr>
      <w:r>
        <w:rPr>
          <w:noProof/>
          <w:color w:val="000000" w:themeColor="text1"/>
        </w:rPr>
        <w:t>For PP 2007-2013, Map CP3 suggests that the concentration of reporting of irregularities in certain Member States could go beyond what could be expected on the basis of the dis</w:t>
      </w:r>
      <w:r>
        <w:rPr>
          <w:noProof/>
          <w:color w:val="000000" w:themeColor="text1"/>
        </w:rPr>
        <w:t>tribution of payments related to the cohesion and fisheries policies among Member States. Also the analysis of the irregularities that affected the priorities '</w:t>
      </w:r>
      <w:r>
        <w:rPr>
          <w:i/>
          <w:noProof/>
          <w:color w:val="000000" w:themeColor="text1"/>
        </w:rPr>
        <w:t>Tourism</w:t>
      </w:r>
      <w:r>
        <w:rPr>
          <w:noProof/>
          <w:color w:val="000000" w:themeColor="text1"/>
        </w:rPr>
        <w:t>' and '</w:t>
      </w:r>
      <w:r>
        <w:rPr>
          <w:i/>
          <w:noProof/>
          <w:color w:val="000000" w:themeColor="text1"/>
        </w:rPr>
        <w:t>Environment protection and risk prevention</w:t>
      </w:r>
      <w:r>
        <w:rPr>
          <w:noProof/>
          <w:color w:val="000000" w:themeColor="text1"/>
        </w:rPr>
        <w:t>' suggests that the majority of irregula</w:t>
      </w:r>
      <w:r>
        <w:rPr>
          <w:noProof/>
          <w:color w:val="000000" w:themeColor="text1"/>
        </w:rPr>
        <w:t>rities and financial amounts in these domains were reported by very few Member States (see Section 4.2.2.3.).</w:t>
      </w:r>
    </w:p>
    <w:p w:rsidR="00B83504" w:rsidRDefault="00B55645">
      <w:pPr>
        <w:pStyle w:val="Text1"/>
        <w:ind w:left="0"/>
        <w:rPr>
          <w:noProof/>
          <w:color w:val="000000" w:themeColor="text1"/>
          <w:szCs w:val="24"/>
        </w:rPr>
      </w:pPr>
      <w:r>
        <w:rPr>
          <w:noProof/>
          <w:color w:val="000000" w:themeColor="text1"/>
          <w:szCs w:val="24"/>
        </w:rPr>
        <w:t xml:space="preserve">Graphs CP18 help assessing the level of concentration. Respectively for fraudulent and non-fraudulent irregularities, Graphs CP18a and CP18b show </w:t>
      </w:r>
      <w:r>
        <w:rPr>
          <w:noProof/>
          <w:color w:val="000000" w:themeColor="text1"/>
          <w:szCs w:val="24"/>
        </w:rPr>
        <w:t>the cumulative percentage distribution of the number of cases and  related financial amounts involved in relation to cohesion and fisheries policies. The M</w:t>
      </w:r>
      <w:r>
        <w:rPr>
          <w:noProof/>
        </w:rPr>
        <w:t>ember States are sorted on the basis of the number of irregularities reported</w:t>
      </w:r>
      <w:r>
        <w:rPr>
          <w:noProof/>
          <w:color w:val="000000" w:themeColor="text1"/>
          <w:szCs w:val="24"/>
        </w:rPr>
        <w:t>.</w:t>
      </w:r>
    </w:p>
    <w:p w:rsidR="00B83504" w:rsidRDefault="00B55645">
      <w:pPr>
        <w:pStyle w:val="Text1"/>
        <w:ind w:left="0"/>
        <w:rPr>
          <w:noProof/>
          <w:color w:val="000000" w:themeColor="text1"/>
          <w:szCs w:val="24"/>
        </w:rPr>
      </w:pPr>
      <w:r>
        <w:rPr>
          <w:noProof/>
          <w:color w:val="000000" w:themeColor="text1"/>
          <w:szCs w:val="24"/>
        </w:rPr>
        <w:t>Graph CP18a shows that the first three Member States (Poland, Romania and Germany) reported slightly more than 40% of all fraudulent irregularities related to cohesion and fisheries, while they received a little more that 30% of the payments. The same perc</w:t>
      </w:r>
      <w:r>
        <w:rPr>
          <w:noProof/>
          <w:color w:val="000000" w:themeColor="text1"/>
          <w:szCs w:val="24"/>
        </w:rPr>
        <w:t xml:space="preserve">entages related to non-fraudulent irregularities were a little higher (about 50% and 40%, respectively). While Poland was still among the Member State with the highest number of cases reported, Spain and Czech Republic ranked first and third. </w:t>
      </w:r>
    </w:p>
    <w:p w:rsidR="00B83504" w:rsidRDefault="00B55645">
      <w:pPr>
        <w:pStyle w:val="Text1"/>
        <w:ind w:left="0"/>
        <w:rPr>
          <w:noProof/>
          <w:color w:val="000000" w:themeColor="text1"/>
          <w:szCs w:val="24"/>
        </w:rPr>
      </w:pPr>
      <w:r>
        <w:rPr>
          <w:noProof/>
          <w:color w:val="000000" w:themeColor="text1"/>
          <w:szCs w:val="24"/>
          <w:lang w:val="fr-BE" w:eastAsia="fr-BE"/>
        </w:rPr>
        <w:drawing>
          <wp:inline distT="0" distB="0" distL="0" distR="0">
            <wp:extent cx="5922028" cy="32004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screen">
                      <a:extLst>
                        <a:ext uri="{28A0092B-C50C-407E-A947-70E740481C1C}">
                          <a14:useLocalDpi xmlns:a14="http://schemas.microsoft.com/office/drawing/2010/main" val="0"/>
                        </a:ext>
                      </a:extLst>
                    </a:blip>
                    <a:srcRect/>
                    <a:stretch>
                      <a:fillRect/>
                    </a:stretch>
                  </pic:blipFill>
                  <pic:spPr bwMode="auto">
                    <a:xfrm>
                      <a:off x="0" y="0"/>
                      <a:ext cx="5920708" cy="3199687"/>
                    </a:xfrm>
                    <a:prstGeom prst="rect">
                      <a:avLst/>
                    </a:prstGeom>
                    <a:noFill/>
                  </pic:spPr>
                </pic:pic>
              </a:graphicData>
            </a:graphic>
          </wp:inline>
        </w:drawing>
      </w:r>
    </w:p>
    <w:p w:rsidR="00B83504" w:rsidRDefault="00B55645">
      <w:pPr>
        <w:pStyle w:val="Text1"/>
        <w:ind w:left="0"/>
        <w:rPr>
          <w:noProof/>
          <w:color w:val="000000" w:themeColor="text1"/>
          <w:szCs w:val="24"/>
        </w:rPr>
      </w:pPr>
      <w:r>
        <w:rPr>
          <w:noProof/>
          <w:color w:val="000000" w:themeColor="text1"/>
          <w:szCs w:val="24"/>
        </w:rPr>
        <w:t>In general</w:t>
      </w:r>
      <w:r>
        <w:rPr>
          <w:noProof/>
          <w:color w:val="000000" w:themeColor="text1"/>
          <w:szCs w:val="24"/>
        </w:rPr>
        <w:t xml:space="preserve">, the cumulative distributions of number of cases and financial amounts rose fast - which points to concentration of detections in a limited number of Member States - and did not overlap with the cumulative distribution of payments related to cohesion and </w:t>
      </w:r>
      <w:r>
        <w:rPr>
          <w:noProof/>
          <w:color w:val="000000" w:themeColor="text1"/>
          <w:szCs w:val="24"/>
        </w:rPr>
        <w:t>fisheries – which points to the fact that the aforementioned concentration is not fully explained by the share of payments received. However, the rise of the cumulative distributions of number of cases and financial amounts is smoother than for agriculture</w:t>
      </w:r>
      <w:r>
        <w:rPr>
          <w:noProof/>
          <w:color w:val="000000" w:themeColor="text1"/>
          <w:szCs w:val="24"/>
        </w:rPr>
        <w:t xml:space="preserve"> (see Sections 3.4.3.1-3.4.3.3) and the distance from cumulative distribution of payments looks smaller (see also below), in particular for non-fraudulent irregularities. To better assess the contribution of each Member State to these patterns, Graph CP18c</w:t>
      </w:r>
      <w:r>
        <w:rPr>
          <w:noProof/>
          <w:color w:val="000000" w:themeColor="text1"/>
          <w:szCs w:val="24"/>
        </w:rPr>
        <w:t xml:space="preserve"> and CP18d present the individual shares of number of cases, financial amounts involved and payments, respectively for fraudulent and non-fraudulent irregularities.</w:t>
      </w:r>
    </w:p>
    <w:p w:rsidR="00B83504" w:rsidRDefault="00B55645">
      <w:pPr>
        <w:spacing w:before="120"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It seems that the concentration of detections is not fully explained by the distribution of</w:t>
      </w:r>
      <w:r>
        <w:rPr>
          <w:rFonts w:ascii="Times New Roman" w:hAnsi="Times New Roman" w:cs="Times New Roman"/>
          <w:noProof/>
          <w:color w:val="000000" w:themeColor="text1"/>
          <w:sz w:val="24"/>
          <w:szCs w:val="24"/>
        </w:rPr>
        <w:t xml:space="preserve"> payments during the programming period 2007-2013, but this was less evident than in agriculture (during the period 2014-2018). Graphs CP19 and CP20 are based on an overall measure of the distance between the distribution of detections in different Member </w:t>
      </w:r>
      <w:r>
        <w:rPr>
          <w:rFonts w:ascii="Times New Roman" w:hAnsi="Times New Roman" w:cs="Times New Roman"/>
          <w:noProof/>
          <w:color w:val="000000" w:themeColor="text1"/>
          <w:sz w:val="24"/>
          <w:szCs w:val="24"/>
        </w:rPr>
        <w:t>States and the distribution of payments received by the Member States in the same period.</w:t>
      </w:r>
      <w:r>
        <w:rPr>
          <w:rStyle w:val="FootnoteReference"/>
          <w:rFonts w:ascii="Times New Roman" w:hAnsi="Times New Roman" w:cs="Times New Roman"/>
          <w:noProof/>
          <w:color w:val="000000" w:themeColor="text1"/>
          <w:sz w:val="24"/>
          <w:szCs w:val="24"/>
        </w:rPr>
        <w:footnoteReference w:id="42"/>
      </w:r>
      <w:r>
        <w:rPr>
          <w:rFonts w:ascii="Times New Roman" w:hAnsi="Times New Roman" w:cs="Times New Roman"/>
          <w:noProof/>
          <w:color w:val="000000" w:themeColor="text1"/>
          <w:sz w:val="24"/>
          <w:szCs w:val="24"/>
        </w:rPr>
        <w:t xml:space="preserve"> They confirm that the distance for cohesion and fisheries is smaller, especially with reference to fraudulent irregularities. This may suggest that approaches of Mem</w:t>
      </w:r>
      <w:r>
        <w:rPr>
          <w:rFonts w:ascii="Times New Roman" w:hAnsi="Times New Roman" w:cs="Times New Roman"/>
          <w:noProof/>
          <w:color w:val="000000" w:themeColor="text1"/>
          <w:sz w:val="24"/>
          <w:szCs w:val="24"/>
        </w:rPr>
        <w:t>ber States to the use of criminal law to protect the EU budget might be more homogeneous in the cohesion and fisheries policies than in the agriculture domains.</w:t>
      </w:r>
      <w:r>
        <w:rPr>
          <w:rStyle w:val="FootnoteReference"/>
          <w:rFonts w:ascii="Times New Roman" w:hAnsi="Times New Roman" w:cs="Times New Roman"/>
          <w:noProof/>
          <w:color w:val="000000" w:themeColor="text1"/>
          <w:sz w:val="24"/>
          <w:szCs w:val="24"/>
        </w:rPr>
        <w:footnoteReference w:id="43"/>
      </w:r>
    </w:p>
    <w:p w:rsidR="00B83504" w:rsidRDefault="00B55645">
      <w:pPr>
        <w:spacing w:before="120" w:after="120" w:line="240" w:lineRule="auto"/>
        <w:jc w:val="both"/>
        <w:rPr>
          <w:rFonts w:ascii="Times New Roman" w:hAnsi="Times New Roman" w:cs="Times New Roman"/>
          <w:noProof/>
          <w:color w:val="000000" w:themeColor="text1"/>
          <w:sz w:val="24"/>
          <w:szCs w:val="24"/>
        </w:rPr>
      </w:pPr>
      <w:r>
        <w:rPr>
          <w:noProof/>
          <w:lang w:val="fr-BE" w:eastAsia="fr-BE"/>
        </w:rPr>
        <w:drawing>
          <wp:inline distT="0" distB="0" distL="0" distR="0">
            <wp:extent cx="5941060" cy="3400981"/>
            <wp:effectExtent l="0" t="0" r="2540" b="9525"/>
            <wp:docPr id="1092778" name="Picture 109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cstate="screen">
                      <a:extLst>
                        <a:ext uri="{28A0092B-C50C-407E-A947-70E740481C1C}">
                          <a14:useLocalDpi xmlns:a14="http://schemas.microsoft.com/office/drawing/2010/main" val="0"/>
                        </a:ext>
                      </a:extLst>
                    </a:blip>
                    <a:srcRect/>
                    <a:stretch>
                      <a:fillRect/>
                    </a:stretch>
                  </pic:blipFill>
                  <pic:spPr bwMode="auto">
                    <a:xfrm>
                      <a:off x="0" y="0"/>
                      <a:ext cx="5941060" cy="3400981"/>
                    </a:xfrm>
                    <a:prstGeom prst="rect">
                      <a:avLst/>
                    </a:prstGeom>
                    <a:noFill/>
                    <a:ln>
                      <a:noFill/>
                    </a:ln>
                  </pic:spPr>
                </pic:pic>
              </a:graphicData>
            </a:graphic>
          </wp:inline>
        </w:drawing>
      </w:r>
    </w:p>
    <w:p w:rsidR="00B83504" w:rsidRDefault="00B55645">
      <w:pPr>
        <w:pStyle w:val="ManualHeading3"/>
        <w:rPr>
          <w:noProof/>
        </w:rPr>
      </w:pPr>
      <w:bookmarkStart w:id="101" w:name="_Toc424911587"/>
      <w:bookmarkStart w:id="102" w:name="_Toc453345608"/>
      <w:bookmarkStart w:id="103" w:name="_Toc485146211"/>
      <w:bookmarkStart w:id="104" w:name="_Toc485146518"/>
      <w:bookmarkStart w:id="105" w:name="_Toc486928864"/>
      <w:bookmarkStart w:id="106" w:name="_Toc510691079"/>
      <w:bookmarkStart w:id="107" w:name="_Toc13152081"/>
      <w:r>
        <w:rPr>
          <w:noProof/>
        </w:rPr>
        <w:t>4.4.3.</w:t>
      </w:r>
      <w:r>
        <w:rPr>
          <w:noProof/>
        </w:rPr>
        <w:tab/>
        <w:t>Fraud detection rate</w:t>
      </w:r>
      <w:bookmarkEnd w:id="101"/>
      <w:bookmarkEnd w:id="102"/>
      <w:bookmarkEnd w:id="103"/>
      <w:bookmarkEnd w:id="104"/>
      <w:bookmarkEnd w:id="105"/>
      <w:bookmarkEnd w:id="106"/>
      <w:bookmarkEnd w:id="107"/>
    </w:p>
    <w:p w:rsidR="00B83504" w:rsidRDefault="00B55645">
      <w:pPr>
        <w:pStyle w:val="Text1"/>
        <w:ind w:left="0"/>
        <w:rPr>
          <w:noProof/>
        </w:rPr>
      </w:pPr>
      <w:r>
        <w:rPr>
          <w:noProof/>
        </w:rPr>
        <w:t>The fraud detection rate compares the results obtained by Member</w:t>
      </w:r>
      <w:r>
        <w:rPr>
          <w:noProof/>
        </w:rPr>
        <w:t xml:space="preserve"> States in their fight against fraud with the related payments. Considering the multi-annual nature of the cohesion policy spending programmes, no annual analysis is proposed, focusing instead on the whole PP 2007-13, for which the documents for closure ha</w:t>
      </w:r>
      <w:r>
        <w:rPr>
          <w:noProof/>
        </w:rPr>
        <w:t>ve been presented during 2017 (see Table CP 27).</w:t>
      </w:r>
    </w:p>
    <w:p w:rsidR="00B83504" w:rsidRDefault="00B55645">
      <w:pPr>
        <w:pStyle w:val="Text1"/>
        <w:ind w:left="0"/>
        <w:rPr>
          <w:noProof/>
        </w:rPr>
      </w:pPr>
      <w:r>
        <w:rPr>
          <w:noProof/>
        </w:rPr>
        <w:t>The FDR is the highest for Slovakia and Romania, above 1%. Other Member States (Czech Republic, Latvia, Poland, Portugal and Slovenia) show a FDR between 0.5% and 1%.</w:t>
      </w:r>
    </w:p>
    <w:p w:rsidR="00B83504" w:rsidRDefault="00B55645">
      <w:pPr>
        <w:pStyle w:val="Text1"/>
        <w:ind w:left="0"/>
        <w:rPr>
          <w:noProof/>
        </w:rPr>
      </w:pPr>
      <w:r>
        <w:rPr>
          <w:noProof/>
        </w:rPr>
        <w:t>Programmes under the Territorial Coopera</w:t>
      </w:r>
      <w:r>
        <w:rPr>
          <w:noProof/>
        </w:rPr>
        <w:t xml:space="preserve">tion Programme (designated in the table under the country code 'CB', last row before the total) can involve several countries and, therefore, paid amounts are spread among the beneficiaries in various Member States. However, in general, irregularities for </w:t>
      </w:r>
      <w:r>
        <w:rPr>
          <w:noProof/>
        </w:rPr>
        <w:t>these programmes are reported by the Member State in which the expenditure is paid out by the beneficiary in implementing the operation. For this reason, the sums paid have been included in the total, while the irregularities reported as fraudulent and the</w:t>
      </w:r>
      <w:r>
        <w:rPr>
          <w:noProof/>
        </w:rPr>
        <w:t xml:space="preserve"> related amounts have already been computed in relation to the country having reported them. The 'CB' numbers have been included in the table to calculate the FDR related to these programmes, but they are not summed in the total row to avoid a double count</w:t>
      </w:r>
      <w:r>
        <w:rPr>
          <w:noProof/>
        </w:rPr>
        <w:t>ing.</w:t>
      </w:r>
    </w:p>
    <w:p w:rsidR="00B83504" w:rsidRDefault="00B55645">
      <w:pPr>
        <w:pStyle w:val="Text1"/>
        <w:ind w:left="0"/>
        <w:rPr>
          <w:noProof/>
        </w:rPr>
      </w:pPr>
      <w:r>
        <w:rPr>
          <w:noProof/>
        </w:rPr>
        <w:t>Table CP28 shows data about fraud detection in the MS with reference to the ongoing PP 2014-2020. These data are expected to change as implementation progresses. If the trend of the previous PP is confirmed, most of the fraudulent irregularities are s</w:t>
      </w:r>
      <w:r>
        <w:rPr>
          <w:noProof/>
        </w:rPr>
        <w:t>till to be detected. This will be counterbalanced by the growing amounts of payments to the Member States.</w:t>
      </w:r>
      <w:r>
        <w:rPr>
          <w:rStyle w:val="FootnoteReference"/>
          <w:noProof/>
        </w:rPr>
        <w:footnoteReference w:id="44"/>
      </w:r>
      <w:r>
        <w:rPr>
          <w:noProof/>
        </w:rPr>
        <w:t xml:space="preserve"> It is too early to draw any conclusion and the FDR in Table CP28 can not be directly compared with those in Table CP27, but Section 4.1.3 already co</w:t>
      </w:r>
      <w:r>
        <w:rPr>
          <w:noProof/>
        </w:rPr>
        <w:t>ntains a preliminary comparison between PP 2007-2013 and PP 2014-2020.</w:t>
      </w:r>
      <w:r>
        <w:rPr>
          <w:rStyle w:val="FootnoteReference"/>
          <w:noProof/>
        </w:rPr>
        <w:t xml:space="preserve"> </w:t>
      </w:r>
      <w:r>
        <w:rPr>
          <w:rStyle w:val="FootnoteReference"/>
          <w:noProof/>
        </w:rPr>
        <w:footnoteReference w:id="45"/>
      </w:r>
    </w:p>
    <w:p w:rsidR="00B83504" w:rsidRDefault="00B55645">
      <w:pPr>
        <w:pStyle w:val="Text1"/>
        <w:ind w:left="0"/>
        <w:rPr>
          <w:noProof/>
        </w:rPr>
      </w:pPr>
      <w:r>
        <w:rPr>
          <w:noProof/>
          <w:lang w:val="fr-BE" w:eastAsia="fr-BE"/>
        </w:rPr>
        <w:drawing>
          <wp:inline distT="0" distB="0" distL="0" distR="0">
            <wp:extent cx="3686297" cy="5149900"/>
            <wp:effectExtent l="0" t="0" r="9525" b="0"/>
            <wp:docPr id="1092779" name="Picture 109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83763" cy="5146360"/>
                    </a:xfrm>
                    <a:prstGeom prst="rect">
                      <a:avLst/>
                    </a:prstGeom>
                    <a:noFill/>
                    <a:ln>
                      <a:noFill/>
                    </a:ln>
                  </pic:spPr>
                </pic:pic>
              </a:graphicData>
            </a:graphic>
          </wp:inline>
        </w:drawing>
      </w:r>
    </w:p>
    <w:p w:rsidR="00B83504" w:rsidRDefault="00B55645">
      <w:pPr>
        <w:pStyle w:val="Text1"/>
        <w:ind w:left="0"/>
        <w:rPr>
          <w:noProof/>
        </w:rPr>
      </w:pPr>
      <w:r>
        <w:rPr>
          <w:noProof/>
          <w:lang w:val="fr-BE" w:eastAsia="fr-BE"/>
        </w:rPr>
        <w:drawing>
          <wp:inline distT="0" distB="0" distL="0" distR="0">
            <wp:extent cx="3760012" cy="5252884"/>
            <wp:effectExtent l="0" t="0" r="0" b="5080"/>
            <wp:docPr id="1092781" name="Picture 109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59810" cy="5252601"/>
                    </a:xfrm>
                    <a:prstGeom prst="rect">
                      <a:avLst/>
                    </a:prstGeom>
                    <a:noFill/>
                    <a:ln>
                      <a:noFill/>
                    </a:ln>
                  </pic:spPr>
                </pic:pic>
              </a:graphicData>
            </a:graphic>
          </wp:inline>
        </w:drawing>
      </w:r>
    </w:p>
    <w:p w:rsidR="00B83504" w:rsidRDefault="00B83504">
      <w:pPr>
        <w:pStyle w:val="Text1"/>
        <w:ind w:left="0"/>
        <w:rPr>
          <w:noProof/>
        </w:rPr>
      </w:pPr>
    </w:p>
    <w:p w:rsidR="00B83504" w:rsidRDefault="00B55645">
      <w:pPr>
        <w:pStyle w:val="ManualHeading3"/>
        <w:rPr>
          <w:noProof/>
        </w:rPr>
      </w:pPr>
      <w:bookmarkStart w:id="108" w:name="_Toc485146212"/>
      <w:bookmarkStart w:id="109" w:name="_Toc485146519"/>
      <w:bookmarkStart w:id="110" w:name="_Toc486928865"/>
      <w:bookmarkStart w:id="111" w:name="_Toc510691080"/>
      <w:bookmarkStart w:id="112" w:name="_Toc13152082"/>
      <w:r>
        <w:rPr>
          <w:noProof/>
        </w:rPr>
        <w:t>4.4.4.</w:t>
      </w:r>
      <w:r>
        <w:rPr>
          <w:noProof/>
        </w:rPr>
        <w:tab/>
        <w:t>Irregularity Detection Rate</w:t>
      </w:r>
      <w:bookmarkEnd w:id="108"/>
      <w:bookmarkEnd w:id="109"/>
      <w:bookmarkEnd w:id="110"/>
      <w:bookmarkEnd w:id="111"/>
      <w:bookmarkEnd w:id="112"/>
    </w:p>
    <w:p w:rsidR="00B83504" w:rsidRDefault="00B55645">
      <w:pPr>
        <w:pStyle w:val="Text1"/>
        <w:ind w:left="0"/>
        <w:rPr>
          <w:noProof/>
        </w:rPr>
      </w:pPr>
      <w:r>
        <w:rPr>
          <w:noProof/>
        </w:rPr>
        <w:t xml:space="preserve">The irregularity detection rate compares the results obtained by Member States in detecting non-fraudulent irregularities with the related </w:t>
      </w:r>
      <w:r>
        <w:rPr>
          <w:noProof/>
        </w:rPr>
        <w:t>payments. Considering the multi-annual nature of the Cohesion policy spending programmes, no annual analysis is proposed, focusing  instead on the whole programming period 2007-13, for which the documents for closure have been presented during 2017 (see Ta</w:t>
      </w:r>
      <w:r>
        <w:rPr>
          <w:noProof/>
        </w:rPr>
        <w:t>ble CP 29).</w:t>
      </w:r>
    </w:p>
    <w:p w:rsidR="00B83504" w:rsidRDefault="00B55645">
      <w:pPr>
        <w:pStyle w:val="Text1"/>
        <w:ind w:left="0"/>
        <w:rPr>
          <w:noProof/>
        </w:rPr>
      </w:pPr>
      <w:r>
        <w:rPr>
          <w:noProof/>
        </w:rPr>
        <w:t xml:space="preserve">The IDR is the highest for Slovakia (more than 10%) and for Czech Republic, Spain and Greece (between 3% and 5%). </w:t>
      </w:r>
    </w:p>
    <w:p w:rsidR="00B83504" w:rsidRDefault="00B83504">
      <w:pPr>
        <w:pStyle w:val="Text1"/>
        <w:ind w:left="0"/>
        <w:rPr>
          <w:i/>
          <w:noProof/>
        </w:rPr>
      </w:pPr>
    </w:p>
    <w:p w:rsidR="00B83504" w:rsidRDefault="00B55645">
      <w:pPr>
        <w:rPr>
          <w:noProof/>
        </w:rPr>
      </w:pPr>
      <w:r>
        <w:rPr>
          <w:noProof/>
        </w:rPr>
        <w:t xml:space="preserve"> </w:t>
      </w:r>
      <w:r>
        <w:rPr>
          <w:noProof/>
          <w:lang w:val="fr-BE" w:eastAsia="fr-BE"/>
        </w:rPr>
        <w:drawing>
          <wp:inline distT="0" distB="0" distL="0" distR="0">
            <wp:extent cx="3635654" cy="5005822"/>
            <wp:effectExtent l="0" t="0" r="3175" b="4445"/>
            <wp:docPr id="1092783" name="Picture 109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35654" cy="5005822"/>
                    </a:xfrm>
                    <a:prstGeom prst="rect">
                      <a:avLst/>
                    </a:prstGeom>
                    <a:noFill/>
                    <a:ln>
                      <a:noFill/>
                    </a:ln>
                  </pic:spPr>
                </pic:pic>
              </a:graphicData>
            </a:graphic>
          </wp:inline>
        </w:drawing>
      </w:r>
    </w:p>
    <w:p w:rsidR="00B83504" w:rsidRDefault="00B55645">
      <w:pPr>
        <w:pStyle w:val="Text1"/>
        <w:ind w:left="0"/>
        <w:rPr>
          <w:noProof/>
        </w:rPr>
      </w:pPr>
      <w:r>
        <w:rPr>
          <w:noProof/>
        </w:rPr>
        <w:t xml:space="preserve">Programmes under the Territorial Cooperation Programme (designated in the table under the "country-code" 'CB', last row </w:t>
      </w:r>
      <w:r>
        <w:rPr>
          <w:noProof/>
        </w:rPr>
        <w:t>before the total) can involve several countries and, therefore, paid amounts are spread among the beneficiaries in various Member States. However, in general, irregularities for these programmes are reported by the Member State in which expenditure is paid</w:t>
      </w:r>
      <w:r>
        <w:rPr>
          <w:noProof/>
        </w:rPr>
        <w:t xml:space="preserve"> out by the beneficiary in implementing the operation. For this reason, the sums paid have been included in the total, while the irregularities not reported as fraudulent and the related amounts have already been computed in relation to the country having </w:t>
      </w:r>
      <w:r>
        <w:rPr>
          <w:noProof/>
        </w:rPr>
        <w:t>reported them. The 'CB' numbers have been included in the table to calculate the IDR related to these programmes, but they are not summed in the total row to avoid a double counting.</w:t>
      </w:r>
    </w:p>
    <w:p w:rsidR="00B83504" w:rsidRDefault="00B55645">
      <w:pPr>
        <w:pStyle w:val="Text1"/>
        <w:ind w:left="0"/>
        <w:rPr>
          <w:noProof/>
        </w:rPr>
      </w:pPr>
      <w:r>
        <w:rPr>
          <w:noProof/>
        </w:rPr>
        <w:t>Table CP30 shows data about fraud detection in the MS with reference to t</w:t>
      </w:r>
      <w:r>
        <w:rPr>
          <w:noProof/>
        </w:rPr>
        <w:t>he ongoing PP 2014-2020. These data are expected to change as implementation progresses. If the trend of the previous PP is confirmed, most of the fraudulent irregularities are still to be detected. This will be counterbalanced by the growing amounts of pa</w:t>
      </w:r>
      <w:r>
        <w:rPr>
          <w:noProof/>
        </w:rPr>
        <w:t>yments to the Member States. It is to early to draw any conclusion and the IDR in Table CP30 can not be directly compared with those in Table CP29, but Section 4.1.3 already contains a preliminary comparison between PP 2007-2013 and PP 2014-2020.</w:t>
      </w:r>
    </w:p>
    <w:p w:rsidR="00B83504" w:rsidRDefault="00B83504">
      <w:pPr>
        <w:pStyle w:val="Text1"/>
        <w:ind w:left="0"/>
        <w:rPr>
          <w:noProof/>
        </w:rPr>
      </w:pPr>
    </w:p>
    <w:p w:rsidR="00B83504" w:rsidRDefault="00B83504">
      <w:pPr>
        <w:pStyle w:val="Text1"/>
        <w:ind w:left="0"/>
        <w:rPr>
          <w:noProof/>
        </w:rPr>
      </w:pPr>
    </w:p>
    <w:p w:rsidR="00B83504" w:rsidRDefault="00B55645">
      <w:pPr>
        <w:pStyle w:val="Text1"/>
        <w:ind w:left="0"/>
        <w:rPr>
          <w:noProof/>
        </w:rPr>
      </w:pPr>
      <w:r>
        <w:rPr>
          <w:noProof/>
          <w:lang w:val="fr-BE" w:eastAsia="fr-BE"/>
        </w:rPr>
        <w:drawing>
          <wp:inline distT="0" distB="0" distL="0" distR="0">
            <wp:extent cx="3767732" cy="5164531"/>
            <wp:effectExtent l="0" t="0" r="4445" b="0"/>
            <wp:docPr id="1092785" name="Picture 109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65787" cy="5161865"/>
                    </a:xfrm>
                    <a:prstGeom prst="rect">
                      <a:avLst/>
                    </a:prstGeom>
                    <a:noFill/>
                    <a:ln>
                      <a:noFill/>
                    </a:ln>
                  </pic:spPr>
                </pic:pic>
              </a:graphicData>
            </a:graphic>
          </wp:inline>
        </w:drawing>
      </w:r>
    </w:p>
    <w:p w:rsidR="00B83504" w:rsidRDefault="00B55645">
      <w:pPr>
        <w:pStyle w:val="ManualHeading3"/>
        <w:rPr>
          <w:noProof/>
        </w:rPr>
      </w:pPr>
      <w:bookmarkStart w:id="113" w:name="_Toc485146213"/>
      <w:bookmarkStart w:id="114" w:name="_Toc485146520"/>
      <w:bookmarkStart w:id="115" w:name="_Toc486928866"/>
      <w:bookmarkStart w:id="116" w:name="_Toc510691081"/>
      <w:bookmarkStart w:id="117" w:name="_Toc13152083"/>
      <w:r>
        <w:rPr>
          <w:noProof/>
        </w:rPr>
        <w:t>4.4.5</w:t>
      </w:r>
      <w:r>
        <w:rPr>
          <w:noProof/>
        </w:rPr>
        <w:t>.</w:t>
      </w:r>
      <w:r>
        <w:rPr>
          <w:noProof/>
        </w:rPr>
        <w:tab/>
        <w:t>Ratio of established fraud (programming period 2007-13)</w:t>
      </w:r>
      <w:bookmarkEnd w:id="113"/>
      <w:bookmarkEnd w:id="114"/>
      <w:bookmarkEnd w:id="115"/>
      <w:bookmarkEnd w:id="116"/>
      <w:bookmarkEnd w:id="117"/>
    </w:p>
    <w:p w:rsidR="00B83504" w:rsidRDefault="00B55645">
      <w:pPr>
        <w:pStyle w:val="Text1"/>
        <w:ind w:left="0"/>
        <w:rPr>
          <w:noProof/>
        </w:rPr>
      </w:pPr>
      <w:r>
        <w:rPr>
          <w:noProof/>
        </w:rPr>
        <w:t>Table CP31 shows the ratio between the cases of established fraud and the total number of irregularities reported as fraudulent (including suspected and established fraud) in the period 2009-13. Tak</w:t>
      </w:r>
      <w:r>
        <w:rPr>
          <w:noProof/>
        </w:rPr>
        <w:t>ing into account only cases reported in 2018 would be meaningless, as the criminal proceedings leading to a conviction for fraud may take several years, while using the period 2010-14 or later periods would make it impossible to make a sound comparison wit</w:t>
      </w:r>
      <w:r>
        <w:rPr>
          <w:noProof/>
        </w:rPr>
        <w:t>h figures published in the 2013 Report.</w:t>
      </w:r>
    </w:p>
    <w:p w:rsidR="00B83504" w:rsidRDefault="00B55645">
      <w:pPr>
        <w:pStyle w:val="Text1"/>
        <w:ind w:left="0"/>
        <w:rPr>
          <w:noProof/>
        </w:rPr>
      </w:pPr>
      <w:r>
        <w:rPr>
          <w:noProof/>
        </w:rPr>
        <w:t>Table CP31 is integrated with the ‘</w:t>
      </w:r>
      <w:r>
        <w:rPr>
          <w:i/>
          <w:noProof/>
        </w:rPr>
        <w:t>Dismissal ratio</w:t>
      </w:r>
      <w:r>
        <w:rPr>
          <w:noProof/>
        </w:rPr>
        <w:t>’, calculated as the differences between the total number of irregularities reported as fraudulent at the time of the 2013 Report and the total that takes into accoun</w:t>
      </w:r>
      <w:r>
        <w:rPr>
          <w:noProof/>
        </w:rPr>
        <w:t>t the updates received until the end of 2018. A positive ratio means that Member States have classified as ‘suspected’ or ‘established fraud’  irregularities appearing as non-fraudulent in 2013.</w:t>
      </w:r>
    </w:p>
    <w:p w:rsidR="00B83504" w:rsidRDefault="00B55645">
      <w:pPr>
        <w:pStyle w:val="Text1"/>
        <w:ind w:left="0"/>
        <w:rPr>
          <w:noProof/>
        </w:rPr>
      </w:pPr>
      <w:r>
        <w:rPr>
          <w:noProof/>
        </w:rPr>
        <w:t>In this respect, the average ratio of established fraud at EU</w:t>
      </w:r>
      <w:r>
        <w:rPr>
          <w:noProof/>
        </w:rPr>
        <w:t xml:space="preserve"> level is 17%, increasing from 16% of 2017. The dismissal ratio is 15%. This means that the number of cases that had been reported during 2009-2013 that were still classified as fraudulent at the end of 2018 has decreased by 15% from the end of 2013. This </w:t>
      </w:r>
      <w:r>
        <w:rPr>
          <w:noProof/>
        </w:rPr>
        <w:t>decrease may be due to cases that have been cancelled or that have been re-classified as non-fraudulent, which justify taking this measure as a dismissal ratio. However, it must be considered that between 2014 and 2018, a number of cases that had initially</w:t>
      </w:r>
      <w:r>
        <w:rPr>
          <w:noProof/>
        </w:rPr>
        <w:t xml:space="preserve"> been classifed as non-fraudulent may have been re-classified as fraudulent, contributing to compensate at least part of the decrease. If these cases were not considered in the calculation, the dismissal ratio would be higher. Focusing on the cases that ha</w:t>
      </w:r>
      <w:r>
        <w:rPr>
          <w:noProof/>
        </w:rPr>
        <w:t>d been reported during 2009-2013 and that were still classified as fraudulent at the end of 2018 (including irregularities initially classified as non-fraudulent and then re-classified as fraudulent), 17% of them are considered as established fraud (</w:t>
      </w:r>
      <w:r>
        <w:rPr>
          <w:i/>
          <w:noProof/>
        </w:rPr>
        <w:t xml:space="preserve">ratio </w:t>
      </w:r>
      <w:r>
        <w:rPr>
          <w:i/>
          <w:noProof/>
        </w:rPr>
        <w:t>of established fraud</w:t>
      </w:r>
      <w:r>
        <w:rPr>
          <w:noProof/>
        </w:rPr>
        <w:t>).</w:t>
      </w:r>
    </w:p>
    <w:p w:rsidR="00B83504" w:rsidRDefault="00B55645">
      <w:pPr>
        <w:pStyle w:val="Text1"/>
        <w:ind w:left="0"/>
        <w:rPr>
          <w:noProof/>
        </w:rPr>
      </w:pPr>
      <w:r>
        <w:rPr>
          <w:noProof/>
        </w:rPr>
        <w:t>If one considers exclusively the “decisions” (established + dismissed) of the 208 decided cases (102 established fraud and 106 dismissals), 49% is the ‘conviction rate’ and 51% the ‘dismissal rate’.</w:t>
      </w:r>
    </w:p>
    <w:p w:rsidR="00B83504" w:rsidRDefault="00B55645">
      <w:pPr>
        <w:rPr>
          <w:noProof/>
        </w:rPr>
      </w:pPr>
      <w:r>
        <w:rPr>
          <w:noProof/>
          <w:color w:val="FF0000"/>
        </w:rPr>
        <w:t xml:space="preserve"> </w:t>
      </w:r>
      <w:r>
        <w:rPr>
          <w:noProof/>
          <w:lang w:val="fr-BE" w:eastAsia="fr-BE"/>
        </w:rPr>
        <w:drawing>
          <wp:inline distT="0" distB="0" distL="0" distR="0">
            <wp:extent cx="3736586" cy="4506163"/>
            <wp:effectExtent l="0" t="0" r="0" b="8890"/>
            <wp:docPr id="1092786" name="Picture 109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35851" cy="4505277"/>
                    </a:xfrm>
                    <a:prstGeom prst="rect">
                      <a:avLst/>
                    </a:prstGeom>
                    <a:noFill/>
                    <a:ln>
                      <a:noFill/>
                    </a:ln>
                  </pic:spPr>
                </pic:pic>
              </a:graphicData>
            </a:graphic>
          </wp:inline>
        </w:drawing>
      </w:r>
      <w:r>
        <w:rPr>
          <w:noProof/>
        </w:rPr>
        <w:t xml:space="preserve"> </w:t>
      </w:r>
      <w:r>
        <w:rPr>
          <w:noProof/>
        </w:rPr>
        <w:br w:type="page"/>
      </w:r>
    </w:p>
    <w:p w:rsidR="00B83504" w:rsidRDefault="00B55645">
      <w:pPr>
        <w:pStyle w:val="ManualHeading2"/>
        <w:rPr>
          <w:noProof/>
        </w:rPr>
      </w:pPr>
      <w:bookmarkStart w:id="118" w:name="_Toc13152084"/>
      <w:bookmarkStart w:id="119" w:name="_Toc424911592"/>
      <w:bookmarkStart w:id="120" w:name="_Toc453345611"/>
      <w:bookmarkStart w:id="121" w:name="_Toc485146214"/>
      <w:bookmarkStart w:id="122" w:name="_Toc485146521"/>
      <w:bookmarkStart w:id="123" w:name="_Toc486928867"/>
      <w:r>
        <w:rPr>
          <w:noProof/>
        </w:rPr>
        <w:t>4.5 Other shared management F</w:t>
      </w:r>
      <w:r>
        <w:rPr>
          <w:noProof/>
        </w:rPr>
        <w:t>unds</w:t>
      </w:r>
      <w:bookmarkEnd w:id="118"/>
    </w:p>
    <w:p w:rsidR="00B83504" w:rsidRDefault="00B5564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are other funds used under shared management. Table CP32 provides an overview of all the irregularities and related financial amounts that have been reported by the Member States up to 2018 with reference to:</w:t>
      </w:r>
    </w:p>
    <w:p w:rsidR="00B83504" w:rsidRDefault="00B55645">
      <w:pPr>
        <w:pStyle w:val="ListParagraph"/>
        <w:numPr>
          <w:ilvl w:val="0"/>
          <w:numId w:val="13"/>
        </w:numPr>
        <w:spacing w:before="120" w:line="240" w:lineRule="auto"/>
        <w:ind w:left="142" w:hanging="142"/>
        <w:contextualSpacing w:val="0"/>
        <w:jc w:val="both"/>
        <w:rPr>
          <w:rFonts w:ascii="Times New Roman" w:hAnsi="Times New Roman" w:cs="Times New Roman"/>
          <w:noProof/>
          <w:sz w:val="24"/>
          <w:szCs w:val="24"/>
        </w:rPr>
      </w:pPr>
      <w:r>
        <w:rPr>
          <w:rFonts w:ascii="Times New Roman" w:hAnsi="Times New Roman" w:cs="Times New Roman"/>
          <w:i/>
          <w:noProof/>
          <w:sz w:val="24"/>
          <w:szCs w:val="24"/>
        </w:rPr>
        <w:t>Asylum, Migration and Integration Fu</w:t>
      </w:r>
      <w:r>
        <w:rPr>
          <w:rFonts w:ascii="Times New Roman" w:hAnsi="Times New Roman" w:cs="Times New Roman"/>
          <w:i/>
          <w:noProof/>
          <w:sz w:val="24"/>
          <w:szCs w:val="24"/>
        </w:rPr>
        <w:t>nd (AMIF):</w:t>
      </w:r>
      <w:r>
        <w:rPr>
          <w:rFonts w:ascii="Times New Roman" w:hAnsi="Times New Roman" w:cs="Times New Roman"/>
          <w:noProof/>
          <w:sz w:val="24"/>
          <w:szCs w:val="24"/>
        </w:rPr>
        <w:t xml:space="preserve"> This Fund was set up for the period 2014-20, with a total of about EUR 3.1 billion. It is meant to promote the efficient management of migration flows and the implementation, strengthening and development of a common Union approach to asylum and</w:t>
      </w:r>
      <w:r>
        <w:rPr>
          <w:rFonts w:ascii="Times New Roman" w:hAnsi="Times New Roman" w:cs="Times New Roman"/>
          <w:noProof/>
          <w:sz w:val="24"/>
          <w:szCs w:val="24"/>
        </w:rPr>
        <w:t xml:space="preserve"> immigration. The largest share of the total amount of the AMIF (approximately 88%) is to be channelled through shared management. Member States implement their multiannual National Programmes, which are prepared, implemented, monitored and evaluated by th</w:t>
      </w:r>
      <w:r>
        <w:rPr>
          <w:rFonts w:ascii="Times New Roman" w:hAnsi="Times New Roman" w:cs="Times New Roman"/>
          <w:noProof/>
          <w:sz w:val="24"/>
          <w:szCs w:val="24"/>
        </w:rPr>
        <w:t>e responsible national authorities, in partnership with the relevant stakeholders in the field, including the civil society. All Member States except Denmark participate in the implementation of this Fund. Examples of beneficiaries of the programmes implem</w:t>
      </w:r>
      <w:r>
        <w:rPr>
          <w:rFonts w:ascii="Times New Roman" w:hAnsi="Times New Roman" w:cs="Times New Roman"/>
          <w:noProof/>
          <w:sz w:val="24"/>
          <w:szCs w:val="24"/>
        </w:rPr>
        <w:t>ented under this Fund can be state and federal authorities, local public bodies, non-governmental organisations, humanitarian organisations, private and public law companies and education and research organisations.</w:t>
      </w:r>
    </w:p>
    <w:p w:rsidR="00B83504" w:rsidRDefault="00B55645">
      <w:pPr>
        <w:pStyle w:val="ListParagraph"/>
        <w:numPr>
          <w:ilvl w:val="0"/>
          <w:numId w:val="13"/>
        </w:numPr>
        <w:spacing w:before="120" w:line="240" w:lineRule="auto"/>
        <w:ind w:left="142" w:hanging="142"/>
        <w:contextualSpacing w:val="0"/>
        <w:jc w:val="both"/>
        <w:rPr>
          <w:rFonts w:ascii="Times New Roman" w:hAnsi="Times New Roman" w:cs="Times New Roman"/>
          <w:noProof/>
          <w:sz w:val="24"/>
          <w:szCs w:val="24"/>
        </w:rPr>
      </w:pPr>
      <w:r>
        <w:rPr>
          <w:rFonts w:ascii="Times New Roman" w:hAnsi="Times New Roman" w:cs="Times New Roman"/>
          <w:i/>
          <w:noProof/>
          <w:sz w:val="24"/>
          <w:szCs w:val="24"/>
        </w:rPr>
        <w:t>Fund for European Aid to the Most Depriv</w:t>
      </w:r>
      <w:r>
        <w:rPr>
          <w:rFonts w:ascii="Times New Roman" w:hAnsi="Times New Roman" w:cs="Times New Roman"/>
          <w:i/>
          <w:noProof/>
          <w:sz w:val="24"/>
          <w:szCs w:val="24"/>
        </w:rPr>
        <w:t>ed (FEAD):</w:t>
      </w:r>
      <w:r>
        <w:rPr>
          <w:rFonts w:ascii="Times New Roman" w:hAnsi="Times New Roman" w:cs="Times New Roman"/>
          <w:noProof/>
          <w:sz w:val="24"/>
          <w:szCs w:val="24"/>
        </w:rPr>
        <w:t xml:space="preserve"> Over EUR 3.8 billion are earmarked for this Fund for the period 2014-2020. FEAD supports Member States' actions to provide material assistance to the most deprived, including food, clothing and other essential items for personal use. Material as</w:t>
      </w:r>
      <w:r>
        <w:rPr>
          <w:rFonts w:ascii="Times New Roman" w:hAnsi="Times New Roman" w:cs="Times New Roman"/>
          <w:noProof/>
          <w:sz w:val="24"/>
          <w:szCs w:val="24"/>
        </w:rPr>
        <w:t>sistance needs to go hand in hand with social inclusion measures, such as guidance and support to help people out of poverty. National authorities may also support non-material assistance to the most deprived people, to help them integrate better into soci</w:t>
      </w:r>
      <w:r>
        <w:rPr>
          <w:rFonts w:ascii="Times New Roman" w:hAnsi="Times New Roman" w:cs="Times New Roman"/>
          <w:noProof/>
          <w:sz w:val="24"/>
          <w:szCs w:val="24"/>
        </w:rPr>
        <w:t xml:space="preserve">ety. Following the Commission's approval of national programmes, national authorities decide about the delivery of the assistance through partner organisations (public bodies or often non-governmental organisations). </w:t>
      </w:r>
    </w:p>
    <w:p w:rsidR="00B83504" w:rsidRDefault="00B55645">
      <w:pPr>
        <w:pStyle w:val="ListParagraph"/>
        <w:numPr>
          <w:ilvl w:val="0"/>
          <w:numId w:val="13"/>
        </w:numPr>
        <w:spacing w:before="120" w:line="240" w:lineRule="auto"/>
        <w:ind w:left="142" w:hanging="142"/>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i/>
          <w:noProof/>
          <w:sz w:val="24"/>
          <w:szCs w:val="24"/>
        </w:rPr>
        <w:t>European Globalisation Adjustment Fun</w:t>
      </w:r>
      <w:r>
        <w:rPr>
          <w:rFonts w:ascii="Times New Roman" w:hAnsi="Times New Roman" w:cs="Times New Roman"/>
          <w:i/>
          <w:noProof/>
          <w:sz w:val="24"/>
          <w:szCs w:val="24"/>
        </w:rPr>
        <w:t>d (EGF):</w:t>
      </w:r>
      <w:r>
        <w:rPr>
          <w:rFonts w:ascii="Times New Roman" w:hAnsi="Times New Roman" w:cs="Times New Roman"/>
          <w:noProof/>
          <w:sz w:val="24"/>
          <w:szCs w:val="24"/>
        </w:rPr>
        <w:t xml:space="preserve"> This Fund provides support to people losing their jobs as a result of major structural changes in world trade patterns due to globalisation or as a result of the global economic and financial crisis. The EGF has a maximum annual budget of EUR 150 </w:t>
      </w:r>
      <w:r>
        <w:rPr>
          <w:rFonts w:ascii="Times New Roman" w:hAnsi="Times New Roman" w:cs="Times New Roman"/>
          <w:noProof/>
          <w:sz w:val="24"/>
          <w:szCs w:val="24"/>
        </w:rPr>
        <w:t>million for the period 2014-2020. It can fund up to 60% of the cost of projects designed to help workers made redundant find another job or set up their own business. EGF cases are managed and implemented by national or regional authorities. Each project r</w:t>
      </w:r>
      <w:r>
        <w:rPr>
          <w:rFonts w:ascii="Times New Roman" w:hAnsi="Times New Roman" w:cs="Times New Roman"/>
          <w:noProof/>
          <w:sz w:val="24"/>
          <w:szCs w:val="24"/>
        </w:rPr>
        <w:t>uns for 2 years.</w:t>
      </w:r>
    </w:p>
    <w:p w:rsidR="00B83504" w:rsidRDefault="00B55645">
      <w:pPr>
        <w:pStyle w:val="ListParagraph"/>
        <w:numPr>
          <w:ilvl w:val="0"/>
          <w:numId w:val="13"/>
        </w:numPr>
        <w:spacing w:before="120" w:line="240" w:lineRule="auto"/>
        <w:ind w:left="142" w:hanging="142"/>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 xml:space="preserve">Internal Security Fund (ISF): </w:t>
      </w:r>
      <w:r>
        <w:rPr>
          <w:rFonts w:ascii="Times New Roman" w:hAnsi="Times New Roman" w:cs="Times New Roman"/>
          <w:noProof/>
          <w:sz w:val="24"/>
          <w:szCs w:val="24"/>
        </w:rPr>
        <w:t>This fund was set up for the period 2014-20, with a total of EUR 3.8 billion. The Fund promotes the implementation of the Internal Security Strategy, law enforcement cooperation and the management of the Union</w:t>
      </w:r>
      <w:r>
        <w:rPr>
          <w:rFonts w:ascii="Times New Roman" w:hAnsi="Times New Roman" w:cs="Times New Roman"/>
          <w:noProof/>
          <w:sz w:val="24"/>
          <w:szCs w:val="24"/>
        </w:rPr>
        <w:t>'s external borders. The ISF is composed of two instruments, ISF Borders and Visa (B&amp;V) and ISF Police. For the 2014-20 period</w:t>
      </w:r>
    </w:p>
    <w:p w:rsidR="00B83504" w:rsidRDefault="00B55645">
      <w:pPr>
        <w:pStyle w:val="ListParagraph"/>
        <w:numPr>
          <w:ilvl w:val="1"/>
          <w:numId w:val="13"/>
        </w:numPr>
        <w:spacing w:before="120" w:line="240" w:lineRule="auto"/>
        <w:ind w:left="426" w:hanging="284"/>
        <w:contextualSpacing w:val="0"/>
        <w:jc w:val="both"/>
        <w:rPr>
          <w:rFonts w:ascii="Times New Roman" w:hAnsi="Times New Roman" w:cs="Times New Roman"/>
          <w:i/>
          <w:noProof/>
          <w:sz w:val="24"/>
          <w:szCs w:val="24"/>
        </w:rPr>
      </w:pPr>
      <w:r>
        <w:rPr>
          <w:rFonts w:ascii="Times New Roman" w:hAnsi="Times New Roman" w:cs="Times New Roman"/>
          <w:noProof/>
          <w:sz w:val="24"/>
          <w:szCs w:val="24"/>
        </w:rPr>
        <w:t xml:space="preserve">EUR 2.76 billion is available for funding actions under the ISF B&amp;V instrument, of which EUR 1.55 billion are to be channelled </w:t>
      </w:r>
      <w:r>
        <w:rPr>
          <w:rFonts w:ascii="Times New Roman" w:hAnsi="Times New Roman" w:cs="Times New Roman"/>
          <w:noProof/>
          <w:sz w:val="24"/>
          <w:szCs w:val="24"/>
        </w:rPr>
        <w:t>through shared management. All Member States except Ireland and the United Kingdom participate in the implementation;</w:t>
      </w:r>
    </w:p>
    <w:p w:rsidR="00B83504" w:rsidRDefault="00B55645">
      <w:pPr>
        <w:pStyle w:val="ListParagraph"/>
        <w:numPr>
          <w:ilvl w:val="1"/>
          <w:numId w:val="13"/>
        </w:numPr>
        <w:spacing w:before="120" w:line="240" w:lineRule="auto"/>
        <w:ind w:left="426" w:hanging="284"/>
        <w:contextualSpacing w:val="0"/>
        <w:jc w:val="both"/>
        <w:rPr>
          <w:rFonts w:ascii="Times New Roman" w:hAnsi="Times New Roman" w:cs="Times New Roman"/>
          <w:i/>
          <w:noProof/>
          <w:sz w:val="24"/>
          <w:szCs w:val="24"/>
        </w:rPr>
      </w:pPr>
      <w:r>
        <w:rPr>
          <w:rFonts w:ascii="Times New Roman" w:hAnsi="Times New Roman" w:cs="Times New Roman"/>
          <w:noProof/>
          <w:sz w:val="24"/>
          <w:szCs w:val="24"/>
        </w:rPr>
        <w:t>about EUR 1 billion is available for funding actions under the ISF Police instrument, of which EUR 662 million are to be channelled throug</w:t>
      </w:r>
      <w:r>
        <w:rPr>
          <w:rFonts w:ascii="Times New Roman" w:hAnsi="Times New Roman" w:cs="Times New Roman"/>
          <w:noProof/>
          <w:sz w:val="24"/>
          <w:szCs w:val="24"/>
        </w:rPr>
        <w:t>h shared management. All Member States except Denmark and the United Kingdom participate in the implementation.</w:t>
      </w:r>
    </w:p>
    <w:p w:rsidR="00B83504" w:rsidRDefault="00B55645">
      <w:pPr>
        <w:pStyle w:val="ListParagraph"/>
        <w:numPr>
          <w:ilvl w:val="0"/>
          <w:numId w:val="13"/>
        </w:numPr>
        <w:spacing w:before="120" w:line="240" w:lineRule="auto"/>
        <w:ind w:left="142" w:hanging="142"/>
        <w:contextualSpacing w:val="0"/>
        <w:jc w:val="both"/>
        <w:rPr>
          <w:rFonts w:ascii="Times New Roman" w:hAnsi="Times New Roman" w:cs="Times New Roman"/>
          <w:i/>
          <w:noProof/>
          <w:sz w:val="24"/>
          <w:szCs w:val="24"/>
        </w:rPr>
      </w:pPr>
      <w:r>
        <w:rPr>
          <w:rFonts w:ascii="Times New Roman" w:hAnsi="Times New Roman" w:cs="Times New Roman"/>
          <w:i/>
          <w:noProof/>
          <w:sz w:val="24"/>
          <w:szCs w:val="24"/>
        </w:rPr>
        <w:t xml:space="preserve">Youth Employment Initiative (YEI): </w:t>
      </w:r>
      <w:r>
        <w:rPr>
          <w:rFonts w:ascii="Times New Roman" w:hAnsi="Times New Roman" w:cs="Times New Roman"/>
          <w:noProof/>
          <w:sz w:val="24"/>
          <w:szCs w:val="24"/>
        </w:rPr>
        <w:t>While supporting the Youth Guarantee, YEI is targeted to young people who are not in education, employment or</w:t>
      </w:r>
      <w:r>
        <w:rPr>
          <w:rFonts w:ascii="Times New Roman" w:hAnsi="Times New Roman" w:cs="Times New Roman"/>
          <w:noProof/>
          <w:sz w:val="24"/>
          <w:szCs w:val="24"/>
        </w:rPr>
        <w:t xml:space="preserve"> training (NEETs), including the long-term unemployed or those not registered as job-seekers. It ensures that in parts of Europe where the challenges are most acute, young people can receive targeted support. The total budget of the YEI is EUR 8.8 billion </w:t>
      </w:r>
      <w:r>
        <w:rPr>
          <w:rFonts w:ascii="Times New Roman" w:hAnsi="Times New Roman" w:cs="Times New Roman"/>
          <w:noProof/>
          <w:sz w:val="24"/>
          <w:szCs w:val="24"/>
        </w:rPr>
        <w:t xml:space="preserve">for the period 2014-2020. Of the total budget of EUR 8.8 billion, EUR 4.4 billion comes from a dedicated Youth Employment budget line, which is complemented by EUR 4.4 billion more from ESF national allocations. </w:t>
      </w:r>
    </w:p>
    <w:p w:rsidR="00B83504" w:rsidRDefault="00B55645">
      <w:pPr>
        <w:pStyle w:val="Text1"/>
        <w:ind w:left="0"/>
        <w:rPr>
          <w:noProof/>
        </w:rPr>
      </w:pPr>
      <w:r>
        <w:rPr>
          <w:noProof/>
        </w:rPr>
        <w:t xml:space="preserve"> </w:t>
      </w:r>
      <w:r>
        <w:rPr>
          <w:noProof/>
          <w:lang w:val="fr-BE" w:eastAsia="fr-BE"/>
        </w:rPr>
        <w:drawing>
          <wp:inline distT="0" distB="0" distL="0" distR="0">
            <wp:extent cx="4630521" cy="1380807"/>
            <wp:effectExtent l="0" t="0" r="0" b="0"/>
            <wp:docPr id="1092788" name="Picture 109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30778" cy="1380884"/>
                    </a:xfrm>
                    <a:prstGeom prst="rect">
                      <a:avLst/>
                    </a:prstGeom>
                    <a:noFill/>
                    <a:ln>
                      <a:noFill/>
                    </a:ln>
                  </pic:spPr>
                </pic:pic>
              </a:graphicData>
            </a:graphic>
          </wp:inline>
        </w:drawing>
      </w:r>
    </w:p>
    <w:bookmarkEnd w:id="119"/>
    <w:bookmarkEnd w:id="120"/>
    <w:bookmarkEnd w:id="121"/>
    <w:bookmarkEnd w:id="122"/>
    <w:bookmarkEnd w:id="123"/>
    <w:p w:rsidR="00B83504" w:rsidRDefault="00B83504">
      <w:pPr>
        <w:pStyle w:val="Text1"/>
        <w:ind w:left="0"/>
        <w:rPr>
          <w:noProof/>
        </w:rPr>
      </w:pPr>
    </w:p>
    <w:sectPr w:rsidR="00B83504">
      <w:headerReference w:type="even" r:id="rId119"/>
      <w:headerReference w:type="default" r:id="rId120"/>
      <w:footerReference w:type="even" r:id="rId121"/>
      <w:footerReference w:type="default" r:id="rId122"/>
      <w:headerReference w:type="first" r:id="rId123"/>
      <w:footerReference w:type="first" r:id="rId124"/>
      <w:footnotePr>
        <w:numStart w:val="85"/>
      </w:footnotePr>
      <w:pgSz w:w="11906" w:h="16838"/>
      <w:pgMar w:top="1440" w:right="1416"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504" w:rsidRDefault="00B55645">
      <w:pPr>
        <w:spacing w:after="0" w:line="240" w:lineRule="auto"/>
      </w:pPr>
      <w:r>
        <w:separator/>
      </w:r>
    </w:p>
  </w:endnote>
  <w:endnote w:type="continuationSeparator" w:id="0">
    <w:p w:rsidR="00B83504" w:rsidRDefault="00B55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DokChampa">
    <w:altName w:val="Microsoft Sans Serif"/>
    <w:panose1 w:val="020B0604020202020204"/>
    <w:charset w:val="00"/>
    <w:family w:val="swiss"/>
    <w:pitch w:val="variable"/>
    <w:sig w:usb0="03000003"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461091"/>
      <w:docPartObj>
        <w:docPartGallery w:val="Page Numbers (Bottom of Page)"/>
        <w:docPartUnique/>
      </w:docPartObj>
    </w:sdtPr>
    <w:sdtEndPr>
      <w:rPr>
        <w:noProof/>
      </w:rPr>
    </w:sdtEndPr>
    <w:sdtContent>
      <w:p w:rsidR="00B83504" w:rsidRDefault="00B55645">
        <w:pPr>
          <w:pStyle w:val="Footer"/>
          <w:jc w:val="right"/>
        </w:pPr>
        <w:r>
          <w:fldChar w:fldCharType="begin"/>
        </w:r>
        <w:r>
          <w:instrText xml:space="preserve"> PAGE   \* MERGEFORMAT </w:instrText>
        </w:r>
        <w:r>
          <w:fldChar w:fldCharType="separate"/>
        </w:r>
        <w:r>
          <w:rPr>
            <w:noProof/>
          </w:rPr>
          <w:t>99</w:t>
        </w:r>
        <w:r>
          <w:rPr>
            <w:noProof/>
          </w:rPr>
          <w:fldChar w:fldCharType="end"/>
        </w:r>
      </w:p>
    </w:sdtContent>
  </w:sdt>
  <w:p w:rsidR="00B83504" w:rsidRDefault="00B8350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0631943"/>
      <w:docPartObj>
        <w:docPartGallery w:val="Page Numbers (Bottom of Page)"/>
        <w:docPartUnique/>
      </w:docPartObj>
    </w:sdtPr>
    <w:sdtEndPr>
      <w:rPr>
        <w:noProof/>
      </w:rPr>
    </w:sdtEndPr>
    <w:sdtContent>
      <w:p w:rsidR="00B83504" w:rsidRDefault="00B55645">
        <w:pPr>
          <w:pStyle w:val="Footer"/>
          <w:jc w:val="right"/>
        </w:pPr>
        <w:r>
          <w:fldChar w:fldCharType="begin"/>
        </w:r>
        <w:r>
          <w:instrText xml:space="preserve"> PAGE   \* MERGEFORMAT </w:instrText>
        </w:r>
        <w:r>
          <w:fldChar w:fldCharType="separate"/>
        </w:r>
        <w:r>
          <w:rPr>
            <w:noProof/>
          </w:rPr>
          <w:t>101</w:t>
        </w:r>
        <w:r>
          <w:rPr>
            <w:noProof/>
          </w:rPr>
          <w:fldChar w:fldCharType="end"/>
        </w:r>
      </w:p>
    </w:sdtContent>
  </w:sdt>
  <w:p w:rsidR="00B83504" w:rsidRDefault="00B8350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417967"/>
      <w:docPartObj>
        <w:docPartGallery w:val="Page Numbers (Bottom of Page)"/>
        <w:docPartUnique/>
      </w:docPartObj>
    </w:sdtPr>
    <w:sdtEndPr>
      <w:rPr>
        <w:noProof/>
      </w:rPr>
    </w:sdtEndPr>
    <w:sdtContent>
      <w:p w:rsidR="00B83504" w:rsidRDefault="00B55645">
        <w:pPr>
          <w:pStyle w:val="Footer"/>
          <w:jc w:val="right"/>
        </w:pPr>
        <w:r>
          <w:fldChar w:fldCharType="begin"/>
        </w:r>
        <w:r>
          <w:instrText xml:space="preserve"> PAGE   \* MERGEFORMAT </w:instrText>
        </w:r>
        <w:r>
          <w:fldChar w:fldCharType="separate"/>
        </w:r>
        <w:r>
          <w:rPr>
            <w:noProof/>
          </w:rPr>
          <w:t>120</w:t>
        </w:r>
        <w:r>
          <w:rPr>
            <w:noProof/>
          </w:rPr>
          <w:fldChar w:fldCharType="end"/>
        </w:r>
      </w:p>
    </w:sdtContent>
  </w:sdt>
  <w:p w:rsidR="00B83504" w:rsidRDefault="00B8350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55645">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0718628"/>
      <w:docPartObj>
        <w:docPartGallery w:val="Page Numbers (Bottom of Page)"/>
        <w:docPartUnique/>
      </w:docPartObj>
    </w:sdtPr>
    <w:sdtEndPr>
      <w:rPr>
        <w:noProof/>
      </w:rPr>
    </w:sdtEndPr>
    <w:sdtContent>
      <w:p w:rsidR="00B83504" w:rsidRDefault="00B55645">
        <w:pPr>
          <w:pStyle w:val="Footer"/>
          <w:jc w:val="right"/>
        </w:pPr>
        <w:r>
          <w:fldChar w:fldCharType="begin"/>
        </w:r>
        <w:r>
          <w:instrText xml:space="preserve"> PAGE   \* MERGEFORMAT </w:instrText>
        </w:r>
        <w:r>
          <w:fldChar w:fldCharType="separate"/>
        </w:r>
        <w:r>
          <w:rPr>
            <w:noProof/>
          </w:rPr>
          <w:t>54</w:t>
        </w:r>
        <w:r>
          <w:rPr>
            <w:noProof/>
          </w:rPr>
          <w:fldChar w:fldCharType="end"/>
        </w:r>
      </w:p>
    </w:sdtContent>
  </w:sdt>
  <w:p w:rsidR="00B83504" w:rsidRDefault="00B8350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7727409"/>
      <w:docPartObj>
        <w:docPartGallery w:val="Page Numbers (Bottom of Page)"/>
        <w:docPartUnique/>
      </w:docPartObj>
    </w:sdtPr>
    <w:sdtEndPr>
      <w:rPr>
        <w:noProof/>
      </w:rPr>
    </w:sdtEndPr>
    <w:sdtContent>
      <w:p w:rsidR="00B83504" w:rsidRDefault="00B55645">
        <w:pPr>
          <w:pStyle w:val="Footer"/>
          <w:jc w:val="right"/>
        </w:pPr>
        <w:r>
          <w:fldChar w:fldCharType="begin"/>
        </w:r>
        <w:r>
          <w:instrText xml:space="preserve"> PAGE   \* MERGEFORMAT </w:instrText>
        </w:r>
        <w:r>
          <w:fldChar w:fldCharType="separate"/>
        </w:r>
        <w:r>
          <w:rPr>
            <w:noProof/>
          </w:rPr>
          <w:t>98</w:t>
        </w:r>
        <w:r>
          <w:rPr>
            <w:noProof/>
          </w:rPr>
          <w:fldChar w:fldCharType="end"/>
        </w:r>
      </w:p>
    </w:sdtContent>
  </w:sdt>
  <w:p w:rsidR="00B83504" w:rsidRDefault="00B8350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504" w:rsidRDefault="00B55645">
      <w:pPr>
        <w:spacing w:after="0" w:line="240" w:lineRule="auto"/>
      </w:pPr>
      <w:r>
        <w:separator/>
      </w:r>
    </w:p>
  </w:footnote>
  <w:footnote w:type="continuationSeparator" w:id="0">
    <w:p w:rsidR="00B83504" w:rsidRDefault="00B55645">
      <w:pPr>
        <w:spacing w:after="0" w:line="240" w:lineRule="auto"/>
      </w:pPr>
      <w:r>
        <w:continuationSeparator/>
      </w:r>
    </w:p>
  </w:footnote>
  <w:footnote w:id="1">
    <w:p w:rsidR="00B83504" w:rsidRDefault="00B55645">
      <w:pPr>
        <w:pStyle w:val="FootnoteText"/>
        <w:spacing w:before="6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Expenditure through EAFRD is considered in Section 3 'Common Agricultural Policy', when focusing on rural development.</w:t>
      </w:r>
    </w:p>
  </w:footnote>
  <w:footnote w:id="2">
    <w:p w:rsidR="00B83504" w:rsidRDefault="00B55645">
      <w:pPr>
        <w:pStyle w:val="FootnoteText"/>
        <w:spacing w:before="60"/>
        <w:rPr>
          <w:rFonts w:ascii="Times New Roman" w:hAnsi="Times New Roman" w:cs="Times New Roman"/>
        </w:rPr>
      </w:pPr>
      <w:r>
        <w:rPr>
          <w:rStyle w:val="FootnoteReference"/>
        </w:rPr>
        <w:footnoteRef/>
      </w:r>
      <w:r>
        <w:t xml:space="preserve"> </w:t>
      </w:r>
      <w:r>
        <w:rPr>
          <w:rFonts w:ascii="Times New Roman" w:hAnsi="Times New Roman" w:cs="Times New Roman"/>
        </w:rPr>
        <w:t>In 2011 prices.</w:t>
      </w:r>
    </w:p>
  </w:footnote>
  <w:footnote w:id="3">
    <w:p w:rsidR="00B83504" w:rsidRDefault="00B55645">
      <w:pPr>
        <w:pStyle w:val="FootnoteText"/>
        <w:spacing w:before="6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a description of the objectives of the programming period 2007-13, see the Commission Staff Working Document</w:t>
      </w:r>
      <w:r>
        <w:rPr>
          <w:rFonts w:ascii="Times New Roman" w:hAnsi="Times New Roman" w:cs="Times New Roman"/>
        </w:rPr>
        <w:t xml:space="preserve"> ‘</w:t>
      </w:r>
      <w:r>
        <w:rPr>
          <w:rFonts w:ascii="Times New Roman" w:hAnsi="Times New Roman" w:cs="Times New Roman"/>
          <w:i/>
        </w:rPr>
        <w:t>Statistical evaluation of irregularities reported for 2014 Own Resources, Natural Resources, Cohesion Policy, Pre-accession and Direct expenditure</w:t>
      </w:r>
      <w:r>
        <w:rPr>
          <w:rFonts w:ascii="Times New Roman" w:hAnsi="Times New Roman" w:cs="Times New Roman"/>
        </w:rPr>
        <w:t>’, Section 5, pages 48-49.</w:t>
      </w:r>
    </w:p>
  </w:footnote>
  <w:footnote w:id="4">
    <w:p w:rsidR="00B83504" w:rsidRDefault="00B55645">
      <w:pPr>
        <w:pStyle w:val="FootnoteText"/>
        <w:spacing w:before="60"/>
        <w:jc w:val="both"/>
      </w:pPr>
      <w:r>
        <w:rPr>
          <w:rStyle w:val="FootnoteReference"/>
        </w:rPr>
        <w:footnoteRef/>
      </w:r>
      <w:r>
        <w:t xml:space="preserve"> </w:t>
      </w:r>
      <w:r>
        <w:rPr>
          <w:rFonts w:ascii="Times New Roman" w:hAnsi="Times New Roman" w:cs="Times New Roman"/>
        </w:rPr>
        <w:t xml:space="preserve">When inputting a case, the contributor is requested to specify the currency in </w:t>
      </w:r>
      <w:r>
        <w:rPr>
          <w:rFonts w:ascii="Times New Roman" w:hAnsi="Times New Roman" w:cs="Times New Roman"/>
        </w:rPr>
        <w:t>which the amounts are expressed. Where the value of this field is 'EUR' or the field has been left blank, no transformation is applied. Where this field has been filled with another currency, the financial amounts involved in the irregularity have been tra</w:t>
      </w:r>
      <w:r>
        <w:rPr>
          <w:rFonts w:ascii="Times New Roman" w:hAnsi="Times New Roman" w:cs="Times New Roman"/>
        </w:rPr>
        <w:t>nsformed on the basis of the exchange rates published by the ECB at the beginning of 2019.</w:t>
      </w:r>
    </w:p>
  </w:footnote>
  <w:footnote w:id="5">
    <w:p w:rsidR="00B83504" w:rsidRDefault="00B55645">
      <w:pPr>
        <w:pStyle w:val="FootnoteText"/>
        <w:spacing w:before="60"/>
        <w:jc w:val="both"/>
      </w:pPr>
      <w:r>
        <w:rPr>
          <w:rStyle w:val="FootnoteReference"/>
        </w:rPr>
        <w:footnoteRef/>
      </w:r>
      <w:r>
        <w:t xml:space="preserve"> </w:t>
      </w:r>
      <w:r>
        <w:rPr>
          <w:rFonts w:ascii="Times New Roman" w:hAnsi="Times New Roman" w:cs="Times New Roman"/>
        </w:rPr>
        <w:t>See Sections 8.1 and 9.3 of the '</w:t>
      </w:r>
      <w:r>
        <w:rPr>
          <w:rFonts w:ascii="Times New Roman" w:hAnsi="Times New Roman" w:cs="Times New Roman"/>
          <w:i/>
        </w:rPr>
        <w:t>Handbook on Reporting of Irregularities in shared management</w:t>
      </w:r>
      <w:r>
        <w:rPr>
          <w:rFonts w:ascii="Times New Roman" w:hAnsi="Times New Roman" w:cs="Times New Roman"/>
        </w:rPr>
        <w:t>'.</w:t>
      </w:r>
      <w:r>
        <w:t xml:space="preserve"> </w:t>
      </w:r>
    </w:p>
  </w:footnote>
  <w:footnote w:id="6">
    <w:p w:rsidR="00B83504" w:rsidRDefault="00B55645">
      <w:pPr>
        <w:pStyle w:val="FootnoteText"/>
        <w:spacing w:before="60"/>
        <w:rPr>
          <w:rFonts w:ascii="Times New Roman" w:hAnsi="Times New Roman" w:cs="Times New Roman"/>
        </w:rPr>
      </w:pPr>
      <w:r>
        <w:rPr>
          <w:rStyle w:val="FootnoteReference"/>
        </w:rPr>
        <w:footnoteRef/>
      </w:r>
      <w:r>
        <w:t xml:space="preserve"> </w:t>
      </w:r>
      <w:r>
        <w:rPr>
          <w:rFonts w:ascii="Times New Roman" w:hAnsi="Times New Roman" w:cs="Times New Roman"/>
        </w:rPr>
        <w:t>Data for this analysis has been downloaded from the Irregulariti</w:t>
      </w:r>
      <w:r>
        <w:rPr>
          <w:rFonts w:ascii="Times New Roman" w:hAnsi="Times New Roman" w:cs="Times New Roman"/>
        </w:rPr>
        <w:t>es Management System (IMS) on 15/3/2019.</w:t>
      </w:r>
    </w:p>
  </w:footnote>
  <w:footnote w:id="7">
    <w:p w:rsidR="00B83504" w:rsidRDefault="00B55645">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Luxembourg and Malta did not report any irregularity below the threshold.</w:t>
      </w:r>
    </w:p>
  </w:footnote>
  <w:footnote w:id="8">
    <w:p w:rsidR="00B83504" w:rsidRDefault="00B55645">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When support is based on multi-annual programmes, it can be expected that the number of irregularities increases around the end of the </w:t>
      </w:r>
      <w:r>
        <w:rPr>
          <w:rFonts w:ascii="Times New Roman" w:hAnsi="Times New Roman" w:cs="Times New Roman"/>
        </w:rPr>
        <w:t>eligibility period and decreases afterwards, when routine controls are less intense. In general, it should be kept in mind that increases in the number of reported irregularities can be influenced by detection capacity building by the Member State.</w:t>
      </w:r>
    </w:p>
  </w:footnote>
  <w:footnote w:id="9">
    <w:p w:rsidR="00B83504" w:rsidRDefault="00B55645">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There</w:t>
      </w:r>
      <w:r>
        <w:rPr>
          <w:rFonts w:ascii="Times New Roman" w:hAnsi="Times New Roman" w:cs="Times New Roman"/>
        </w:rPr>
        <w:t xml:space="preserve"> were just 32 cases over EUR 20 million accounting for 24% of the financial amounts.</w:t>
      </w:r>
    </w:p>
  </w:footnote>
  <w:footnote w:id="10">
    <w:p w:rsidR="00B83504" w:rsidRDefault="00B55645">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Only cases with financial amounts involved greater that EUR 10 000 are considered (about reporting of cases below the reporting threshold, see first part of this Section</w:t>
      </w:r>
      <w:r>
        <w:rPr>
          <w:rFonts w:ascii="Times New Roman" w:hAnsi="Times New Roman" w:cs="Times New Roman"/>
        </w:rPr>
        <w:t xml:space="preserve">). The remaining cases reported in 2014-2018 were split by fund and then sorted by financial amount involved in the irregularity. Then, separately for each fund, the largest (1%) and the smallest (1%) of these cases were excluded. </w:t>
      </w:r>
    </w:p>
  </w:footnote>
  <w:footnote w:id="11">
    <w:p w:rsidR="00B83504" w:rsidRDefault="00B55645">
      <w:pPr>
        <w:pStyle w:val="FootnoteText"/>
        <w:spacing w:before="60"/>
        <w:rPr>
          <w:rFonts w:ascii="Times New Roman" w:hAnsi="Times New Roman" w:cs="Times New Roman"/>
        </w:rPr>
      </w:pPr>
      <w:r>
        <w:rPr>
          <w:rStyle w:val="FootnoteReference"/>
        </w:rPr>
        <w:footnoteRef/>
      </w:r>
      <w:r>
        <w:t xml:space="preserve"> </w:t>
      </w:r>
      <w:r>
        <w:rPr>
          <w:rFonts w:ascii="Times New Roman" w:hAnsi="Times New Roman" w:cs="Times New Roman"/>
        </w:rPr>
        <w:t>To this aim, the set o</w:t>
      </w:r>
      <w:r>
        <w:rPr>
          <w:rFonts w:ascii="Times New Roman" w:hAnsi="Times New Roman" w:cs="Times New Roman"/>
        </w:rPr>
        <w:t>f data at the basis of CP5a and CP5b has been split between fraudulent (CP6a and CP6b) and not fraudulent (CP6c and CP6d) irregularities.</w:t>
      </w:r>
    </w:p>
  </w:footnote>
  <w:footnote w:id="12">
    <w:p w:rsidR="00B83504" w:rsidRDefault="00B55645">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Report from the Commission to the European Parliament and the Council – 29</w:t>
      </w:r>
      <w:r>
        <w:rPr>
          <w:rFonts w:ascii="Times New Roman" w:hAnsi="Times New Roman" w:cs="Times New Roman"/>
          <w:vertAlign w:val="superscript"/>
        </w:rPr>
        <w:t>th</w:t>
      </w:r>
      <w:r>
        <w:rPr>
          <w:rFonts w:ascii="Times New Roman" w:hAnsi="Times New Roman" w:cs="Times New Roman"/>
        </w:rPr>
        <w:t xml:space="preserve"> Annual Report on the Protection of the </w:t>
      </w:r>
      <w:r>
        <w:rPr>
          <w:rFonts w:ascii="Times New Roman" w:hAnsi="Times New Roman" w:cs="Times New Roman"/>
        </w:rPr>
        <w:t xml:space="preserve">European Union's Financial Interests – Fight against Fraud – 2017', COM(2018)553 </w:t>
      </w:r>
    </w:p>
  </w:footnote>
  <w:footnote w:id="13">
    <w:p w:rsidR="00B83504" w:rsidRDefault="00B55645">
      <w:pPr>
        <w:pStyle w:val="FootnoteText"/>
        <w:spacing w:before="6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Meaning an irregularity where the financial amounts involved exceeded EUR 10 million. Getting a broader view, it can be noticed that two irregularities reported by Portugal</w:t>
      </w:r>
      <w:r>
        <w:rPr>
          <w:rFonts w:ascii="Times New Roman" w:hAnsi="Times New Roman" w:cs="Times New Roman"/>
        </w:rPr>
        <w:t>, accounted together for nearly EUR 20 million.</w:t>
      </w:r>
    </w:p>
  </w:footnote>
  <w:footnote w:id="14">
    <w:p w:rsidR="00B83504" w:rsidRDefault="00B55645">
      <w:pPr>
        <w:pStyle w:val="FootnoteText"/>
        <w:spacing w:before="6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time, the irregularity reported as fraudulent involved more than EUR 30 million.</w:t>
      </w:r>
    </w:p>
  </w:footnote>
  <w:footnote w:id="15">
    <w:p w:rsidR="00B83504" w:rsidRDefault="00B55645">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CF spending takes longer to implement, typically involving large infrastructure and environmental projects. Spending stretches until the very end of the eligibility period (i.e. 2015). Controls continue during the spending years. Spending under ERDF reache</w:t>
      </w:r>
      <w:r>
        <w:rPr>
          <w:rFonts w:ascii="Times New Roman" w:hAnsi="Times New Roman" w:cs="Times New Roman"/>
        </w:rPr>
        <w:t xml:space="preserve">d the 95% ceiling earlier for some MS, who stopped declaring expenditure until closure. This may have an impact on the timing of detection of the irregularities. </w:t>
      </w:r>
    </w:p>
  </w:footnote>
  <w:footnote w:id="16">
    <w:p w:rsidR="00B83504" w:rsidRDefault="00B55645">
      <w:pPr>
        <w:pStyle w:val="FootnoteText"/>
        <w:jc w:val="both"/>
      </w:pPr>
      <w:r>
        <w:rPr>
          <w:rStyle w:val="FootnoteReference"/>
        </w:rPr>
        <w:footnoteRef/>
      </w:r>
      <w:r>
        <w:t xml:space="preserve"> </w:t>
      </w:r>
      <w:r>
        <w:rPr>
          <w:rFonts w:ascii="Times New Roman" w:hAnsi="Times New Roman" w:cs="Times New Roman"/>
        </w:rPr>
        <w:t>Tables CP10 and CP11 include irregularities on the basis of the year to which the irregular</w:t>
      </w:r>
      <w:r>
        <w:rPr>
          <w:rFonts w:ascii="Times New Roman" w:hAnsi="Times New Roman" w:cs="Times New Roman"/>
        </w:rPr>
        <w:t>ity is associated, regardless of when it is reported. Typically, the irregularities reported during the first months of year x+1 refer to the year x. However, there can be cases where an irregularity reported later during the year x+1 is still associated t</w:t>
      </w:r>
      <w:r>
        <w:rPr>
          <w:rFonts w:ascii="Times New Roman" w:hAnsi="Times New Roman" w:cs="Times New Roman"/>
        </w:rPr>
        <w:t>o year x. In order to take this factor into consideration, all subsequent comparisons are based on irregularities associated to the first 5 years of implementation (2007-2011 – for PP 2007-2013 - or 2014-2018 – for PP 2014-2020) AND reported by the 15/3/20</w:t>
      </w:r>
      <w:r>
        <w:rPr>
          <w:rFonts w:ascii="Times New Roman" w:hAnsi="Times New Roman" w:cs="Times New Roman"/>
        </w:rPr>
        <w:t>12 (for PP 2007-2013) or 15/3/2019 (for PP 2014-2020).See also next footnote. Together with inclusion or not of the fisheries policy, this justifies differences between figures reported in Tables CP10 and CP11 and figures reported later in this report.</w:t>
      </w:r>
    </w:p>
  </w:footnote>
  <w:footnote w:id="17">
    <w:p w:rsidR="00B83504" w:rsidRDefault="00B55645">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F</w:t>
      </w:r>
      <w:r>
        <w:rPr>
          <w:rFonts w:ascii="Times New Roman" w:hAnsi="Times New Roman" w:cs="Times New Roman"/>
        </w:rPr>
        <w:t>or PP 2014-2020, irregularities reported until 15/3/2019 - which is the date when data was extracted from IMS for the analysis – are considered. This does not include irregularities referring to the year 2019. For PP 2007-2013, irregularities reported unti</w:t>
      </w:r>
      <w:r>
        <w:rPr>
          <w:rFonts w:ascii="Times New Roman" w:hAnsi="Times New Roman" w:cs="Times New Roman"/>
        </w:rPr>
        <w:t>l 15/3/2012 are considered. This does not include irregularities referring to the year 2012 or later.</w:t>
      </w:r>
    </w:p>
  </w:footnote>
  <w:footnote w:id="18">
    <w:p w:rsidR="00B83504" w:rsidRDefault="00B55645">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For example, it is possible that data related to PP 2014-2020 now includes a number of irregularities that during the next years will be cancelled (as i</w:t>
      </w:r>
      <w:r>
        <w:rPr>
          <w:rFonts w:ascii="Times New Roman" w:hAnsi="Times New Roman" w:cs="Times New Roman"/>
        </w:rPr>
        <w:t>nvestigations will possibly ascertain that no irregularity was committed). Irregularities related to PP 2007-2013 have already undergone this process, as we are considering them after 8-12 years from their initial reporting. The same applies to the classif</w:t>
      </w:r>
      <w:r>
        <w:rPr>
          <w:rFonts w:ascii="Times New Roman" w:hAnsi="Times New Roman" w:cs="Times New Roman"/>
        </w:rPr>
        <w:t>ication as fraudulent or non-fraudulent, etc.</w:t>
      </w:r>
    </w:p>
  </w:footnote>
  <w:footnote w:id="19">
    <w:p w:rsidR="00B83504" w:rsidRDefault="00B55645">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Germany reported about 30 fraudulent irregularities towards the end of the third year of implementation of PP 2007-2013, which is the reason for the jump of the related curve in Graph CP9c). A similar pattern</w:t>
      </w:r>
      <w:r>
        <w:rPr>
          <w:rFonts w:ascii="Times New Roman" w:hAnsi="Times New Roman" w:cs="Times New Roman"/>
        </w:rPr>
        <w:t xml:space="preserve"> did not emerge in PP 2014-2020.</w:t>
      </w:r>
    </w:p>
  </w:footnote>
  <w:footnote w:id="20">
    <w:p w:rsidR="00B83504" w:rsidRDefault="00B55645">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It should be considered that with PP 2014-2020, an annual accounts system has been introduced. The accounting year starts on 1 July and ends on 30 June (except for the first accounting period). This might have changed the</w:t>
      </w:r>
      <w:r>
        <w:rPr>
          <w:rFonts w:ascii="Times New Roman" w:hAnsi="Times New Roman" w:cs="Times New Roman"/>
        </w:rPr>
        <w:t xml:space="preserve"> time gap between actual occurrence of expenses and interim payments by the EC. If it increased, at least part of the difference of the trends in interim payments for the 2 programming periods may be due to the difference in the reimbursement mechanisms ra</w:t>
      </w:r>
      <w:r>
        <w:rPr>
          <w:rFonts w:ascii="Times New Roman" w:hAnsi="Times New Roman" w:cs="Times New Roman"/>
        </w:rPr>
        <w:t>ther than actual implementation delays.</w:t>
      </w:r>
    </w:p>
  </w:footnote>
  <w:footnote w:id="21">
    <w:p w:rsidR="00B83504" w:rsidRDefault="00B55645">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As mentioned, with PP 2014-2020, an annual accounts system has been introduced. In this new framework, reimbursement of interim payments is limited to 90 % of the amount resulting from applying the relevant co-fina</w:t>
      </w:r>
      <w:r>
        <w:rPr>
          <w:rFonts w:ascii="Times New Roman" w:hAnsi="Times New Roman" w:cs="Times New Roman"/>
        </w:rPr>
        <w:t xml:space="preserve">ncing rate to the expenditure declared in the payment request. However, the remaining 10 % is released after the yearly examination and acceptance of the accounts. In case this 10% is not attributed to the same year of the declaration of expenditure, this </w:t>
      </w:r>
      <w:r>
        <w:rPr>
          <w:rFonts w:ascii="Times New Roman" w:hAnsi="Times New Roman" w:cs="Times New Roman"/>
        </w:rPr>
        <w:t>generates a slower pace of interim payments, which is not the result of a slower implementation of the programme.</w:t>
      </w:r>
    </w:p>
  </w:footnote>
  <w:footnote w:id="22">
    <w:p w:rsidR="00B83504" w:rsidRDefault="00B55645">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Obligation for Member States to concentrate support on interventions that bring the greatest added value in relation to the Europe 2020 stra</w:t>
      </w:r>
      <w:r>
        <w:rPr>
          <w:rFonts w:ascii="Times New Roman" w:hAnsi="Times New Roman" w:cs="Times New Roman"/>
        </w:rPr>
        <w:t>tegy. A key focus is concentrating ERDF and ESF financial allocations on a limited set of thematic objectives or investment priorities.</w:t>
      </w:r>
    </w:p>
  </w:footnote>
  <w:footnote w:id="23">
    <w:p w:rsidR="00B83504" w:rsidRDefault="00B55645">
      <w:pPr>
        <w:pStyle w:val="FootnoteText"/>
        <w:spacing w:before="60"/>
      </w:pPr>
      <w:r>
        <w:rPr>
          <w:rStyle w:val="FootnoteReference"/>
        </w:rPr>
        <w:footnoteRef/>
      </w:r>
      <w:r>
        <w:t xml:space="preserve"> </w:t>
      </w:r>
      <w:r>
        <w:rPr>
          <w:rFonts w:ascii="Times New Roman" w:hAnsi="Times New Roman" w:cs="Times New Roman"/>
        </w:rPr>
        <w:t xml:space="preserve">Article 125(c) of the Common Provisions Regulation 1303/2013. </w:t>
      </w:r>
    </w:p>
  </w:footnote>
  <w:footnote w:id="24">
    <w:p w:rsidR="00B83504" w:rsidRDefault="00B55645">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The accounting year starts on 1 July and ends on 30 J</w:t>
      </w:r>
      <w:r>
        <w:rPr>
          <w:rFonts w:ascii="Times New Roman" w:hAnsi="Times New Roman" w:cs="Times New Roman"/>
        </w:rPr>
        <w:t>une (except for the first accounting period). The certifying authority prepares the annual accounts for the operational programme, which are then submitted to the EC together with the management declaration of assurance, the annual summary of controls prep</w:t>
      </w:r>
      <w:r>
        <w:rPr>
          <w:rFonts w:ascii="Times New Roman" w:hAnsi="Times New Roman" w:cs="Times New Roman"/>
        </w:rPr>
        <w:t xml:space="preserve">ared by the managing authority, and the accompanying control report and audit opinion prepared by the audit authority. The EC examines these documents, in view of issuing a yearly declaration of assurance. </w:t>
      </w:r>
    </w:p>
  </w:footnote>
  <w:footnote w:id="25">
    <w:p w:rsidR="00B83504" w:rsidRDefault="00B55645">
      <w:pPr>
        <w:pStyle w:val="FootnoteText"/>
        <w:spacing w:before="6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deadline for the presentation of the docume</w:t>
      </w:r>
      <w:r>
        <w:rPr>
          <w:rFonts w:ascii="Times New Roman" w:hAnsi="Times New Roman" w:cs="Times New Roman"/>
        </w:rPr>
        <w:t>nts for closure was 31 March 2017.</w:t>
      </w:r>
    </w:p>
  </w:footnote>
  <w:footnote w:id="26">
    <w:p w:rsidR="00B83504" w:rsidRDefault="00B55645">
      <w:pPr>
        <w:pStyle w:val="FootnoteText"/>
        <w:spacing w:before="60"/>
      </w:pPr>
      <w:r>
        <w:rPr>
          <w:rStyle w:val="FootnoteReference"/>
        </w:rPr>
        <w:footnoteRef/>
      </w:r>
      <w:r>
        <w:t xml:space="preserve"> </w:t>
      </w:r>
      <w:r>
        <w:rPr>
          <w:rStyle w:val="Hyperlink"/>
          <w:rFonts w:ascii="Times New Roman" w:hAnsi="Times New Roman" w:cs="Times New Roman"/>
          <w:color w:val="auto"/>
          <w:sz w:val="18"/>
          <w:szCs w:val="18"/>
          <w:u w:val="none"/>
        </w:rPr>
        <w:t>For details  about the calculation of the FFL, see S</w:t>
      </w:r>
      <w:r>
        <w:rPr>
          <w:rFonts w:ascii="Times New Roman" w:hAnsi="Times New Roman" w:cs="Times New Roman"/>
        </w:rPr>
        <w:t>WD(2016)237final.</w:t>
      </w:r>
      <w:hyperlink r:id="rId1" w:history="1">
        <w:r>
          <w:rPr>
            <w:rStyle w:val="Hyperlink"/>
            <w:rFonts w:ascii="Times New Roman" w:hAnsi="Times New Roman" w:cs="Times New Roman"/>
            <w:sz w:val="18"/>
            <w:szCs w:val="18"/>
          </w:rPr>
          <w:t>http://ec.europa.eu/anti- fraud</w:t>
        </w:r>
        <w:r>
          <w:rPr>
            <w:rStyle w:val="Hyperlink"/>
            <w:rFonts w:ascii="Times New Roman" w:hAnsi="Times New Roman" w:cs="Times New Roman"/>
            <w:sz w:val="18"/>
            <w:szCs w:val="18"/>
          </w:rPr>
          <w:t>/sites/antifraud/files/methodology_statistical_evaluation_2015_en.pdf</w:t>
        </w:r>
      </w:hyperlink>
      <w:r>
        <w:rPr>
          <w:sz w:val="18"/>
          <w:szCs w:val="18"/>
        </w:rPr>
        <w:t xml:space="preserve"> </w:t>
      </w:r>
    </w:p>
  </w:footnote>
  <w:footnote w:id="27">
    <w:p w:rsidR="00B83504" w:rsidRDefault="00B55645">
      <w:pPr>
        <w:pStyle w:val="FootnoteText"/>
        <w:spacing w:before="60"/>
      </w:pPr>
      <w:r>
        <w:rPr>
          <w:rStyle w:val="FootnoteReference"/>
        </w:rPr>
        <w:footnoteRef/>
      </w:r>
      <w:r>
        <w:t xml:space="preserve"> </w:t>
      </w:r>
      <w:r>
        <w:rPr>
          <w:rStyle w:val="Hyperlink"/>
          <w:rFonts w:ascii="Times New Roman" w:hAnsi="Times New Roman" w:cs="Times New Roman"/>
          <w:color w:val="auto"/>
          <w:sz w:val="18"/>
          <w:szCs w:val="18"/>
          <w:u w:val="none"/>
        </w:rPr>
        <w:t>For details about the calculation of the FAL, see S</w:t>
      </w:r>
      <w:r>
        <w:rPr>
          <w:rFonts w:ascii="Times New Roman" w:hAnsi="Times New Roman" w:cs="Times New Roman"/>
        </w:rPr>
        <w:t>WD(2016)237final.</w:t>
      </w:r>
      <w:hyperlink r:id="rId2" w:history="1">
        <w:r>
          <w:rPr>
            <w:rStyle w:val="Hyperlink"/>
            <w:rFonts w:ascii="Times New Roman" w:hAnsi="Times New Roman" w:cs="Times New Roman"/>
            <w:sz w:val="18"/>
            <w:szCs w:val="18"/>
          </w:rPr>
          <w:t>http://ec.europa.eu/anti- fraud/sites/antifraud/files/methodology_statistical_evaluation_2015_en.pdf</w:t>
        </w:r>
      </w:hyperlink>
      <w:r>
        <w:rPr>
          <w:sz w:val="18"/>
          <w:szCs w:val="18"/>
        </w:rPr>
        <w:t xml:space="preserve"> </w:t>
      </w:r>
    </w:p>
  </w:footnote>
  <w:footnote w:id="28">
    <w:p w:rsidR="00B83504" w:rsidRDefault="00B55645">
      <w:pPr>
        <w:pStyle w:val="FootnoteText"/>
        <w:spacing w:before="60"/>
        <w:jc w:val="both"/>
      </w:pPr>
      <w:r>
        <w:rPr>
          <w:rStyle w:val="FootnoteReference"/>
        </w:rPr>
        <w:footnoteRef/>
      </w:r>
      <w:r>
        <w:t xml:space="preserve"> </w:t>
      </w:r>
      <w:r>
        <w:rPr>
          <w:rFonts w:ascii="Times New Roman" w:hAnsi="Times New Roman" w:cs="Times New Roman"/>
        </w:rPr>
        <w:t>The exceptional financial amount related to these irregularities was due to 2 cases reported by Slovakia, accounting for about EUR 600 million.</w:t>
      </w:r>
    </w:p>
  </w:footnote>
  <w:footnote w:id="29">
    <w:p w:rsidR="00B83504" w:rsidRDefault="00B55645">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Report from the Commission to the European Parliament and the Council – 29</w:t>
      </w:r>
      <w:r>
        <w:rPr>
          <w:rFonts w:ascii="Times New Roman" w:hAnsi="Times New Roman" w:cs="Times New Roman"/>
          <w:vertAlign w:val="superscript"/>
        </w:rPr>
        <w:t>th</w:t>
      </w:r>
      <w:r>
        <w:rPr>
          <w:rFonts w:ascii="Times New Roman" w:hAnsi="Times New Roman" w:cs="Times New Roman"/>
        </w:rPr>
        <w:t xml:space="preserve"> Annual Report on the Protection of the European Union's Financial Interests – Fight against Fraud – 2017', COM(2018)553 </w:t>
      </w:r>
    </w:p>
  </w:footnote>
  <w:footnote w:id="30">
    <w:p w:rsidR="00B83504" w:rsidRDefault="00B55645">
      <w:pPr>
        <w:pStyle w:val="FootnoteText"/>
        <w:spacing w:before="60"/>
      </w:pPr>
      <w:r>
        <w:rPr>
          <w:rStyle w:val="FootnoteReference"/>
        </w:rPr>
        <w:footnoteRef/>
      </w:r>
      <w:r>
        <w:t xml:space="preserve"> </w:t>
      </w:r>
      <w:r>
        <w:rPr>
          <w:rFonts w:ascii="Times New Roman" w:hAnsi="Times New Roman" w:cs="Times New Roman"/>
        </w:rPr>
        <w:t>About half is due to one case reported in 2018 where exc</w:t>
      </w:r>
      <w:r>
        <w:rPr>
          <w:rFonts w:ascii="Times New Roman" w:hAnsi="Times New Roman" w:cs="Times New Roman"/>
        </w:rPr>
        <w:t>eptional financial amounts were involved.</w:t>
      </w:r>
      <w:r>
        <w:t xml:space="preserve"> </w:t>
      </w:r>
    </w:p>
  </w:footnote>
  <w:footnote w:id="31">
    <w:p w:rsidR="00B83504" w:rsidRDefault="00B55645">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To some extent the increase is due also to cases already reported in the past, for which the theme has now been specified.</w:t>
      </w:r>
    </w:p>
  </w:footnote>
  <w:footnote w:id="32">
    <w:p w:rsidR="00B83504" w:rsidRDefault="00B55645">
      <w:pPr>
        <w:pStyle w:val="FootnoteText"/>
        <w:spacing w:before="60"/>
        <w:jc w:val="both"/>
      </w:pPr>
      <w:r>
        <w:rPr>
          <w:rStyle w:val="FootnoteReference"/>
        </w:rPr>
        <w:footnoteRef/>
      </w:r>
      <w:r>
        <w:t xml:space="preserve"> </w:t>
      </w:r>
      <w:r>
        <w:rPr>
          <w:rFonts w:ascii="Times New Roman" w:hAnsi="Times New Roman" w:cs="Times New Roman"/>
        </w:rPr>
        <w:t>Where necessary, the description of the themes in Figures CP1-CP4 could have been shor</w:t>
      </w:r>
      <w:r>
        <w:rPr>
          <w:rFonts w:ascii="Times New Roman" w:hAnsi="Times New Roman" w:cs="Times New Roman"/>
        </w:rPr>
        <w:t>tened, but the extended version can be checked in Annex 14.</w:t>
      </w:r>
      <w:r>
        <w:t xml:space="preserve"> </w:t>
      </w:r>
    </w:p>
  </w:footnote>
  <w:footnote w:id="33">
    <w:p w:rsidR="00B83504" w:rsidRDefault="00B55645">
      <w:pPr>
        <w:pStyle w:val="FootnoteText"/>
        <w:spacing w:before="60"/>
        <w:rPr>
          <w:rFonts w:ascii="Times New Roman" w:hAnsi="Times New Roman" w:cs="Times New Roman"/>
        </w:rPr>
      </w:pPr>
      <w:r>
        <w:rPr>
          <w:rStyle w:val="FootnoteReference"/>
        </w:rPr>
        <w:footnoteRef/>
      </w:r>
      <w:r>
        <w:t xml:space="preserve"> </w:t>
      </w:r>
      <w:r>
        <w:rPr>
          <w:rFonts w:ascii="Times New Roman" w:hAnsi="Times New Roman" w:cs="Times New Roman"/>
        </w:rPr>
        <w:t>For details about the content of the categories listed in Tables CP23 and CP24, please see Annex 12.</w:t>
      </w:r>
    </w:p>
  </w:footnote>
  <w:footnote w:id="34">
    <w:p w:rsidR="00B83504" w:rsidRDefault="00B55645">
      <w:pPr>
        <w:pStyle w:val="FootnoteText"/>
        <w:spacing w:before="60"/>
        <w:jc w:val="both"/>
      </w:pPr>
      <w:r>
        <w:rPr>
          <w:rStyle w:val="FootnoteReference"/>
        </w:rPr>
        <w:footnoteRef/>
      </w:r>
      <w:r>
        <w:t xml:space="preserve"> </w:t>
      </w:r>
      <w:r>
        <w:rPr>
          <w:rFonts w:ascii="Times New Roman" w:hAnsi="Times New Roman" w:cs="Times New Roman"/>
        </w:rPr>
        <w:t>For 10 irregularities reported as non-fraudulent, the use of false/falsified documents was</w:t>
      </w:r>
      <w:r>
        <w:rPr>
          <w:rFonts w:ascii="Times New Roman" w:hAnsi="Times New Roman" w:cs="Times New Roman"/>
        </w:rPr>
        <w:t xml:space="preserve"> mentioned, which seems to suggest intentionality.</w:t>
      </w:r>
    </w:p>
  </w:footnote>
  <w:footnote w:id="35">
    <w:p w:rsidR="00B83504" w:rsidRDefault="00B55645">
      <w:pPr>
        <w:pStyle w:val="FootnoteText"/>
        <w:spacing w:before="60"/>
        <w:jc w:val="both"/>
      </w:pPr>
      <w:r>
        <w:rPr>
          <w:rStyle w:val="FootnoteReference"/>
        </w:rPr>
        <w:footnoteRef/>
      </w:r>
      <w:r>
        <w:t xml:space="preserve"> </w:t>
      </w:r>
      <w:r>
        <w:rPr>
          <w:rFonts w:ascii="Times New Roman" w:hAnsi="Times New Roman" w:cs="Times New Roman"/>
        </w:rPr>
        <w:t>For 3 irregularities reported as non-fraudulent, the use of false/falsified documents was mentioned, which seems to suggest intentionality.</w:t>
      </w:r>
    </w:p>
  </w:footnote>
  <w:footnote w:id="36">
    <w:p w:rsidR="00B83504" w:rsidRDefault="00B55645">
      <w:pPr>
        <w:pStyle w:val="FootnoteText"/>
        <w:spacing w:before="6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is assessed through the difference between the percentag</w:t>
      </w:r>
      <w:r>
        <w:rPr>
          <w:rFonts w:ascii="Times New Roman" w:hAnsi="Times New Roman" w:cs="Times New Roman"/>
        </w:rPr>
        <w:t>e of the irregularities reported by a Member State (over the total number of irregularities reported by all Member States) in '</w:t>
      </w:r>
      <w:r>
        <w:rPr>
          <w:rFonts w:ascii="Times New Roman" w:hAnsi="Times New Roman" w:cs="Times New Roman"/>
          <w:i/>
        </w:rPr>
        <w:t>Tourism</w:t>
      </w:r>
      <w:r>
        <w:rPr>
          <w:rFonts w:ascii="Times New Roman" w:hAnsi="Times New Roman" w:cs="Times New Roman"/>
        </w:rPr>
        <w:t xml:space="preserve">' and in </w:t>
      </w:r>
      <w:r>
        <w:rPr>
          <w:rFonts w:ascii="Times New Roman" w:hAnsi="Times New Roman" w:cs="Times New Roman"/>
          <w:i/>
        </w:rPr>
        <w:t>'Environment protection</w:t>
      </w:r>
      <w:r>
        <w:rPr>
          <w:rFonts w:ascii="Times New Roman" w:hAnsi="Times New Roman" w:cs="Times New Roman"/>
        </w:rPr>
        <w:t>'. Where this difference (between the '</w:t>
      </w:r>
      <w:r>
        <w:rPr>
          <w:rFonts w:ascii="Times New Roman" w:hAnsi="Times New Roman" w:cs="Times New Roman"/>
          <w:i/>
        </w:rPr>
        <w:t>Tourism</w:t>
      </w:r>
      <w:r>
        <w:rPr>
          <w:rFonts w:ascii="Times New Roman" w:hAnsi="Times New Roman" w:cs="Times New Roman"/>
        </w:rPr>
        <w:t xml:space="preserve">' percentage and the </w:t>
      </w:r>
      <w:r>
        <w:rPr>
          <w:rFonts w:ascii="Times New Roman" w:hAnsi="Times New Roman" w:cs="Times New Roman"/>
          <w:i/>
        </w:rPr>
        <w:t>'Environment protection</w:t>
      </w:r>
      <w:r>
        <w:rPr>
          <w:rFonts w:ascii="Times New Roman" w:hAnsi="Times New Roman" w:cs="Times New Roman"/>
          <w:i/>
        </w:rPr>
        <w:t>'</w:t>
      </w:r>
      <w:r>
        <w:rPr>
          <w:rFonts w:ascii="Times New Roman" w:hAnsi="Times New Roman" w:cs="Times New Roman"/>
        </w:rPr>
        <w:t xml:space="preserve"> percentage) in a Member State approached or exceeded 3 pp, the same Member State has been mentioned in the main body of the text as relatively more affected by (or more efficient in detecting) </w:t>
      </w:r>
      <w:r>
        <w:rPr>
          <w:rFonts w:ascii="Times New Roman" w:hAnsi="Times New Roman" w:cs="Times New Roman"/>
          <w:i/>
        </w:rPr>
        <w:t>'Tourism'</w:t>
      </w:r>
      <w:r>
        <w:rPr>
          <w:rFonts w:ascii="Times New Roman" w:hAnsi="Times New Roman" w:cs="Times New Roman"/>
        </w:rPr>
        <w:t xml:space="preserve"> or </w:t>
      </w:r>
      <w:r>
        <w:rPr>
          <w:rFonts w:ascii="Times New Roman" w:hAnsi="Times New Roman" w:cs="Times New Roman"/>
          <w:i/>
        </w:rPr>
        <w:t>'Environment protection'</w:t>
      </w:r>
      <w:r>
        <w:rPr>
          <w:rFonts w:ascii="Times New Roman" w:hAnsi="Times New Roman" w:cs="Times New Roman"/>
        </w:rPr>
        <w:t xml:space="preserve"> irregularities.</w:t>
      </w:r>
    </w:p>
  </w:footnote>
  <w:footnote w:id="37">
    <w:p w:rsidR="00B83504" w:rsidRDefault="00B55645">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In th</w:t>
      </w:r>
      <w:r>
        <w:rPr>
          <w:rFonts w:ascii="Times New Roman" w:hAnsi="Times New Roman" w:cs="Times New Roman"/>
        </w:rPr>
        <w:t>e Table also other reasons that might hint to the use of some forms of risk analysis have been introduced (comparison of data, probability checks and statistical analysis).</w:t>
      </w:r>
    </w:p>
  </w:footnote>
  <w:footnote w:id="38">
    <w:p w:rsidR="00B83504" w:rsidRDefault="00B55645">
      <w:pPr>
        <w:pStyle w:val="FootnoteText"/>
        <w:spacing w:before="60"/>
        <w:jc w:val="both"/>
        <w:rPr>
          <w:rFonts w:ascii="Times New Roman" w:hAnsi="Times New Roman" w:cs="Times New Roman"/>
        </w:rPr>
      </w:pPr>
      <w:r>
        <w:rPr>
          <w:rStyle w:val="FootnoteReference"/>
        </w:rPr>
        <w:footnoteRef/>
      </w:r>
      <w:r>
        <w:t xml:space="preserve"> </w:t>
      </w:r>
      <w:r>
        <w:rPr>
          <w:rFonts w:ascii="Times New Roman" w:hAnsi="Times New Roman" w:cs="Times New Roman"/>
        </w:rPr>
        <w:t>About 70% of the cases detected in 2018 were reported by Hungary and the Czech Re</w:t>
      </w:r>
      <w:r>
        <w:rPr>
          <w:rFonts w:ascii="Times New Roman" w:hAnsi="Times New Roman" w:cs="Times New Roman"/>
        </w:rPr>
        <w:t>public. While the Czech Republic was amongst the Member States that detected more often irregularities on the basis of tips also before 2018, this was not the case for Hungary.</w:t>
      </w:r>
    </w:p>
  </w:footnote>
  <w:footnote w:id="39">
    <w:p w:rsidR="00B83504" w:rsidRDefault="00B55645">
      <w:pPr>
        <w:pStyle w:val="FootnoteText"/>
        <w:spacing w:before="6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Member States have the obligation to report only irregularities for which</w:t>
      </w:r>
      <w:r>
        <w:rPr>
          <w:rFonts w:ascii="Times New Roman" w:hAnsi="Times New Roman" w:cs="Times New Roman"/>
        </w:rPr>
        <w:t xml:space="preserve"> payment and certification to the European Commission occurred. As a consequence, the IDR focuses on the 'repressive' side of the anti-fraud cycle and does not include the results of 'prevention' activities. This does not apply to the FDR, as fraudulent ca</w:t>
      </w:r>
      <w:r>
        <w:rPr>
          <w:rFonts w:ascii="Times New Roman" w:hAnsi="Times New Roman" w:cs="Times New Roman"/>
        </w:rPr>
        <w:t>ses must be reported regardless.</w:t>
      </w:r>
    </w:p>
  </w:footnote>
  <w:footnote w:id="40">
    <w:p w:rsidR="00B83504" w:rsidRDefault="00B55645">
      <w:pPr>
        <w:pStyle w:val="FootnoteText"/>
        <w:spacing w:before="6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includes cases where start date and end date were not filled in, cases where only the end date was filled in, cases where the end date was before the start date, cases where a date was before 2005 (because the analys</w:t>
      </w:r>
      <w:r>
        <w:rPr>
          <w:rFonts w:ascii="Times New Roman" w:hAnsi="Times New Roman" w:cs="Times New Roman"/>
        </w:rPr>
        <w:t>is is focusing on PP 2007-2013, so a date before 2005 might be a mistake).</w:t>
      </w:r>
    </w:p>
  </w:footnote>
  <w:footnote w:id="41">
    <w:p w:rsidR="00B83504" w:rsidRDefault="00B55645">
      <w:pPr>
        <w:pStyle w:val="FootnoteText"/>
        <w:spacing w:before="60"/>
        <w:rPr>
          <w:rFonts w:ascii="Times New Roman" w:hAnsi="Times New Roman" w:cs="Times New Roman"/>
        </w:rPr>
      </w:pPr>
      <w:r>
        <w:rPr>
          <w:rStyle w:val="FootnoteReference"/>
        </w:rPr>
        <w:footnoteRef/>
      </w:r>
      <w:r>
        <w:t xml:space="preserve"> </w:t>
      </w:r>
      <w:r>
        <w:rPr>
          <w:rFonts w:ascii="Times New Roman" w:hAnsi="Times New Roman" w:cs="Times New Roman"/>
        </w:rPr>
        <w:t>With the obvious exception of the time between reporting and case closure.</w:t>
      </w:r>
    </w:p>
  </w:footnote>
  <w:footnote w:id="42">
    <w:p w:rsidR="00B83504" w:rsidRDefault="00B55645">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See explanation about this measure in Section 3.4.3.4.</w:t>
      </w:r>
    </w:p>
  </w:footnote>
  <w:footnote w:id="43">
    <w:p w:rsidR="00B83504" w:rsidRDefault="00B55645">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However, it should also be considered that di</w:t>
      </w:r>
      <w:r>
        <w:rPr>
          <w:rFonts w:ascii="Times New Roman" w:hAnsi="Times New Roman" w:cs="Times New Roman"/>
        </w:rPr>
        <w:t>fferences in terms of detections of irregularities reported as fraudulent are influenced also by difference practices in different Member States concerning the stage of the procedure when potentially fraudulent irregularities are reported.</w:t>
      </w:r>
    </w:p>
  </w:footnote>
  <w:footnote w:id="44">
    <w:p w:rsidR="00B83504" w:rsidRDefault="00B55645">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The FDR in Tab</w:t>
      </w:r>
      <w:r>
        <w:rPr>
          <w:rFonts w:ascii="Times New Roman" w:hAnsi="Times New Roman" w:cs="Times New Roman"/>
        </w:rPr>
        <w:t>le CP28 and the IDR in Table CP30 are based on net payments. In this context, net payments means: Cumulative initial pre-financing + Cumulative additional initial pre-financing (less recovery of additional initial pre-financing) + Cumulative annual pre-fin</w:t>
      </w:r>
      <w:r>
        <w:rPr>
          <w:rFonts w:ascii="Times New Roman" w:hAnsi="Times New Roman" w:cs="Times New Roman"/>
        </w:rPr>
        <w:t xml:space="preserve">ancing (less recovery of annual pre-financing) + Net interim payments. Net interim payments are cumulative interim payments less recovery of expenses, plus annual pre-financing covered by expenditure. From more information, see: </w:t>
      </w:r>
    </w:p>
    <w:p w:rsidR="00B83504" w:rsidRDefault="00B55645">
      <w:pPr>
        <w:pStyle w:val="FootnoteText"/>
        <w:jc w:val="both"/>
        <w:rPr>
          <w:rFonts w:ascii="Times New Roman" w:hAnsi="Times New Roman" w:cs="Times New Roman"/>
        </w:rPr>
      </w:pPr>
      <w:hyperlink r:id="rId3" w:history="1">
        <w:r>
          <w:rPr>
            <w:rStyle w:val="Hyperlink"/>
            <w:sz w:val="16"/>
            <w:szCs w:val="16"/>
          </w:rPr>
          <w:t>https://cohesiondata.ec.europa.eu/2014-2020/ESIF-2014-2020-EU-payments-daily-update-/gayr-92qh</w:t>
        </w:r>
      </w:hyperlink>
    </w:p>
    <w:p w:rsidR="00B83504" w:rsidRDefault="00B55645">
      <w:pPr>
        <w:pStyle w:val="FootnoteText"/>
        <w:jc w:val="both"/>
        <w:rPr>
          <w:rFonts w:ascii="Times New Roman" w:hAnsi="Times New Roman" w:cs="Times New Roman"/>
        </w:rPr>
      </w:pPr>
      <w:r>
        <w:rPr>
          <w:rFonts w:ascii="Times New Roman" w:hAnsi="Times New Roman" w:cs="Times New Roman"/>
        </w:rPr>
        <w:t xml:space="preserve">To be noticed that initial pre-financing is frontloaded at the beginning of </w:t>
      </w:r>
      <w:r>
        <w:rPr>
          <w:rFonts w:ascii="Times New Roman" w:hAnsi="Times New Roman" w:cs="Times New Roman"/>
        </w:rPr>
        <w:t>the programming period and this is an additional factor influencing FDR and IDR during the first part of the programming period.</w:t>
      </w:r>
    </w:p>
  </w:footnote>
  <w:footnote w:id="45">
    <w:p w:rsidR="00B83504" w:rsidRDefault="00B55645">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It is worth repeating that the higher FDR related to PP 2014-2020 is significantly influenced by 2 cases reported by Slovakia</w:t>
      </w:r>
      <w:r>
        <w:rPr>
          <w:rFonts w:ascii="Times New Roman" w:hAnsi="Times New Roman" w:cs="Times New Roman"/>
        </w:rPr>
        <w:t>, where nearly EUR 600 million are involved. This is reflected also in the anomalous FDR associated to Slovakia (21%)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04" w:rsidRDefault="00B835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3629"/>
    <w:multiLevelType w:val="hybridMultilevel"/>
    <w:tmpl w:val="24BE142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 w15:restartNumberingAfterBreak="0">
    <w:nsid w:val="01CC0BE2"/>
    <w:multiLevelType w:val="hybridMultilevel"/>
    <w:tmpl w:val="CD1A13D4"/>
    <w:lvl w:ilvl="0" w:tplc="270EAEA6">
      <w:start w:val="6"/>
      <w:numFmt w:val="bullet"/>
      <w:lvlText w:val="-"/>
      <w:lvlJc w:val="left"/>
      <w:pPr>
        <w:ind w:left="720" w:hanging="360"/>
      </w:pPr>
      <w:rPr>
        <w:rFonts w:ascii="Times New Roman" w:eastAsia="Calibr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2169D2"/>
    <w:multiLevelType w:val="hybridMultilevel"/>
    <w:tmpl w:val="EC900118"/>
    <w:lvl w:ilvl="0" w:tplc="08090001">
      <w:start w:val="1"/>
      <w:numFmt w:val="bullet"/>
      <w:lvlText w:val=""/>
      <w:lvlJc w:val="left"/>
      <w:pPr>
        <w:ind w:left="767" w:hanging="360"/>
      </w:pPr>
      <w:rPr>
        <w:rFonts w:ascii="Symbol" w:hAnsi="Symbol" w:hint="default"/>
      </w:rPr>
    </w:lvl>
    <w:lvl w:ilvl="1" w:tplc="08090003">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 w15:restartNumberingAfterBreak="0">
    <w:nsid w:val="0D385E20"/>
    <w:multiLevelType w:val="hybridMultilevel"/>
    <w:tmpl w:val="72F22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55E8F"/>
    <w:multiLevelType w:val="hybridMultilevel"/>
    <w:tmpl w:val="D0480A64"/>
    <w:lvl w:ilvl="0" w:tplc="3C6A28DE">
      <w:start w:val="1"/>
      <w:numFmt w:val="decimal"/>
      <w:lvlText w:val="%1."/>
      <w:lvlJc w:val="left"/>
      <w:pPr>
        <w:ind w:left="1079" w:hanging="360"/>
      </w:pPr>
      <w:rPr>
        <w:rFonts w:hint="default"/>
      </w:rPr>
    </w:lvl>
    <w:lvl w:ilvl="1" w:tplc="080C0019" w:tentative="1">
      <w:start w:val="1"/>
      <w:numFmt w:val="lowerLetter"/>
      <w:lvlText w:val="%2."/>
      <w:lvlJc w:val="left"/>
      <w:pPr>
        <w:ind w:left="1439" w:hanging="360"/>
      </w:pPr>
    </w:lvl>
    <w:lvl w:ilvl="2" w:tplc="080C001B" w:tentative="1">
      <w:start w:val="1"/>
      <w:numFmt w:val="lowerRoman"/>
      <w:lvlText w:val="%3."/>
      <w:lvlJc w:val="right"/>
      <w:pPr>
        <w:ind w:left="2159" w:hanging="180"/>
      </w:pPr>
    </w:lvl>
    <w:lvl w:ilvl="3" w:tplc="080C000F" w:tentative="1">
      <w:start w:val="1"/>
      <w:numFmt w:val="decimal"/>
      <w:lvlText w:val="%4."/>
      <w:lvlJc w:val="left"/>
      <w:pPr>
        <w:ind w:left="2879" w:hanging="360"/>
      </w:pPr>
    </w:lvl>
    <w:lvl w:ilvl="4" w:tplc="080C0019" w:tentative="1">
      <w:start w:val="1"/>
      <w:numFmt w:val="lowerLetter"/>
      <w:lvlText w:val="%5."/>
      <w:lvlJc w:val="left"/>
      <w:pPr>
        <w:ind w:left="3599" w:hanging="360"/>
      </w:pPr>
    </w:lvl>
    <w:lvl w:ilvl="5" w:tplc="080C001B" w:tentative="1">
      <w:start w:val="1"/>
      <w:numFmt w:val="lowerRoman"/>
      <w:lvlText w:val="%6."/>
      <w:lvlJc w:val="right"/>
      <w:pPr>
        <w:ind w:left="4319" w:hanging="180"/>
      </w:pPr>
    </w:lvl>
    <w:lvl w:ilvl="6" w:tplc="080C000F" w:tentative="1">
      <w:start w:val="1"/>
      <w:numFmt w:val="decimal"/>
      <w:lvlText w:val="%7."/>
      <w:lvlJc w:val="left"/>
      <w:pPr>
        <w:ind w:left="5039" w:hanging="360"/>
      </w:pPr>
    </w:lvl>
    <w:lvl w:ilvl="7" w:tplc="080C0019" w:tentative="1">
      <w:start w:val="1"/>
      <w:numFmt w:val="lowerLetter"/>
      <w:lvlText w:val="%8."/>
      <w:lvlJc w:val="left"/>
      <w:pPr>
        <w:ind w:left="5759" w:hanging="360"/>
      </w:pPr>
    </w:lvl>
    <w:lvl w:ilvl="8" w:tplc="080C001B" w:tentative="1">
      <w:start w:val="1"/>
      <w:numFmt w:val="lowerRoman"/>
      <w:lvlText w:val="%9."/>
      <w:lvlJc w:val="right"/>
      <w:pPr>
        <w:ind w:left="6479" w:hanging="180"/>
      </w:pPr>
    </w:lvl>
  </w:abstractNum>
  <w:abstractNum w:abstractNumId="5" w15:restartNumberingAfterBreak="0">
    <w:nsid w:val="10AD5E27"/>
    <w:multiLevelType w:val="hybridMultilevel"/>
    <w:tmpl w:val="7BCA5252"/>
    <w:name w:val="Bullet 222"/>
    <w:lvl w:ilvl="0" w:tplc="BEE4EA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766E2A"/>
    <w:multiLevelType w:val="hybridMultilevel"/>
    <w:tmpl w:val="3FD8C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507E2E"/>
    <w:multiLevelType w:val="hybridMultilevel"/>
    <w:tmpl w:val="E4BCA5B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8"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B3C78B8"/>
    <w:multiLevelType w:val="multilevel"/>
    <w:tmpl w:val="048CD8DA"/>
    <w:name w:val="Point"/>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number"/>
      <w:lvlText w:val="(%2)"/>
      <w:lvlJc w:val="left"/>
      <w:pPr>
        <w:tabs>
          <w:tab w:val="num" w:pos="850"/>
        </w:tabs>
        <w:ind w:left="850" w:hanging="850"/>
      </w:pPr>
      <w:rPr>
        <w:rFonts w:hint="default"/>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number"/>
      <w:lvlText w:val="(%4)"/>
      <w:lvlJc w:val="left"/>
      <w:pPr>
        <w:tabs>
          <w:tab w:val="num" w:pos="1417"/>
        </w:tabs>
        <w:ind w:left="1417" w:hanging="567"/>
      </w:pPr>
      <w:rPr>
        <w:rFonts w:hint="default"/>
      </w:rPr>
    </w:lvl>
    <w:lvl w:ilvl="4">
      <w:start w:val="1"/>
      <w:numFmt w:val="decimal"/>
      <w:pStyle w:val="Point2number"/>
      <w:lvlText w:val="(%5)"/>
      <w:lvlJc w:val="left"/>
      <w:pPr>
        <w:tabs>
          <w:tab w:val="num" w:pos="1984"/>
        </w:tabs>
        <w:ind w:left="1984" w:hanging="567"/>
      </w:pPr>
      <w:rPr>
        <w:rFonts w:hint="default"/>
      </w:rPr>
    </w:lvl>
    <w:lvl w:ilvl="5">
      <w:start w:val="1"/>
      <w:numFmt w:val="lowerLetter"/>
      <w:pStyle w:val="Point2numb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numb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10" w15:restartNumberingAfterBreak="0">
    <w:nsid w:val="1C9E2179"/>
    <w:multiLevelType w:val="hybridMultilevel"/>
    <w:tmpl w:val="C8A03914"/>
    <w:name w:val="Bullet 223"/>
    <w:lvl w:ilvl="0" w:tplc="9EB4E320">
      <w:start w:val="1"/>
      <w:numFmt w:val="lowerLetter"/>
      <w:lvlText w:val="%1."/>
      <w:lvlJc w:val="left"/>
      <w:pPr>
        <w:ind w:left="775" w:hanging="360"/>
      </w:pPr>
      <w:rPr>
        <w:rFonts w:hint="default"/>
      </w:r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11"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64602D1"/>
    <w:multiLevelType w:val="hybridMultilevel"/>
    <w:tmpl w:val="42262824"/>
    <w:lvl w:ilvl="0" w:tplc="3C6A28D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3" w15:restartNumberingAfterBreak="0">
    <w:nsid w:val="2A512D65"/>
    <w:multiLevelType w:val="hybridMultilevel"/>
    <w:tmpl w:val="7AEAE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5"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2E70DF4"/>
    <w:multiLevelType w:val="hybridMultilevel"/>
    <w:tmpl w:val="0F70930E"/>
    <w:name w:val="Bullet 22"/>
    <w:lvl w:ilvl="0" w:tplc="D5DCF8C4">
      <w:start w:val="1"/>
      <w:numFmt w:val="decimal"/>
      <w:lvlText w:val="%1)"/>
      <w:lvlJc w:val="left"/>
      <w:pPr>
        <w:ind w:left="1570" w:hanging="360"/>
      </w:pPr>
      <w:rPr>
        <w:rFonts w:hint="default"/>
      </w:rPr>
    </w:lvl>
    <w:lvl w:ilvl="1" w:tplc="08090019">
      <w:start w:val="1"/>
      <w:numFmt w:val="lowerLetter"/>
      <w:lvlText w:val="%2."/>
      <w:lvlJc w:val="left"/>
      <w:pPr>
        <w:ind w:left="2290" w:hanging="360"/>
      </w:pPr>
    </w:lvl>
    <w:lvl w:ilvl="2" w:tplc="0809001B">
      <w:start w:val="1"/>
      <w:numFmt w:val="lowerRoman"/>
      <w:lvlText w:val="%3."/>
      <w:lvlJc w:val="right"/>
      <w:pPr>
        <w:ind w:left="3010" w:hanging="180"/>
      </w:pPr>
    </w:lvl>
    <w:lvl w:ilvl="3" w:tplc="08090003">
      <w:start w:val="1"/>
      <w:numFmt w:val="bullet"/>
      <w:lvlText w:val="o"/>
      <w:lvlJc w:val="left"/>
      <w:pPr>
        <w:ind w:left="3730" w:hanging="360"/>
      </w:pPr>
      <w:rPr>
        <w:rFonts w:ascii="Courier New" w:hAnsi="Courier New" w:cs="Courier New" w:hint="default"/>
      </w:rPr>
    </w:lvl>
    <w:lvl w:ilvl="4" w:tplc="08090019" w:tentative="1">
      <w:start w:val="1"/>
      <w:numFmt w:val="lowerLetter"/>
      <w:lvlText w:val="%5."/>
      <w:lvlJc w:val="left"/>
      <w:pPr>
        <w:ind w:left="4450" w:hanging="360"/>
      </w:pPr>
    </w:lvl>
    <w:lvl w:ilvl="5" w:tplc="0809001B" w:tentative="1">
      <w:start w:val="1"/>
      <w:numFmt w:val="lowerRoman"/>
      <w:lvlText w:val="%6."/>
      <w:lvlJc w:val="right"/>
      <w:pPr>
        <w:ind w:left="5170" w:hanging="180"/>
      </w:pPr>
    </w:lvl>
    <w:lvl w:ilvl="6" w:tplc="0809000F" w:tentative="1">
      <w:start w:val="1"/>
      <w:numFmt w:val="decimal"/>
      <w:lvlText w:val="%7."/>
      <w:lvlJc w:val="left"/>
      <w:pPr>
        <w:ind w:left="5890" w:hanging="360"/>
      </w:pPr>
    </w:lvl>
    <w:lvl w:ilvl="7" w:tplc="08090019" w:tentative="1">
      <w:start w:val="1"/>
      <w:numFmt w:val="lowerLetter"/>
      <w:lvlText w:val="%8."/>
      <w:lvlJc w:val="left"/>
      <w:pPr>
        <w:ind w:left="6610" w:hanging="360"/>
      </w:pPr>
    </w:lvl>
    <w:lvl w:ilvl="8" w:tplc="0809001B" w:tentative="1">
      <w:start w:val="1"/>
      <w:numFmt w:val="lowerRoman"/>
      <w:lvlText w:val="%9."/>
      <w:lvlJc w:val="right"/>
      <w:pPr>
        <w:ind w:left="7330" w:hanging="180"/>
      </w:pPr>
    </w:lvl>
  </w:abstractNum>
  <w:abstractNum w:abstractNumId="17"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8"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6CB4E9E"/>
    <w:multiLevelType w:val="multilevel"/>
    <w:tmpl w:val="E9587FCA"/>
    <w:lvl w:ilvl="0">
      <w:start w:val="1"/>
      <w:numFmt w:val="decimal"/>
      <w:lvlText w:val="%1."/>
      <w:lvlJc w:val="left"/>
      <w:pPr>
        <w:ind w:left="360" w:hanging="360"/>
      </w:pPr>
      <w:rPr>
        <w:rFonts w:hint="default"/>
        <w:color w:val="auto"/>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1"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2"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3"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4"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5" w15:restartNumberingAfterBreak="0">
    <w:nsid w:val="5ACB5795"/>
    <w:multiLevelType w:val="hybridMultilevel"/>
    <w:tmpl w:val="867CCDA4"/>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6"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7" w15:restartNumberingAfterBreak="0">
    <w:nsid w:val="5C056EE5"/>
    <w:multiLevelType w:val="singleLevel"/>
    <w:tmpl w:val="F7924A66"/>
    <w:lvl w:ilvl="0">
      <w:start w:val="1"/>
      <w:numFmt w:val="bullet"/>
      <w:pStyle w:val="Bullet2"/>
      <w:lvlText w:val=""/>
      <w:lvlJc w:val="left"/>
      <w:pPr>
        <w:ind w:left="720" w:hanging="360"/>
      </w:pPr>
      <w:rPr>
        <w:rFonts w:ascii="Symbol" w:hAnsi="Symbol" w:hint="default"/>
      </w:rPr>
    </w:lvl>
  </w:abstractNum>
  <w:abstractNum w:abstractNumId="28" w15:restartNumberingAfterBreak="0">
    <w:nsid w:val="5C865B8F"/>
    <w:multiLevelType w:val="hybridMultilevel"/>
    <w:tmpl w:val="960A67D2"/>
    <w:lvl w:ilvl="0" w:tplc="08090001">
      <w:start w:val="1"/>
      <w:numFmt w:val="bullet"/>
      <w:lvlText w:val=""/>
      <w:lvlJc w:val="left"/>
      <w:pPr>
        <w:ind w:left="766" w:hanging="360"/>
      </w:pPr>
      <w:rPr>
        <w:rFonts w:ascii="Symbol" w:hAnsi="Symbol" w:hint="default"/>
      </w:rPr>
    </w:lvl>
    <w:lvl w:ilvl="1" w:tplc="08090003">
      <w:start w:val="1"/>
      <w:numFmt w:val="bullet"/>
      <w:lvlText w:val="o"/>
      <w:lvlJc w:val="left"/>
      <w:pPr>
        <w:ind w:left="1486" w:hanging="360"/>
      </w:pPr>
      <w:rPr>
        <w:rFonts w:ascii="Courier New" w:hAnsi="Courier New" w:cs="Courier New" w:hint="default"/>
      </w:rPr>
    </w:lvl>
    <w:lvl w:ilvl="2" w:tplc="08090005">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9"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0"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1" w15:restartNumberingAfterBreak="0">
    <w:nsid w:val="61681713"/>
    <w:multiLevelType w:val="hybridMultilevel"/>
    <w:tmpl w:val="B2840EE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2"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3" w15:restartNumberingAfterBreak="0">
    <w:nsid w:val="63FB5E93"/>
    <w:multiLevelType w:val="multilevel"/>
    <w:tmpl w:val="DDA80634"/>
    <w:lvl w:ilvl="0">
      <w:start w:val="1"/>
      <w:numFmt w:val="decimal"/>
      <w:lvlRestart w:val="0"/>
      <w:lvlText w:val="(%1)"/>
      <w:lvlJc w:val="left"/>
      <w:pPr>
        <w:tabs>
          <w:tab w:val="num" w:pos="850"/>
        </w:tabs>
        <w:ind w:left="850" w:hanging="850"/>
      </w:pPr>
      <w:rPr>
        <w:rFonts w:hint="default"/>
      </w:rPr>
    </w:lvl>
    <w:lvl w:ilvl="1">
      <w:start w:val="1"/>
      <w:numFmt w:val="lowerLetter"/>
      <w:lvlText w:val="(%2)"/>
      <w:lvlJc w:val="left"/>
      <w:pPr>
        <w:tabs>
          <w:tab w:val="num" w:pos="850"/>
        </w:tabs>
        <w:ind w:left="850" w:hanging="850"/>
      </w:pPr>
      <w:rPr>
        <w:rFonts w:hint="default"/>
      </w:rPr>
    </w:lvl>
    <w:lvl w:ilvl="2">
      <w:start w:val="1"/>
      <w:numFmt w:val="bullet"/>
      <w:lvlText w:val=""/>
      <w:lvlJc w:val="left"/>
      <w:pPr>
        <w:tabs>
          <w:tab w:val="num" w:pos="1417"/>
        </w:tabs>
        <w:ind w:left="1417" w:hanging="567"/>
      </w:pPr>
      <w:rPr>
        <w:rFonts w:ascii="Symbol" w:hAnsi="Symbol" w:hint="default"/>
      </w:rPr>
    </w:lvl>
    <w:lvl w:ilvl="3">
      <w:start w:val="1"/>
      <w:numFmt w:val="lowerLetter"/>
      <w:lvlText w:val="(%4)"/>
      <w:lvlJc w:val="left"/>
      <w:pPr>
        <w:tabs>
          <w:tab w:val="num" w:pos="1417"/>
        </w:tabs>
        <w:ind w:left="1417" w:hanging="567"/>
      </w:pPr>
      <w:rPr>
        <w:rFonts w:hint="default"/>
      </w:rPr>
    </w:lvl>
    <w:lvl w:ilvl="4">
      <w:start w:val="1"/>
      <w:numFmt w:val="decimal"/>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lvlText w:val="(%7)"/>
      <w:lvlJc w:val="left"/>
      <w:pPr>
        <w:tabs>
          <w:tab w:val="num" w:pos="2551"/>
        </w:tabs>
        <w:ind w:left="2551" w:hanging="567"/>
      </w:pPr>
      <w:rPr>
        <w:rFonts w:hint="default"/>
      </w:rPr>
    </w:lvl>
    <w:lvl w:ilvl="7">
      <w:start w:val="1"/>
      <w:numFmt w:val="lowerLett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34"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78701D7"/>
    <w:multiLevelType w:val="hybridMultilevel"/>
    <w:tmpl w:val="6F7C6320"/>
    <w:lvl w:ilvl="0" w:tplc="08090001">
      <w:start w:val="1"/>
      <w:numFmt w:val="bullet"/>
      <w:lvlText w:val=""/>
      <w:lvlJc w:val="left"/>
      <w:pPr>
        <w:ind w:left="777" w:hanging="360"/>
      </w:pPr>
      <w:rPr>
        <w:rFonts w:ascii="Symbol" w:hAnsi="Symbol" w:hint="default"/>
      </w:rPr>
    </w:lvl>
    <w:lvl w:ilvl="1" w:tplc="08090003">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6" w15:restartNumberingAfterBreak="0">
    <w:nsid w:val="6BA72725"/>
    <w:multiLevelType w:val="hybridMultilevel"/>
    <w:tmpl w:val="E1228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8"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4151CB1"/>
    <w:multiLevelType w:val="hybridMultilevel"/>
    <w:tmpl w:val="59E6594C"/>
    <w:lvl w:ilvl="0" w:tplc="86388C2E">
      <w:start w:val="81"/>
      <w:numFmt w:val="bullet"/>
      <w:lvlText w:val=""/>
      <w:lvlJc w:val="left"/>
      <w:pPr>
        <w:ind w:left="420" w:hanging="360"/>
      </w:pPr>
      <w:rPr>
        <w:rFonts w:ascii="Wingdings" w:eastAsia="Times New Roman" w:hAnsi="Wingdings" w:cs="Times New Roman" w:hint="default"/>
      </w:rPr>
    </w:lvl>
    <w:lvl w:ilvl="1" w:tplc="080C0003" w:tentative="1">
      <w:start w:val="1"/>
      <w:numFmt w:val="bullet"/>
      <w:lvlText w:val="o"/>
      <w:lvlJc w:val="left"/>
      <w:pPr>
        <w:ind w:left="1140" w:hanging="360"/>
      </w:pPr>
      <w:rPr>
        <w:rFonts w:ascii="Courier New" w:hAnsi="Courier New" w:cs="Courier New" w:hint="default"/>
      </w:rPr>
    </w:lvl>
    <w:lvl w:ilvl="2" w:tplc="080C0005" w:tentative="1">
      <w:start w:val="1"/>
      <w:numFmt w:val="bullet"/>
      <w:lvlText w:val=""/>
      <w:lvlJc w:val="left"/>
      <w:pPr>
        <w:ind w:left="1860" w:hanging="360"/>
      </w:pPr>
      <w:rPr>
        <w:rFonts w:ascii="Wingdings" w:hAnsi="Wingdings" w:hint="default"/>
      </w:rPr>
    </w:lvl>
    <w:lvl w:ilvl="3" w:tplc="080C0001" w:tentative="1">
      <w:start w:val="1"/>
      <w:numFmt w:val="bullet"/>
      <w:lvlText w:val=""/>
      <w:lvlJc w:val="left"/>
      <w:pPr>
        <w:ind w:left="2580" w:hanging="360"/>
      </w:pPr>
      <w:rPr>
        <w:rFonts w:ascii="Symbol" w:hAnsi="Symbol" w:hint="default"/>
      </w:rPr>
    </w:lvl>
    <w:lvl w:ilvl="4" w:tplc="080C0003" w:tentative="1">
      <w:start w:val="1"/>
      <w:numFmt w:val="bullet"/>
      <w:lvlText w:val="o"/>
      <w:lvlJc w:val="left"/>
      <w:pPr>
        <w:ind w:left="3300" w:hanging="360"/>
      </w:pPr>
      <w:rPr>
        <w:rFonts w:ascii="Courier New" w:hAnsi="Courier New" w:cs="Courier New" w:hint="default"/>
      </w:rPr>
    </w:lvl>
    <w:lvl w:ilvl="5" w:tplc="080C0005" w:tentative="1">
      <w:start w:val="1"/>
      <w:numFmt w:val="bullet"/>
      <w:lvlText w:val=""/>
      <w:lvlJc w:val="left"/>
      <w:pPr>
        <w:ind w:left="4020" w:hanging="360"/>
      </w:pPr>
      <w:rPr>
        <w:rFonts w:ascii="Wingdings" w:hAnsi="Wingdings" w:hint="default"/>
      </w:rPr>
    </w:lvl>
    <w:lvl w:ilvl="6" w:tplc="080C0001" w:tentative="1">
      <w:start w:val="1"/>
      <w:numFmt w:val="bullet"/>
      <w:lvlText w:val=""/>
      <w:lvlJc w:val="left"/>
      <w:pPr>
        <w:ind w:left="4740" w:hanging="360"/>
      </w:pPr>
      <w:rPr>
        <w:rFonts w:ascii="Symbol" w:hAnsi="Symbol" w:hint="default"/>
      </w:rPr>
    </w:lvl>
    <w:lvl w:ilvl="7" w:tplc="080C0003" w:tentative="1">
      <w:start w:val="1"/>
      <w:numFmt w:val="bullet"/>
      <w:lvlText w:val="o"/>
      <w:lvlJc w:val="left"/>
      <w:pPr>
        <w:ind w:left="5460" w:hanging="360"/>
      </w:pPr>
      <w:rPr>
        <w:rFonts w:ascii="Courier New" w:hAnsi="Courier New" w:cs="Courier New" w:hint="default"/>
      </w:rPr>
    </w:lvl>
    <w:lvl w:ilvl="8" w:tplc="080C0005" w:tentative="1">
      <w:start w:val="1"/>
      <w:numFmt w:val="bullet"/>
      <w:lvlText w:val=""/>
      <w:lvlJc w:val="left"/>
      <w:pPr>
        <w:ind w:left="6180" w:hanging="360"/>
      </w:pPr>
      <w:rPr>
        <w:rFonts w:ascii="Wingdings" w:hAnsi="Wingdings" w:hint="default"/>
      </w:rPr>
    </w:lvl>
  </w:abstractNum>
  <w:abstractNum w:abstractNumId="40" w15:restartNumberingAfterBreak="0">
    <w:nsid w:val="74356A6B"/>
    <w:multiLevelType w:val="hybridMultilevel"/>
    <w:tmpl w:val="AB66F4EC"/>
    <w:lvl w:ilvl="0" w:tplc="08090001">
      <w:start w:val="1"/>
      <w:numFmt w:val="bullet"/>
      <w:lvlText w:val=""/>
      <w:lvlJc w:val="left"/>
      <w:pPr>
        <w:ind w:left="1570" w:hanging="360"/>
      </w:pPr>
      <w:rPr>
        <w:rFonts w:ascii="Symbol" w:hAnsi="Symbol" w:hint="default"/>
      </w:rPr>
    </w:lvl>
    <w:lvl w:ilvl="1" w:tplc="99B8D18A">
      <w:numFmt w:val="bullet"/>
      <w:lvlText w:val="-"/>
      <w:lvlJc w:val="left"/>
      <w:pPr>
        <w:ind w:left="2515" w:hanging="585"/>
      </w:pPr>
      <w:rPr>
        <w:rFonts w:ascii="Calibri" w:eastAsia="Times New Roman" w:hAnsi="Calibri" w:cs="Calibri"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num w:numId="1">
    <w:abstractNumId w:val="28"/>
  </w:num>
  <w:num w:numId="2">
    <w:abstractNumId w:val="7"/>
  </w:num>
  <w:num w:numId="3">
    <w:abstractNumId w:val="9"/>
  </w:num>
  <w:num w:numId="4">
    <w:abstractNumId w:val="26"/>
    <w:lvlOverride w:ilvl="0">
      <w:startOverride w:val="1"/>
    </w:lvlOverride>
  </w:num>
  <w:num w:numId="5">
    <w:abstractNumId w:val="22"/>
    <w:lvlOverride w:ilvl="0">
      <w:startOverride w:val="1"/>
    </w:lvlOverride>
  </w:num>
  <w:num w:numId="6">
    <w:abstractNumId w:val="16"/>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num>
  <w:num w:numId="9">
    <w:abstractNumId w:val="33"/>
  </w:num>
  <w:num w:numId="10">
    <w:abstractNumId w:val="26"/>
  </w:num>
  <w:num w:numId="11">
    <w:abstractNumId w:val="27"/>
  </w:num>
  <w:num w:numId="12">
    <w:abstractNumId w:val="13"/>
  </w:num>
  <w:num w:numId="13">
    <w:abstractNumId w:val="2"/>
  </w:num>
  <w:num w:numId="14">
    <w:abstractNumId w:val="21"/>
  </w:num>
  <w:num w:numId="15">
    <w:abstractNumId w:val="14"/>
  </w:num>
  <w:num w:numId="16">
    <w:abstractNumId w:val="20"/>
  </w:num>
  <w:num w:numId="17">
    <w:abstractNumId w:val="32"/>
  </w:num>
  <w:num w:numId="18">
    <w:abstractNumId w:val="37"/>
  </w:num>
  <w:num w:numId="19">
    <w:abstractNumId w:val="17"/>
  </w:num>
  <w:num w:numId="20">
    <w:abstractNumId w:val="30"/>
  </w:num>
  <w:num w:numId="21">
    <w:abstractNumId w:val="29"/>
  </w:num>
  <w:num w:numId="22">
    <w:abstractNumId w:val="23"/>
  </w:num>
  <w:num w:numId="23">
    <w:abstractNumId w:val="24"/>
  </w:num>
  <w:num w:numId="24">
    <w:abstractNumId w:val="11"/>
  </w:num>
  <w:num w:numId="25">
    <w:abstractNumId w:val="18"/>
  </w:num>
  <w:num w:numId="26">
    <w:abstractNumId w:val="8"/>
  </w:num>
  <w:num w:numId="27">
    <w:abstractNumId w:val="15"/>
  </w:num>
  <w:num w:numId="28">
    <w:abstractNumId w:val="38"/>
  </w:num>
  <w:num w:numId="29">
    <w:abstractNumId w:val="0"/>
  </w:num>
  <w:num w:numId="30">
    <w:abstractNumId w:val="36"/>
  </w:num>
  <w:num w:numId="31">
    <w:abstractNumId w:val="3"/>
  </w:num>
  <w:num w:numId="32">
    <w:abstractNumId w:val="6"/>
  </w:num>
  <w:num w:numId="33">
    <w:abstractNumId w:val="31"/>
  </w:num>
  <w:num w:numId="34">
    <w:abstractNumId w:val="5"/>
  </w:num>
  <w:num w:numId="35">
    <w:abstractNumId w:val="25"/>
  </w:num>
  <w:num w:numId="36">
    <w:abstractNumId w:val="35"/>
  </w:num>
  <w:num w:numId="37">
    <w:abstractNumId w:val="19"/>
  </w:num>
  <w:num w:numId="38">
    <w:abstractNumId w:val="39"/>
  </w:num>
  <w:num w:numId="39">
    <w:abstractNumId w:val="1"/>
  </w:num>
  <w:num w:numId="40">
    <w:abstractNumId w:val="12"/>
  </w:num>
  <w:num w:numId="41">
    <w:abstractNumId w:val="4"/>
  </w:num>
  <w:num w:numId="42">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it-IT" w:vendorID="64" w:dllVersion="131078" w:nlCheck="1" w:checkStyle="0"/>
  <w:activeWritingStyle w:appName="MSWord" w:lang="de-DE" w:vendorID="64" w:dllVersion="131078" w:nlCheck="1" w:checkStyle="0"/>
  <w:activeWritingStyle w:appName="MSWord" w:lang="en-GB" w:vendorID="64" w:dllVersion="131078" w:nlCheck="1" w:checkStyle="1"/>
  <w:activeWritingStyle w:appName="MSWord" w:lang="fr-BE" w:vendorID="64" w:dllVersion="131078" w:nlCheck="1" w:checkStyle="0"/>
  <w:activeWritingStyle w:appName="MSWord" w:lang="en-US" w:vendorID="64" w:dllVersion="131078" w:nlCheck="1" w:checkStyle="1"/>
  <w:revisionView w:markup="0"/>
  <w:defaultTabStop w:val="720"/>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3C62F33E-96A7-46F7-83A1-C5DB327652C8"/>
    <w:docVar w:name="LW_COVERPAGE_TYPE" w:val="1"/>
    <w:docVar w:name="LW_CROSSREFERENCE" w:val="{COM(2019) 444 final} - {SWD(2019) 361 final} - {SWD(2019) 362 final} - {SWD(2019) 363 final} - {SWD(2019) 364 final}"/>
    <w:docVar w:name="LW_DocType" w:val="NORMAL"/>
    <w:docVar w:name="LW_EMISSION" w:val="11.10.2019"/>
    <w:docVar w:name="LW_EMISSION_ISODATE" w:val="2019-10-11"/>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30th Annual Report on the Protection of the European Union's financial interests - Fight against fraud - 2018"/>
    <w:docVar w:name="LW_PART_NBR" w:val="2"/>
    <w:docVar w:name="LW_PART_NBR_TOTAL" w:val="3"/>
    <w:docVar w:name="LW_REF.INST.NEW" w:val="SWD"/>
    <w:docVar w:name="LW_REF.INST.NEW_ADOPTED" w:val="final"/>
    <w:docVar w:name="LW_REF.INST.NEW_TEXT" w:val="(2019) 3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tatistical evaluation of irregularities reported for 2018: own resources, agriculture, cohesion and fisheries policies, pre-accession and direct expenditure"/>
    <w:docVar w:name="LW_TYPE.DOC.CP" w:val="COMMISSION STAFF WORKING DOCUMENT"/>
    <w:docVar w:name="LW_TYPEACTEPRINCIPAL.CP" w:val="REPORT FROM THE COMMISSION TO THE EUROPEAN PARLIAMENT AND THE COUNCIL"/>
  </w:docVars>
  <w:rsids>
    <w:rsidRoot w:val="00B83504"/>
    <w:rsid w:val="00B55645"/>
    <w:rsid w:val="00B835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iscardImageEditingData/>
  <w14:defaultImageDpi w14:val="150"/>
  <w15:docId w15:val="{70E4F6F5-5C04-4473-9D17-16BDA54D7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eastAsia="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lang w:eastAsia="en-GB"/>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eastAsia="Times New Roman" w:hAnsi="Times New Roman" w:cs="Times New Roman"/>
      <w:sz w:val="24"/>
      <w:szCs w:val="24"/>
      <w:lang w:eastAsia="en-GB"/>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eastAsia="Times New Roman" w:hAnsi="Times New Roman" w:cs="Times New Roman"/>
      <w:bCs/>
      <w:i/>
      <w:iCs/>
      <w:sz w:val="24"/>
      <w:lang w:eastAsia="en-GB"/>
    </w:rPr>
  </w:style>
  <w:style w:type="paragraph" w:customStyle="1" w:styleId="Point0number">
    <w:name w:val="Point 0 (number)"/>
    <w:basedOn w:val="Normal"/>
    <w:pPr>
      <w:numPr>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1number">
    <w:name w:val="Point 1 (number)"/>
    <w:basedOn w:val="Normal"/>
    <w:pPr>
      <w:numPr>
        <w:ilvl w:val="2"/>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2number">
    <w:name w:val="Point 2 (number)"/>
    <w:basedOn w:val="Normal"/>
    <w:pPr>
      <w:numPr>
        <w:ilvl w:val="4"/>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3number">
    <w:name w:val="Point 3 (number)"/>
    <w:basedOn w:val="Normal"/>
    <w:pPr>
      <w:numPr>
        <w:ilvl w:val="6"/>
        <w:numId w:val="3"/>
      </w:numPr>
      <w:spacing w:before="120" w:after="120" w:line="240" w:lineRule="auto"/>
      <w:jc w:val="both"/>
    </w:pPr>
    <w:rPr>
      <w:rFonts w:ascii="Times New Roman" w:eastAsia="Times New Roman" w:hAnsi="Times New Roman" w:cs="Times New Roman"/>
      <w:sz w:val="24"/>
      <w:lang w:eastAsia="en-GB"/>
    </w:rPr>
  </w:style>
  <w:style w:type="paragraph" w:customStyle="1" w:styleId="Point0letter">
    <w:name w:val="Point 0 (letter)"/>
    <w:basedOn w:val="Normal"/>
    <w:pPr>
      <w:tabs>
        <w:tab w:val="num" w:pos="850"/>
      </w:tabs>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Point1letter">
    <w:name w:val="Point 1 (letter)"/>
    <w:basedOn w:val="Normal"/>
    <w:pPr>
      <w:tabs>
        <w:tab w:val="num" w:pos="1417"/>
      </w:tabs>
      <w:spacing w:before="120" w:after="120" w:line="240" w:lineRule="auto"/>
      <w:ind w:left="1417" w:hanging="567"/>
      <w:jc w:val="both"/>
    </w:pPr>
    <w:rPr>
      <w:rFonts w:ascii="Times New Roman" w:eastAsia="Times New Roman" w:hAnsi="Times New Roman" w:cs="Times New Roman"/>
      <w:sz w:val="24"/>
      <w:lang w:eastAsia="en-GB"/>
    </w:rPr>
  </w:style>
  <w:style w:type="paragraph" w:customStyle="1" w:styleId="Point2letter">
    <w:name w:val="Point 2 (letter)"/>
    <w:basedOn w:val="Normal"/>
    <w:pPr>
      <w:tabs>
        <w:tab w:val="num" w:pos="1984"/>
      </w:tabs>
      <w:spacing w:before="120" w:after="120" w:line="240" w:lineRule="auto"/>
      <w:ind w:left="1984" w:hanging="567"/>
      <w:jc w:val="both"/>
    </w:pPr>
    <w:rPr>
      <w:rFonts w:ascii="Times New Roman" w:eastAsia="Times New Roman" w:hAnsi="Times New Roman" w:cs="Times New Roman"/>
      <w:sz w:val="24"/>
      <w:lang w:eastAsia="en-GB"/>
    </w:rPr>
  </w:style>
  <w:style w:type="paragraph" w:customStyle="1" w:styleId="Point3letter">
    <w:name w:val="Point 3 (letter)"/>
    <w:basedOn w:val="Normal"/>
    <w:pPr>
      <w:tabs>
        <w:tab w:val="num" w:pos="2551"/>
      </w:tabs>
      <w:spacing w:before="120" w:after="120" w:line="240" w:lineRule="auto"/>
      <w:ind w:left="2551" w:hanging="567"/>
      <w:jc w:val="both"/>
    </w:pPr>
    <w:rPr>
      <w:rFonts w:ascii="Times New Roman" w:eastAsia="Times New Roman" w:hAnsi="Times New Roman" w:cs="Times New Roman"/>
      <w:sz w:val="24"/>
      <w:lang w:eastAsia="en-GB"/>
    </w:rPr>
  </w:style>
  <w:style w:type="paragraph" w:customStyle="1" w:styleId="Point4letter">
    <w:name w:val="Point 4 (letter)"/>
    <w:basedOn w:val="Normal"/>
    <w:pPr>
      <w:tabs>
        <w:tab w:val="num" w:pos="3118"/>
      </w:tabs>
      <w:spacing w:before="120" w:after="120" w:line="240" w:lineRule="auto"/>
      <w:ind w:left="3118" w:hanging="567"/>
      <w:jc w:val="both"/>
    </w:pPr>
    <w:rPr>
      <w:rFonts w:ascii="Times New Roman" w:eastAsia="Times New Roman" w:hAnsi="Times New Roman" w:cs="Times New Roman"/>
      <w:sz w:val="24"/>
      <w:lang w:eastAsia="en-GB"/>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lang w:eastAsia="en-GB"/>
    </w:rPr>
  </w:style>
  <w:style w:type="paragraph" w:customStyle="1" w:styleId="ChapterTitle">
    <w:name w:val="ChapterTitle"/>
    <w:basedOn w:val="Normal"/>
    <w:next w:val="Normal"/>
    <w:link w:val="ChapterTitleChar"/>
    <w:pPr>
      <w:keepNext/>
      <w:spacing w:before="120" w:after="360" w:line="240" w:lineRule="auto"/>
      <w:jc w:val="center"/>
    </w:pPr>
    <w:rPr>
      <w:rFonts w:ascii="Times New Roman" w:eastAsia="Times New Roman" w:hAnsi="Times New Roman" w:cs="Times New Roman"/>
      <w:b/>
      <w:sz w:val="32"/>
      <w:lang w:eastAsia="en-GB"/>
    </w:rPr>
  </w:style>
  <w:style w:type="character" w:customStyle="1" w:styleId="ChapterTitleChar">
    <w:name w:val="ChapterTitle Char"/>
    <w:basedOn w:val="DefaultParagraphFont"/>
    <w:link w:val="ChapterTitle"/>
    <w:rPr>
      <w:rFonts w:ascii="Times New Roman" w:eastAsia="Times New Roman" w:hAnsi="Times New Roman" w:cs="Times New Roman"/>
      <w:b/>
      <w:sz w:val="32"/>
      <w:lang w:eastAsia="en-GB"/>
    </w:rPr>
  </w:style>
  <w:style w:type="paragraph" w:customStyle="1" w:styleId="Bullet1">
    <w:name w:val="Bullet 1"/>
    <w:basedOn w:val="Normal"/>
    <w:pPr>
      <w:numPr>
        <w:numId w:val="4"/>
      </w:numPr>
      <w:spacing w:before="120" w:after="120" w:line="240" w:lineRule="auto"/>
      <w:jc w:val="both"/>
    </w:pPr>
    <w:rPr>
      <w:rFonts w:ascii="Times New Roman" w:eastAsia="Times New Roman" w:hAnsi="Times New Roman" w:cs="Times New Roman"/>
      <w:sz w:val="24"/>
      <w:lang w:eastAsia="en-GB"/>
    </w:rPr>
  </w:style>
  <w:style w:type="paragraph" w:customStyle="1" w:styleId="Tiret1">
    <w:name w:val="Tiret 1"/>
    <w:basedOn w:val="Normal"/>
    <w:pPr>
      <w:numPr>
        <w:numId w:val="5"/>
      </w:numPr>
      <w:spacing w:before="120" w:after="120" w:line="240" w:lineRule="auto"/>
      <w:jc w:val="both"/>
    </w:pPr>
    <w:rPr>
      <w:rFonts w:ascii="Times New Roman" w:eastAsia="Times New Roman" w:hAnsi="Times New Roman" w:cs="Times New Roman"/>
      <w:sz w:val="24"/>
      <w:lang w:eastAsia="en-GB"/>
    </w:rPr>
  </w:style>
  <w:style w:type="character" w:styleId="Hyperlink">
    <w:name w:val="Hyperlink"/>
    <w:uiPriority w:val="99"/>
    <w:unhideWhenUsed/>
    <w:rPr>
      <w:color w:val="0000FF"/>
      <w:u w:val="single"/>
    </w:rPr>
  </w:style>
  <w:style w:type="paragraph" w:styleId="TOCHeading">
    <w:name w:val="TOC Heading"/>
    <w:basedOn w:val="Heading1"/>
    <w:next w:val="Normal"/>
    <w:unhideWhenUsed/>
    <w:qFormat/>
    <w:pPr>
      <w:outlineLvl w:val="9"/>
    </w:pPr>
    <w:rPr>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customStyle="1" w:styleId="SectionTitle">
    <w:name w:val="SectionTitle"/>
    <w:basedOn w:val="Normal"/>
    <w:next w:val="Heading1"/>
    <w:pPr>
      <w:keepNext/>
      <w:spacing w:before="120" w:after="360" w:line="240" w:lineRule="auto"/>
      <w:jc w:val="center"/>
    </w:pPr>
    <w:rPr>
      <w:rFonts w:ascii="Times New Roman" w:eastAsia="Times New Roman" w:hAnsi="Times New Roman" w:cs="Times New Roman"/>
      <w:b/>
      <w:smallCaps/>
      <w:sz w:val="28"/>
      <w:lang w:eastAsia="en-GB"/>
    </w:rPr>
  </w:style>
  <w:style w:type="paragraph" w:customStyle="1" w:styleId="Bullet2">
    <w:name w:val="Bullet 2"/>
    <w:basedOn w:val="Normal"/>
    <w:pPr>
      <w:numPr>
        <w:numId w:val="11"/>
      </w:numPr>
      <w:spacing w:before="120" w:after="120" w:line="240" w:lineRule="auto"/>
      <w:jc w:val="both"/>
    </w:pPr>
    <w:rPr>
      <w:rFonts w:ascii="Times New Roman" w:eastAsia="Times New Roman" w:hAnsi="Times New Roman" w:cs="Times New Roman"/>
      <w:sz w:val="24"/>
      <w:lang w:eastAsia="en-GB"/>
    </w:rPr>
  </w:style>
  <w:style w:type="paragraph" w:customStyle="1" w:styleId="Text3">
    <w:name w:val="Text 3"/>
    <w:basedOn w:val="Normal"/>
    <w:pPr>
      <w:spacing w:before="120" w:after="120" w:line="240" w:lineRule="auto"/>
      <w:ind w:left="1984"/>
      <w:jc w:val="both"/>
    </w:pPr>
    <w:rPr>
      <w:rFonts w:ascii="Times New Roman" w:eastAsia="Times New Roman" w:hAnsi="Times New Roman" w:cs="Times New Roman"/>
      <w:sz w:val="24"/>
      <w:lang w:eastAsia="en-GB"/>
    </w:rPr>
  </w:style>
  <w:style w:type="paragraph" w:customStyle="1" w:styleId="PartTitle">
    <w:name w:val="PartTitle"/>
    <w:basedOn w:val="Normal"/>
    <w:next w:val="ChapterTitle"/>
    <w:pPr>
      <w:keepNext/>
      <w:pageBreakBefore/>
      <w:spacing w:before="120" w:after="360" w:line="240" w:lineRule="auto"/>
      <w:jc w:val="center"/>
    </w:pPr>
    <w:rPr>
      <w:rFonts w:ascii="Times New Roman" w:eastAsia="Times New Roman" w:hAnsi="Times New Roman" w:cs="Times New Roman"/>
      <w:b/>
      <w:sz w:val="36"/>
      <w:lang w:eastAsia="en-GB"/>
    </w:rPr>
  </w:style>
  <w:style w:type="paragraph" w:customStyle="1" w:styleId="Default">
    <w:name w:val="Default"/>
    <w:pPr>
      <w:autoSpaceDE w:val="0"/>
      <w:autoSpaceDN w:val="0"/>
      <w:adjustRightInd w:val="0"/>
      <w:spacing w:after="0" w:line="240" w:lineRule="auto"/>
    </w:pPr>
    <w:rPr>
      <w:rFonts w:ascii="EUAlbertina" w:eastAsia="Calibri" w:hAnsi="EUAlbertina" w:cs="EUAlbertina"/>
      <w:color w:val="000000"/>
      <w:sz w:val="24"/>
      <w:szCs w:val="24"/>
      <w:lang w:eastAsia="en-GB" w:bidi="lo-LA"/>
    </w:rPr>
  </w:style>
  <w:style w:type="paragraph" w:styleId="ListNumber">
    <w:name w:val="List Number"/>
    <w:basedOn w:val="Normal"/>
    <w:pPr>
      <w:numPr>
        <w:numId w:val="24"/>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24"/>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24"/>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24"/>
      </w:numPr>
      <w:spacing w:after="240" w:line="240" w:lineRule="auto"/>
      <w:jc w:val="both"/>
    </w:pPr>
    <w:rPr>
      <w:rFonts w:ascii="Times New Roman" w:eastAsia="Times New Roman" w:hAnsi="Times New Roman" w:cs="Times New Roman"/>
      <w:sz w:val="24"/>
      <w:szCs w:val="20"/>
    </w:rPr>
  </w:style>
  <w:style w:type="paragraph" w:styleId="Caption">
    <w:name w:val="caption"/>
    <w:basedOn w:val="Normal"/>
    <w:next w:val="Normal"/>
    <w:uiPriority w:val="35"/>
    <w:unhideWhenUsed/>
    <w:qFormat/>
    <w:rPr>
      <w:rFonts w:ascii="Calibri" w:eastAsia="Calibri" w:hAnsi="Calibri" w:cs="DokChampa"/>
      <w:b/>
      <w:bCs/>
      <w:sz w:val="20"/>
      <w:szCs w:val="20"/>
      <w:lang w:bidi="lo-LA"/>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rFonts w:ascii="Calibri" w:eastAsia="Calibri" w:hAnsi="Calibri" w:cs="DokChampa"/>
      <w:sz w:val="20"/>
      <w:szCs w:val="20"/>
      <w:lang w:bidi="lo-LA"/>
    </w:rPr>
  </w:style>
  <w:style w:type="character" w:customStyle="1" w:styleId="CommentTextChar">
    <w:name w:val="Comment Text Char"/>
    <w:basedOn w:val="DefaultParagraphFont"/>
    <w:link w:val="CommentText"/>
    <w:uiPriority w:val="99"/>
    <w:rPr>
      <w:rFonts w:ascii="Calibri" w:eastAsia="Calibri" w:hAnsi="Calibri" w:cs="DokChampa"/>
      <w:sz w:val="20"/>
      <w:szCs w:val="20"/>
      <w:lang w:bidi="lo-LA"/>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DokChampa"/>
      <w:b/>
      <w:bCs/>
      <w:sz w:val="20"/>
      <w:szCs w:val="20"/>
      <w:lang w:bidi="lo-LA"/>
    </w:rPr>
  </w:style>
  <w:style w:type="paragraph" w:styleId="Revision">
    <w:name w:val="Revision"/>
    <w:hidden/>
    <w:uiPriority w:val="99"/>
    <w:semiHidden/>
    <w:pPr>
      <w:spacing w:after="0" w:line="240" w:lineRule="auto"/>
    </w:pPr>
    <w:rPr>
      <w:rFonts w:ascii="Calibri" w:eastAsia="Calibri" w:hAnsi="Calibri" w:cs="DokChampa"/>
      <w:lang w:bidi="lo-LA"/>
    </w:rPr>
  </w:style>
  <w:style w:type="paragraph" w:styleId="EndnoteText">
    <w:name w:val="endnote text"/>
    <w:basedOn w:val="Normal"/>
    <w:link w:val="EndnoteTextChar"/>
    <w:uiPriority w:val="99"/>
    <w:semiHidden/>
    <w:unhideWhenUsed/>
    <w:rPr>
      <w:rFonts w:ascii="Calibri" w:eastAsia="Calibri" w:hAnsi="Calibri" w:cs="DokChampa"/>
      <w:sz w:val="20"/>
      <w:szCs w:val="20"/>
      <w:lang w:bidi="lo-LA"/>
    </w:rPr>
  </w:style>
  <w:style w:type="character" w:customStyle="1" w:styleId="EndnoteTextChar">
    <w:name w:val="Endnote Text Char"/>
    <w:basedOn w:val="DefaultParagraphFont"/>
    <w:link w:val="EndnoteText"/>
    <w:uiPriority w:val="99"/>
    <w:semiHidden/>
    <w:rPr>
      <w:rFonts w:ascii="Calibri" w:eastAsia="Calibri" w:hAnsi="Calibri" w:cs="DokChampa"/>
      <w:sz w:val="20"/>
      <w:szCs w:val="20"/>
      <w:lang w:bidi="lo-LA"/>
    </w:rPr>
  </w:style>
  <w:style w:type="character" w:styleId="EndnoteReference">
    <w:name w:val="endnote reference"/>
    <w:uiPriority w:val="99"/>
    <w:semiHidden/>
    <w:unhideWhenUsed/>
    <w:rPr>
      <w:vertAlign w:val="superscript"/>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15"/>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6"/>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Text3"/>
    <w:pPr>
      <w:numPr>
        <w:numId w:val="17"/>
      </w:numPr>
      <w:spacing w:before="0" w:after="240"/>
    </w:pPr>
    <w:rPr>
      <w:szCs w:val="20"/>
      <w:lang w:eastAsia="en-US"/>
    </w:rPr>
  </w:style>
  <w:style w:type="paragraph" w:styleId="ListBullet4">
    <w:name w:val="List Bullet 4"/>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9"/>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20"/>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Text3"/>
    <w:pPr>
      <w:numPr>
        <w:numId w:val="22"/>
      </w:numPr>
      <w:spacing w:before="0" w:after="240"/>
    </w:pPr>
    <w:rPr>
      <w:szCs w:val="20"/>
      <w:lang w:eastAsia="en-US"/>
    </w:rPr>
  </w:style>
  <w:style w:type="paragraph" w:customStyle="1" w:styleId="ListDash4">
    <w:name w:val="List Dash 4"/>
    <w:basedOn w:val="Normal"/>
    <w:pPr>
      <w:numPr>
        <w:numId w:val="2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25"/>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6"/>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Text3"/>
    <w:pPr>
      <w:numPr>
        <w:numId w:val="27"/>
      </w:numPr>
      <w:spacing w:before="0" w:after="240"/>
    </w:pPr>
    <w:rPr>
      <w:szCs w:val="20"/>
      <w:lang w:eastAsia="en-US"/>
    </w:rPr>
  </w:style>
  <w:style w:type="paragraph" w:styleId="ListNumber4">
    <w:name w:val="List Number 4"/>
    <w:basedOn w:val="Normal"/>
    <w:pPr>
      <w:numPr>
        <w:numId w:val="2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25"/>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6"/>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Text3"/>
    <w:pPr>
      <w:numPr>
        <w:ilvl w:val="1"/>
        <w:numId w:val="27"/>
      </w:numPr>
      <w:spacing w:before="0" w:after="240"/>
    </w:pPr>
    <w:rPr>
      <w:szCs w:val="20"/>
      <w:lang w:eastAsia="en-US"/>
    </w:rPr>
  </w:style>
  <w:style w:type="paragraph" w:customStyle="1" w:styleId="ListNumber4Level2">
    <w:name w:val="List Number 4 (Level 2)"/>
    <w:basedOn w:val="Normal"/>
    <w:pPr>
      <w:numPr>
        <w:ilvl w:val="1"/>
        <w:numId w:val="2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25"/>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6"/>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Text3"/>
    <w:pPr>
      <w:numPr>
        <w:ilvl w:val="2"/>
        <w:numId w:val="27"/>
      </w:numPr>
      <w:spacing w:before="0" w:after="240"/>
    </w:pPr>
    <w:rPr>
      <w:szCs w:val="20"/>
      <w:lang w:eastAsia="en-US"/>
    </w:rPr>
  </w:style>
  <w:style w:type="paragraph" w:customStyle="1" w:styleId="ListNumber4Level3">
    <w:name w:val="List Number 4 (Level 3)"/>
    <w:basedOn w:val="Normal"/>
    <w:pPr>
      <w:numPr>
        <w:ilvl w:val="2"/>
        <w:numId w:val="2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25"/>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6"/>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Text3"/>
    <w:pPr>
      <w:numPr>
        <w:ilvl w:val="3"/>
        <w:numId w:val="27"/>
      </w:numPr>
      <w:spacing w:before="0" w:after="240"/>
    </w:pPr>
    <w:rPr>
      <w:szCs w:val="20"/>
      <w:lang w:eastAsia="en-US"/>
    </w:rPr>
  </w:style>
  <w:style w:type="paragraph" w:customStyle="1" w:styleId="ListNumber4Level4">
    <w:name w:val="List Number 4 (Level 4)"/>
    <w:basedOn w:val="Normal"/>
    <w:pPr>
      <w:numPr>
        <w:ilvl w:val="3"/>
        <w:numId w:val="28"/>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uiPriority w:val="39"/>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character" w:customStyle="1" w:styleId="hps">
    <w:name w:val="hps"/>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M1">
    <w:name w:val="CM1"/>
    <w:basedOn w:val="Default"/>
    <w:next w:val="Default"/>
    <w:uiPriority w:val="99"/>
    <w:rPr>
      <w:rFonts w:eastAsiaTheme="minorHAnsi" w:cstheme="minorBidi"/>
      <w:color w:val="auto"/>
      <w:lang w:eastAsia="en-US" w:bidi="ar-SA"/>
    </w:rPr>
  </w:style>
  <w:style w:type="paragraph" w:customStyle="1" w:styleId="CM3">
    <w:name w:val="CM3"/>
    <w:basedOn w:val="Default"/>
    <w:next w:val="Default"/>
    <w:uiPriority w:val="99"/>
    <w:rPr>
      <w:rFonts w:eastAsiaTheme="minorHAnsi" w:cstheme="minorBidi"/>
      <w:color w:val="auto"/>
      <w:lang w:eastAsia="en-US" w:bidi="ar-SA"/>
    </w:rPr>
  </w:style>
  <w:style w:type="table" w:customStyle="1" w:styleId="GridTable4-Accent21">
    <w:name w:val="Grid Table 4 - Accent 21"/>
    <w:basedOn w:val="TableNormal"/>
    <w:uiPriority w:val="49"/>
    <w:pPr>
      <w:spacing w:after="0" w:line="240" w:lineRule="auto"/>
    </w:pPr>
    <w:rPr>
      <w:rFonts w:ascii="Calibri" w:eastAsia="Calibri" w:hAnsi="Calibri" w:cs="DokChampa"/>
      <w:sz w:val="20"/>
      <w:szCs w:val="20"/>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ColorfulList-Accent2">
    <w:name w:val="Colorful List Accent 2"/>
    <w:basedOn w:val="TableNormal"/>
    <w:uiPriority w:val="72"/>
    <w:pPr>
      <w:spacing w:after="0" w:line="240" w:lineRule="auto"/>
    </w:pPr>
    <w:rPr>
      <w:rFonts w:ascii="Calibri" w:eastAsia="Calibri" w:hAnsi="Calibri" w:cs="DokChampa"/>
      <w:color w:val="000000"/>
      <w:sz w:val="20"/>
      <w:szCs w:val="20"/>
      <w:lang w:eastAsia="en-GB"/>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PIFtable">
    <w:name w:val="PIF table"/>
    <w:basedOn w:val="TableNormal"/>
    <w:uiPriority w:val="99"/>
    <w:pPr>
      <w:spacing w:after="0" w:line="240" w:lineRule="auto"/>
    </w:pPr>
    <w:rPr>
      <w:rFonts w:ascii="Calibri" w:eastAsia="Calibri" w:hAnsi="Calibri" w:cs="DokChampa"/>
      <w:sz w:val="20"/>
      <w:szCs w:val="20"/>
      <w:lang w:eastAsia="en-GB"/>
    </w:rPr>
    <w:tblPr>
      <w:tblStyleRowBandSize w:val="1"/>
    </w:tblPr>
    <w:tcPr>
      <w:shd w:val="clear" w:color="auto" w:fill="990000"/>
    </w:tcPr>
    <w:tblStylePr w:type="firstRow">
      <w:rPr>
        <w:rFonts w:ascii="Arial" w:hAnsi="Arial"/>
        <w:b/>
        <w:sz w:val="18"/>
      </w:rPr>
    </w:tblStylePr>
    <w:tblStylePr w:type="lastRow">
      <w:rPr>
        <w:rFonts w:ascii="Arial" w:hAnsi="Arial"/>
        <w:b/>
        <w:sz w:val="18"/>
      </w:rPr>
      <w:tblPr/>
      <w:tcPr>
        <w:shd w:val="clear" w:color="auto" w:fill="990000"/>
      </w:tcPr>
    </w:tblStylePr>
    <w:tblStylePr w:type="band1Horz">
      <w:rPr>
        <w:rFonts w:ascii="Arial" w:hAnsi="Arial"/>
        <w:sz w:val="18"/>
      </w:rPr>
      <w:tblPr/>
      <w:tcPr>
        <w:shd w:val="clear" w:color="auto" w:fill="FFFFFF"/>
      </w:tcPr>
    </w:tblStylePr>
    <w:tblStylePr w:type="band2Horz">
      <w:rPr>
        <w:rFonts w:ascii="Arial" w:hAnsi="Arial"/>
        <w:sz w:val="18"/>
      </w:rPr>
      <w:tblPr/>
      <w:tcPr>
        <w:shd w:val="clear" w:color="auto" w:fill="FF9999"/>
      </w:tcPr>
    </w:tblStylePr>
  </w:style>
  <w:style w:type="paragraph" w:styleId="IntenseQuote">
    <w:name w:val="Intense Quote"/>
    <w:basedOn w:val="Normal"/>
    <w:next w:val="Normal"/>
    <w:link w:val="IntenseQuoteChar"/>
    <w:uiPriority w:val="30"/>
    <w:qFormat/>
    <w:pPr>
      <w:pBdr>
        <w:top w:val="single" w:sz="4" w:space="10" w:color="5B9BD5"/>
        <w:bottom w:val="single" w:sz="4" w:space="10" w:color="5B9BD5"/>
      </w:pBdr>
      <w:spacing w:before="360" w:after="360"/>
      <w:ind w:left="864" w:right="864"/>
      <w:jc w:val="center"/>
    </w:pPr>
    <w:rPr>
      <w:rFonts w:ascii="Calibri" w:eastAsia="Calibri" w:hAnsi="Calibri" w:cs="DokChampa"/>
      <w:i/>
      <w:iCs/>
      <w:color w:val="5B9BD5"/>
      <w:lang w:bidi="lo-LA"/>
    </w:rPr>
  </w:style>
  <w:style w:type="character" w:customStyle="1" w:styleId="IntenseQuoteChar">
    <w:name w:val="Intense Quote Char"/>
    <w:basedOn w:val="DefaultParagraphFont"/>
    <w:link w:val="IntenseQuote"/>
    <w:uiPriority w:val="30"/>
    <w:rPr>
      <w:rFonts w:ascii="Calibri" w:eastAsia="Calibri" w:hAnsi="Calibri" w:cs="DokChampa"/>
      <w:i/>
      <w:iCs/>
      <w:color w:val="5B9BD5"/>
      <w:lang w:bidi="lo-LA"/>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10563">
      <w:bodyDiv w:val="1"/>
      <w:marLeft w:val="0"/>
      <w:marRight w:val="0"/>
      <w:marTop w:val="0"/>
      <w:marBottom w:val="0"/>
      <w:divBdr>
        <w:top w:val="none" w:sz="0" w:space="0" w:color="auto"/>
        <w:left w:val="none" w:sz="0" w:space="0" w:color="auto"/>
        <w:bottom w:val="none" w:sz="0" w:space="0" w:color="auto"/>
        <w:right w:val="none" w:sz="0" w:space="0" w:color="auto"/>
      </w:divBdr>
    </w:div>
    <w:div w:id="162941227">
      <w:bodyDiv w:val="1"/>
      <w:marLeft w:val="0"/>
      <w:marRight w:val="0"/>
      <w:marTop w:val="0"/>
      <w:marBottom w:val="0"/>
      <w:divBdr>
        <w:top w:val="none" w:sz="0" w:space="0" w:color="auto"/>
        <w:left w:val="none" w:sz="0" w:space="0" w:color="auto"/>
        <w:bottom w:val="none" w:sz="0" w:space="0" w:color="auto"/>
        <w:right w:val="none" w:sz="0" w:space="0" w:color="auto"/>
      </w:divBdr>
    </w:div>
    <w:div w:id="314913767">
      <w:bodyDiv w:val="1"/>
      <w:marLeft w:val="0"/>
      <w:marRight w:val="0"/>
      <w:marTop w:val="0"/>
      <w:marBottom w:val="0"/>
      <w:divBdr>
        <w:top w:val="none" w:sz="0" w:space="0" w:color="auto"/>
        <w:left w:val="none" w:sz="0" w:space="0" w:color="auto"/>
        <w:bottom w:val="none" w:sz="0" w:space="0" w:color="auto"/>
        <w:right w:val="none" w:sz="0" w:space="0" w:color="auto"/>
      </w:divBdr>
    </w:div>
    <w:div w:id="374039183">
      <w:bodyDiv w:val="1"/>
      <w:marLeft w:val="0"/>
      <w:marRight w:val="0"/>
      <w:marTop w:val="0"/>
      <w:marBottom w:val="0"/>
      <w:divBdr>
        <w:top w:val="none" w:sz="0" w:space="0" w:color="auto"/>
        <w:left w:val="none" w:sz="0" w:space="0" w:color="auto"/>
        <w:bottom w:val="none" w:sz="0" w:space="0" w:color="auto"/>
        <w:right w:val="none" w:sz="0" w:space="0" w:color="auto"/>
      </w:divBdr>
    </w:div>
    <w:div w:id="428240588">
      <w:bodyDiv w:val="1"/>
      <w:marLeft w:val="0"/>
      <w:marRight w:val="0"/>
      <w:marTop w:val="0"/>
      <w:marBottom w:val="0"/>
      <w:divBdr>
        <w:top w:val="none" w:sz="0" w:space="0" w:color="auto"/>
        <w:left w:val="none" w:sz="0" w:space="0" w:color="auto"/>
        <w:bottom w:val="none" w:sz="0" w:space="0" w:color="auto"/>
        <w:right w:val="none" w:sz="0" w:space="0" w:color="auto"/>
      </w:divBdr>
    </w:div>
    <w:div w:id="805247240">
      <w:bodyDiv w:val="1"/>
      <w:marLeft w:val="0"/>
      <w:marRight w:val="0"/>
      <w:marTop w:val="0"/>
      <w:marBottom w:val="0"/>
      <w:divBdr>
        <w:top w:val="none" w:sz="0" w:space="0" w:color="auto"/>
        <w:left w:val="none" w:sz="0" w:space="0" w:color="auto"/>
        <w:bottom w:val="none" w:sz="0" w:space="0" w:color="auto"/>
        <w:right w:val="none" w:sz="0" w:space="0" w:color="auto"/>
      </w:divBdr>
    </w:div>
    <w:div w:id="823817465">
      <w:bodyDiv w:val="1"/>
      <w:marLeft w:val="0"/>
      <w:marRight w:val="0"/>
      <w:marTop w:val="0"/>
      <w:marBottom w:val="0"/>
      <w:divBdr>
        <w:top w:val="none" w:sz="0" w:space="0" w:color="auto"/>
        <w:left w:val="none" w:sz="0" w:space="0" w:color="auto"/>
        <w:bottom w:val="none" w:sz="0" w:space="0" w:color="auto"/>
        <w:right w:val="none" w:sz="0" w:space="0" w:color="auto"/>
      </w:divBdr>
    </w:div>
    <w:div w:id="1099330781">
      <w:bodyDiv w:val="1"/>
      <w:marLeft w:val="0"/>
      <w:marRight w:val="0"/>
      <w:marTop w:val="0"/>
      <w:marBottom w:val="0"/>
      <w:divBdr>
        <w:top w:val="none" w:sz="0" w:space="0" w:color="auto"/>
        <w:left w:val="none" w:sz="0" w:space="0" w:color="auto"/>
        <w:bottom w:val="none" w:sz="0" w:space="0" w:color="auto"/>
        <w:right w:val="none" w:sz="0" w:space="0" w:color="auto"/>
      </w:divBdr>
    </w:div>
    <w:div w:id="1178692748">
      <w:bodyDiv w:val="1"/>
      <w:marLeft w:val="0"/>
      <w:marRight w:val="0"/>
      <w:marTop w:val="0"/>
      <w:marBottom w:val="0"/>
      <w:divBdr>
        <w:top w:val="none" w:sz="0" w:space="0" w:color="auto"/>
        <w:left w:val="none" w:sz="0" w:space="0" w:color="auto"/>
        <w:bottom w:val="none" w:sz="0" w:space="0" w:color="auto"/>
        <w:right w:val="none" w:sz="0" w:space="0" w:color="auto"/>
      </w:divBdr>
    </w:div>
    <w:div w:id="1212158820">
      <w:bodyDiv w:val="1"/>
      <w:marLeft w:val="0"/>
      <w:marRight w:val="0"/>
      <w:marTop w:val="0"/>
      <w:marBottom w:val="0"/>
      <w:divBdr>
        <w:top w:val="none" w:sz="0" w:space="0" w:color="auto"/>
        <w:left w:val="none" w:sz="0" w:space="0" w:color="auto"/>
        <w:bottom w:val="none" w:sz="0" w:space="0" w:color="auto"/>
        <w:right w:val="none" w:sz="0" w:space="0" w:color="auto"/>
      </w:divBdr>
    </w:div>
    <w:div w:id="1286690520">
      <w:bodyDiv w:val="1"/>
      <w:marLeft w:val="0"/>
      <w:marRight w:val="0"/>
      <w:marTop w:val="0"/>
      <w:marBottom w:val="0"/>
      <w:divBdr>
        <w:top w:val="none" w:sz="0" w:space="0" w:color="auto"/>
        <w:left w:val="none" w:sz="0" w:space="0" w:color="auto"/>
        <w:bottom w:val="none" w:sz="0" w:space="0" w:color="auto"/>
        <w:right w:val="none" w:sz="0" w:space="0" w:color="auto"/>
      </w:divBdr>
    </w:div>
    <w:div w:id="1316839791">
      <w:bodyDiv w:val="1"/>
      <w:marLeft w:val="0"/>
      <w:marRight w:val="0"/>
      <w:marTop w:val="0"/>
      <w:marBottom w:val="0"/>
      <w:divBdr>
        <w:top w:val="none" w:sz="0" w:space="0" w:color="auto"/>
        <w:left w:val="none" w:sz="0" w:space="0" w:color="auto"/>
        <w:bottom w:val="none" w:sz="0" w:space="0" w:color="auto"/>
        <w:right w:val="none" w:sz="0" w:space="0" w:color="auto"/>
      </w:divBdr>
    </w:div>
    <w:div w:id="1559894564">
      <w:bodyDiv w:val="1"/>
      <w:marLeft w:val="0"/>
      <w:marRight w:val="0"/>
      <w:marTop w:val="0"/>
      <w:marBottom w:val="0"/>
      <w:divBdr>
        <w:top w:val="none" w:sz="0" w:space="0" w:color="auto"/>
        <w:left w:val="none" w:sz="0" w:space="0" w:color="auto"/>
        <w:bottom w:val="none" w:sz="0" w:space="0" w:color="auto"/>
        <w:right w:val="none" w:sz="0" w:space="0" w:color="auto"/>
      </w:divBdr>
    </w:div>
    <w:div w:id="1669600957">
      <w:bodyDiv w:val="1"/>
      <w:marLeft w:val="0"/>
      <w:marRight w:val="0"/>
      <w:marTop w:val="0"/>
      <w:marBottom w:val="0"/>
      <w:divBdr>
        <w:top w:val="none" w:sz="0" w:space="0" w:color="auto"/>
        <w:left w:val="none" w:sz="0" w:space="0" w:color="auto"/>
        <w:bottom w:val="none" w:sz="0" w:space="0" w:color="auto"/>
        <w:right w:val="none" w:sz="0" w:space="0" w:color="auto"/>
      </w:divBdr>
    </w:div>
    <w:div w:id="1712224823">
      <w:bodyDiv w:val="1"/>
      <w:marLeft w:val="0"/>
      <w:marRight w:val="0"/>
      <w:marTop w:val="0"/>
      <w:marBottom w:val="0"/>
      <w:divBdr>
        <w:top w:val="none" w:sz="0" w:space="0" w:color="auto"/>
        <w:left w:val="none" w:sz="0" w:space="0" w:color="auto"/>
        <w:bottom w:val="none" w:sz="0" w:space="0" w:color="auto"/>
        <w:right w:val="none" w:sz="0" w:space="0" w:color="auto"/>
      </w:divBdr>
    </w:div>
    <w:div w:id="1867865917">
      <w:bodyDiv w:val="1"/>
      <w:marLeft w:val="0"/>
      <w:marRight w:val="0"/>
      <w:marTop w:val="0"/>
      <w:marBottom w:val="0"/>
      <w:divBdr>
        <w:top w:val="none" w:sz="0" w:space="0" w:color="auto"/>
        <w:left w:val="none" w:sz="0" w:space="0" w:color="auto"/>
        <w:bottom w:val="none" w:sz="0" w:space="0" w:color="auto"/>
        <w:right w:val="none" w:sz="0" w:space="0" w:color="auto"/>
      </w:divBdr>
    </w:div>
    <w:div w:id="1910797751">
      <w:bodyDiv w:val="1"/>
      <w:marLeft w:val="0"/>
      <w:marRight w:val="0"/>
      <w:marTop w:val="0"/>
      <w:marBottom w:val="0"/>
      <w:divBdr>
        <w:top w:val="none" w:sz="0" w:space="0" w:color="auto"/>
        <w:left w:val="none" w:sz="0" w:space="0" w:color="auto"/>
        <w:bottom w:val="none" w:sz="0" w:space="0" w:color="auto"/>
        <w:right w:val="none" w:sz="0" w:space="0" w:color="auto"/>
      </w:divBdr>
    </w:div>
    <w:div w:id="2012946539">
      <w:bodyDiv w:val="1"/>
      <w:marLeft w:val="0"/>
      <w:marRight w:val="0"/>
      <w:marTop w:val="0"/>
      <w:marBottom w:val="0"/>
      <w:divBdr>
        <w:top w:val="none" w:sz="0" w:space="0" w:color="auto"/>
        <w:left w:val="none" w:sz="0" w:space="0" w:color="auto"/>
        <w:bottom w:val="none" w:sz="0" w:space="0" w:color="auto"/>
        <w:right w:val="none" w:sz="0" w:space="0" w:color="auto"/>
      </w:divBdr>
    </w:div>
    <w:div w:id="2114935999">
      <w:bodyDiv w:val="1"/>
      <w:marLeft w:val="0"/>
      <w:marRight w:val="0"/>
      <w:marTop w:val="0"/>
      <w:marBottom w:val="0"/>
      <w:divBdr>
        <w:top w:val="none" w:sz="0" w:space="0" w:color="auto"/>
        <w:left w:val="none" w:sz="0" w:space="0" w:color="auto"/>
        <w:bottom w:val="none" w:sz="0" w:space="0" w:color="auto"/>
        <w:right w:val="none" w:sz="0" w:space="0" w:color="auto"/>
      </w:divBdr>
    </w:div>
    <w:div w:id="211971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80.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emf"/><Relationship Id="rId68" Type="http://schemas.openxmlformats.org/officeDocument/2006/relationships/image" Target="media/image55.png"/><Relationship Id="rId84" Type="http://schemas.openxmlformats.org/officeDocument/2006/relationships/header" Target="header10.xml"/><Relationship Id="rId89" Type="http://schemas.openxmlformats.org/officeDocument/2006/relationships/footer" Target="footer12.xml"/><Relationship Id="rId112" Type="http://schemas.openxmlformats.org/officeDocument/2006/relationships/image" Target="media/image75.emf"/><Relationship Id="rId16" Type="http://schemas.openxmlformats.org/officeDocument/2006/relationships/image" Target="media/image3.png"/><Relationship Id="rId107" Type="http://schemas.openxmlformats.org/officeDocument/2006/relationships/image" Target="media/image70.emf"/><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header" Target="header6.xml"/><Relationship Id="rId79" Type="http://schemas.openxmlformats.org/officeDocument/2006/relationships/footer" Target="footer7.xml"/><Relationship Id="rId102" Type="http://schemas.openxmlformats.org/officeDocument/2006/relationships/image" Target="media/image65.emf"/><Relationship Id="rId123"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footer" Target="footer9.xml"/><Relationship Id="rId90" Type="http://schemas.openxmlformats.org/officeDocument/2006/relationships/image" Target="media/image59.png"/><Relationship Id="rId95" Type="http://schemas.openxmlformats.org/officeDocument/2006/relationships/footer" Target="footer14.xml"/><Relationship Id="rId19" Type="http://schemas.openxmlformats.org/officeDocument/2006/relationships/image" Target="media/image6.emf"/><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emf"/><Relationship Id="rId69" Type="http://schemas.openxmlformats.org/officeDocument/2006/relationships/image" Target="media/image56.png"/><Relationship Id="rId77" Type="http://schemas.openxmlformats.org/officeDocument/2006/relationships/header" Target="header7.xml"/><Relationship Id="rId100" Type="http://schemas.openxmlformats.org/officeDocument/2006/relationships/image" Target="media/image63.png"/><Relationship Id="rId105" Type="http://schemas.openxmlformats.org/officeDocument/2006/relationships/image" Target="media/image68.emf"/><Relationship Id="rId113" Type="http://schemas.openxmlformats.org/officeDocument/2006/relationships/image" Target="media/image76.emf"/><Relationship Id="rId118" Type="http://schemas.openxmlformats.org/officeDocument/2006/relationships/image" Target="media/image81.emf"/><Relationship Id="rId12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footer" Target="footer4.xml"/><Relationship Id="rId80" Type="http://schemas.openxmlformats.org/officeDocument/2006/relationships/footer" Target="footer8.xml"/><Relationship Id="rId85" Type="http://schemas.openxmlformats.org/officeDocument/2006/relationships/header" Target="header11.xml"/><Relationship Id="rId93" Type="http://schemas.openxmlformats.org/officeDocument/2006/relationships/header" Target="header14.xml"/><Relationship Id="rId98" Type="http://schemas.openxmlformats.org/officeDocument/2006/relationships/image" Target="media/image61.emf"/><Relationship Id="rId121"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emf"/><Relationship Id="rId67" Type="http://schemas.openxmlformats.org/officeDocument/2006/relationships/image" Target="media/image54.emf"/><Relationship Id="rId103" Type="http://schemas.openxmlformats.org/officeDocument/2006/relationships/image" Target="media/image66.emf"/><Relationship Id="rId108" Type="http://schemas.openxmlformats.org/officeDocument/2006/relationships/image" Target="media/image71.png"/><Relationship Id="rId116" Type="http://schemas.openxmlformats.org/officeDocument/2006/relationships/image" Target="media/image79.emf"/><Relationship Id="rId124" Type="http://schemas.openxmlformats.org/officeDocument/2006/relationships/footer" Target="footer18.xm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emf"/><Relationship Id="rId70" Type="http://schemas.openxmlformats.org/officeDocument/2006/relationships/header" Target="header4.xml"/><Relationship Id="rId75" Type="http://schemas.openxmlformats.org/officeDocument/2006/relationships/footer" Target="footer6.xml"/><Relationship Id="rId83" Type="http://schemas.openxmlformats.org/officeDocument/2006/relationships/image" Target="media/image58.png"/><Relationship Id="rId88" Type="http://schemas.openxmlformats.org/officeDocument/2006/relationships/header" Target="header12.xml"/><Relationship Id="rId91" Type="http://schemas.openxmlformats.org/officeDocument/2006/relationships/image" Target="media/image60.png"/><Relationship Id="rId96" Type="http://schemas.openxmlformats.org/officeDocument/2006/relationships/header" Target="header15.xml"/><Relationship Id="rId111"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69.emf"/><Relationship Id="rId114" Type="http://schemas.openxmlformats.org/officeDocument/2006/relationships/image" Target="media/image77.emf"/><Relationship Id="rId119" Type="http://schemas.openxmlformats.org/officeDocument/2006/relationships/header" Target="header16.xml"/><Relationship Id="rId10" Type="http://schemas.openxmlformats.org/officeDocument/2006/relationships/header" Target="header2.xml"/><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footer" Target="footer5.xml"/><Relationship Id="rId78" Type="http://schemas.openxmlformats.org/officeDocument/2006/relationships/header" Target="header8.xml"/><Relationship Id="rId81" Type="http://schemas.openxmlformats.org/officeDocument/2006/relationships/header" Target="header9.xml"/><Relationship Id="rId86" Type="http://schemas.openxmlformats.org/officeDocument/2006/relationships/footer" Target="footer10.xml"/><Relationship Id="rId94" Type="http://schemas.openxmlformats.org/officeDocument/2006/relationships/footer" Target="footer13.xml"/><Relationship Id="rId99" Type="http://schemas.openxmlformats.org/officeDocument/2006/relationships/image" Target="media/image62.emf"/><Relationship Id="rId101" Type="http://schemas.openxmlformats.org/officeDocument/2006/relationships/image" Target="media/image64.png"/><Relationship Id="rId122"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72.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7.png"/><Relationship Id="rId97" Type="http://schemas.openxmlformats.org/officeDocument/2006/relationships/footer" Target="footer15.xml"/><Relationship Id="rId104" Type="http://schemas.openxmlformats.org/officeDocument/2006/relationships/image" Target="media/image67.emf"/><Relationship Id="rId120" Type="http://schemas.openxmlformats.org/officeDocument/2006/relationships/header" Target="header17.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5.xml"/><Relationship Id="rId92" Type="http://schemas.openxmlformats.org/officeDocument/2006/relationships/header" Target="header13.xml"/><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footer" Target="footer11.xml"/><Relationship Id="rId110" Type="http://schemas.openxmlformats.org/officeDocument/2006/relationships/image" Target="media/image73.png"/><Relationship Id="rId115" Type="http://schemas.openxmlformats.org/officeDocument/2006/relationships/image" Target="media/image78.emf"/></Relationships>
</file>

<file path=word/_rels/footnotes.xml.rels><?xml version="1.0" encoding="UTF-8" standalone="yes"?>
<Relationships xmlns="http://schemas.openxmlformats.org/package/2006/relationships"><Relationship Id="rId3" Type="http://schemas.openxmlformats.org/officeDocument/2006/relationships/hyperlink" Target="https://cohesiondata.ec.europa.eu/2014-2020/ESIF-2014-2020-EU-payments-daily-update-/gayr-92qh" TargetMode="External"/><Relationship Id="rId2" Type="http://schemas.openxmlformats.org/officeDocument/2006/relationships/hyperlink" Target="http://ec.europa.eu/anti-%20fraud/sites/antifraud/files/methodology_statistical_evaluation_2015_en.pdf" TargetMode="External"/><Relationship Id="rId1" Type="http://schemas.openxmlformats.org/officeDocument/2006/relationships/hyperlink" Target="http://ec.europa.eu/anti-%20fraud/sites/antifraud/files/methodology_statistical_evaluation_2015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CD3BC-DC36-4C53-9BE9-6FEE21815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68</Pages>
  <Words>13740</Words>
  <Characters>75297</Characters>
  <Application>Microsoft Office Word</Application>
  <DocSecurity>0</DocSecurity>
  <Lines>1214</Lines>
  <Paragraphs>323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KITRIMI Efstathia (SG)</cp:lastModifiedBy>
  <cp:revision>17</cp:revision>
  <cp:lastPrinted>2019-06-18T06:24:00Z</cp:lastPrinted>
  <dcterms:created xsi:type="dcterms:W3CDTF">2019-09-10T14:47:00Z</dcterms:created>
  <dcterms:modified xsi:type="dcterms:W3CDTF">2019-10-04T09:51:00Z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3</vt:lpwstr>
  </property>
  <property fmtid="{D5CDD505-2E9C-101B-9397-08002B2CF9AE}" pid="5" name="DocStatus">
    <vt:lpwstr>Green</vt:lpwstr>
  </property>
  <property fmtid="{D5CDD505-2E9C-101B-9397-08002B2CF9AE}" pid="6" name="Last edited using">
    <vt:lpwstr>LW 7.0, Build 20190717</vt:lpwstr>
  </property>
  <property fmtid="{D5CDD505-2E9C-101B-9397-08002B2CF9AE}" pid="7" name="Created using">
    <vt:lpwstr>LW 6.0.1, Build 20180503</vt:lpwstr>
  </property>
</Properties>
</file>