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1901122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A0D5F3D-21CC-4A01-842C-A65703FB06EA" style="width:450.25pt;height:420.7pt">
            <v:imagedata r:id="rId8" o:title=""/>
          </v:shape>
        </w:pict>
      </w:r>
    </w:p>
    <w:bookmarkEnd w:id="1"/>
    <w:p>
      <w:pPr>
        <w:pStyle w:val="Heading1"/>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numPr>
          <w:ilvl w:val="0"/>
          <w:numId w:val="0"/>
        </w:numPr>
        <w:spacing w:before="0" w:after="240"/>
        <w:jc w:val="center"/>
        <w:rPr>
          <w:rFonts w:asciiTheme="majorHAnsi" w:hAnsiTheme="majorHAnsi"/>
          <w:noProof/>
          <w:sz w:val="20"/>
        </w:rPr>
      </w:pPr>
      <w:bookmarkStart w:id="2" w:name="_GoBack"/>
      <w:bookmarkEnd w:id="2"/>
      <w:r>
        <w:rPr>
          <w:rFonts w:asciiTheme="majorHAnsi" w:hAnsiTheme="majorHAnsi"/>
          <w:noProof/>
          <w:sz w:val="20"/>
        </w:rPr>
        <w:lastRenderedPageBreak/>
        <w:t>ANNEX 1 — Irregularities reported as fraudulent in 2018</w:t>
      </w:r>
      <w:bookmarkEnd w:id="0"/>
    </w:p>
    <w:p>
      <w:pPr>
        <w:tabs>
          <w:tab w:val="left" w:pos="7470"/>
        </w:tabs>
        <w:jc w:val="center"/>
        <w:rPr>
          <w:rFonts w:asciiTheme="majorHAnsi" w:hAnsiTheme="majorHAnsi"/>
          <w:noProof/>
          <w:sz w:val="20"/>
          <w:highlight w:val="yellow"/>
        </w:rPr>
        <w:sectPr>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417" w:header="708" w:footer="708" w:gutter="0"/>
          <w:cols w:space="708"/>
          <w:docGrid w:linePitch="360"/>
        </w:sectPr>
      </w:pPr>
    </w:p>
    <w:p>
      <w:pPr>
        <w:tabs>
          <w:tab w:val="left" w:pos="7470"/>
        </w:tabs>
        <w:spacing w:before="0" w:after="240"/>
        <w:rPr>
          <w:rFonts w:asciiTheme="majorHAnsi" w:hAnsiTheme="majorHAnsi"/>
          <w:noProof/>
          <w:sz w:val="20"/>
        </w:rPr>
      </w:pPr>
      <w:r>
        <w:rPr>
          <w:rFonts w:asciiTheme="majorHAnsi" w:hAnsiTheme="majorHAnsi"/>
          <w:noProof/>
          <w:sz w:val="20"/>
        </w:rPr>
        <w:t>The number of irregularities reported as fraudulent measures the results of Member States' work to counter fraud and other illegal activities affecting the EU's financial interests. Therefore, the figures should not be interpreted as indicating the level of fraud in the Member States territories. Annex 1 does not include third countries (pre-accession) and direct expenditure</w:t>
      </w:r>
    </w:p>
    <w:p>
      <w:pPr>
        <w:tabs>
          <w:tab w:val="left" w:pos="7470"/>
        </w:tabs>
        <w:spacing w:before="0" w:after="240"/>
        <w:rPr>
          <w:rFonts w:asciiTheme="majorHAnsi" w:hAnsiTheme="majorHAnsi"/>
          <w:noProof/>
          <w:sz w:val="20"/>
        </w:rPr>
      </w:pPr>
      <w:r>
        <w:rPr>
          <w:noProof/>
          <w:lang w:eastAsia="en-GB"/>
        </w:rPr>
        <w:drawing>
          <wp:inline distT="0" distB="0" distL="0" distR="0">
            <wp:extent cx="8892540" cy="448119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2540" cy="4481195"/>
                    </a:xfrm>
                    <a:prstGeom prst="rect">
                      <a:avLst/>
                    </a:prstGeom>
                    <a:noFill/>
                    <a:ln>
                      <a:noFill/>
                    </a:ln>
                  </pic:spPr>
                </pic:pic>
              </a:graphicData>
            </a:graphic>
          </wp:inline>
        </w:drawing>
      </w:r>
    </w:p>
    <w:p>
      <w:pPr>
        <w:tabs>
          <w:tab w:val="left" w:pos="7470"/>
        </w:tabs>
        <w:jc w:val="center"/>
        <w:rPr>
          <w:rFonts w:asciiTheme="majorHAnsi" w:hAnsiTheme="majorHAnsi"/>
          <w:noProof/>
          <w:sz w:val="20"/>
        </w:rPr>
      </w:pPr>
    </w:p>
    <w:p>
      <w:pPr>
        <w:tabs>
          <w:tab w:val="left" w:pos="7470"/>
        </w:tabs>
        <w:rPr>
          <w:rFonts w:asciiTheme="majorHAnsi" w:hAnsiTheme="majorHAnsi"/>
          <w:noProof/>
          <w:sz w:val="20"/>
          <w:highlight w:val="yellow"/>
        </w:rPr>
        <w:sectPr>
          <w:headerReference w:type="even" r:id="rId22"/>
          <w:headerReference w:type="default" r:id="rId23"/>
          <w:footerReference w:type="even" r:id="rId24"/>
          <w:footerReference w:type="default" r:id="rId25"/>
          <w:headerReference w:type="first" r:id="rId26"/>
          <w:footerReference w:type="first" r:id="rId27"/>
          <w:type w:val="continuous"/>
          <w:pgSz w:w="16838" w:h="11906" w:orient="landscape"/>
          <w:pgMar w:top="1417" w:right="1417" w:bottom="1417" w:left="1417" w:header="708" w:footer="708" w:gutter="0"/>
          <w:cols w:space="708"/>
          <w:docGrid w:linePitch="360"/>
        </w:sectPr>
      </w:pPr>
    </w:p>
    <w:p>
      <w:pPr>
        <w:spacing w:before="0" w:after="0"/>
        <w:jc w:val="left"/>
        <w:rPr>
          <w:rFonts w:asciiTheme="majorHAnsi" w:hAnsiTheme="majorHAnsi"/>
          <w:b/>
          <w:bCs/>
          <w:smallCaps/>
          <w:noProof/>
          <w:sz w:val="20"/>
          <w:szCs w:val="32"/>
        </w:rPr>
      </w:pPr>
    </w:p>
    <w:p>
      <w:pPr>
        <w:pStyle w:val="Heading1"/>
        <w:numPr>
          <w:ilvl w:val="0"/>
          <w:numId w:val="0"/>
        </w:numPr>
        <w:spacing w:before="0" w:after="240"/>
        <w:jc w:val="center"/>
        <w:rPr>
          <w:rFonts w:asciiTheme="majorHAnsi" w:hAnsiTheme="majorHAnsi"/>
          <w:noProof/>
          <w:sz w:val="20"/>
        </w:rPr>
      </w:pPr>
      <w:bookmarkStart w:id="3" w:name="_Toc19011229"/>
      <w:r>
        <w:rPr>
          <w:rFonts w:asciiTheme="majorHAnsi" w:hAnsiTheme="majorHAnsi"/>
          <w:noProof/>
          <w:sz w:val="20"/>
        </w:rPr>
        <w:t>ANNEX 2 — Irregularities not reported as fraudulent in 2018</w:t>
      </w:r>
      <w:bookmarkEnd w:id="3"/>
    </w:p>
    <w:p>
      <w:pPr>
        <w:ind w:hanging="22"/>
        <w:jc w:val="center"/>
        <w:rPr>
          <w:rFonts w:asciiTheme="majorHAnsi" w:eastAsia="MS Mincho" w:hAnsiTheme="majorHAnsi"/>
          <w:noProof/>
          <w:sz w:val="20"/>
        </w:rPr>
        <w:sectPr>
          <w:headerReference w:type="even" r:id="rId28"/>
          <w:headerReference w:type="default" r:id="rId29"/>
          <w:footerReference w:type="even" r:id="rId30"/>
          <w:footerReference w:type="default" r:id="rId31"/>
          <w:headerReference w:type="first" r:id="rId32"/>
          <w:footerReference w:type="first" r:id="rId33"/>
          <w:type w:val="continuous"/>
          <w:pgSz w:w="16838" w:h="11906" w:orient="landscape"/>
          <w:pgMar w:top="1417" w:right="1417" w:bottom="1417" w:left="1417" w:header="708" w:footer="708" w:gutter="0"/>
          <w:cols w:space="708"/>
          <w:docGrid w:linePitch="360"/>
        </w:sectPr>
      </w:pPr>
    </w:p>
    <w:p>
      <w:pPr>
        <w:ind w:hanging="22"/>
        <w:jc w:val="center"/>
        <w:rPr>
          <w:rFonts w:asciiTheme="majorHAnsi" w:eastAsia="MS Mincho" w:hAnsiTheme="majorHAnsi"/>
          <w:noProof/>
          <w:sz w:val="20"/>
        </w:rPr>
      </w:pPr>
      <w:r>
        <w:rPr>
          <w:rFonts w:asciiTheme="majorHAnsi" w:eastAsia="MS Mincho" w:hAnsiTheme="majorHAnsi"/>
          <w:noProof/>
          <w:sz w:val="20"/>
        </w:rPr>
        <w:t>Annex 2 does not include third countries (pre-accession) and direct expenditure</w:t>
      </w:r>
    </w:p>
    <w:p>
      <w:pPr>
        <w:ind w:hanging="22"/>
        <w:jc w:val="center"/>
        <w:rPr>
          <w:rFonts w:asciiTheme="majorHAnsi" w:eastAsia="MS Mincho" w:hAnsiTheme="majorHAnsi"/>
          <w:noProof/>
          <w:sz w:val="20"/>
        </w:rPr>
      </w:pPr>
      <w:r>
        <w:rPr>
          <w:rFonts w:eastAsia="MS Mincho"/>
          <w:noProof/>
          <w:lang w:eastAsia="en-GB"/>
        </w:rPr>
        <w:drawing>
          <wp:inline distT="0" distB="0" distL="0" distR="0">
            <wp:extent cx="8892540" cy="4505181"/>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92540" cy="4505181"/>
                    </a:xfrm>
                    <a:prstGeom prst="rect">
                      <a:avLst/>
                    </a:prstGeom>
                    <a:noFill/>
                    <a:ln>
                      <a:noFill/>
                    </a:ln>
                  </pic:spPr>
                </pic:pic>
              </a:graphicData>
            </a:graphic>
          </wp:inline>
        </w:drawing>
      </w:r>
    </w:p>
    <w:p>
      <w:pPr>
        <w:ind w:hanging="22"/>
        <w:jc w:val="center"/>
        <w:rPr>
          <w:rFonts w:asciiTheme="majorHAnsi" w:eastAsia="MS Mincho" w:hAnsiTheme="majorHAnsi"/>
          <w:noProof/>
          <w:sz w:val="20"/>
        </w:rPr>
        <w:sectPr>
          <w:headerReference w:type="even" r:id="rId35"/>
          <w:headerReference w:type="default" r:id="rId36"/>
          <w:footerReference w:type="even" r:id="rId37"/>
          <w:footerReference w:type="default" r:id="rId38"/>
          <w:headerReference w:type="first" r:id="rId39"/>
          <w:footerReference w:type="first" r:id="rId40"/>
          <w:type w:val="continuous"/>
          <w:pgSz w:w="16838" w:h="11906" w:orient="landscape"/>
          <w:pgMar w:top="1417" w:right="1417" w:bottom="1417" w:left="1417" w:header="708" w:footer="708" w:gutter="0"/>
          <w:cols w:space="708"/>
          <w:docGrid w:linePitch="360"/>
        </w:sectPr>
      </w:pPr>
    </w:p>
    <w:p>
      <w:pPr>
        <w:ind w:hanging="22"/>
        <w:jc w:val="center"/>
        <w:rPr>
          <w:rFonts w:asciiTheme="majorHAnsi" w:eastAsia="MS Mincho" w:hAnsiTheme="majorHAnsi"/>
          <w:noProof/>
          <w:sz w:val="20"/>
        </w:rPr>
        <w:sectPr>
          <w:headerReference w:type="even" r:id="rId41"/>
          <w:headerReference w:type="default" r:id="rId42"/>
          <w:footerReference w:type="even" r:id="rId43"/>
          <w:footerReference w:type="default" r:id="rId44"/>
          <w:headerReference w:type="first" r:id="rId45"/>
          <w:footerReference w:type="first" r:id="rId46"/>
          <w:type w:val="continuous"/>
          <w:pgSz w:w="16838" w:h="11906" w:orient="landscape"/>
          <w:pgMar w:top="1417" w:right="1417" w:bottom="1417" w:left="1417" w:header="708" w:footer="708" w:gutter="0"/>
          <w:cols w:num="2" w:space="708"/>
          <w:docGrid w:linePitch="360"/>
        </w:sectPr>
      </w:pPr>
    </w:p>
    <w:p>
      <w:pPr>
        <w:pStyle w:val="Heading1"/>
        <w:numPr>
          <w:ilvl w:val="0"/>
          <w:numId w:val="0"/>
        </w:numPr>
        <w:spacing w:before="0" w:after="240"/>
        <w:jc w:val="center"/>
        <w:rPr>
          <w:rFonts w:asciiTheme="majorHAnsi" w:hAnsiTheme="majorHAnsi"/>
          <w:noProof/>
          <w:sz w:val="20"/>
        </w:rPr>
      </w:pPr>
      <w:bookmarkStart w:id="4" w:name="_Toc520288825"/>
      <w:bookmarkStart w:id="5" w:name="_Toc19011230"/>
      <w:r>
        <w:rPr>
          <w:rFonts w:asciiTheme="majorHAnsi" w:hAnsiTheme="majorHAnsi"/>
          <w:noProof/>
          <w:sz w:val="20"/>
        </w:rPr>
        <w:t>ANNEX 3 — List of Accompanying Staff Working Documents</w:t>
      </w:r>
      <w:bookmarkEnd w:id="4"/>
      <w:bookmarkEnd w:id="5"/>
    </w:p>
    <w:p>
      <w:pPr>
        <w:pStyle w:val="ListParagraph"/>
        <w:numPr>
          <w:ilvl w:val="5"/>
          <w:numId w:val="2"/>
        </w:numPr>
        <w:tabs>
          <w:tab w:val="clear" w:pos="2160"/>
          <w:tab w:val="num" w:pos="426"/>
        </w:tabs>
        <w:spacing w:before="0" w:after="240"/>
        <w:ind w:left="425" w:hanging="357"/>
        <w:contextualSpacing w:val="0"/>
        <w:rPr>
          <w:rFonts w:eastAsia="MS Mincho"/>
          <w:noProof/>
          <w:sz w:val="20"/>
        </w:rPr>
      </w:pPr>
      <w:r>
        <w:rPr>
          <w:rFonts w:eastAsia="MS Mincho"/>
          <w:noProof/>
          <w:sz w:val="20"/>
        </w:rPr>
        <w:t>Implementation of Article</w:t>
      </w:r>
      <w:r>
        <w:rPr>
          <w:rFonts w:asciiTheme="majorHAnsi" w:eastAsia="MS Mincho" w:hAnsiTheme="majorHAnsi"/>
          <w:noProof/>
          <w:sz w:val="20"/>
        </w:rPr>
        <w:t> </w:t>
      </w:r>
      <w:r>
        <w:rPr>
          <w:rFonts w:eastAsia="MS Mincho"/>
          <w:noProof/>
          <w:sz w:val="20"/>
        </w:rPr>
        <w:t>325 by the Member States in 201</w:t>
      </w:r>
      <w:r>
        <w:rPr>
          <w:rFonts w:asciiTheme="majorHAnsi" w:eastAsia="MS Mincho" w:hAnsiTheme="majorHAnsi"/>
          <w:noProof/>
          <w:sz w:val="20"/>
        </w:rPr>
        <w:t xml:space="preserve">8 </w:t>
      </w:r>
      <w:r>
        <w:rPr>
          <w:rFonts w:eastAsia="MS Mincho"/>
          <w:noProof/>
          <w:sz w:val="20"/>
        </w:rPr>
        <w:t>(SWD(2019) 364)</w:t>
      </w:r>
    </w:p>
    <w:p>
      <w:pPr>
        <w:pStyle w:val="ListParagraph"/>
        <w:numPr>
          <w:ilvl w:val="5"/>
          <w:numId w:val="2"/>
        </w:numPr>
        <w:tabs>
          <w:tab w:val="clear" w:pos="2160"/>
          <w:tab w:val="num" w:pos="426"/>
        </w:tabs>
        <w:spacing w:before="0" w:after="240"/>
        <w:ind w:left="425" w:hanging="357"/>
        <w:contextualSpacing w:val="0"/>
        <w:rPr>
          <w:rFonts w:eastAsia="MS Mincho"/>
          <w:noProof/>
          <w:sz w:val="20"/>
        </w:rPr>
      </w:pPr>
      <w:r>
        <w:rPr>
          <w:rFonts w:eastAsia="MS Mincho"/>
          <w:noProof/>
          <w:sz w:val="20"/>
        </w:rPr>
        <w:t>Statistical evaluation of irregularities reported for own resources, natural resources, cohesion policy and pre-accession assistance</w:t>
      </w:r>
      <w:r>
        <w:rPr>
          <w:rFonts w:asciiTheme="majorHAnsi" w:eastAsia="MS Mincho" w:hAnsiTheme="majorHAnsi"/>
          <w:noProof/>
          <w:sz w:val="20"/>
        </w:rPr>
        <w:t xml:space="preserve"> and direct expenditure </w:t>
      </w:r>
      <w:r>
        <w:rPr>
          <w:rFonts w:eastAsia="MS Mincho"/>
          <w:noProof/>
          <w:sz w:val="20"/>
        </w:rPr>
        <w:t>(SWD(2019) 365 – part 1, 2 and 3)</w:t>
      </w:r>
    </w:p>
    <w:p>
      <w:pPr>
        <w:pStyle w:val="ListParagraph"/>
        <w:numPr>
          <w:ilvl w:val="5"/>
          <w:numId w:val="2"/>
        </w:numPr>
        <w:tabs>
          <w:tab w:val="clear" w:pos="2160"/>
          <w:tab w:val="num" w:pos="426"/>
        </w:tabs>
        <w:spacing w:before="0" w:after="240"/>
        <w:ind w:left="425" w:hanging="357"/>
        <w:contextualSpacing w:val="0"/>
        <w:rPr>
          <w:rFonts w:eastAsia="MS Mincho"/>
          <w:noProof/>
          <w:sz w:val="20"/>
        </w:rPr>
      </w:pPr>
      <w:r>
        <w:rPr>
          <w:rFonts w:eastAsia="MS Mincho"/>
          <w:noProof/>
          <w:sz w:val="20"/>
        </w:rPr>
        <w:t>Follow-up of recommendations to the Commission report on the protection of the EU’s financial interests — fight against fraud, 2017 (SWD(2019) 363)</w:t>
      </w:r>
    </w:p>
    <w:p>
      <w:pPr>
        <w:pStyle w:val="ListParagraph"/>
        <w:numPr>
          <w:ilvl w:val="5"/>
          <w:numId w:val="2"/>
        </w:numPr>
        <w:tabs>
          <w:tab w:val="clear" w:pos="2160"/>
          <w:tab w:val="num" w:pos="426"/>
        </w:tabs>
        <w:spacing w:before="0" w:after="240"/>
        <w:ind w:left="425" w:hanging="357"/>
        <w:contextualSpacing w:val="0"/>
        <w:rPr>
          <w:rFonts w:eastAsia="MS Mincho"/>
          <w:noProof/>
          <w:sz w:val="20"/>
        </w:rPr>
      </w:pPr>
      <w:r>
        <w:rPr>
          <w:rFonts w:eastAsia="MS Mincho"/>
          <w:noProof/>
          <w:sz w:val="20"/>
        </w:rPr>
        <w:t>Early Detection and Exclusion System (EDES) — Panel referred to in Article 108 of the Financial Regulation (SWD(2019) 362)</w:t>
      </w:r>
    </w:p>
    <w:p>
      <w:pPr>
        <w:pStyle w:val="ListParagraph"/>
        <w:numPr>
          <w:ilvl w:val="5"/>
          <w:numId w:val="2"/>
        </w:numPr>
        <w:tabs>
          <w:tab w:val="clear" w:pos="2160"/>
          <w:tab w:val="num" w:pos="426"/>
        </w:tabs>
        <w:spacing w:before="0" w:after="240"/>
        <w:ind w:left="425" w:hanging="357"/>
        <w:contextualSpacing w:val="0"/>
        <w:rPr>
          <w:rFonts w:asciiTheme="majorHAnsi" w:eastAsia="MS Mincho" w:hAnsiTheme="majorHAnsi"/>
          <w:noProof/>
          <w:sz w:val="20"/>
        </w:rPr>
      </w:pPr>
      <w:r>
        <w:rPr>
          <w:rFonts w:eastAsia="MS Mincho"/>
          <w:noProof/>
          <w:sz w:val="20"/>
        </w:rPr>
        <w:t>Annual overview with information on the results of the Hercule III</w:t>
      </w:r>
      <w:r>
        <w:rPr>
          <w:rFonts w:asciiTheme="majorHAnsi" w:eastAsia="MS Mincho" w:hAnsiTheme="majorHAnsi"/>
          <w:noProof/>
          <w:sz w:val="20"/>
        </w:rPr>
        <w:t xml:space="preserve"> Progr</w:t>
      </w:r>
      <w:r>
        <w:rPr>
          <w:rFonts w:eastAsia="MS Mincho"/>
          <w:noProof/>
          <w:sz w:val="20"/>
        </w:rPr>
        <w:t>amme in 2018 (SWD(2019) 361)</w:t>
      </w:r>
    </w:p>
    <w:p>
      <w:pPr>
        <w:ind w:hanging="22"/>
        <w:jc w:val="center"/>
        <w:rPr>
          <w:rFonts w:asciiTheme="majorHAnsi" w:eastAsia="MS Mincho" w:hAnsiTheme="majorHAnsi"/>
          <w:noProof/>
          <w:sz w:val="20"/>
        </w:rPr>
      </w:pPr>
    </w:p>
    <w:p>
      <w:pPr>
        <w:rPr>
          <w:noProof/>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Pr>
        <w:rFonts w:asciiTheme="majorHAnsi" w:hAnsiTheme="majorHAnsi"/>
        <w:noProof/>
        <w:sz w:val="20"/>
      </w:rPr>
      <w:t>2</w:t>
    </w:r>
    <w:r>
      <w:rPr>
        <w:rFonts w:asciiTheme="majorHAnsi" w:hAnsiTheme="majorHAnsi"/>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 xml:space="preserve"> PAGE   \* MERGEFORMAT </w:instrText>
    </w:r>
    <w:r>
      <w:fldChar w:fldCharType="separate"/>
    </w:r>
    <w:r>
      <w:rPr>
        <w:noProof/>
      </w:rPr>
      <w:t>34</w:t>
    </w:r>
    <w:r>
      <w:fldChar w:fldCharType="end"/>
    </w: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sz w:val="20"/>
      </w:rPr>
    </w:pPr>
    <w:r>
      <w:rPr>
        <w:sz w:val="20"/>
      </w:rPr>
      <w:fldChar w:fldCharType="begin"/>
    </w:r>
    <w:r>
      <w:rPr>
        <w:sz w:val="20"/>
      </w:rPr>
      <w:instrText xml:space="preserve"> PAGE   \* MERGEFORMAT </w:instrText>
    </w:r>
    <w:r>
      <w:rPr>
        <w:sz w:val="20"/>
      </w:rPr>
      <w:fldChar w:fldCharType="separate"/>
    </w:r>
    <w:r>
      <w:rPr>
        <w:noProof/>
        <w:sz w:val="20"/>
      </w:rPr>
      <w:t>32</w:t>
    </w:r>
    <w:r>
      <w:rPr>
        <w:sz w:val="20"/>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sz w:val="20"/>
      </w:rPr>
    </w:pPr>
    <w:r>
      <w:rPr>
        <w:sz w:val="20"/>
      </w:rPr>
      <w:fldChar w:fldCharType="begin"/>
    </w:r>
    <w:r>
      <w:rPr>
        <w:sz w:val="20"/>
      </w:rPr>
      <w:instrText xml:space="preserve"> PAGE   \* MERGEFORMAT </w:instrText>
    </w:r>
    <w:r>
      <w:rPr>
        <w:sz w:val="20"/>
      </w:rPr>
      <w:fldChar w:fldCharType="separate"/>
    </w:r>
    <w:r>
      <w:rPr>
        <w:noProof/>
        <w:sz w:val="20"/>
      </w:rPr>
      <w:t>3</w:t>
    </w:r>
    <w:r>
      <w:rPr>
        <w:sz w:val="2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Pr>
        <w:rFonts w:asciiTheme="majorHAnsi" w:hAnsiTheme="majorHAnsi"/>
        <w:noProof/>
        <w:sz w:val="20"/>
      </w:rPr>
      <w:t>1</w:t>
    </w:r>
    <w:r>
      <w:rPr>
        <w:rFonts w:asciiTheme="majorHAnsi" w:hAnsiTheme="majorHAnsi"/>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fldChar w:fldCharType="begin"/>
    </w:r>
    <w:r>
      <w:instrText xml:space="preserve"> PAGE   \* MERGEFORMAT </w:instrText>
    </w:r>
    <w:r>
      <w:fldChar w:fldCharType="separate"/>
    </w:r>
    <w:r>
      <w:rPr>
        <w:noProof/>
      </w:rPr>
      <w:t>34</w:t>
    </w:r>
    <w:r>
      <w:fldChar w:fldCharType="end"/>
    </w: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E04"/>
    <w:multiLevelType w:val="multilevel"/>
    <w:tmpl w:val="D60ABDD2"/>
    <w:lvl w:ilvl="0">
      <w:start w:val="1"/>
      <w:numFmt w:val="decimal"/>
      <w:lvlRestart w:val="0"/>
      <w:pStyle w:val="Heading1"/>
      <w:lvlText w:val="%1."/>
      <w:lvlJc w:val="left"/>
      <w:pPr>
        <w:tabs>
          <w:tab w:val="num" w:pos="1570"/>
        </w:tabs>
        <w:ind w:left="157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991"/>
        </w:tabs>
        <w:ind w:left="991" w:hanging="850"/>
      </w:pPr>
      <w:rPr>
        <w:rFonts w:hint="default"/>
        <w:b w:val="0"/>
      </w:rPr>
    </w:lvl>
    <w:lvl w:ilvl="3">
      <w:start w:val="1"/>
      <w:numFmt w:val="decimal"/>
      <w:lvlText w:val="%1.%2.%3.%4."/>
      <w:lvlJc w:val="left"/>
      <w:pPr>
        <w:tabs>
          <w:tab w:val="num" w:pos="1810"/>
        </w:tabs>
        <w:ind w:left="181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F903441"/>
    <w:multiLevelType w:val="multilevel"/>
    <w:tmpl w:val="E2321C64"/>
    <w:lvl w:ilvl="0">
      <w:start w:val="1"/>
      <w:numFmt w:val="decimal"/>
      <w:lvlRestart w:val="0"/>
      <w:lvlText w:val="%1."/>
      <w:lvlJc w:val="left"/>
      <w:pPr>
        <w:tabs>
          <w:tab w:val="num" w:pos="1570"/>
        </w:tabs>
        <w:ind w:left="157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rPr>
    </w:lvl>
    <w:lvl w:ilvl="3">
      <w:start w:val="1"/>
      <w:numFmt w:val="decimal"/>
      <w:lvlText w:val="%1.%2.%3.%4."/>
      <w:lvlJc w:val="left"/>
      <w:pPr>
        <w:tabs>
          <w:tab w:val="num" w:pos="1810"/>
        </w:tabs>
        <w:ind w:left="1810" w:hanging="85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3"/>
    <w:docVar w:name="LW_ANNEX_UNIQUE" w:val="0"/>
    <w:docVar w:name="LW_CORRIGENDUM" w:val="&lt;UNUSED&gt;"/>
    <w:docVar w:name="LW_COVERPAGE_EXISTS" w:val="True"/>
    <w:docVar w:name="LW_COVERPAGE_GUID" w:val="4A0D5F3D-21CC-4A01-842C-A65703FB06EA"/>
    <w:docVar w:name="LW_COVERPAGE_TYPE" w:val="1"/>
    <w:docVar w:name="LW_CROSSREFERENCE" w:val="{SWD(2019) 361 final} - {SWD(2019) 362 final} - {SWD(2019) 363 final} - {SWD(2019) 364 final} - {SWD(2019) 365 final}"/>
    <w:docVar w:name="LW_DocType" w:val="NORMAL"/>
    <w:docVar w:name="LW_EMISSION" w:val="11.10.2019"/>
    <w:docVar w:name="LW_EMISSION_ISODATE" w:val="2019-10-11"/>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30th Annual Report on the Protection of the European Union's financial interests - Fight against fraud - 2018"/>
    <w:docVar w:name="LW_PART_NBR" w:val="&lt;UNUSED&gt;"/>
    <w:docVar w:name="LW_PART_NBR_TOTAL" w:val="&lt;UNUSED&gt;"/>
    <w:docVar w:name="LW_REF.INST.NEW" w:val="COM"/>
    <w:docVar w:name="LW_REF.INST.NEW_ADOPTED" w:val="final"/>
    <w:docVar w:name="LW_REF.INST.NEW_TEXT" w:val="(2019) 4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rFonts w:eastAsia="Calibri"/>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Calibri"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paragraph" w:styleId="ListParagraph">
    <w:name w:val="List Paragraph"/>
    <w:basedOn w:val="Normal"/>
    <w:uiPriority w:val="34"/>
    <w:qFormat/>
    <w:pPr>
      <w:ind w:left="720"/>
      <w:contextualSpacing/>
    </w:pPr>
    <w:rPr>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smallCaps w:val="0"/>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smallCaps w:val="0"/>
      <w:sz w:val="32"/>
      <w:szCs w:val="24"/>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rFonts w:eastAsia="Calibri"/>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Calibri"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paragraph" w:styleId="ListParagraph">
    <w:name w:val="List Paragraph"/>
    <w:basedOn w:val="Normal"/>
    <w:uiPriority w:val="34"/>
    <w:qFormat/>
    <w:pPr>
      <w:ind w:left="720"/>
      <w:contextualSpacing/>
    </w:pPr>
    <w:rPr>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smallCaps w:val="0"/>
      <w:sz w:val="32"/>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smallCaps w:val="0"/>
      <w:sz w:val="32"/>
      <w:szCs w:val="24"/>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image" Target="media/image2.emf"/><Relationship Id="rId34" Type="http://schemas.openxmlformats.org/officeDocument/2006/relationships/image" Target="media/image3.emf"/><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image" Target="media/image1.emf"/><Relationship Id="rId5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189</Words>
  <Characters>1093</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Andrea (OLAF)</dc:creator>
  <cp:lastModifiedBy>DIGIT/C6</cp:lastModifiedBy>
  <cp:revision>13</cp:revision>
  <dcterms:created xsi:type="dcterms:W3CDTF">2019-09-27T10:37:00Z</dcterms:created>
  <dcterms:modified xsi:type="dcterms:W3CDTF">2019-10-04T08:04:00Z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3</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CP-039</vt:lpwstr>
  </property>
</Properties>
</file>