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475C745-8A3E-4AB5-967D-35FEC138C4E9" style="width:450.75pt;height:406.6pt">
            <v:imagedata r:id="rId8" o:title=""/>
          </v:shape>
        </w:pict>
      </w:r>
    </w:p>
    <w:bookmarkEnd w:id="0"/>
    <w:p>
      <w:pPr>
        <w:pStyle w:val="Heading1"/>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numPr>
          <w:ilvl w:val="0"/>
          <w:numId w:val="0"/>
        </w:numPr>
        <w:spacing w:before="0" w:after="240"/>
        <w:jc w:val="center"/>
        <w:rPr>
          <w:rFonts w:asciiTheme="majorHAnsi" w:hAnsiTheme="majorHAnsi"/>
          <w:noProof/>
          <w:sz w:val="20"/>
        </w:rPr>
      </w:pPr>
      <w:bookmarkStart w:id="1" w:name="_GoBack"/>
      <w:bookmarkEnd w:id="1"/>
      <w:r>
        <w:rPr>
          <w:rFonts w:asciiTheme="majorHAnsi" w:hAnsiTheme="majorHAnsi"/>
          <w:noProof/>
          <w:sz w:val="20"/>
        </w:rPr>
        <w:lastRenderedPageBreak/>
        <w:t>ANNEXE 1 – Irrégularités signalées comme frauduleuses en 2018</w:t>
      </w:r>
    </w:p>
    <w:p>
      <w:pPr>
        <w:tabs>
          <w:tab w:val="left" w:pos="7470"/>
        </w:tabs>
        <w:jc w:val="center"/>
        <w:rPr>
          <w:rFonts w:asciiTheme="majorHAnsi" w:hAnsiTheme="majorHAnsi"/>
          <w:noProof/>
          <w:sz w:val="20"/>
          <w:highlight w:val="yellow"/>
        </w:rPr>
        <w:sectPr>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1417" w:left="1417" w:header="708" w:footer="708" w:gutter="0"/>
          <w:cols w:space="708"/>
          <w:docGrid w:linePitch="360"/>
        </w:sectPr>
      </w:pPr>
    </w:p>
    <w:p>
      <w:pPr>
        <w:tabs>
          <w:tab w:val="left" w:pos="7470"/>
        </w:tabs>
        <w:spacing w:before="0" w:after="240"/>
        <w:rPr>
          <w:rFonts w:asciiTheme="majorHAnsi" w:hAnsiTheme="majorHAnsi"/>
          <w:noProof/>
          <w:sz w:val="20"/>
        </w:rPr>
      </w:pPr>
      <w:r>
        <w:rPr>
          <w:rFonts w:asciiTheme="majorHAnsi" w:hAnsiTheme="majorHAnsi"/>
          <w:noProof/>
          <w:sz w:val="20"/>
        </w:rPr>
        <w:t>Le nombre d’irrégularités signalées comme frauduleuses permet de mesurer les résultats des États membres en matière de lutte contre la fraude et d’autres activités illégales portant atteinte aux intérêts financiers de l’UE. Par conséquent, les chiffres ne doivent pas être interprétés comme une indication du niveau de la fraude sur le territoire des États membres. L’annexe 1 ne comprend pas les pays tiers (préadhésion) et les dépenses directes.</w:t>
      </w:r>
    </w:p>
    <w:p>
      <w:pPr>
        <w:tabs>
          <w:tab w:val="left" w:pos="7470"/>
        </w:tabs>
        <w:spacing w:before="0" w:after="240"/>
        <w:rPr>
          <w:rFonts w:asciiTheme="majorHAnsi" w:hAnsiTheme="majorHAnsi"/>
          <w:noProof/>
          <w:sz w:val="20"/>
        </w:rPr>
      </w:pPr>
      <w:r>
        <w:rPr>
          <w:noProof/>
          <w:lang w:val="en-GB" w:eastAsia="en-GB"/>
        </w:rPr>
        <w:drawing>
          <wp:inline distT="0" distB="0" distL="0" distR="0">
            <wp:extent cx="8892540" cy="448078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2540" cy="4480784"/>
                    </a:xfrm>
                    <a:prstGeom prst="rect">
                      <a:avLst/>
                    </a:prstGeom>
                    <a:noFill/>
                    <a:ln>
                      <a:noFill/>
                    </a:ln>
                  </pic:spPr>
                </pic:pic>
              </a:graphicData>
            </a:graphic>
          </wp:inline>
        </w:drawing>
      </w:r>
    </w:p>
    <w:p>
      <w:pPr>
        <w:tabs>
          <w:tab w:val="left" w:pos="7470"/>
        </w:tabs>
        <w:jc w:val="center"/>
        <w:rPr>
          <w:rFonts w:asciiTheme="majorHAnsi" w:hAnsiTheme="majorHAnsi"/>
          <w:noProof/>
          <w:sz w:val="20"/>
        </w:rPr>
      </w:pPr>
    </w:p>
    <w:p>
      <w:pPr>
        <w:tabs>
          <w:tab w:val="left" w:pos="7470"/>
        </w:tabs>
        <w:rPr>
          <w:rFonts w:asciiTheme="majorHAnsi" w:hAnsiTheme="majorHAnsi"/>
          <w:noProof/>
          <w:sz w:val="20"/>
          <w:highlight w:val="yellow"/>
        </w:rPr>
        <w:sectPr>
          <w:headerReference w:type="even" r:id="rId22"/>
          <w:headerReference w:type="default" r:id="rId23"/>
          <w:footerReference w:type="even" r:id="rId24"/>
          <w:footerReference w:type="default" r:id="rId25"/>
          <w:headerReference w:type="first" r:id="rId26"/>
          <w:footerReference w:type="first" r:id="rId27"/>
          <w:type w:val="continuous"/>
          <w:pgSz w:w="16838" w:h="11906" w:orient="landscape"/>
          <w:pgMar w:top="1417" w:right="1417" w:bottom="1417" w:left="1417" w:header="708" w:footer="708" w:gutter="0"/>
          <w:cols w:space="708"/>
          <w:docGrid w:linePitch="360"/>
        </w:sectPr>
      </w:pPr>
    </w:p>
    <w:p>
      <w:pPr>
        <w:spacing w:before="0" w:after="0"/>
        <w:jc w:val="left"/>
        <w:rPr>
          <w:rFonts w:asciiTheme="majorHAnsi" w:hAnsiTheme="majorHAnsi"/>
          <w:b/>
          <w:bCs/>
          <w:smallCaps/>
          <w:noProof/>
          <w:sz w:val="20"/>
          <w:szCs w:val="32"/>
        </w:rPr>
      </w:pPr>
    </w:p>
    <w:p>
      <w:pPr>
        <w:pStyle w:val="Heading1"/>
        <w:numPr>
          <w:ilvl w:val="0"/>
          <w:numId w:val="0"/>
        </w:numPr>
        <w:spacing w:before="0" w:after="240"/>
        <w:jc w:val="center"/>
        <w:rPr>
          <w:rFonts w:asciiTheme="majorHAnsi" w:hAnsiTheme="majorHAnsi"/>
          <w:noProof/>
          <w:sz w:val="20"/>
        </w:rPr>
      </w:pPr>
      <w:r>
        <w:rPr>
          <w:rFonts w:asciiTheme="majorHAnsi" w:hAnsiTheme="majorHAnsi"/>
          <w:noProof/>
          <w:sz w:val="20"/>
        </w:rPr>
        <w:t>ANNEXE 2 – Irrégularités non signalées comme frauduleuses en 2018</w:t>
      </w:r>
    </w:p>
    <w:p>
      <w:pPr>
        <w:ind w:hanging="22"/>
        <w:jc w:val="center"/>
        <w:rPr>
          <w:rFonts w:asciiTheme="majorHAnsi" w:eastAsia="MS Mincho" w:hAnsiTheme="majorHAnsi"/>
          <w:noProof/>
          <w:sz w:val="20"/>
        </w:rPr>
        <w:sectPr>
          <w:headerReference w:type="even" r:id="rId28"/>
          <w:headerReference w:type="default" r:id="rId29"/>
          <w:footerReference w:type="even" r:id="rId30"/>
          <w:footerReference w:type="default" r:id="rId31"/>
          <w:headerReference w:type="first" r:id="rId32"/>
          <w:footerReference w:type="first" r:id="rId33"/>
          <w:type w:val="continuous"/>
          <w:pgSz w:w="16838" w:h="11906" w:orient="landscape"/>
          <w:pgMar w:top="1417" w:right="1417" w:bottom="1417" w:left="1417" w:header="708" w:footer="708" w:gutter="0"/>
          <w:cols w:space="708"/>
          <w:docGrid w:linePitch="360"/>
        </w:sectPr>
      </w:pPr>
    </w:p>
    <w:p>
      <w:pPr>
        <w:ind w:hanging="22"/>
        <w:jc w:val="center"/>
        <w:rPr>
          <w:rFonts w:asciiTheme="majorHAnsi" w:eastAsia="MS Mincho" w:hAnsiTheme="majorHAnsi"/>
          <w:noProof/>
          <w:sz w:val="20"/>
        </w:rPr>
      </w:pPr>
      <w:r>
        <w:rPr>
          <w:rFonts w:asciiTheme="majorHAnsi" w:hAnsiTheme="majorHAnsi"/>
          <w:noProof/>
          <w:sz w:val="20"/>
        </w:rPr>
        <w:t>L’annexe 2 ne comprend pas les pays tiers (préadhésion) et les dépenses directes.</w:t>
      </w:r>
    </w:p>
    <w:p>
      <w:pPr>
        <w:ind w:hanging="22"/>
        <w:jc w:val="center"/>
        <w:rPr>
          <w:rFonts w:asciiTheme="majorHAnsi" w:eastAsia="MS Mincho" w:hAnsiTheme="majorHAnsi"/>
          <w:noProof/>
          <w:sz w:val="20"/>
        </w:rPr>
      </w:pPr>
      <w:r>
        <w:rPr>
          <w:rFonts w:eastAsia="MS Mincho"/>
          <w:noProof/>
          <w:lang w:val="en-GB" w:eastAsia="en-GB"/>
        </w:rPr>
        <w:drawing>
          <wp:inline distT="0" distB="0" distL="0" distR="0">
            <wp:extent cx="8892540" cy="4505985"/>
            <wp:effectExtent l="0" t="0" r="381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92540" cy="4505985"/>
                    </a:xfrm>
                    <a:prstGeom prst="rect">
                      <a:avLst/>
                    </a:prstGeom>
                    <a:noFill/>
                    <a:ln>
                      <a:noFill/>
                    </a:ln>
                  </pic:spPr>
                </pic:pic>
              </a:graphicData>
            </a:graphic>
          </wp:inline>
        </w:drawing>
      </w:r>
    </w:p>
    <w:p>
      <w:pPr>
        <w:ind w:hanging="22"/>
        <w:jc w:val="center"/>
        <w:rPr>
          <w:rFonts w:asciiTheme="majorHAnsi" w:eastAsia="MS Mincho" w:hAnsiTheme="majorHAnsi"/>
          <w:noProof/>
          <w:sz w:val="20"/>
        </w:rPr>
        <w:sectPr>
          <w:headerReference w:type="even" r:id="rId35"/>
          <w:headerReference w:type="default" r:id="rId36"/>
          <w:footerReference w:type="even" r:id="rId37"/>
          <w:footerReference w:type="default" r:id="rId38"/>
          <w:headerReference w:type="first" r:id="rId39"/>
          <w:footerReference w:type="first" r:id="rId40"/>
          <w:type w:val="continuous"/>
          <w:pgSz w:w="16838" w:h="11906" w:orient="landscape"/>
          <w:pgMar w:top="1417" w:right="1417" w:bottom="1417" w:left="1417" w:header="708" w:footer="708" w:gutter="0"/>
          <w:cols w:space="708"/>
          <w:docGrid w:linePitch="360"/>
        </w:sectPr>
      </w:pPr>
    </w:p>
    <w:p>
      <w:pPr>
        <w:ind w:hanging="22"/>
        <w:jc w:val="center"/>
        <w:rPr>
          <w:rFonts w:asciiTheme="majorHAnsi" w:eastAsia="MS Mincho" w:hAnsiTheme="majorHAnsi"/>
          <w:noProof/>
          <w:sz w:val="20"/>
        </w:rPr>
        <w:sectPr>
          <w:headerReference w:type="even" r:id="rId41"/>
          <w:headerReference w:type="default" r:id="rId42"/>
          <w:footerReference w:type="even" r:id="rId43"/>
          <w:footerReference w:type="default" r:id="rId44"/>
          <w:headerReference w:type="first" r:id="rId45"/>
          <w:footerReference w:type="first" r:id="rId46"/>
          <w:type w:val="continuous"/>
          <w:pgSz w:w="16838" w:h="11906" w:orient="landscape"/>
          <w:pgMar w:top="1417" w:right="1417" w:bottom="1417" w:left="1417" w:header="708" w:footer="708" w:gutter="0"/>
          <w:cols w:num="2" w:space="708"/>
          <w:docGrid w:linePitch="360"/>
        </w:sectPr>
      </w:pPr>
    </w:p>
    <w:p>
      <w:pPr>
        <w:pStyle w:val="Heading1"/>
        <w:numPr>
          <w:ilvl w:val="0"/>
          <w:numId w:val="0"/>
        </w:numPr>
        <w:spacing w:before="0" w:after="240"/>
        <w:jc w:val="center"/>
        <w:rPr>
          <w:rFonts w:asciiTheme="majorHAnsi" w:hAnsiTheme="majorHAnsi"/>
          <w:noProof/>
          <w:sz w:val="20"/>
        </w:rPr>
      </w:pPr>
      <w:r>
        <w:rPr>
          <w:rFonts w:asciiTheme="majorHAnsi" w:hAnsiTheme="majorHAnsi"/>
          <w:noProof/>
          <w:sz w:val="20"/>
        </w:rPr>
        <w:t>ANNEXE 3 – Liste des documents de travail pertinents des services de la Commission</w:t>
      </w:r>
    </w:p>
    <w:p>
      <w:pPr>
        <w:pStyle w:val="ListParagraph"/>
        <w:numPr>
          <w:ilvl w:val="5"/>
          <w:numId w:val="2"/>
        </w:numPr>
        <w:tabs>
          <w:tab w:val="clear" w:pos="2160"/>
          <w:tab w:val="num" w:pos="426"/>
        </w:tabs>
        <w:spacing w:before="0" w:after="240"/>
        <w:ind w:left="425" w:hanging="357"/>
        <w:contextualSpacing w:val="0"/>
        <w:rPr>
          <w:rFonts w:eastAsia="MS Mincho"/>
          <w:noProof/>
          <w:sz w:val="20"/>
        </w:rPr>
      </w:pPr>
      <w:r>
        <w:rPr>
          <w:noProof/>
          <w:sz w:val="20"/>
        </w:rPr>
        <w:t>Mise en œuvre de l’article</w:t>
      </w:r>
      <w:r>
        <w:rPr>
          <w:rFonts w:asciiTheme="majorHAnsi" w:hAnsiTheme="majorHAnsi"/>
          <w:noProof/>
          <w:sz w:val="20"/>
        </w:rPr>
        <w:t> </w:t>
      </w:r>
      <w:r>
        <w:rPr>
          <w:noProof/>
          <w:sz w:val="20"/>
        </w:rPr>
        <w:t>325 par les États membres en 201</w:t>
      </w:r>
      <w:r>
        <w:rPr>
          <w:rFonts w:asciiTheme="majorHAnsi" w:hAnsiTheme="majorHAnsi"/>
          <w:noProof/>
          <w:sz w:val="20"/>
        </w:rPr>
        <w:t>8</w:t>
      </w:r>
      <w:r>
        <w:rPr>
          <w:noProof/>
          <w:sz w:val="20"/>
        </w:rPr>
        <w:t xml:space="preserve"> [SWD(2019) 364]</w:t>
      </w:r>
    </w:p>
    <w:p>
      <w:pPr>
        <w:pStyle w:val="ListParagraph"/>
        <w:numPr>
          <w:ilvl w:val="5"/>
          <w:numId w:val="2"/>
        </w:numPr>
        <w:tabs>
          <w:tab w:val="clear" w:pos="2160"/>
          <w:tab w:val="num" w:pos="426"/>
        </w:tabs>
        <w:spacing w:before="0" w:after="240"/>
        <w:ind w:left="425" w:hanging="357"/>
        <w:contextualSpacing w:val="0"/>
        <w:rPr>
          <w:rFonts w:eastAsia="MS Mincho"/>
          <w:noProof/>
          <w:sz w:val="20"/>
        </w:rPr>
      </w:pPr>
      <w:r>
        <w:rPr>
          <w:noProof/>
          <w:sz w:val="20"/>
        </w:rPr>
        <w:t xml:space="preserve">Analyse statistique des irrégularités signalées pour les ressources propres, les ressources naturelles, la politique de cohésion, l’aide de préadhésion </w:t>
      </w:r>
      <w:r>
        <w:rPr>
          <w:rFonts w:asciiTheme="majorHAnsi" w:hAnsiTheme="majorHAnsi"/>
          <w:noProof/>
          <w:sz w:val="20"/>
        </w:rPr>
        <w:t>et les dépenses directes</w:t>
      </w:r>
      <w:r>
        <w:rPr>
          <w:noProof/>
          <w:sz w:val="20"/>
        </w:rPr>
        <w:t xml:space="preserve"> [SWD(2019) 365– parties 1, 2 et 3]</w:t>
      </w:r>
    </w:p>
    <w:p>
      <w:pPr>
        <w:pStyle w:val="ListParagraph"/>
        <w:numPr>
          <w:ilvl w:val="5"/>
          <w:numId w:val="2"/>
        </w:numPr>
        <w:tabs>
          <w:tab w:val="clear" w:pos="2160"/>
          <w:tab w:val="num" w:pos="426"/>
        </w:tabs>
        <w:spacing w:before="0" w:after="240"/>
        <w:ind w:left="425" w:hanging="357"/>
        <w:contextualSpacing w:val="0"/>
        <w:rPr>
          <w:rFonts w:eastAsia="MS Mincho"/>
          <w:noProof/>
          <w:sz w:val="20"/>
        </w:rPr>
      </w:pPr>
      <w:r>
        <w:rPr>
          <w:noProof/>
          <w:sz w:val="20"/>
        </w:rPr>
        <w:t>Suivi des recommandations du rapport de la Commission sur la protection des intérêts financiers de l’UE – lutte contre la fraude, 2017 [SWD(2019) 363]</w:t>
      </w:r>
    </w:p>
    <w:p>
      <w:pPr>
        <w:pStyle w:val="ListParagraph"/>
        <w:numPr>
          <w:ilvl w:val="5"/>
          <w:numId w:val="2"/>
        </w:numPr>
        <w:tabs>
          <w:tab w:val="clear" w:pos="2160"/>
          <w:tab w:val="num" w:pos="426"/>
        </w:tabs>
        <w:spacing w:before="0" w:after="240"/>
        <w:ind w:left="425" w:hanging="357"/>
        <w:contextualSpacing w:val="0"/>
        <w:rPr>
          <w:rFonts w:eastAsia="MS Mincho"/>
          <w:noProof/>
          <w:sz w:val="20"/>
        </w:rPr>
      </w:pPr>
      <w:r>
        <w:rPr>
          <w:noProof/>
          <w:sz w:val="20"/>
        </w:rPr>
        <w:t>Système de détection rapide et d’exclusion (EDES) –– Instance visée à l’article 108 du règlement financier [SWD(2019) 362]</w:t>
      </w:r>
    </w:p>
    <w:p>
      <w:pPr>
        <w:pStyle w:val="ListParagraph"/>
        <w:numPr>
          <w:ilvl w:val="5"/>
          <w:numId w:val="2"/>
        </w:numPr>
        <w:tabs>
          <w:tab w:val="clear" w:pos="2160"/>
          <w:tab w:val="num" w:pos="426"/>
        </w:tabs>
        <w:spacing w:before="0" w:after="240"/>
        <w:ind w:left="425" w:hanging="357"/>
        <w:contextualSpacing w:val="0"/>
        <w:rPr>
          <w:rFonts w:asciiTheme="majorHAnsi" w:eastAsia="MS Mincho" w:hAnsiTheme="majorHAnsi"/>
          <w:noProof/>
          <w:sz w:val="20"/>
        </w:rPr>
      </w:pPr>
      <w:r>
        <w:rPr>
          <w:noProof/>
          <w:sz w:val="20"/>
        </w:rPr>
        <w:t xml:space="preserve">Vue d’ensemble annuelle assortie d’informations sur les résultats du </w:t>
      </w:r>
      <w:r>
        <w:rPr>
          <w:rFonts w:asciiTheme="majorHAnsi" w:hAnsiTheme="majorHAnsi"/>
          <w:noProof/>
          <w:sz w:val="20"/>
        </w:rPr>
        <w:t>programme</w:t>
      </w:r>
      <w:r>
        <w:rPr>
          <w:noProof/>
          <w:sz w:val="20"/>
        </w:rPr>
        <w:t xml:space="preserve"> Hercule III en 2018 [SWD(2019) 361]</w:t>
      </w:r>
    </w:p>
    <w:p>
      <w:pPr>
        <w:ind w:hanging="22"/>
        <w:jc w:val="center"/>
        <w:rPr>
          <w:rFonts w:asciiTheme="majorHAnsi" w:eastAsia="MS Mincho" w:hAnsiTheme="majorHAnsi"/>
          <w:noProof/>
          <w:sz w:val="20"/>
        </w:rPr>
      </w:pPr>
    </w:p>
    <w:p>
      <w:pPr>
        <w:rPr>
          <w:noProof/>
        </w:rPr>
      </w:pPr>
    </w:p>
    <w:sectPr>
      <w:headerReference w:type="even" r:id="rId47"/>
      <w:headerReference w:type="default" r:id="rId48"/>
      <w:footerReference w:type="even" r:id="rId49"/>
      <w:footerReference w:type="default" r:id="rId50"/>
      <w:headerReference w:type="first" r:id="rId51"/>
      <w:footerReference w:type="firs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rFonts w:asciiTheme="majorHAnsi" w:hAnsiTheme="majorHAnsi"/>
        <w:sz w:val="20"/>
      </w:rPr>
    </w:pPr>
    <w:r>
      <w:rPr>
        <w:rFonts w:asciiTheme="majorHAnsi" w:hAnsiTheme="majorHAnsi"/>
        <w:sz w:val="20"/>
      </w:rPr>
      <w:fldChar w:fldCharType="begin"/>
    </w:r>
    <w:r>
      <w:rPr>
        <w:rFonts w:asciiTheme="majorHAnsi" w:hAnsiTheme="majorHAnsi"/>
        <w:sz w:val="20"/>
      </w:rPr>
      <w:instrText xml:space="preserve"> PAGE   \* MERGEFORMAT </w:instrText>
    </w:r>
    <w:r>
      <w:rPr>
        <w:rFonts w:asciiTheme="majorHAnsi" w:hAnsiTheme="majorHAnsi"/>
        <w:sz w:val="20"/>
      </w:rPr>
      <w:fldChar w:fldCharType="separate"/>
    </w:r>
    <w:r>
      <w:rPr>
        <w:rFonts w:asciiTheme="majorHAnsi" w:hAnsiTheme="majorHAnsi"/>
        <w:noProof/>
        <w:sz w:val="20"/>
      </w:rPr>
      <w:t>2</w:t>
    </w:r>
    <w:r>
      <w:rPr>
        <w:rFonts w:asciiTheme="majorHAnsi" w:hAnsiTheme="majorHAnsi"/>
        <w:sz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fldChar w:fldCharType="begin"/>
    </w:r>
    <w:r>
      <w:instrText xml:space="preserve"> PAGE   \* MERGEFORMAT </w:instrText>
    </w:r>
    <w:r>
      <w:fldChar w:fldCharType="separate"/>
    </w:r>
    <w:r>
      <w:rPr>
        <w:noProof/>
      </w:rPr>
      <w:t>2</w:t>
    </w:r>
    <w:r>
      <w:fldChar w:fldCharType="end"/>
    </w:r>
  </w:p>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sz w:val="20"/>
      </w:rPr>
    </w:pPr>
    <w:r>
      <w:rPr>
        <w:sz w:val="20"/>
      </w:rPr>
      <w:fldChar w:fldCharType="begin"/>
    </w:r>
    <w:r>
      <w:rPr>
        <w:sz w:val="20"/>
      </w:rPr>
      <w:instrText xml:space="preserve"> PAGE   \* MERGEFORMAT </w:instrText>
    </w:r>
    <w:r>
      <w:rPr>
        <w:sz w:val="20"/>
      </w:rPr>
      <w:fldChar w:fldCharType="separate"/>
    </w:r>
    <w:r>
      <w:rPr>
        <w:sz w:val="20"/>
      </w:rPr>
      <w:t>32</w:t>
    </w:r>
    <w:r>
      <w:rPr>
        <w:sz w:val="20"/>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sz w:val="20"/>
      </w:rPr>
    </w:pPr>
    <w:r>
      <w:rPr>
        <w:sz w:val="20"/>
      </w:rPr>
      <w:fldChar w:fldCharType="begin"/>
    </w:r>
    <w:r>
      <w:rPr>
        <w:sz w:val="20"/>
      </w:rPr>
      <w:instrText xml:space="preserve"> PAGE   \* MERGEFORMAT </w:instrText>
    </w:r>
    <w:r>
      <w:rPr>
        <w:sz w:val="20"/>
      </w:rPr>
      <w:fldChar w:fldCharType="separate"/>
    </w:r>
    <w:r>
      <w:rPr>
        <w:noProof/>
        <w:sz w:val="20"/>
      </w:rPr>
      <w:t>3</w:t>
    </w:r>
    <w:r>
      <w:rPr>
        <w:sz w:val="20"/>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rFonts w:asciiTheme="majorHAnsi" w:hAnsiTheme="majorHAnsi"/>
        <w:sz w:val="20"/>
      </w:rPr>
    </w:pPr>
    <w:r>
      <w:rPr>
        <w:rFonts w:asciiTheme="majorHAnsi" w:hAnsiTheme="majorHAnsi"/>
        <w:sz w:val="20"/>
      </w:rPr>
      <w:fldChar w:fldCharType="begin"/>
    </w:r>
    <w:r>
      <w:rPr>
        <w:rFonts w:asciiTheme="majorHAnsi" w:hAnsiTheme="majorHAnsi"/>
        <w:sz w:val="20"/>
      </w:rPr>
      <w:instrText xml:space="preserve"> PAGE   \* MERGEFORMAT </w:instrText>
    </w:r>
    <w:r>
      <w:rPr>
        <w:rFonts w:asciiTheme="majorHAnsi" w:hAnsiTheme="majorHAnsi"/>
        <w:sz w:val="20"/>
      </w:rPr>
      <w:fldChar w:fldCharType="separate"/>
    </w:r>
    <w:r>
      <w:rPr>
        <w:rFonts w:asciiTheme="majorHAnsi" w:hAnsiTheme="majorHAnsi"/>
        <w:noProof/>
        <w:sz w:val="20"/>
      </w:rPr>
      <w:t>1</w:t>
    </w:r>
    <w:r>
      <w:rPr>
        <w:rFonts w:asciiTheme="majorHAnsi" w:hAnsiTheme="majorHAnsi"/>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fldChar w:fldCharType="begin"/>
    </w:r>
    <w:r>
      <w:instrText xml:space="preserve"> PAGE   \* MERGEFORMAT </w:instrText>
    </w:r>
    <w:r>
      <w:fldChar w:fldCharType="separate"/>
    </w:r>
    <w:r>
      <w:t>34</w:t>
    </w:r>
    <w:r>
      <w:fldChar w:fldCharType="end"/>
    </w: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2E04"/>
    <w:multiLevelType w:val="multilevel"/>
    <w:tmpl w:val="D60ABDD2"/>
    <w:lvl w:ilvl="0">
      <w:start w:val="1"/>
      <w:numFmt w:val="decimal"/>
      <w:lvlRestart w:val="0"/>
      <w:pStyle w:val="Heading1"/>
      <w:lvlText w:val="%1."/>
      <w:lvlJc w:val="left"/>
      <w:pPr>
        <w:tabs>
          <w:tab w:val="num" w:pos="1570"/>
        </w:tabs>
        <w:ind w:left="157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991"/>
        </w:tabs>
        <w:ind w:left="991" w:hanging="850"/>
      </w:pPr>
      <w:rPr>
        <w:rFonts w:hint="default"/>
        <w:b w:val="0"/>
      </w:rPr>
    </w:lvl>
    <w:lvl w:ilvl="3">
      <w:start w:val="1"/>
      <w:numFmt w:val="decimal"/>
      <w:lvlText w:val="%1.%2.%3.%4."/>
      <w:lvlJc w:val="left"/>
      <w:pPr>
        <w:tabs>
          <w:tab w:val="num" w:pos="1810"/>
        </w:tabs>
        <w:ind w:left="181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F903441"/>
    <w:multiLevelType w:val="multilevel"/>
    <w:tmpl w:val="E2321C64"/>
    <w:lvl w:ilvl="0">
      <w:start w:val="1"/>
      <w:numFmt w:val="decimal"/>
      <w:lvlRestart w:val="0"/>
      <w:lvlText w:val="%1."/>
      <w:lvlJc w:val="left"/>
      <w:pPr>
        <w:tabs>
          <w:tab w:val="num" w:pos="1570"/>
        </w:tabs>
        <w:ind w:left="157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val="0"/>
      </w:rPr>
    </w:lvl>
    <w:lvl w:ilvl="3">
      <w:start w:val="1"/>
      <w:numFmt w:val="decimal"/>
      <w:lvlText w:val="%1.%2.%3.%4."/>
      <w:lvlJc w:val="left"/>
      <w:pPr>
        <w:tabs>
          <w:tab w:val="num" w:pos="1810"/>
        </w:tabs>
        <w:ind w:left="1810" w:hanging="85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3"/>
    <w:docVar w:name="LW_ANNEX_UNIQUE" w:val="0"/>
    <w:docVar w:name="LW_CORRIGENDUM" w:val="&lt;UNUSED&gt;"/>
    <w:docVar w:name="LW_COVERPAGE_EXISTS" w:val="True"/>
    <w:docVar w:name="LW_COVERPAGE_GUID" w:val="7475C745-8A3E-4AB5-967D-35FEC138C4E9"/>
    <w:docVar w:name="LW_COVERPAGE_TYPE" w:val="1"/>
    <w:docVar w:name="LW_CROSSREFERENCE" w:val="{SWD(2019) 361 final} - {SWD(2019) 362 final} - {SWD(2019) 363 final} - {SWD(2019) 364 final} - {SWD(2019) 365 final}"/>
    <w:docVar w:name="LW_DocType" w:val="NORMAL"/>
    <w:docVar w:name="LW_EMISSION" w:val="11.10.2019"/>
    <w:docVar w:name="LW_EMISSION_ISODATE" w:val="2019-10-11"/>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30e rapport annuel sur la protection des intérêts financiers de l'Union européenne - lutte contre la fraude - 2018"/>
    <w:docVar w:name="LW_PART_NBR" w:val="&lt;UNUSED&gt;"/>
    <w:docVar w:name="LW_PART_NBR_TOTAL" w:val="&lt;UNUSED&gt;"/>
    <w:docVar w:name="LW_REF.INST.NEW" w:val="COM"/>
    <w:docVar w:name="LW_REF.INST.NEW_ADOPTED" w:val="final"/>
    <w:docVar w:name="LW_REF.INST.NEW_TEXT" w:val="(2019) 4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numPr>
        <w:numId w:val="1"/>
      </w:numPr>
      <w:spacing w:before="360"/>
      <w:outlineLvl w:val="0"/>
    </w:pPr>
    <w:rPr>
      <w:b/>
      <w:bCs/>
      <w:smallCaps/>
      <w:szCs w:val="32"/>
    </w:rPr>
  </w:style>
  <w:style w:type="paragraph" w:styleId="Heading2">
    <w:name w:val="heading 2"/>
    <w:basedOn w:val="Normal"/>
    <w:next w:val="Normal"/>
    <w:link w:val="Heading2Char"/>
    <w:qFormat/>
    <w:pPr>
      <w:keepNext/>
      <w:numPr>
        <w:ilvl w:val="1"/>
        <w:numId w:val="1"/>
      </w:numPr>
      <w:outlineLvl w:val="1"/>
    </w:pPr>
    <w:rPr>
      <w:rFonts w:eastAsia="Calibri"/>
      <w:b/>
      <w:bCs/>
      <w:iCs/>
      <w:szCs w:val="28"/>
    </w:rPr>
  </w:style>
  <w:style w:type="paragraph" w:styleId="Heading3">
    <w:name w:val="heading 3"/>
    <w:basedOn w:val="Normal"/>
    <w:next w:val="Normal"/>
    <w:link w:val="Heading3Char"/>
    <w:qFormat/>
    <w:pPr>
      <w:keepNext/>
      <w:numPr>
        <w:ilvl w:val="2"/>
        <w:numId w:val="1"/>
      </w:numPr>
      <w:outlineLvl w:val="2"/>
    </w:pPr>
    <w:rPr>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Calibri"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paragraph" w:styleId="ListParagraph">
    <w:name w:val="List Paragraph"/>
    <w:basedOn w:val="Normal"/>
    <w:uiPriority w:val="34"/>
    <w:qFormat/>
    <w:pPr>
      <w:ind w:left="720"/>
      <w:contextualSpacing/>
    </w:pPr>
    <w:rPr>
      <w:szCs w:val="22"/>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bCs w:val="0"/>
      <w:smallCaps w:val="0"/>
      <w:sz w:val="32"/>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bCs w:val="0"/>
      <w:smallCaps w:val="0"/>
      <w:sz w:val="32"/>
      <w:szCs w:val="24"/>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numPr>
        <w:numId w:val="1"/>
      </w:numPr>
      <w:spacing w:before="360"/>
      <w:outlineLvl w:val="0"/>
    </w:pPr>
    <w:rPr>
      <w:b/>
      <w:bCs/>
      <w:smallCaps/>
      <w:szCs w:val="32"/>
    </w:rPr>
  </w:style>
  <w:style w:type="paragraph" w:styleId="Heading2">
    <w:name w:val="heading 2"/>
    <w:basedOn w:val="Normal"/>
    <w:next w:val="Normal"/>
    <w:link w:val="Heading2Char"/>
    <w:qFormat/>
    <w:pPr>
      <w:keepNext/>
      <w:numPr>
        <w:ilvl w:val="1"/>
        <w:numId w:val="1"/>
      </w:numPr>
      <w:outlineLvl w:val="1"/>
    </w:pPr>
    <w:rPr>
      <w:rFonts w:eastAsia="Calibri"/>
      <w:b/>
      <w:bCs/>
      <w:iCs/>
      <w:szCs w:val="28"/>
    </w:rPr>
  </w:style>
  <w:style w:type="paragraph" w:styleId="Heading3">
    <w:name w:val="heading 3"/>
    <w:basedOn w:val="Normal"/>
    <w:next w:val="Normal"/>
    <w:link w:val="Heading3Char"/>
    <w:qFormat/>
    <w:pPr>
      <w:keepNext/>
      <w:numPr>
        <w:ilvl w:val="2"/>
        <w:numId w:val="1"/>
      </w:numPr>
      <w:outlineLvl w:val="2"/>
    </w:pPr>
    <w:rPr>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Calibri"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paragraph" w:styleId="ListParagraph">
    <w:name w:val="List Paragraph"/>
    <w:basedOn w:val="Normal"/>
    <w:uiPriority w:val="34"/>
    <w:qFormat/>
    <w:pPr>
      <w:ind w:left="720"/>
      <w:contextualSpacing/>
    </w:pPr>
    <w:rPr>
      <w:szCs w:val="22"/>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bCs w:val="0"/>
      <w:smallCaps w:val="0"/>
      <w:sz w:val="32"/>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bCs w:val="0"/>
      <w:smallCaps w:val="0"/>
      <w:sz w:val="32"/>
      <w:szCs w:val="24"/>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15.xml"/><Relationship Id="rId3" Type="http://schemas.microsoft.com/office/2007/relationships/stylesWithEffects" Target="stylesWithEffects.xml"/><Relationship Id="rId21" Type="http://schemas.openxmlformats.org/officeDocument/2006/relationships/image" Target="media/image2.emf"/><Relationship Id="rId34" Type="http://schemas.openxmlformats.org/officeDocument/2006/relationships/image" Target="media/image3.emf"/><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8" Type="http://schemas.openxmlformats.org/officeDocument/2006/relationships/image" Target="media/image1.emf"/><Relationship Id="rId51"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217</Words>
  <Characters>1218</Characters>
  <Application>Microsoft Office Word</Application>
  <DocSecurity>0</DocSecurity>
  <Lines>28</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BORDONI Andrea (OLAF)</dc:creator>
  <cp:lastModifiedBy>WES PDFC Administrator</cp:lastModifiedBy>
  <cp:revision>12</cp:revision>
  <dcterms:created xsi:type="dcterms:W3CDTF">2019-09-12T13:10:00Z</dcterms:created>
  <dcterms:modified xsi:type="dcterms:W3CDTF">2019-10-04T08:04:00Z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3</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7.0, Build 20190717</vt:lpwstr>
  </property>
  <property fmtid="{D5CDD505-2E9C-101B-9397-08002B2CF9AE}" pid="11" name="CPTemplateID">
    <vt:lpwstr>CP-039</vt:lpwstr>
  </property>
</Properties>
</file>