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A2051CD-2A4A-40EE-BB05-B7CEBF9533FF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ПРИТУРКА </w:t>
      </w:r>
    </w:p>
    <w:p>
      <w:pPr>
        <w:jc w:val="center"/>
        <w:rPr>
          <w:noProof/>
        </w:rPr>
      </w:pPr>
      <w:r>
        <w:rPr>
          <w:noProof/>
        </w:rPr>
        <w:t>ПРОЕКТ НА</w:t>
      </w:r>
    </w:p>
    <w:p>
      <w:pPr>
        <w:jc w:val="center"/>
        <w:rPr>
          <w:b/>
          <w:noProof/>
        </w:rPr>
      </w:pPr>
      <w:r>
        <w:rPr>
          <w:b/>
          <w:noProof/>
        </w:rPr>
        <w:t>РЕШЕНИЕ № …/2019 НА СЪВМЕСТНИЯ КОМИТЕТ ПО ВИТС</w:t>
      </w:r>
    </w:p>
    <w:p>
      <w:pPr>
        <w:jc w:val="center"/>
        <w:rPr>
          <w:b/>
          <w:noProof/>
        </w:rPr>
      </w:pPr>
      <w:r>
        <w:rPr>
          <w:b/>
          <w:noProof/>
        </w:rPr>
        <w:t>от ... година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за приемане на процедура за приемане на тълкувания в съответствие с член 8.31, параграф 3 и член 8.44, параграф 3, буква а) от ВИТС като приложение към процедурния му правилник</w:t>
      </w:r>
    </w:p>
    <w:p>
      <w:pPr>
        <w:spacing w:after="0" w:line="259" w:lineRule="auto"/>
        <w:rPr>
          <w:rFonts w:eastAsia="Calibri"/>
          <w:noProof/>
          <w:szCs w:val="19"/>
        </w:rPr>
      </w:pPr>
      <w:r>
        <w:rPr>
          <w:noProof/>
        </w:rPr>
        <w:t>СЪВМЕСТНИЯТ КОМИТЕТ ПО ВИТС,</w:t>
      </w:r>
    </w:p>
    <w:p>
      <w:pPr>
        <w:spacing w:after="0" w:line="259" w:lineRule="auto"/>
        <w:rPr>
          <w:rFonts w:eastAsia="Calibri"/>
          <w:noProof/>
          <w:szCs w:val="19"/>
        </w:rPr>
      </w:pPr>
      <w:r>
        <w:rPr>
          <w:noProof/>
        </w:rPr>
        <w:t xml:space="preserve">като взе предвид член 26.1 от Всеобхватното икономическо и търговско споразумение (ВИТС) между Канада, от една страна, и Европейския съюз и неговите държави членки, от друга страна („споразумението“), и по-специално член 26.1, параграф 4, буква г) и член 26.2, параграф 4 от него, </w:t>
      </w:r>
    </w:p>
    <w:p>
      <w:pPr>
        <w:spacing w:after="0" w:line="259" w:lineRule="auto"/>
        <w:rPr>
          <w:rFonts w:eastAsia="Calibri"/>
          <w:noProof/>
          <w:szCs w:val="19"/>
        </w:rPr>
      </w:pPr>
      <w:r>
        <w:rPr>
          <w:noProof/>
        </w:rPr>
        <w:t xml:space="preserve">като има предвид, че: </w:t>
      </w:r>
    </w:p>
    <w:p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В съответствие с член 26.1, параграф 4, буква г) от споразумението Съвместният комитет по ВИТС приема свой собствен процедурен правилник.</w:t>
      </w:r>
    </w:p>
    <w:p>
      <w:pPr>
        <w:pStyle w:val="Point0number"/>
        <w:rPr>
          <w:noProof/>
        </w:rPr>
      </w:pPr>
      <w:r>
        <w:rPr>
          <w:noProof/>
        </w:rPr>
        <w:t>Както е предвидено в член 26.2, параграф 1, буква б) от споразумението, Комитетът по услугите и инвестициите е един от специализираните комитети, създадени по силата на споразумението.</w:t>
      </w:r>
    </w:p>
    <w:p>
      <w:pPr>
        <w:pStyle w:val="Point0number"/>
        <w:rPr>
          <w:noProof/>
        </w:rPr>
      </w:pPr>
      <w:r>
        <w:rPr>
          <w:noProof/>
        </w:rPr>
        <w:t xml:space="preserve">В съответствие с член 26.2, параграф 4 от споразумението специализираните комитети изготвят свои собствени процедурни правилници и ги изменят, ако сметнат това за целесъобразно. </w:t>
      </w:r>
    </w:p>
    <w:p>
      <w:pPr>
        <w:pStyle w:val="Point0number"/>
        <w:rPr>
          <w:noProof/>
        </w:rPr>
      </w:pPr>
      <w:r>
        <w:rPr>
          <w:noProof/>
        </w:rPr>
        <w:t xml:space="preserve">Правило 14, параграф 4 от процедурния правилник на Съвместния комитет по ВИТС (Решение № 001/2018 на Съвместния комитет по ВИТС от 26.9.2018 г.) предвижда, че процедурният правилник се прилага </w:t>
      </w:r>
      <w:r>
        <w:rPr>
          <w:bCs/>
          <w:i/>
          <w:iCs/>
          <w:noProof/>
        </w:rPr>
        <w:t>mutatis mutandis</w:t>
      </w:r>
      <w:r>
        <w:rPr>
          <w:noProof/>
        </w:rPr>
        <w:t xml:space="preserve"> по отношение на специализираните комитети и другите органи, създадени съгласно споразумението, освен ако бъде решено друго от някой от специализираните комитети в съответствие с член 26.2, параграф 4 от споразумението.</w:t>
      </w:r>
    </w:p>
    <w:p>
      <w:pPr>
        <w:pStyle w:val="Point0number"/>
        <w:rPr>
          <w:noProof/>
          <w:szCs w:val="24"/>
        </w:rPr>
      </w:pPr>
      <w:r>
        <w:rPr>
          <w:noProof/>
        </w:rPr>
        <w:t>В съответствие с член 8.9, параграф 1 от споразумението страните потвърждават отново правото си да въвеждат регулаторни мерки в обществен интерес за постигане на законни цели на обществената политика в области като общественото здраве, безопасността, околната среда (включително изменението на климата и биоразнообразието) или обществения морал, социалната закрила или защитата на потребителите, или насърчаването и опазването на културното многообразие.</w:t>
      </w:r>
    </w:p>
    <w:p>
      <w:pPr>
        <w:pStyle w:val="Point0number"/>
        <w:rPr>
          <w:noProof/>
          <w:szCs w:val="24"/>
        </w:rPr>
      </w:pPr>
      <w:r>
        <w:rPr>
          <w:noProof/>
        </w:rPr>
        <w:t>Съгласно параграф 6, буква д) от Съвместния тълкувателен инструмент относно споразумението с цел да се гарантира, че при всички обстоятелства трибуналите, сформирани съгласно раздел Е (Разрешаване на инвестиционни спорове между инвеститори и държави) от осма глава (Инвестиции) от споразумението, зачитат намеренията на страните, посочени в споразумението, ВИТС съдържа разпоредби, които позволяват на страните да издават задължителни бележки за тълкуване, и страните потвърждават отново, че Канада и Европейският съюз и неговите държави членки са задължени да използват тези разпоредби за избягване и коригиране на погрешно тълкуване на споразумението от страна на трибунали.</w:t>
      </w:r>
    </w:p>
    <w:p>
      <w:pPr>
        <w:pStyle w:val="Point0number"/>
        <w:rPr>
          <w:noProof/>
          <w:szCs w:val="24"/>
        </w:rPr>
      </w:pPr>
      <w:r>
        <w:rPr>
          <w:noProof/>
        </w:rPr>
        <w:t>В съответствие с член 8.31, параграф 3 и член 8.44, параграф 3, буква а) от споразумението при възникване на сериозни затруднения във връзка с тълкуването на конкретни положения, които могат да се отразят неблагоприятно на инвестицията, Комитетът по услугите и инвестициите може, след постигане на съгласие между страните и след като бъдат спазени техните съответни вътрешни изисквания и процедури, да препоръча на Съвместния комитет по ВИТС да приеме необходимите тълкувания на споразумението; тълкуванията, приети от Съвместния комитет по ВИТС, са задължителни за арбитражните органи, сформирани съгласно раздел Е (Разрешаване на инвестиционни спорове между инвеститори и държави) от осма глава (Инвестиции) от споразумението; и Съвместният комитет по ВИТС може да реши, че дадено тълкуване става задължително от определена дата,</w:t>
      </w:r>
    </w:p>
    <w:p>
      <w:pPr>
        <w:spacing w:after="0" w:line="259" w:lineRule="auto"/>
        <w:rPr>
          <w:rFonts w:eastAsia="Calibri"/>
          <w:noProof/>
          <w:szCs w:val="24"/>
        </w:rPr>
      </w:pPr>
      <w:r>
        <w:rPr>
          <w:noProof/>
        </w:rPr>
        <w:t xml:space="preserve">РЕШИ: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NumPar1"/>
        <w:numPr>
          <w:ilvl w:val="0"/>
          <w:numId w:val="7"/>
        </w:numPr>
        <w:rPr>
          <w:noProof/>
        </w:rPr>
      </w:pPr>
      <w:r>
        <w:rPr>
          <w:noProof/>
        </w:rPr>
        <w:t xml:space="preserve">Процедурата за приемане на тълкувания съгласно член 8.31, параграф 3 и член 8.44, параграф 3, буква а) от споразумението, изложена в приложението към настоящото решение, се приема с настоящото решение като приложение към процедурния правилник на Съвместния комитет по ВИТС. </w:t>
      </w:r>
    </w:p>
    <w:p>
      <w:pPr>
        <w:pStyle w:val="NumPar1"/>
        <w:rPr>
          <w:noProof/>
        </w:rPr>
      </w:pPr>
      <w:r>
        <w:rPr>
          <w:noProof/>
        </w:rPr>
        <w:t>Приложението представлява неразделна част от процедурния правилник на Съвместния комитет по ВИТС (Решение № 001/2018 на Съвместния комитет по ВИТС от 26.9.2018 г.).</w:t>
      </w:r>
    </w:p>
    <w:p>
      <w:pPr>
        <w:pStyle w:val="Titrearticle"/>
        <w:rPr>
          <w:rFonts w:eastAsia="Calibri"/>
          <w:i w:val="0"/>
          <w:noProof/>
        </w:rPr>
      </w:pPr>
      <w:r>
        <w:rPr>
          <w:noProof/>
        </w:rPr>
        <w:t>Член 2</w:t>
      </w:r>
    </w:p>
    <w:p>
      <w:pPr>
        <w:spacing w:before="0" w:line="259" w:lineRule="auto"/>
        <w:contextualSpacing/>
        <w:rPr>
          <w:rFonts w:eastAsia="Calibri"/>
          <w:noProof/>
        </w:rPr>
      </w:pPr>
      <w:r>
        <w:rPr>
          <w:noProof/>
        </w:rPr>
        <w:t>Приложението съставлява неразделна част от настоящото решение.</w:t>
      </w:r>
    </w:p>
    <w:p>
      <w:pPr>
        <w:pStyle w:val="Titrearticle"/>
        <w:rPr>
          <w:rFonts w:eastAsia="Calibri"/>
          <w:i w:val="0"/>
          <w:noProof/>
          <w:szCs w:val="24"/>
        </w:rPr>
      </w:pPr>
      <w:r>
        <w:rPr>
          <w:noProof/>
        </w:rPr>
        <w:t>Член 3</w:t>
      </w:r>
    </w:p>
    <w:p>
      <w:pPr>
        <w:spacing w:before="0" w:after="480" w:line="259" w:lineRule="auto"/>
        <w:contextualSpacing/>
        <w:rPr>
          <w:rFonts w:eastAsia="Calibri"/>
          <w:noProof/>
          <w:szCs w:val="24"/>
        </w:rPr>
      </w:pPr>
      <w:r>
        <w:rPr>
          <w:noProof/>
        </w:rPr>
        <w:t>Настоящото решение се публикува и влиза в сила на датата на влизане в сила на раздел Е (Разрешаване на инвестиционни спорове между инвеститори и държави) от осма глава (Инвестиции) от споразумението, при условие че страните са обменили помежду си по дипломатически път писмени уведомления, с които се удостоверява, че те са изпълнили необходимите вътрешни изисквания и процедури.</w:t>
      </w:r>
    </w:p>
    <w:p>
      <w:pPr>
        <w:spacing w:before="0" w:after="480" w:line="259" w:lineRule="auto"/>
        <w:contextualSpacing/>
        <w:rPr>
          <w:rFonts w:eastAsia="Calibri"/>
          <w:noProof/>
          <w:szCs w:val="24"/>
        </w:rPr>
      </w:pPr>
    </w:p>
    <w:p>
      <w:pPr>
        <w:spacing w:before="0" w:line="259" w:lineRule="auto"/>
        <w:contextualSpacing/>
        <w:rPr>
          <w:rFonts w:eastAsia="Calibri"/>
          <w:noProof/>
          <w:szCs w:val="24"/>
        </w:rPr>
      </w:pPr>
      <w:r>
        <w:rPr>
          <w:noProof/>
        </w:rPr>
        <w:t xml:space="preserve">Съставено в ... на ... година. </w:t>
      </w:r>
    </w:p>
    <w:p>
      <w:pPr>
        <w:spacing w:after="0" w:line="259" w:lineRule="auto"/>
        <w:jc w:val="right"/>
        <w:rPr>
          <w:rFonts w:eastAsia="Calibri"/>
          <w:noProof/>
          <w:szCs w:val="24"/>
        </w:rPr>
      </w:pPr>
      <w:r>
        <w:rPr>
          <w:noProof/>
        </w:rPr>
        <w:t xml:space="preserve">За Съвместния комитет по ВИТС </w:t>
      </w:r>
    </w:p>
    <w:p>
      <w:pPr>
        <w:spacing w:after="0" w:line="259" w:lineRule="auto"/>
        <w:jc w:val="right"/>
        <w:rPr>
          <w:rFonts w:eastAsia="Calibri"/>
          <w:noProof/>
          <w:szCs w:val="24"/>
        </w:rPr>
      </w:pPr>
      <w:r>
        <w:rPr>
          <w:noProof/>
        </w:rPr>
        <w:t xml:space="preserve">Съпредседатели </w:t>
      </w:r>
    </w:p>
    <w:p>
      <w:pPr>
        <w:spacing w:after="0" w:line="259" w:lineRule="auto"/>
        <w:jc w:val="center"/>
        <w:rPr>
          <w:rFonts w:eastAsia="Calibri"/>
          <w:noProof/>
          <w:szCs w:val="24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after="0" w:line="259" w:lineRule="auto"/>
        <w:jc w:val="center"/>
        <w:rPr>
          <w:rFonts w:eastAsia="Calibri"/>
          <w:b/>
          <w:noProof/>
          <w:szCs w:val="24"/>
          <w:u w:val="single"/>
        </w:rPr>
      </w:pPr>
      <w:r>
        <w:rPr>
          <w:b/>
          <w:noProof/>
          <w:u w:val="single"/>
        </w:rPr>
        <w:t>ПРИЛОЖЕНИЕ</w:t>
      </w:r>
    </w:p>
    <w:p>
      <w:pPr>
        <w:spacing w:after="0" w:line="259" w:lineRule="auto"/>
        <w:jc w:val="center"/>
        <w:rPr>
          <w:rFonts w:eastAsia="Calibri"/>
          <w:noProof/>
          <w:szCs w:val="24"/>
        </w:rPr>
      </w:pPr>
      <w:r>
        <w:rPr>
          <w:noProof/>
        </w:rPr>
        <w:t xml:space="preserve">ПРИЛОЖЕНИЕ КЪМ ПРОЦЕДУРНИЯ ПРАВИЛНИК НА СЪВМЕСТНИЯ КОМИТЕТ ПО ВИТС 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 xml:space="preserve">При всички случаи, когато една от страните има сериозни затруднения във връзка с тълкуването на конкретни положения, които могат да се отразят неблагоприятно на инвестицията, включително ако има сериозни опасения, свързани с конкретна мярка, за която инвеститор от другата страна е подал искане за консултации съгласно член 8.19 (Консултации) от споразумението, като този инвеститор твърди, че такава мярка представлява неизпълнение на задължение по осма глава (Инвестиции) от Споразумението: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тази страна може писмено да отнесе въпроса до Комитета по услугите и инвестициите;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случай на сезиране по силата на буква а), страните започват незабавно консултации в рамките на Комитета по услугите и инвестициите; както и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Комитетът по услугите и инвестициите се произнася по въпроса във възможно най-кратък срок.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>Всяка страна разглежда надлежно забележките, направени от другата страна във връзка с член 8.31, параграф 3 от споразумението, и прави всичко възможно да намери решение на въпроса своевременно и по взаимно удовлетворителен начин.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 xml:space="preserve">Комитетът по услугите и инвестициите може, след постигане на съгласие между страните и след като бъдат спазени техните съответни вътрешни изисквания и процедури, да препоръча на Съвместния комитет по ВИТС да приеме необходимите тълкувания на съответната(ите) разпоредба(и) от осма глава (Инвестиции) от споразумението. Тези тълкувания може, наред с другото, да отговорят на въпроса дали и при какви условия даден вид мярка трябва да се счита за съвместима с осма глава (Инвестиции) от споразумението. 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 xml:space="preserve">Ако Комитетът по услугите и инвестициите реши да препоръча на Съвместния комитет по ВИТС приемането на тълкуване, Съвместният комитет приема решение по въпроса във възможно най-кратък срок. 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 xml:space="preserve">Тълкуванията, приети от Съвместния комитет по ВИТС, са задължителни за Съда и Апелативния съд, сформирани съгласно раздел Е (Разрешаване на инвестиционни спорове между инвеститори и държави) от осма глава (Инвестиции) от споразумението. Съвместният комитет по ВИТС може да реши, че дадено тълкуване става задължително от определена дата. </w:t>
      </w:r>
    </w:p>
    <w:p>
      <w:pPr>
        <w:pStyle w:val="NumPar1"/>
        <w:numPr>
          <w:ilvl w:val="0"/>
          <w:numId w:val="5"/>
        </w:numPr>
        <w:rPr>
          <w:noProof/>
        </w:rPr>
      </w:pPr>
      <w:r>
        <w:rPr>
          <w:noProof/>
        </w:rPr>
        <w:t>Тълкуванията, приети от Съвместния комитет по ВИТС, незабавно се оповестяват публично и се изпращат на страните и на председателите на Съда и на Апелативния съд, които осигуряват тяхното съобщаване на съставите на Съда и на Апелативния съд, сформирани съгласно раздел Е (Разрешаване на инвестиционни спорове между инвеститори и държави) от осма глава (Инвестиции) от споразумението.</w:t>
      </w:r>
      <w:r>
        <w:rPr>
          <w:noProof/>
          <w:color w:val="1F4E79"/>
        </w:rPr>
        <w:t xml:space="preserve"> 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97004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E001E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56AF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6B613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C2C1D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1CCBF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CCE5B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C0E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4 12:23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A2051CD-2A4A-40EE-BB05-B7CEBF9533FF"/>
    <w:docVar w:name="LW_COVERPAGE_TYPE" w:val="1"/>
    <w:docVar w:name="LW_CROSSREFERENCE" w:val="&lt;UNUSED&gt;"/>
    <w:docVar w:name="LW_DocType" w:val="ANNEX"/>
    <w:docVar w:name="LW_EMISSION" w:val="11.10.2019"/>
    <w:docVar w:name="LW_EMISSION_ISODATE" w:val="2019-10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7?\u1086? \u1042?\u1048?\u1058?\u1057?, \u1089?\u1098?\u1079?\u1076?\u1072?\u1076?\u1077?\u1085? \u1087?\u1086? \u1089?\u1080?\u1083?\u1072?\u1090?\u1072? \u1085?\u1072? \u1042?\u1089?\u1077?\u1086?\u1073?\u1093?\u1074?\u1072?\u1090?\u1085?\u1086?\u1090?\u1086? \u1080?\u1082?\u1086?\u1085?\u1086?\u1084?\u1080?\u1095?\u1077?\u1089?\u1082?\u1086? \u1080? \u1090?\u1098?\u1088?\u1075?\u1086?\u1074?\u1089?\u1082?\u1086? \u1089?\u1087?\u1086?\u1088?\u1072?\u1079?\u1091?\u1084?\u1077?\u1085?\u1080?\u1077? (\u1042?\u1048?\u1058?\u1057?) \u1084?\u1077?\u1078?\u1076?\u1091? \u1050?\u1072?\u1085?\u1072?\u1076?\u1072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077? \u1086?\u1090?\u1085?\u1086?\u1089?\u1085?\u1086? \u1087?\u1088?\u1086?\u1094?\u1077?\u1076?\u1091?\u1088?\u1072?\u1090?\u1072? \u1079?\u1072? \u1087?\u1088?\u1080?\u1077?\u1084?\u1072?\u1085?\u1077? \u1085?\u1072? \u1090?\u1098?\u1083?\u1082?\u1091?\u1074?\u1072?\u1085?\u1080?\u1103? \u1074? \u1089?\u1098?\u1086?\u1090?\u1074?\u1077?\u1090?\u1089?\u1090?\u1074?\u1080?\u1077? \u1089? \u1095?\u1083?\u1077?\u1085? 8.31, \u1087?\u1072?\u1088?\u1072?\u1075?\u1088?\u1072?\u1092? 3 \u1080? \u1095?\u1083?\u1077?\u1085? 8.44, \u1087?\u1072?\u1088?\u1072?\u1075?\u1088?\u1072?\u1092? 3, \u1073?\u1091?\u1082?\u1074?\u1072? \u1072?) \u1086?\u1090? \u1042?\u1048?\u1058?\u1057? \u1082?\u1072?\u1090?\u1086? \u1087?\u1088?\u1080?\u1083?\u1086?\u1078?\u1077?\u1085?\u1080?\u1077? \u1082?\u1098?\u1084? \u1087?\u1088?\u1086?\u1094?\u1077?\u1076?\u1091?\u1088?\u1085?\u1080?\u1103? \u1084?\u1091? \u1087?\u1088?\u1072?\u1074?\u1080?\u1083?\u1085?\u1080?\u108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7?\u1086? \u1042?\u1048?\u1058?\u1057?, \u1089?\u1098?\u1079?\u1076?\u1072?\u1076?\u1077?\u1085? \u1087?\u1086? \u1089?\u1080?\u1083?\u1072?\u1090?\u1072? \u1085?\u1072? \u1042?\u1089?\u1077?\u1086?\u1073?\u1093?\u1074?\u1072?\u1090?\u1085?\u1086?\u1090?\u1086? \u1080?\u1082?\u1086?\u1085?\u1086?\u1084?\u1080?\u1095?\u1077?\u1089?\u1082?\u1086? \u1080? \u1090?\u1098?\u1088?\u1075?\u1086?\u1074?\u1089?\u1082?\u1086? \u1089?\u1087?\u1086?\u1088?\u1072?\u1079?\u1091?\u1084?\u1077?\u1085?\u1080?\u1077? (\u1042?\u1048?\u1058?\u1057?) \u1084?\u1077?\u1078?\u1076?\u1091? \u1050?\u1072?\u1085?\u1072?\u1076?\u1072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077? \u1086?\u1090?\u1085?\u1086?\u1089?\u1085?\u1086? \u1087?\u1088?\u1086?\u1094?\u1077?\u1076?\u1091?\u1088?\u1072?\u1090?\u1072? \u1079?\u1072? \u1087?\u1088?\u1080?\u1077?\u1084?\u1072?\u1085?\u1077? \u1085?\u1072? \u1090?\u1098?\u1083?\u1082?\u1091?\u1074?\u1072?\u1085?\u1080?\u1103? \u1074? \u1089?\u1098?\u1086?\u1090?\u1074?\u1077?\u1090?\u1089?\u1090?\u1074?\u1080?\u1077? \u1089? \u1095?\u1083?\u1077?\u1085? 8.31, \u1087?\u1072?\u1088?\u1072?\u1075?\u1088?\u1072?\u1092? 3 \u1080? \u1095?\u1083?\u1077?\u1085? 8.44, \u1087?\u1072?\u1088?\u1072?\u1075?\u1088?\u1072?\u1092? 3, \u1073?\u1091?\u1082?\u1074?\u1072? \u1072?) \u1086?\u1090? \u1042?\u1048?\u1058?\u1057? \u1082?\u1072?\u1090?\u1086? \u1087?\u1088?\u1080?\u1083?\u1086?\u1078?\u1077?\u1085?\u1080?\u1077? \u1082?\u1098?\u1084? \u1087?\u1088?\u1086?\u1094?\u1077?\u1076?\u1091?\u1088?\u1085?\u1080?\u1103? \u1084?\u1091? \u1087?\u1088?\u1072?\u1074?\u1080?\u1083?\u1085?\u1080?\u108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1016</Words>
  <Characters>6011</Characters>
  <Application>Microsoft Office Word</Application>
  <DocSecurity>0</DocSecurity>
  <Lines>122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2019-08-30T14:05:00Z</dcterms:created>
  <dcterms:modified xsi:type="dcterms:W3CDTF">2019-10-04T10:23:00Z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