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DA5257-9A6D-40B1-9B82-E11BF3CBA761" style="width:450.8pt;height:406.35pt">
            <v:imagedata r:id="rId8" o:title=""/>
          </v:shape>
        </w:pict>
      </w:r>
    </w:p>
    <w:p>
      <w:pPr>
        <w:jc w:val="cente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highlight w:val="yellow"/>
        </w:rPr>
      </w:pPr>
      <w:r>
        <w:rPr>
          <w:noProof/>
        </w:rPr>
        <w:t>Настоящото предложение се отнася до решението за установяване на позицията, която трябва да се заеме от името на Съюза в рамките на Комитета по услугите и инвестициите, създаден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във връзка с предвиденото приемане на решение относно правила за медиация, които да се използват от страните по инвестиционни спорове.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Всеобхватното икономическо и търговско споразумение (ВИТС) между Канада, от една страна, и Европейския съюз и неговите държави членки, от друга страна</w:t>
      </w:r>
    </w:p>
    <w:p>
      <w:pPr>
        <w:rPr>
          <w:noProof/>
        </w:rPr>
      </w:pPr>
      <w:r>
        <w:rPr>
          <w:noProof/>
        </w:rPr>
        <w:t>Всеобхватното икономическо и търговско споразумение (ВИТС) между Канада, от една страна, и Европейския съюз и неговите държави членки, от друга страна, („споразумението“) има за цел либерализиране и улесняване на търговията и инвестициите, както и насърчаване на по-тесните икономически връзки между Европейския съюз и Канада („страните“). Споразумението беше подписано на 30 октомври 2016 г. и се прилага временно от 21 септември 2017 г.</w:t>
      </w:r>
    </w:p>
    <w:p>
      <w:pPr>
        <w:pStyle w:val="ManualHeading2"/>
        <w:rPr>
          <w:noProof/>
        </w:rPr>
      </w:pPr>
      <w:r>
        <w:t>2.2.</w:t>
      </w:r>
      <w:r>
        <w:tab/>
      </w:r>
      <w:r>
        <w:rPr>
          <w:noProof/>
        </w:rPr>
        <w:t xml:space="preserve">Комитет по услугите и инвестициите </w:t>
      </w:r>
    </w:p>
    <w:p>
      <w:pPr>
        <w:rPr>
          <w:noProof/>
        </w:rPr>
      </w:pPr>
      <w:r>
        <w:rPr>
          <w:noProof/>
        </w:rPr>
        <w:t xml:space="preserve">Комитетът по услугите и инвестициите, който разглежда, наред с другото, въпроси, свързани с трансграничните инвестиции, е създаден съгласно член 26.2, параграф 1, буква б) от споразумението. В съответствие с член 8.44, параграф 1 от споразумението Комитетът по услугите и инвестициите предоставя форум на страните за провеждане на консултации по въпроси, свързани с осма глава (Инвестиции) от споразумението, включително трудности, които е възможно да възникнат при прилагането на осма глава (Инвестиции) от споразумението и евентуални подобрения на осма глава (Инвестиции) от споразумението, по-специално с оглед на опита и новите постижения в рамките на други международни форуми и в съответствие с другите споразумения, в които участват страните. </w:t>
      </w:r>
    </w:p>
    <w:p>
      <w:pPr>
        <w:rPr>
          <w:noProof/>
        </w:rPr>
      </w:pPr>
      <w:r>
        <w:rPr>
          <w:noProof/>
        </w:rPr>
        <w:t>В съответствие с член 26.2, параграф 4 от споразумението, освен ако е предвидено друго съгласно споразумението или ако съпредседателите решат друго, Комитетът по услугите и инвестициите заседава веднъж годишно. По искане на една от страните или на Съвместния комитет по ВИТС могат да бъдат свиквани допълнителни заседания. Комитетът по услугите и инвестициите се председателства съвместно от представители на страните. Той определя графика и дневния ред на своите заседания по взаимно съгласие. Комитетът по услугите и инвестициите може да изготвя и изменя своя собствен процедурен правилник, ако сметне това за целесъобразно. Той може да предлага проекторешения, които да бъдат приемани от Съвместния комитет по ВИТС, или да взема решения, когато това се предвижда в споразумението.</w:t>
      </w:r>
    </w:p>
    <w:p>
      <w:pPr>
        <w:rPr>
          <w:noProof/>
        </w:rPr>
      </w:pPr>
      <w:r>
        <w:rPr>
          <w:noProof/>
        </w:rPr>
        <w:t>В съответствие с правило 10, параграф 2 от Процедурния правилник на Съвместния комитет по ВИТС и на специализираните комитети</w:t>
      </w:r>
      <w:r>
        <w:rPr>
          <w:rStyle w:val="FootnoteReference"/>
          <w:noProof/>
        </w:rPr>
        <w:footnoteReference w:id="1"/>
      </w:r>
      <w:r>
        <w:rPr>
          <w:noProof/>
        </w:rPr>
        <w:t xml:space="preserve">, включително Комитета по </w:t>
      </w:r>
      <w:r>
        <w:rPr>
          <w:noProof/>
        </w:rPr>
        <w:lastRenderedPageBreak/>
        <w:t>услугите и инвестициите, в периода между заседанията Комитетът по услугите и инвестициите може да приема решения или препоръки чрез писмена процедура, ако страните по споразумението вземат решение за това по взаимно съгласие. За тази цел съпредседателите на Комитета по услугите и инвестициите разпращат в съответствие с правило 7 текста на предложението в писмен вид до членовете на Комитета по услугите и инвестициите, като указват срок, в рамките на който членовете трябва да ги осведомят за евентуалните резерви или изменения, които желаят да направят. Приетите предложения се съобщават, в съответствие с правило 7, след изтичането на срока и се записват в протокола от следващото заседание.</w:t>
      </w:r>
    </w:p>
    <w:p>
      <w:pPr>
        <w:pStyle w:val="ManualHeading2"/>
        <w:rPr>
          <w:noProof/>
        </w:rPr>
      </w:pPr>
      <w:r>
        <w:t>2.3.</w:t>
      </w:r>
      <w:r>
        <w:tab/>
      </w:r>
      <w:r>
        <w:rPr>
          <w:noProof/>
        </w:rPr>
        <w:t xml:space="preserve">Предвиденият акт на Комитета по услугите и инвестициите </w:t>
      </w:r>
    </w:p>
    <w:p>
      <w:pPr>
        <w:rPr>
          <w:noProof/>
        </w:rPr>
      </w:pPr>
      <w:r>
        <w:rPr>
          <w:noProof/>
        </w:rPr>
        <w:t>Комитет по услугите и инвестициите трябва да приеме решение относно правилата за медиация, които да се използват от страните по инвестиционни спорове („предвидения акт“).</w:t>
      </w:r>
    </w:p>
    <w:p>
      <w:pPr>
        <w:rPr>
          <w:noProof/>
        </w:rPr>
      </w:pPr>
      <w:r>
        <w:rPr>
          <w:noProof/>
        </w:rPr>
        <w:t>Целта на предвидения акт е изпълнение на споразумението чрез създаване на механизъм за медиация, за да се улесни намирането на решение по взаимно съгласие между страните по инвестиционен спор посредством подробно регламентирана ускорена процедура с помощта на медиатор.</w:t>
      </w:r>
    </w:p>
    <w:p>
      <w:pPr>
        <w:rPr>
          <w:noProof/>
        </w:rPr>
      </w:pPr>
      <w:r>
        <w:rPr>
          <w:noProof/>
        </w:rPr>
        <w:t xml:space="preserve">Предвиденият акт ще бъде обвързващ за страните. </w:t>
      </w:r>
    </w:p>
    <w:p>
      <w:pPr>
        <w:pStyle w:val="ManualHeading1"/>
        <w:rPr>
          <w:noProof/>
        </w:rPr>
      </w:pPr>
      <w:r>
        <w:t>3.</w:t>
      </w:r>
      <w:r>
        <w:tab/>
      </w:r>
      <w:r>
        <w:rPr>
          <w:noProof/>
        </w:rPr>
        <w:t>Позиция, която трябва да се заеме от името на Съюза</w:t>
      </w:r>
    </w:p>
    <w:p>
      <w:pPr>
        <w:rPr>
          <w:noProof/>
        </w:rPr>
      </w:pPr>
      <w:r>
        <w:rPr>
          <w:noProof/>
        </w:rPr>
        <w:t>Както е предвидено в параграф 6, буква е) от Съвместния тълкувателен инструмент относно споразумението, Европейският съюз и неговите държави членки и Канада се споразумяха да започнат незабавно следващия етап от работата по изпълнението на разпоредбите на споразумението относно уреждането на инвестиционни спорове, т.нар. „инвестиционна съдебна система“</w:t>
      </w:r>
      <w:r>
        <w:rPr>
          <w:rStyle w:val="FootnoteReference"/>
          <w:noProof/>
        </w:rPr>
        <w:footnoteReference w:id="2"/>
      </w:r>
      <w:r>
        <w:rPr>
          <w:noProof/>
        </w:rPr>
        <w:t>.</w:t>
      </w:r>
    </w:p>
    <w:p>
      <w:pPr>
        <w:rPr>
          <w:noProof/>
        </w:rPr>
      </w:pPr>
      <w:r>
        <w:rPr>
          <w:noProof/>
        </w:rPr>
        <w:t>В съответствие с член 8.44, параграф 3, буква в) от споразумението, „[с]лед постигане на съгласие между страните и след като бъдат спазени техните съответни вътрешни изисквания и процедури, Комитетът по услугите и инвестициите може да приема правила за медиация, които да се използват от страните по спора съгласно посоченото в член 8.20“.</w:t>
      </w:r>
    </w:p>
    <w:p>
      <w:pPr>
        <w:rPr>
          <w:noProof/>
        </w:rPr>
      </w:pPr>
      <w:r>
        <w:rPr>
          <w:noProof/>
        </w:rPr>
        <w:t>Предвиденият акт изпълнява член 8.44, параграф 3, буква в) от споразумението, като включва подробни правила относно започването на процедурата по медиация (член 3); назначаването на медиатор (член 4); процедурата по медиация (член 5); изпълнението на взаимноприемливо решение (член 6); отношение към уреждането на спора (член 7); сроковете (член 8) и разходите (член 9) за процедурата по медиация. Предвиденият акт ще влезе в сила на датата на влизане в сила на споразумението (член 10).</w:t>
      </w:r>
    </w:p>
    <w:p>
      <w:pPr>
        <w:spacing w:before="0" w:after="240"/>
        <w:rPr>
          <w:noProof/>
        </w:rPr>
      </w:pPr>
      <w:r>
        <w:rPr>
          <w:noProof/>
        </w:rPr>
        <w:t xml:space="preserve">Настоящото предложение е в съответствие с други инициативи за изпълнението на инвестиционната съдебна система по ВИТС. По-конкретно от юни 2018 г. Комисията работи с държавите членки в рамките на комитета „Търговска политика“ (Услуги и инвестиции) на Съвета и с Канада по пакет от четири проекта на решения относно: </w:t>
      </w:r>
    </w:p>
    <w:p>
      <w:pPr>
        <w:pStyle w:val="Tiret0"/>
        <w:numPr>
          <w:ilvl w:val="0"/>
          <w:numId w:val="7"/>
        </w:numPr>
        <w:rPr>
          <w:noProof/>
        </w:rPr>
      </w:pPr>
      <w:r>
        <w:rPr>
          <w:noProof/>
        </w:rPr>
        <w:lastRenderedPageBreak/>
        <w:t xml:space="preserve">правила, с които се установяват административни и организационни въпроси във връзка с работата на Апелативния съд съгласно член 8.28, параграф 7 от споразумението; </w:t>
      </w:r>
    </w:p>
    <w:p>
      <w:pPr>
        <w:pStyle w:val="Tiret0"/>
        <w:rPr>
          <w:noProof/>
        </w:rPr>
      </w:pPr>
      <w:r>
        <w:rPr>
          <w:noProof/>
        </w:rPr>
        <w:t xml:space="preserve">кодекс за поведение на членовете на Съда и Апелативния съд и на медиаторите в съответствие с член 8.44, параграф 2 от споразумението; </w:t>
      </w:r>
    </w:p>
    <w:p>
      <w:pPr>
        <w:pStyle w:val="Tiret0"/>
        <w:rPr>
          <w:noProof/>
        </w:rPr>
      </w:pPr>
      <w:r>
        <w:rPr>
          <w:noProof/>
        </w:rPr>
        <w:t xml:space="preserve">правила за медиация, които да се използват от страните по спора в съответствие с член 8.44, параграф 3, буква в) от споразумението; както и </w:t>
      </w:r>
    </w:p>
    <w:p>
      <w:pPr>
        <w:pStyle w:val="Tiret0"/>
        <w:rPr>
          <w:noProof/>
        </w:rPr>
      </w:pPr>
      <w:r>
        <w:rPr>
          <w:noProof/>
        </w:rPr>
        <w:t>правила относно процедурата за приемане на тълкувания в съответствие с член 8.31, параграф 3 и член 8.44, параграф 3, буква a) от споразумението.</w:t>
      </w:r>
    </w:p>
    <w:p>
      <w:pPr>
        <w:rPr>
          <w:noProof/>
        </w:rPr>
      </w:pPr>
      <w:r>
        <w:rPr>
          <w:noProof/>
        </w:rPr>
        <w:t>Работата по други области на изпълнение на инвестиционната съдебна система продължава. Както е предвидено в параграф 6, буква е) от Съвместния тълкувателен инструмент относно споразумението, „[о]бщата цел е работата да приключи до влизането в сила на ВИТС“.</w:t>
      </w:r>
    </w:p>
    <w:p>
      <w:pPr>
        <w:rPr>
          <w:noProof/>
        </w:rPr>
      </w:pPr>
      <w:r>
        <w:rPr>
          <w:noProof/>
        </w:rPr>
        <w:t>Поради това е целесъобразно да се установи позицията, която трябва да се заеме от името на Съюза в рамките на Комитета по услугите и инвестициите във връзка с предвидения акт, за да се гарантира ефективното изпълнение на споразумението.</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са предвидени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които имат правно действие по силата на международните правни норми, регламентиращи въпросния орган. То включва също така инструменти, които не са правно обвързващи според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t>4.1.2.</w:t>
      </w:r>
      <w:r>
        <w:tab/>
      </w:r>
      <w:r>
        <w:rPr>
          <w:noProof/>
        </w:rPr>
        <w:t>Приложение в настоящия случай</w:t>
      </w:r>
    </w:p>
    <w:p>
      <w:pPr>
        <w:rPr>
          <w:noProof/>
        </w:rPr>
      </w:pPr>
      <w:r>
        <w:rPr>
          <w:noProof/>
        </w:rPr>
        <w:t>Комитетът по услугите и инвестициите е орган, създаден по силата на споразумение, а именно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(„споразумението“).</w:t>
      </w:r>
    </w:p>
    <w:p>
      <w:pPr>
        <w:rPr>
          <w:noProof/>
        </w:rPr>
      </w:pPr>
      <w:r>
        <w:rPr>
          <w:noProof/>
        </w:rPr>
        <w:t xml:space="preserve">Актът, който Комитетът по услугите и инвестициите има за задача да приеме, представлява акт с правно действие. Предвиденият акт ще бъде обвързващ за страните по силата на международното право съгласно предвиденото в член 26.2, параграф 4 от споразумението.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lastRenderedPageBreak/>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настоящия случай</w:t>
      </w:r>
    </w:p>
    <w:p>
      <w:pPr>
        <w:rPr>
          <w:noProof/>
        </w:rPr>
      </w:pPr>
      <w:r>
        <w:rPr>
          <w:noProof/>
        </w:rPr>
        <w:t>Основната цел и съдържание на предвидения акт са свързани с общата търговска политика.</w:t>
      </w:r>
    </w:p>
    <w:p>
      <w:pPr>
        <w:rPr>
          <w:noProof/>
        </w:rPr>
      </w:pPr>
      <w:r>
        <w:rPr>
          <w:noProof/>
        </w:rPr>
        <w:t xml:space="preserve">Поради това материалноправните основания на предложеното решение са член 207, параграф 3 и член 207, параграф 4, първа алинея от ДФЕС. </w:t>
      </w:r>
    </w:p>
    <w:p>
      <w:pPr>
        <w:pStyle w:val="ManualHeading2"/>
        <w:rPr>
          <w:noProof/>
        </w:rPr>
      </w:pPr>
      <w:r>
        <w:t>4.3.</w:t>
      </w:r>
      <w:r>
        <w:tab/>
      </w:r>
      <w:r>
        <w:rPr>
          <w:noProof/>
        </w:rPr>
        <w:t>Заключение</w:t>
      </w:r>
    </w:p>
    <w:p>
      <w:pPr>
        <w:rPr>
          <w:noProof/>
        </w:rPr>
      </w:pPr>
      <w:r>
        <w:rPr>
          <w:noProof/>
        </w:rPr>
        <w:t>Правните основания за предложеното решение следва да бъдат член 207, параграф 3 и член 207, параграф 4 от ДФЕС във връзка с член 218, параграф 9 от него.</w:t>
      </w:r>
    </w:p>
    <w:p>
      <w:pPr>
        <w:pStyle w:val="ManualHeading1"/>
        <w:rPr>
          <w:noProof/>
        </w:rPr>
      </w:pPr>
      <w:r>
        <w:t>5.</w:t>
      </w:r>
      <w:r>
        <w:tab/>
      </w:r>
      <w:r>
        <w:rPr>
          <w:noProof/>
        </w:rPr>
        <w:t>Автентични езици и публикуване на предвидения акт</w:t>
      </w:r>
    </w:p>
    <w:p>
      <w:pPr>
        <w:rPr>
          <w:noProof/>
        </w:rPr>
      </w:pPr>
      <w:r>
        <w:rPr>
          <w:noProof/>
        </w:rPr>
        <w:t>Тъй като актът на Комитета по услугите и инвестициите ще бъде приет за изпълнение на споразумението във връзка с разрешаването на инвестиционни спорове между инвеститори и държави, е целесъобразно той да бъде приет на всички автентични езици на споразумението</w:t>
      </w:r>
      <w:r>
        <w:rPr>
          <w:rStyle w:val="FootnoteReference"/>
          <w:noProof/>
        </w:rPr>
        <w:footnoteReference w:id="4"/>
      </w:r>
      <w:r>
        <w:rPr>
          <w:noProof/>
        </w:rPr>
        <w:t xml:space="preserve"> и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услугите и инвестициите, създаден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във връзка с приемането правила за медиация, които да се използват от страните по инвестиционни спорове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Решение (ЕС) 2017/37 на Съвета</w:t>
      </w:r>
      <w:r>
        <w:rPr>
          <w:rStyle w:val="FootnoteReference"/>
          <w:noProof/>
        </w:rPr>
        <w:footnoteReference w:id="5"/>
      </w:r>
      <w:r>
        <w:rPr>
          <w:noProof/>
        </w:rPr>
        <w:t xml:space="preserve"> се предвижда подписването от името на Европейския съюз на Всеобхватното икономическо и търговско споразумение (ВИТС) между Канада, от една страна, и Европейския съюз и неговите държави членки, от друга страна ( „споразумението“). Споразумението беше подписано на 30 октомври 2016 г.</w:t>
      </w:r>
    </w:p>
    <w:p>
      <w:pPr>
        <w:pStyle w:val="ManualConsidrant"/>
        <w:rPr>
          <w:noProof/>
        </w:rPr>
      </w:pPr>
      <w:r>
        <w:t>(2)</w:t>
      </w:r>
      <w:r>
        <w:tab/>
      </w:r>
      <w:r>
        <w:rPr>
          <w:noProof/>
        </w:rPr>
        <w:t>В Решение (ЕС) 2017/38 на Съвета</w:t>
      </w:r>
      <w:r>
        <w:rPr>
          <w:rStyle w:val="FootnoteReference"/>
          <w:noProof/>
        </w:rPr>
        <w:footnoteReference w:id="6"/>
      </w:r>
      <w:r>
        <w:rPr>
          <w:noProof/>
        </w:rPr>
        <w:t xml:space="preserve"> се предвижда временното прилагане на части от споразумението, включително създаването на Комитета по услугите и инвестициите. Споразумението се прилага временно от 21 септември 2017 г.</w:t>
      </w:r>
    </w:p>
    <w:p>
      <w:pPr>
        <w:pStyle w:val="ManualConsidrant"/>
        <w:rPr>
          <w:noProof/>
        </w:rPr>
      </w:pPr>
      <w:r>
        <w:t>(3)</w:t>
      </w:r>
      <w:r>
        <w:tab/>
      </w:r>
      <w:r>
        <w:rPr>
          <w:noProof/>
        </w:rPr>
        <w:t>В съответствие с член 26.2, параграф 4 от споразумението Комитетът по услугите и инвестициите може да взема решения, когато това се предвижда в споразумението.</w:t>
      </w:r>
    </w:p>
    <w:p>
      <w:pPr>
        <w:pStyle w:val="ManualConsidrant"/>
        <w:rPr>
          <w:noProof/>
        </w:rPr>
      </w:pPr>
      <w:r>
        <w:t>(4)</w:t>
      </w:r>
      <w:r>
        <w:tab/>
      </w:r>
      <w:r>
        <w:rPr>
          <w:noProof/>
        </w:rPr>
        <w:t>В съответствие с член 8.44, параграф 3, буква в) от споразумението Комитетът по услугите и инвестициите трябва да приеме решение относно правилата за медиация, които да се използват от страните по инвестиционни спорове.</w:t>
      </w:r>
    </w:p>
    <w:p>
      <w:pPr>
        <w:pStyle w:val="ManualConsidrant"/>
        <w:rPr>
          <w:noProof/>
        </w:rPr>
      </w:pPr>
      <w:r>
        <w:t>(5)</w:t>
      </w:r>
      <w:r>
        <w:tab/>
      </w:r>
      <w:r>
        <w:rPr>
          <w:noProof/>
        </w:rPr>
        <w:t>Поради това е целесъобразно да се установи позицията, която трябва да се заеме от името на Съюза в рамките на Комитета по услугите и инвестициите, въз основа на приложения проект на решение на Комитета по услугите и инвестициите във връзка с приемането на правила за медиация, за да се гарантира ефективното изпълнение на споразумението,</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Европейския съюз в рамките на Комитета по услугите и инвестициите във връзка с приемането на правила за медиация, които да се използват от страните по инвестиционни спорове, се основава на проекта на решение на Комитета по услугите и инвестициите, приложен към настоящото решение на Съвета.</w:t>
      </w:r>
    </w:p>
    <w:p>
      <w:pPr>
        <w:pStyle w:val="Titrearticle"/>
        <w:rPr>
          <w:noProof/>
        </w:rPr>
      </w:pPr>
      <w:r>
        <w:rPr>
          <w:noProof/>
        </w:rPr>
        <w:t>Член 2</w:t>
      </w:r>
    </w:p>
    <w:p>
      <w:pPr>
        <w:pStyle w:val="ManualNumPar1"/>
        <w:rPr>
          <w:noProof/>
        </w:rPr>
      </w:pPr>
      <w:r>
        <w:t>1.</w:t>
      </w:r>
      <w:r>
        <w:tab/>
      </w:r>
      <w:r>
        <w:rPr>
          <w:noProof/>
        </w:rPr>
        <w:t xml:space="preserve">Решението на Комитета по услугите и инвестициите се приема на всички автентични езици на споразумението. </w:t>
      </w:r>
    </w:p>
    <w:p>
      <w:pPr>
        <w:pStyle w:val="ManualNumPar1"/>
        <w:rPr>
          <w:noProof/>
        </w:rPr>
      </w:pPr>
      <w:r>
        <w:t>2.</w:t>
      </w:r>
      <w:r>
        <w:tab/>
      </w:r>
      <w:r>
        <w:rPr>
          <w:noProof/>
        </w:rPr>
        <w:t>Решението на Комитета по услугите и инвестициите се публикува в</w:t>
      </w:r>
      <w:r>
        <w:rPr>
          <w:i/>
          <w:noProof/>
        </w:rPr>
        <w:t xml:space="preserve"> 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 001/2018 на Съвместния комитет по ВИТС от 26 септември 2018 г. за приемане на неговия процедурен правилник и на процедурния правилник на специализираните комитети (ОВ L 190, 27.7.2018 г., стр. 13), който е на разположение на уебсайта на ГД „Търговия“: </w:t>
      </w:r>
      <w:hyperlink r:id="rId1" w:history="1">
        <w:r>
          <w:rPr>
            <w:rStyle w:val="Hyperlink"/>
          </w:rPr>
          <w:t>http://trade.ec.europa.eu/doclib/docs/2019/february/tradoc_157677.pdf</w:t>
        </w:r>
      </w:hyperlink>
      <w:r>
        <w:t>.</w:t>
      </w:r>
    </w:p>
  </w:footnote>
  <w:footnote w:id="2">
    <w:p>
      <w:pPr>
        <w:pStyle w:val="FootnoteText"/>
      </w:pPr>
      <w:r>
        <w:rPr>
          <w:rStyle w:val="FootnoteReference"/>
        </w:rPr>
        <w:footnoteRef/>
      </w:r>
      <w:r>
        <w:tab/>
        <w:t>Съвместен тълкувателен инструмент относно Всеобхватното икономическо и търговско споразумение (ВИТС) между Канада и Европейския съюз и неговите държави членки (OВ L 11, 14.1.2017 г., стр. 3).</w:t>
      </w:r>
    </w:p>
  </w:footnote>
  <w:footnote w:id="3">
    <w:p>
      <w:pPr>
        <w:pStyle w:val="FootnoteText"/>
      </w:pPr>
      <w:r>
        <w:rPr>
          <w:rStyle w:val="FootnoteReference"/>
        </w:rPr>
        <w:footnoteRef/>
      </w:r>
      <w:r>
        <w:tab/>
        <w:t xml:space="preserve">Решение на Съда от 7 октомври 2014 г., Германия/Съвет, C-399/12, ECLI:EU:C:2014:2258, т. 61—64. </w:t>
      </w:r>
    </w:p>
  </w:footnote>
  <w:footnote w:id="4">
    <w:p>
      <w:pPr>
        <w:pStyle w:val="FootnoteText"/>
      </w:pPr>
      <w:r>
        <w:rPr>
          <w:rStyle w:val="FootnoteReference"/>
        </w:rPr>
        <w:footnoteRef/>
      </w:r>
      <w:r>
        <w:tab/>
        <w:t>Съгласно член 30.11 (Автентични текстове) от споразумението то е 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тези езици са еднакво автентични.</w:t>
      </w:r>
    </w:p>
  </w:footnote>
  <w:footnote w:id="5">
    <w:p>
      <w:pPr>
        <w:pStyle w:val="FootnoteText"/>
      </w:pPr>
      <w:r>
        <w:rPr>
          <w:rStyle w:val="FootnoteReference"/>
        </w:rPr>
        <w:footnoteRef/>
      </w:r>
      <w:r>
        <w:tab/>
        <w:t>Решение (ЕС) 2017/37 на Съвета от 28 октомври 2016 г. за подписване, от името на Европейския съюз, на Всеобхватното икономическо и търговско споразумение (ВИТС) между Канада, от една страна, и Европейския съюз и неговите държави членки, от друга страна (ОВ L 11, 14.1.2017 г., стр. 1).</w:t>
      </w:r>
    </w:p>
  </w:footnote>
  <w:footnote w:id="6">
    <w:p>
      <w:pPr>
        <w:pStyle w:val="FootnoteText"/>
      </w:pPr>
      <w:r>
        <w:rPr>
          <w:rStyle w:val="FootnoteReference"/>
        </w:rPr>
        <w:footnoteRef/>
      </w:r>
      <w:r>
        <w:tab/>
        <w:t>Решение (ЕС) 2017/38 на Съвета от 28 октомври 2016 г. за временно прилагане на Всеобхватното икономическо и търговско споразумение (ВИТС) между Канада, от една страна, и Европейския съюз и неговите държави членки, от друга страна (ОВ L 11, 14.1.2017 г., стр. 1080).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96D6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605D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8612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4895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E2EB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2E6E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80A6EC"/>
    <w:lvl w:ilvl="0">
      <w:start w:val="1"/>
      <w:numFmt w:val="decimal"/>
      <w:pStyle w:val="ListNumber"/>
      <w:lvlText w:val="%1."/>
      <w:lvlJc w:val="left"/>
      <w:pPr>
        <w:tabs>
          <w:tab w:val="num" w:pos="360"/>
        </w:tabs>
        <w:ind w:left="360" w:hanging="360"/>
      </w:pPr>
    </w:lvl>
  </w:abstractNum>
  <w:abstractNum w:abstractNumId="7">
    <w:nsid w:val="FFFFFF89"/>
    <w:multiLevelType w:val="singleLevel"/>
    <w:tmpl w:val="5B4CCC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2:27: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4DA5257-9A6D-40B1-9B82-E11BF3CBA761"/>
    <w:docVar w:name="LW_COVERPAGE_TYPE" w:val="1"/>
    <w:docVar w:name="LW_CROSSREFERENCE" w:val="&lt;UNUSED&gt;"/>
    <w:docVar w:name="LW_DocType" w:val="COM"/>
    <w:docVar w:name="LW_EMISSION" w:val="11.10.2019"/>
    <w:docVar w:name="LW_EMISSION_ISODATE" w:val="2019-10-1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9"/>
    <w:docVar w:name="LW_REF.II.NEW.CP_YEAR" w:val="2019"/>
    <w:docVar w:name="LW_REF.INST.NEW" w:val="COM"/>
    <w:docVar w:name="LW_REF.INST.NEW_ADOPTED" w:val="final"/>
    <w:docVar w:name="LW_REF.INST.NEW_TEXT" w:val="(2019)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1?\u1089?\u1083?\u1091?\u1075?\u1080?\u1090?\u1077? \u1080? \u1080?\u1085?\u1074?\u1077?\u1089?\u1090?\u1080?\u1094?\u1080?\u1080?\u1090?\u107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42?\u1048?\u1058?\u105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74?\u1098?\u1074? \u1074?\u1088?\u1098?\u1079?\u1082?\u1072? \u1089? \u1087?\u1088?\u1080?\u1077?\u1084?\u1072?\u1085?\u1077?\u1090?\u1086? \u1087?\u1088?\u1072?\u1074?\u1080?\u1083?\u1072? \u1079?\u1072? \u1084?\u1077?\u1076?\u1080?\u1072?\u1094?\u1080?\u1103?, \u1082?\u1086?\u1080?\u1090?\u1086? \u1076?\u1072? \u1089?\u1077? \u1080?\u1079?\u1087?\u1086?\u1083?\u1079?\u1074?\u1072?\u1090? \u1086?\u1090? \u1089?\u1090?\u1088?\u1072?\u1085?\u1080?\u1090?\u1077? \u1087?\u1086? \u1080?\u1085?\u1074?\u1077?\u1089?\u1090?\u1080?\u1094?\u1080?\u1086?\u1085?\u1085?\u1080? \u1089?\u1087?\u1086?\u1088?\u1086?\u1074?\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109127797">
      <w:bodyDiv w:val="1"/>
      <w:marLeft w:val="0"/>
      <w:marRight w:val="0"/>
      <w:marTop w:val="0"/>
      <w:marBottom w:val="0"/>
      <w:divBdr>
        <w:top w:val="none" w:sz="0" w:space="0" w:color="auto"/>
        <w:left w:val="none" w:sz="0" w:space="0" w:color="auto"/>
        <w:bottom w:val="none" w:sz="0" w:space="0" w:color="auto"/>
        <w:right w:val="none" w:sz="0" w:space="0" w:color="auto"/>
      </w:divBdr>
    </w:div>
    <w:div w:id="202914098">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 w:id="1818063563">
      <w:bodyDiv w:val="1"/>
      <w:marLeft w:val="0"/>
      <w:marRight w:val="0"/>
      <w:marTop w:val="0"/>
      <w:marBottom w:val="0"/>
      <w:divBdr>
        <w:top w:val="none" w:sz="0" w:space="0" w:color="auto"/>
        <w:left w:val="none" w:sz="0" w:space="0" w:color="auto"/>
        <w:bottom w:val="none" w:sz="0" w:space="0" w:color="auto"/>
        <w:right w:val="none" w:sz="0" w:space="0" w:color="auto"/>
      </w:divBdr>
    </w:div>
    <w:div w:id="191157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9/february/tradoc_15767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1856</Words>
  <Characters>10601</Characters>
  <Application>Microsoft Office Word</Application>
  <DocSecurity>0</DocSecurity>
  <Lines>200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2019-08-30T14:12:00Z</dcterms:created>
  <dcterms:modified xsi:type="dcterms:W3CDTF">2019-10-04T10:27:00Z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