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4E4B6C8-25B0-4886-BF4C-9510866F8B21" style="width:450.8pt;height:520.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337"/>
        <w:gridCol w:w="4500"/>
        <w:gridCol w:w="3250"/>
      </w:tblGrid>
      <w:tr>
        <w:trPr>
          <w:trHeight w:val="63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Правило №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Идентификационен номер на документа</w:t>
            </w:r>
            <w:r>
              <w:rPr>
                <w:rStyle w:val="FootnoteReference"/>
                <w:b/>
                <w:bCs/>
                <w:noProof/>
                <w:sz w:val="20"/>
                <w:szCs w:val="20"/>
              </w:rPr>
              <w:footnoteReference w:id="1"/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 към първоначалната серия от изменения на Правило № 0 на ООН (IWVTA)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  <w:szCs w:val="20"/>
              </w:rPr>
              <w:t xml:space="preserve">ECE/TRANS/WP.29/2019/74 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1 към серия 01 на Правило № 0 на ООН (IWVTA)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</w:rPr>
            </w:pPr>
            <w:r>
              <w:rPr>
                <w:noProof/>
                <w:sz w:val="20"/>
                <w:szCs w:val="20"/>
              </w:rPr>
              <w:t>ECE/TRANS/WP.29/2019/75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нова серия от изменения 02 на Правило № 0 на ООН (IWVTA)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ECE/TRANS/WP.29/2019/76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12 към серия от изменения 06 на Правило № 16 на ООН (обезопасителни колани)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ECE/TRANS/WP.29/2019/104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5 към серия от изменения 07 на Правило № 16 на ООН (обезопасителни колани)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ECE/TRANS/WP.29/2019/105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поправка 1 към серия от изменения 08 на Правило № 17 на ООН (якост на седалките)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ECE/TRANS/WP.29/2019/115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поправка 1 към серия от изменения 09 на Правило № 17 на ООН (якост на седалките)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ECE/TRANS/WP.29/2019/116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4 към серия от изменения 01 на Правило № 21 на ООН (вътрешно оборудване)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ECE/TRANS/WP.29/2019/106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5 към серия от изменения 03 на Правило № 29 на ООН (кабини на товарните превозни средства)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ECE/TRANS/WP.29/2019/107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9 към серия от изменения 01 на Правило № 43 на ООН (безопасно остъкляване)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ECE/TRANS/WP.29/2019/95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17 към серия от изменения 04 на правило № 44 на ООН (системи за обезопасяване на деца)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ECE/TRANS/WP.29/2019/108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13 към серия от изменения 06 на Правило № 48 на ООН (монтиране на устройства за осветяване и светлинна сигнализация)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ECE/TRANS/WP.29/2019/84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нова серия от изменения 03 на Правило № 53 на ООН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ECE/TRANS/WP.29/2019/80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3 към серия от изменения 02 на Правило № 53 на ООН (монтиране на устройства за осветяване и светлинна сигнализация за превозните средства от категория L3)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ECE/TRANS/WP.29/2019/85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21 към серия от изменения 01 на Правило № 53 на ООН (монтиране на устройства за осветяване и светлинна сигнализация за превозните средства от категория L3)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ECE/TRANS/WP.29/2019/86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8 към серия от изменения 01 на Правило № 55 на ООН (механични теглително-прикачни устройства)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ECE/TRANS/WP.29/2019/96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1 към серия от изменения 03 на Правило № 58 на ООН (задна нискоразположена защита)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ECE/TRANS/WP.29/2019/97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серия от изменения 03 на Правило № 67 на ООН (превозни средства, използващи втечнени нефтени газове)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ECE/TRANS/WP.29/2019/94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2 към серия от изменения 02 на Правило № 67 на ООН (превозни средства, използващи втечнени нефтени газове)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ECE/TRANS/WP.29/2019/98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нова серия от изменения 02 на Правило № 74 на ООН (монтиране на устройства за осветяване и светлинна сигнализация за мотопеди)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ECE/TRANS/WP.29/2019/79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11 към серия от изменения 01 на Правило № 74 на ООН (монтиране на устройства за осветяване и светлинна сигнализация за мотопеди)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ECE/TRANS/WP.29/2019/87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серия от изменения 04 на Правило № 80 на ООН (якост на седалките и техните закрепвания (автобуси))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ECE/TRANS/WP.29/2019/103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10 към серия от изменения 07 на Правило № 83 на ООН (емисии от превозни средства от категории M1 и N1)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ECE/TRANS/WP.29/2019/127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10 към Правило № 85 на ООН (измерване на полезната (ефективната) мощност и на 30-минутната мощност)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ECE/TRANS/WP.29/2019/112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2 към серия от изменения 01 на Правило № 86 на ООН (монтиране на устройства за осветяване и светлинна сигнализация за селскостопански превозни средства)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ECE/TRANS/WP.29/2019/88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 към серия от изменения 02 на Правило № 98 на ООН 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(фарове с газоразрядни светлинни източници)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ECE/TRANS/WP.29/2019/89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8 към серия от изменения 06 на Правило № 107 на ООН (превозни средства от категории M2 и M3)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ECE/TRANS/WP.29/2019/99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7 към серия от изменения 07 на Правило № 107 на ООН (превозни средства от категории M2 и M3)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ECE/TRANS/WP.29/2019/100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2 към серия от изменения 08 на Правило № 107 на ООН (превозни средства от категории M2 и M3)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ECE/TRANS/WP.29/2019/101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 към серия от изменения 02 на Правило № 112 на ООН (фарове, излъчващи асиметрична къса светлина)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ECE/TRANS/WP.29/2019/90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 към серия от изменения 03 на Правило № 113 на ООН (фарове, излъчващи симетрична къса светлина)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ECE/TRANS/WP.29/2019/91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9 към Правило № 115 на ООН (уредби за дооборудване за ВНГ и СПГ)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ECE/TRANS/WP.29/2019/113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7 към Правило № 116 на ООН (системи против кражба и алармени системи)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ECE/TRANS/WP.29/2019/102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 към серия от изменения 02 на Правило № 123 на ООН (адаптиращи се системи за предно осветяване (АСПО)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ECE/TRANS/WP.29/2019/92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3 към серия от изменения 03 на Правило № 129 на ООН (усъвършенствани системи за обезопасяване на деца)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ECE/TRANS/WP.29/2019/109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2 към първоначалната версия на Правило № 135 на ООН (страничен удар в стълб)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ECE/TRANS/WP.29/2019/110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2 към серия от изменения 01 на Правило № 135 на ООН (страничен удар в стълб)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ECE/TRANS/WP.29/2019/111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 към първоначалната версия на Правило № [148] на ООН (устройства за светлинна сигнализация)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ECE/TRANS/WP.29/2019/81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 към първоначалната версия на Правило № [149] на ООН (устройства за осветяване на пътя)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ECE/TRANS/WP.29/2019/82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2 към първоначалната версия на Правило № [149] на ООН (устройства за осветяване на пътя) 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ECE/TRANS/WP.29/2019/125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1 към първоначалната версия на Правило № [150] на ООН (светлоотражатели) 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ECE/TRANS/WP.29/2019/83</w:t>
            </w:r>
          </w:p>
        </w:tc>
      </w:tr>
    </w:tbl>
    <w:p>
      <w:pPr>
        <w:pStyle w:val="Default"/>
        <w:rPr>
          <w:rFonts w:eastAsia="MS Mincho"/>
          <w:noProof/>
          <w:color w:val="auto"/>
          <w:sz w:val="20"/>
          <w:szCs w:val="20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ГТП №</w:t>
            </w:r>
          </w:p>
        </w:tc>
        <w:tc>
          <w:tcPr>
            <w:tcW w:w="4678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2977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Идентификационен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изменение 4 на ГТП № 2 на ООН (относно процедурата за измерване за двуколесните мотоциклети, оборудвани с двигател с принудително запалване или с двигател със запалване чрез сгъстяване, с оглед на емисиите на газообразни замърсители, емисиите на CO2 и разхода на гориво)  </w:t>
            </w:r>
          </w:p>
          <w:p>
            <w:pPr>
              <w:pStyle w:val="SingleTxtG"/>
              <w:ind w:left="147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Технически доклад за изготвянето на изменение 4 на ГТП № 2 на ООН (относно процедурата за измерване за двуколесните мотоциклети, оборудвани с двигател с принудително запалване или с двигател със запалване чрез сгъстяване, с оглед на емисиите на газообразни замърсители, емисиите на CO2 и разхода на гориво) </w:t>
            </w:r>
          </w:p>
          <w:p>
            <w:pPr>
              <w:pStyle w:val="SingleTxtG"/>
              <w:ind w:left="147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Default"/>
              <w:rPr>
                <w:noProof/>
                <w:sz w:val="20"/>
              </w:rPr>
            </w:pPr>
            <w:r>
              <w:rPr>
                <w:noProof/>
                <w:sz w:val="20"/>
                <w:szCs w:val="20"/>
              </w:rPr>
              <w:t xml:space="preserve">Разрешение за изготвяне на изменение 4 на глобалното техническо правило 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ECE/TRANS/WP.29/2019/121</w:t>
            </w:r>
          </w:p>
          <w:p>
            <w:pPr>
              <w:rPr>
                <w:noProof/>
                <w:sz w:val="20"/>
                <w:szCs w:val="20"/>
              </w:rPr>
            </w:pPr>
          </w:p>
          <w:p>
            <w:pPr>
              <w:rPr>
                <w:noProof/>
                <w:sz w:val="20"/>
                <w:szCs w:val="20"/>
              </w:rPr>
            </w:pPr>
          </w:p>
          <w:p>
            <w:pPr>
              <w:rPr>
                <w:noProof/>
                <w:sz w:val="20"/>
                <w:szCs w:val="20"/>
              </w:rPr>
            </w:pPr>
          </w:p>
          <w:p>
            <w:pPr>
              <w:rPr>
                <w:noProof/>
                <w:sz w:val="20"/>
                <w:szCs w:val="20"/>
              </w:rPr>
            </w:pPr>
          </w:p>
          <w:p>
            <w:pPr>
              <w:rPr>
                <w:noProof/>
                <w:sz w:val="20"/>
                <w:szCs w:val="20"/>
              </w:rPr>
            </w:pPr>
          </w:p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ECE/TRANS/WP.29/2019/122</w:t>
            </w:r>
          </w:p>
          <w:p>
            <w:pPr>
              <w:rPr>
                <w:noProof/>
                <w:sz w:val="20"/>
                <w:szCs w:val="20"/>
              </w:rPr>
            </w:pPr>
          </w:p>
          <w:p>
            <w:pPr>
              <w:rPr>
                <w:noProof/>
                <w:sz w:val="20"/>
                <w:szCs w:val="20"/>
              </w:rPr>
            </w:pPr>
          </w:p>
          <w:p>
            <w:pPr>
              <w:rPr>
                <w:noProof/>
                <w:sz w:val="20"/>
                <w:szCs w:val="20"/>
              </w:rPr>
            </w:pPr>
          </w:p>
          <w:p>
            <w:pPr>
              <w:rPr>
                <w:noProof/>
                <w:sz w:val="20"/>
                <w:szCs w:val="20"/>
              </w:rPr>
            </w:pPr>
          </w:p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ECE/TRANS/WP.29/AC.3/36/Rev.1</w:t>
            </w:r>
          </w:p>
        </w:tc>
      </w:tr>
    </w:tbl>
    <w:p>
      <w:pPr>
        <w:pStyle w:val="Default"/>
        <w:rPr>
          <w:rFonts w:eastAsia="MS Mincho"/>
          <w:noProof/>
          <w:color w:val="auto"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Резолюция №</w:t>
            </w:r>
          </w:p>
        </w:tc>
        <w:tc>
          <w:tcPr>
            <w:tcW w:w="4678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2977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Идентификационен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R.E.3</w:t>
            </w:r>
          </w:p>
        </w:tc>
        <w:tc>
          <w:tcPr>
            <w:tcW w:w="4678" w:type="dxa"/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изменение на Консолидираната резолюция за конструкцията на превозните средства (R.E.3)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ECE/TRANS/WP.29/2019/117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R.E.3</w:t>
            </w:r>
          </w:p>
        </w:tc>
        <w:tc>
          <w:tcPr>
            <w:tcW w:w="4678" w:type="dxa"/>
            <w:shd w:val="clear" w:color="auto" w:fill="auto"/>
          </w:tcPr>
          <w:p>
            <w:pPr>
              <w:pStyle w:val="Default"/>
              <w:rPr>
                <w:rFonts w:eastAsiaTheme="minorHAnsi"/>
                <w:noProof/>
                <w:color w:val="auto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изменение на приложение IV към Консолидираната резолюция за конструкцията на превозните средства (R.E.3) 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ECE/TRANS/WP.29/2019/118,</w:t>
            </w:r>
          </w:p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WP.29-179-06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R.E.5</w:t>
            </w:r>
          </w:p>
        </w:tc>
        <w:tc>
          <w:tcPr>
            <w:tcW w:w="4678" w:type="dxa"/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изменение 4 на Консолидираната резолюция относно общата спецификация на категориите светлинни източници (R.E.5) 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ECE/TRANS/WP.29/2019/126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Обща резолюция № 1</w:t>
            </w:r>
          </w:p>
        </w:tc>
        <w:tc>
          <w:tcPr>
            <w:tcW w:w="4678" w:type="dxa"/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изменение 2 на Обща резолюция № 1 — проект на добавка 3  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ECE/TRANS/WP.29/2019/119</w:t>
            </w:r>
          </w:p>
        </w:tc>
      </w:tr>
    </w:tbl>
    <w:p>
      <w:pPr>
        <w:rPr>
          <w:noProof/>
          <w:sz w:val="20"/>
          <w:szCs w:val="20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Други</w:t>
            </w:r>
          </w:p>
        </w:tc>
        <w:tc>
          <w:tcPr>
            <w:tcW w:w="4678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2977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Идентификационен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разрешение за изготвяне на изменение на ГТП № 6 на ООН 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ECE/TRANS/WP.29/2019/123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0"/>
              </w:rPr>
              <w:t>Предложение за преработка 1 на Разрешение за изготвяне на ново ГТП на ООН относно определянето на мощността на електрическите превозни средства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ECE/TRANS/WP.29/2019/124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ab/>
        <w:t>Всички посочени в таблицата документи могат да бъдат намерени на следния адрес:</w:t>
      </w:r>
      <w:r>
        <w:rPr>
          <w:sz w:val="18"/>
        </w:rPr>
        <w:t xml:space="preserve"> </w:t>
      </w:r>
    </w:p>
    <w:p>
      <w:pPr>
        <w:pStyle w:val="FootnoteText"/>
        <w:rPr>
          <w:sz w:val="18"/>
        </w:rPr>
      </w:pPr>
      <w:hyperlink r:id="rId1" w:history="1">
        <w:r>
          <w:rPr>
            <w:rStyle w:val="Hyperlink"/>
            <w:sz w:val="18"/>
          </w:rPr>
          <w:t>http://www.unece.org/trans/main/wp29/wp29wgs/wp29gen/gen2019.html</w:t>
        </w:r>
      </w:hyperlink>
    </w:p>
    <w:p>
      <w:pPr>
        <w:pStyle w:val="FootnoteText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942D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C83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D4D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2B037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B94DC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76168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3A6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40C62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4"/>
  </w:num>
  <w:num w:numId="13">
    <w:abstractNumId w:val="22"/>
  </w:num>
  <w:num w:numId="14">
    <w:abstractNumId w:val="13"/>
  </w:num>
  <w:num w:numId="15">
    <w:abstractNumId w:val="15"/>
  </w:num>
  <w:num w:numId="16">
    <w:abstractNumId w:val="11"/>
  </w:num>
  <w:num w:numId="17">
    <w:abstractNumId w:val="21"/>
  </w:num>
  <w:num w:numId="18">
    <w:abstractNumId w:val="10"/>
  </w:num>
  <w:num w:numId="19">
    <w:abstractNumId w:val="16"/>
  </w:num>
  <w:num w:numId="20">
    <w:abstractNumId w:val="18"/>
  </w:num>
  <w:num w:numId="21">
    <w:abstractNumId w:val="19"/>
  </w:num>
  <w:num w:numId="22">
    <w:abstractNumId w:val="12"/>
  </w:num>
  <w:num w:numId="23">
    <w:abstractNumId w:val="17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11 14:10:0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4E4B6C8-25B0-4886-BF4C-9510866F8B21"/>
    <w:docVar w:name="LW_COVERPAGE_TYPE" w:val="1"/>
    <w:docVar w:name="LW_CROSSREFERENCE" w:val="&lt;UNUSED&gt;"/>
    <w:docVar w:name="LW_DocType" w:val="ANNEX"/>
    <w:docVar w:name="LW_EMISSION" w:val="11.10.2019"/>
    <w:docVar w:name="LW_EMISSION_ISODATE" w:val="2019-10-1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7?\u1088?\u1086?\u1084?\u1077?\u1085?\u1080? \u1074? \u1087?\u1088?\u1072?\u1074?\u1080?\u1083?\u1072? \u8470? 0, 16, 17, 21, 29, 43, 44, 48, 53, 55, 58, 67, 74, 80, 83, 85, 86, 98, 107, 112, 113, 115, 116, 123, 129, 135, 148, 149 \u1080? 150 \u1085?\u1072? \u1054?\u1054?\u1053?, \u1087?\u1086? \u1086?\u1090?\u1085?\u1086?\u1096?\u1077?\u1085?\u1080?\u1077? \u1085?\u1072? \u1087?\u1088?\u1077?\u1076?\u1083?\u1086?\u1078?\u1077?\u1085?\u1080?\u1077?\u1090?\u1086? \u1079?\u1072? \u1087?\u1088?\u1086?\u1084?\u1077?\u1085?\u1080? \u1074? \u1075?\u1083?\u1086?\u1073?\u1072?\u1083?\u1085?\u1086? \u1090?\u1077?\u1093?\u1085?\u1080?\u1095?\u1077?\u1089?\u1082?\u1086? \u1087?\u1088?\u1072?\u1074?\u1080?\u1083?\u1086? (\u1043?\u1058?\u1055?) \u8470? 2, \u1087?\u1086? \u1086?\u1090?\u1085?\u1086?\u1096?\u1077?\u1085?\u1080?\u1077? \u1085?\u1072? \u1087?\u1088?\u1077?\u1076?\u1083?\u1086?\u1078?\u1077?\u1085?\u1080?\u1077?\u1090?\u1086? \u1079?\u1072? \u1080?\u1079?\u1084?\u1077?\u1085?\u1077?\u1085?\u1080?\u1103? \u1085?\u1072? \u1054?\u1073?\u1097?\u1072? \u1088?\u1077?\u1079?\u1086?\u1083?\u1102?\u1094?\u1080?\u1103? \u8470? 1,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50?\u1086?\u1085?\u1089?\u1086?\u1083?\u1080?\u1076?\u1080?\u1088?\u1072?\u1085?\u1080? \u1088?\u1077?\u1079?\u1086?\u1083?\u1102?\u1094?\u1080?\u1080? R.E.3 \u1080? R.E.5, \u1082?\u1072?\u1082?\u1090?\u1086? \u1080? \u1087?\u1086? \u1086?\u1090?\u1085?\u1086?\u1096?\u1077?\u1085?\u1080?\u1077? \u1085?\u1072? \u1087?\u1088?\u1077?\u1076?\u1083?\u1086?\u1078?\u1077?\u1085?\u1080?\u1103?\u1090?\u1072? \u1079?\u1072? \u1088?\u1072?\u1079?\u1088?\u1077?\u1096?\u1077?\u1085?\u1080?\u1103? \u1079?\u1072? \u1080?\u1079?\u1075?\u1086?\u1090?\u1074?\u1103?\u1085?\u1077? \u1085?\u1072? \u1080?\u1079?\u1084?\u1077?\u1085?\u1077?\u1085?\u1080?\u1077? \u1085?\u1072? \u1043?\u1058?\u1055? \u8470? 6 \u1080? \u1079?\u1072? \u1080?\u1079?\u1075?\u1086?\u1090?\u1074?\u1103?\u1085?\u1077? \u1085?\u1072? \u1085?\u1086?\u1074?\u1086? \u1043?\u1058?\u1055? \u1086?\u1090?\u1085?\u1086?\u1089?\u1085?\u1086? \u1086?\u1087?\u1088?\u1077?\u1076?\u1077?\u1083?\u1103?\u1085?\u1077?\u1090?\u1086? \u1085?\u1072? \u1084?\u1086?\u1097?\u1085?\u1086?\u1089?\u1090?\u1090?\u1072? \u1085?\u1072? \u1077?\u1083?\u1077?\u1082?\u1090?\u1088?\u1080?\u1095?\u1077?\u1089?\u1082?\u1080?\u1090?\u1077? \u1087?\u1088?\u1077?\u1074?\u1086?\u1079?\u1085?\u1080? \u1089?\u1088?\u1077?\u1076?\u1089?\u1090?\u1074?\u1072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7?\u1088?\u1086?\u1084?\u1077?\u1085?\u1080? \u1074? \u1087?\u1088?\u1072?\u1074?\u1080?\u1083?\u1072? \u8470? 0, 16, 17, 21, 29, 43, 44, 48, 53, 55, 58, 67, 74, 80, 83, 85, 86, 98, 107, 112, 113, 115, 116, 123, 129, 135, 148, 149 \u1080? 150 \u1085?\u1072? \u1054?\u1054?\u1053?, \u1087?\u1086? \u1086?\u1090?\u1085?\u1086?\u1096?\u1077?\u1085?\u1080?\u1077? \u1085?\u1072? \u1087?\u1088?\u1077?\u1076?\u1083?\u1086?\u1078?\u1077?\u1085?\u1080?\u1077?\u1090?\u1086? \u1079?\u1072? \u1087?\u1088?\u1086?\u1084?\u1077?\u1085?\u1080? \u1074? \u1075?\u1083?\u1086?\u1073?\u1072?\u1083?\u1085?\u1086? \u1090?\u1077?\u1093?\u1085?\u1080?\u1095?\u1077?\u1089?\u1082?\u1086? \u1087?\u1088?\u1072?\u1074?\u1080?\u1083?\u1086? (\u1043?\u1058?\u1055?) \u8470? 2, \u1087?\u1086? \u1086?\u1090?\u1085?\u1086?\u1096?\u1077?\u1085?\u1080?\u1077? \u1085?\u1072? \u1087?\u1088?\u1077?\u1076?\u1083?\u1086?\u1078?\u1077?\u1085?\u1080?\u1077?\u1090?\u1086? \u1079?\u1072? \u1080?\u1079?\u1084?\u1077?\u1085?\u1077?\u1085?\u1080?\u1103? \u1085?\u1072? \u1054?\u1073?\u1097?\u1072? \u1088?\u1077?\u1079?\u1086?\u1083?\u1102?\u1094?\u1080?\u1103? \u8470? 1,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50?\u1086?\u1085?\u1089?\u1086?\u1083?\u1080?\u1076?\u1080?\u1088?\u1072?\u1085?\u1080? \u1088?\u1077?\u1079?\u1086?\u1083?\u1102?\u1094?\u1080?\u1080? R.E.3 \u1080? R.E.5, \u1082?\u1072?\u1082?\u1090?\u1086? \u1080? \u1087?\u1086? \u1086?\u1090?\u1085?\u1086?\u1096?\u1077?\u1085?\u1080?\u1077? \u1085?\u1072? \u1087?\u1088?\u1077?\u1076?\u1083?\u1086?\u1078?\u1077?\u1085?\u1080?\u1103?\u1090?\u1072? \u1079?\u1072? \u1088?\u1072?\u1079?\u1088?\u1077?\u1096?\u1077?\u1085?\u1080?\u1103? \u1079?\u1072? \u1080?\u1079?\u1075?\u1086?\u1090?\u1074?\u1103?\u1085?\u1077? \u1085?\u1072? \u1080?\u1079?\u1084?\u1077?\u1085?\u1077?\u1085?\u1080?\u1077? \u1085?\u1072? \u1043?\u1058?\u1055? \u8470? 6 \u1080? \u1079?\u1072? \u1080?\u1079?\u1075?\u1086?\u1090?\u1074?\u1103?\u1085?\u1077? \u1085?\u1072? \u1085?\u1086?\u1074?\u1086? \u1043?\u1058?\u1055? \u1086?\u1090?\u1085?\u1086?\u1089?\u1085?\u1086? \u1086?\u1087?\u1088?\u1077?\u1076?\u1077?\u1083?\u1103?\u1085?\u1077?\u1090?\u1086? \u1085?\u1072? \u1084?\u1086?\u1097?\u1085?\u1086?\u1089?\u1090?\u1090?\u1072? \u1085?\u1072? \u1077?\u1083?\u1077?\u1082?\u1090?\u1088?\u1080?\u1095?\u1077?\u1089?\u1082?\u1080?\u1090?\u1077? \u1087?\u1088?\u1077?\u1074?\u1086?\u1079?\u1085?\u1080? \u1089?\u1088?\u1077?\u1076?\u1089?\u1090?\u1074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9) 48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\u1056?\u1045?\u1064?\u1045?\u1053?\u1048?\u1045? \u1053?\u1040? \u1057?\u1066?\u1042?\u1045?\u1058?\u1040?"/>
    <w:docVar w:name="LW_TYPEACTEPRINCIPAL.CP" w:val="\u1055?\u1088?\u1077?\u1076?\u1083?\u1086?\u1078?\u1077?\u1085?\u1080?\u1077? \u1079?\u1072?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ingleTxtGChar">
    <w:name w:val="_ Single Txt_G Char"/>
    <w:link w:val="SingleTxtG"/>
    <w:rPr>
      <w:lang w:val="bg-BG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asciiTheme="minorHAnsi" w:hAnsiTheme="minorHAnsi" w:cstheme="minorBidi"/>
      <w:sz w:val="22"/>
    </w:rPr>
  </w:style>
  <w:style w:type="paragraph" w:styleId="ListNumber5">
    <w:name w:val="List Number 5"/>
    <w:basedOn w:val="Normal"/>
    <w:semiHidden/>
    <w:pPr>
      <w:numPr>
        <w:numId w:val="9"/>
      </w:numPr>
      <w:suppressAutoHyphens/>
      <w:spacing w:before="0" w:after="0" w:line="240" w:lineRule="atLeast"/>
      <w:jc w:val="left"/>
    </w:pPr>
    <w:rPr>
      <w:rFonts w:eastAsia="Times New Roman"/>
      <w:sz w:val="20"/>
      <w:szCs w:val="20"/>
    </w:rPr>
  </w:style>
  <w:style w:type="paragraph" w:customStyle="1" w:styleId="Default">
    <w:name w:val="Default"/>
    <w:basedOn w:val="Normal"/>
    <w:pPr>
      <w:autoSpaceDE w:val="0"/>
      <w:autoSpaceDN w:val="0"/>
      <w:spacing w:before="0" w:after="0"/>
      <w:jc w:val="left"/>
    </w:pPr>
    <w:rPr>
      <w:rFonts w:eastAsia="SimSun"/>
      <w:color w:val="000000"/>
      <w:szCs w:val="24"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sz w:val="20"/>
      <w:szCs w:val="20"/>
    </w:rPr>
  </w:style>
  <w:style w:type="table" w:styleId="TableSubtle1">
    <w:name w:val="Table Subtle 1"/>
    <w:basedOn w:val="TableNormal"/>
    <w:semiHidden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NoList"/>
    <w:semiHidden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ingleTxtGChar">
    <w:name w:val="_ Single Txt_G Char"/>
    <w:link w:val="SingleTxtG"/>
    <w:rPr>
      <w:lang w:val="bg-BG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asciiTheme="minorHAnsi" w:hAnsiTheme="minorHAnsi" w:cstheme="minorBidi"/>
      <w:sz w:val="22"/>
    </w:rPr>
  </w:style>
  <w:style w:type="paragraph" w:styleId="ListNumber5">
    <w:name w:val="List Number 5"/>
    <w:basedOn w:val="Normal"/>
    <w:semiHidden/>
    <w:pPr>
      <w:numPr>
        <w:numId w:val="9"/>
      </w:numPr>
      <w:suppressAutoHyphens/>
      <w:spacing w:before="0" w:after="0" w:line="240" w:lineRule="atLeast"/>
      <w:jc w:val="left"/>
    </w:pPr>
    <w:rPr>
      <w:rFonts w:eastAsia="Times New Roman"/>
      <w:sz w:val="20"/>
      <w:szCs w:val="20"/>
    </w:rPr>
  </w:style>
  <w:style w:type="paragraph" w:customStyle="1" w:styleId="Default">
    <w:name w:val="Default"/>
    <w:basedOn w:val="Normal"/>
    <w:pPr>
      <w:autoSpaceDE w:val="0"/>
      <w:autoSpaceDN w:val="0"/>
      <w:spacing w:before="0" w:after="0"/>
      <w:jc w:val="left"/>
    </w:pPr>
    <w:rPr>
      <w:rFonts w:eastAsia="SimSun"/>
      <w:color w:val="000000"/>
      <w:szCs w:val="24"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sz w:val="20"/>
      <w:szCs w:val="20"/>
    </w:rPr>
  </w:style>
  <w:style w:type="table" w:styleId="TableSubtle1">
    <w:name w:val="Table Subtle 1"/>
    <w:basedOn w:val="TableNormal"/>
    <w:semiHidden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NoList"/>
    <w:semiHidden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ce.org/trans/main/wp29/wp29wgs/wp29gen/gen2019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6398-6F40-458F-B450-D916A046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5</Pages>
  <Words>1154</Words>
  <Characters>6790</Characters>
  <Application>Microsoft Office Word</Application>
  <DocSecurity>0</DocSecurity>
  <Lines>308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BRASSART Odile (GROW)</dc:creator>
  <cp:lastModifiedBy>WES PDFC Administrator</cp:lastModifiedBy>
  <cp:revision>9</cp:revision>
  <cp:lastPrinted>2019-09-12T14:28:00Z</cp:lastPrinted>
  <dcterms:created xsi:type="dcterms:W3CDTF">2019-10-11T09:16:00Z</dcterms:created>
  <dcterms:modified xsi:type="dcterms:W3CDTF">2019-10-11T12:10:00Z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