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39CBBA9-D159-41D6-9F49-369404C65D9C" style="width:450.45pt;height:475.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ManualHeading1"/>
        <w:ind w:left="0" w:firstLine="0"/>
        <w:rPr>
          <w:b w:val="0"/>
          <w:smallCaps w:val="0"/>
          <w:noProof/>
        </w:rPr>
      </w:pPr>
      <w:r>
        <w:rPr>
          <w:b w:val="0"/>
          <w:smallCaps w:val="0"/>
          <w:noProof/>
        </w:rPr>
        <w:t>Настоящото предложение се отнася за решение за установяване на позицията, която трябва да се заеме от името на Съюза в една от постоянните работни групи в институционалната рамка на Организацията на обединените нации, и по-конкретно в Световния форум за хармонизация на правилата за превозните средства към Икономическата комисия за Европа на Организацията на обединените нации (Работна група 29 или WP.29), във връзка с предвиденото приемане от тази работна група на промени в действащи правила на ООН (съгласно Ревизираното споразумение от 1958 г.) или на глобални технически правила на ООН (ГТП на ООН съгласно Паралелното споразумение), както и на няколко резолюции в рамките на двете споразумения.</w:t>
      </w:r>
    </w:p>
    <w:p>
      <w:pPr>
        <w:pStyle w:val="ManualHeading1"/>
        <w:rPr>
          <w:noProof/>
        </w:rPr>
      </w:pPr>
      <w:r>
        <w:rPr>
          <w:noProof/>
        </w:rPr>
        <w:t>2.</w:t>
      </w:r>
      <w:r>
        <w:rPr>
          <w:noProof/>
        </w:rPr>
        <w:tab/>
        <w:t>КОНТЕКСТ НА ПРЕДЛОЖЕНИЕТО</w:t>
      </w:r>
    </w:p>
    <w:p>
      <w:pPr>
        <w:pStyle w:val="ManualHeading1"/>
        <w:rPr>
          <w:noProof/>
        </w:rPr>
      </w:pPr>
      <w:r>
        <w:rPr>
          <w:noProof/>
        </w:rPr>
        <w:t>2.1.</w:t>
      </w:r>
      <w:r>
        <w:rPr>
          <w:noProof/>
        </w:rPr>
        <w:tab/>
      </w:r>
      <w:r>
        <w:rPr>
          <w:smallCaps w:val="0"/>
          <w:noProof/>
        </w:rPr>
        <w:t xml:space="preserve">Споразумението от 1958 г. и споразумението от 1998 г. </w:t>
      </w:r>
    </w:p>
    <w:p>
      <w:pPr>
        <w:rPr>
          <w:noProof/>
        </w:rPr>
      </w:pPr>
      <w:r>
        <w:rPr>
          <w:noProof/>
        </w:rPr>
        <w:t>Целта на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и на Споразумението относно създаването на глобални технически правила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е да бъдат изготвени хармонизирани изисквания, предназначени да премахнат техническите пречки пред търговията с моторни превозни средства между договарящите се страни на ИКЕ на ООН и да гарантират, че тези превозни средства осигуряват висока степен на безопасност и опазване на околната среда. Споразуменията влязоха в сила за ЕС съответно на 24 март 1998 г. и на 15 февруари 2000 г.  Прилагането им се осъществява под ръководството на Световния форум за хармонизация на правилата за превозните средства към ИКЕ на ООН (Работна група 29 или WP.29).</w:t>
      </w:r>
    </w:p>
    <w:p>
      <w:pPr>
        <w:rPr>
          <w:noProof/>
        </w:rPr>
      </w:pPr>
      <w:r>
        <w:rPr>
          <w:noProof/>
        </w:rPr>
        <w:t>Европейският съюз е страна по тези споразумения</w:t>
      </w:r>
      <w:r>
        <w:rPr>
          <w:rStyle w:val="FootnoteReference"/>
          <w:noProof/>
        </w:rPr>
        <w:footnoteReference w:id="1"/>
      </w:r>
      <w:r>
        <w:rPr>
          <w:noProof/>
        </w:rPr>
        <w:t xml:space="preserve">. </w:t>
      </w:r>
    </w:p>
    <w:p>
      <w:pPr>
        <w:pStyle w:val="ManualHeading1"/>
        <w:rPr>
          <w:noProof/>
        </w:rPr>
      </w:pPr>
      <w:r>
        <w:rPr>
          <w:noProof/>
        </w:rPr>
        <w:lastRenderedPageBreak/>
        <w:t xml:space="preserve">2.2. </w:t>
      </w:r>
      <w:r>
        <w:rPr>
          <w:noProof/>
        </w:rPr>
        <w:tab/>
      </w:r>
      <w:r>
        <w:rPr>
          <w:smallCaps w:val="0"/>
          <w:noProof/>
        </w:rPr>
        <w:t>Световният форум за хармонизация на правилата за превозните средства към Икономическа комисия за Европа на Организацията на обединените нации (ИКЕ на ООН) — Работна група 29 или WP.29</w:t>
      </w:r>
    </w:p>
    <w:p>
      <w:pPr>
        <w:rPr>
          <w:noProof/>
        </w:rPr>
      </w:pPr>
      <w:r>
        <w:rPr>
          <w:noProof/>
        </w:rPr>
        <w:t xml:space="preserve">Работна група 29 предлага единствена по рода си рамка за хармонизирани в световен мащаб правила за превозните средства. Тя е постоянна работна група в институционалната рамка на Обединените нации с определен мандат и правилник за дейността. Работната група функционира като световен форум, който дава възможност за провеждането на открити разисквания относно правилата за МПС, както и за обсъждане на прилагането на Ревизираното споразумение от 1958 г. и на Паралелното споразумение. Всяка държава — членка на Организацията на обединените нации, както и всяка регионална организация за икономическа интеграция, създадена от държави — членки на Организацията на Обединените нации, може да участва пълноценно в дейностите на Работна група 29 и да стане договаряща се страна по споразуменията относно превозните средства, чието прилагане се ръководи от тази работна група.  </w:t>
      </w:r>
    </w:p>
    <w:p>
      <w:pPr>
        <w:rPr>
          <w:noProof/>
        </w:rPr>
      </w:pPr>
    </w:p>
    <w:p>
      <w:pPr>
        <w:rPr>
          <w:noProof/>
        </w:rPr>
      </w:pPr>
      <w:r>
        <w:rPr>
          <w:noProof/>
        </w:rPr>
        <w:t>Заседанията на Работна група 29 на ИКЕ на ООН се провеждат три пъти годишно — през март, юни и ноември. На всяко заседание се приемат нови правила на ООН, нови глобални технически правила на ООН (ГТП на ООН) и/или промени в действащи правила на ООН (съгласно Ревизираното споразумение от 1958 г.) или глобални технически правила на ООН (ГТП на ООН съгласно Паралелното споразумение), за да се осигури технически напредък. Преди всяко заседание на Работна група 29 тези промени първо се обсъждат на техническо равнище в рамките на специализирани спомагателни органи към работната група.</w:t>
      </w:r>
    </w:p>
    <w:p>
      <w:pPr>
        <w:rPr>
          <w:noProof/>
        </w:rPr>
      </w:pPr>
      <w:r>
        <w:rPr>
          <w:noProof/>
        </w:rPr>
        <w:t xml:space="preserve">Впоследствие се провежда гласуване на равнището на Работна група 29 (т.е. чрез квалифицирано мнозинство на присъстващите и гласуващи договарящи се страни — за предложенията съгласно Ревизираното споразумение от 1958 г. и с консенсус на присъстващите и гласуващи договарящи се страни — за предложенията съгласно Паралелното споразумение). </w:t>
      </w:r>
    </w:p>
    <w:p>
      <w:pPr>
        <w:rPr>
          <w:noProof/>
        </w:rPr>
      </w:pPr>
      <w:r>
        <w:rPr>
          <w:noProof/>
        </w:rPr>
        <w:t xml:space="preserve">Позицията, която трябва да се заеме от името на Съюза във връзка с новите правила и ГТП, техните изменения, допълнения и поправки, се установява преди всяко заседание на Работна група 29 чрез решение на Съвета съгласно член 218, параграф 9 от ДФЕС. </w:t>
      </w:r>
    </w:p>
    <w:p>
      <w:pPr>
        <w:pStyle w:val="ManualHeading1"/>
        <w:rPr>
          <w:smallCaps w:val="0"/>
          <w:noProof/>
        </w:rPr>
      </w:pPr>
      <w:r>
        <w:rPr>
          <w:smallCaps w:val="0"/>
          <w:noProof/>
        </w:rPr>
        <w:t xml:space="preserve">2.3. </w:t>
      </w:r>
      <w:r>
        <w:rPr>
          <w:smallCaps w:val="0"/>
          <w:noProof/>
        </w:rPr>
        <w:tab/>
        <w:t>Предвиденият акт на Работна група 29</w:t>
      </w:r>
    </w:p>
    <w:p>
      <w:pPr>
        <w:rPr>
          <w:noProof/>
        </w:rPr>
      </w:pPr>
      <w:r>
        <w:rPr>
          <w:noProof/>
        </w:rPr>
        <w:t xml:space="preserve">В периода 12—14 ноември 2019 г. по време на 179-ото си заседание Работна група 29 може да приеме предложенията за промени в правила № 0, 16, 17, 21, 35, 29, 43, 44, 48, 53, 55, 58, 67, 74, 80, 83, 85, 86, 98, 107, 112, 113, 115, 116, 123, 129, 135, 148, 149 и 150 на ООН, предложението за промени в глобално техническо правило (ГТП) № 2, предложението за изменения на Обща резолюция № 1, предложенията за изменения на Консолидирани резолюции R.E.3 и R.E.5, както и предложенията за разрешения за изготвяне на изменение на ГТП № 6 и за изготвяне на ново ГТП относно определянето на мощността на електрическите превозни средства. </w:t>
      </w:r>
    </w:p>
    <w:p>
      <w:pPr>
        <w:rPr>
          <w:noProof/>
        </w:rPr>
      </w:pPr>
    </w:p>
    <w:p>
      <w:pPr>
        <w:pStyle w:val="ManualHeading1"/>
        <w:rPr>
          <w:noProof/>
        </w:rPr>
      </w:pPr>
      <w:r>
        <w:rPr>
          <w:noProof/>
        </w:rPr>
        <w:t xml:space="preserve">3. </w:t>
      </w:r>
      <w:r>
        <w:rPr>
          <w:noProof/>
        </w:rPr>
        <w:tab/>
        <w:t>ПОЗИЦИЯ, КОЯТО ТРЯБВА ДА СЕ ЗАЕМЕ ОТ ИМЕТО НА СЪЮЗА</w:t>
      </w:r>
    </w:p>
    <w:p>
      <w:pPr>
        <w:rPr>
          <w:noProof/>
        </w:rPr>
      </w:pPr>
      <w:r>
        <w:rPr>
          <w:noProof/>
        </w:rPr>
        <w:t xml:space="preserve">Системата на Работна група 29 допринася за постигането на по-висока степен на хармонизиране в международен план на стандартите за превозните средства. </w:t>
      </w:r>
      <w:r>
        <w:rPr>
          <w:noProof/>
        </w:rPr>
        <w:lastRenderedPageBreak/>
        <w:t>Споразумението от 1958 г. има основна роля за постигането на тази цел, тъй като производителите от ЕС могат да използват общ набор от правила за одобряване на типа със съзнанието, че договарящите се страни ще признаят съответствието на продуктите им с националното си законодателство. Тази схема например направи възможно с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Споразумението от 1958 г.</w:t>
      </w:r>
    </w:p>
    <w:p>
      <w:pPr>
        <w:rPr>
          <w:noProof/>
        </w:rPr>
      </w:pPr>
      <w:r>
        <w:rPr>
          <w:noProof/>
        </w:rPr>
        <w:t>Подобен подход беше приложен с Директива 2007/46/ЕО, която замени системите за одобрение в отделните държави членки с процедура на Съюза за одобрение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ООН бяха инкорпорирани в системата на ЕС за одобрение на типа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биват инкорпорирани в законодателството на Съюза в рамките на системата на ЕС за одобряване на типа.</w:t>
      </w:r>
    </w:p>
    <w:p>
      <w:pPr>
        <w:rPr>
          <w:noProof/>
        </w:rPr>
      </w:pPr>
      <w:r>
        <w:rPr>
          <w:noProof/>
        </w:rPr>
        <w:t xml:space="preserve">След като предложенията за промени или за нови правила на ООН бъдат приети от Работна група 29 и след като тези актове се нотифицират на договарящите се страни от изпълнителния секретар на ИКЕ на ООН, шест месеца по-късно и при отсъствието на възражения от страна на договарящите се страни, представляващи блокиращо малцинство, актовете могат да влязат в сила и да се транспонират в приложимите национални правила на всяка от договарящите се страни. В ЕС транспонирането се смята за извършено след публикуването на тези актове в </w:t>
      </w:r>
      <w:r>
        <w:rPr>
          <w:i/>
          <w:noProof/>
        </w:rPr>
        <w:t>Официален вестник на ЕС</w:t>
      </w:r>
      <w:r>
        <w:rPr>
          <w:noProof/>
        </w:rPr>
        <w:t>. Изменените или новите изисквания, произтичащи от влизането в сила на тези предвидени актове, са пряко приложими в правото на ЕС (т.е. за целите на одобрението на типа на цяло превозно средство в Европа) след изменението на приложение 4 към Директива 2007/46/ЕО и приложение 1 към Регламент (ЕО) № 661/2009.</w:t>
      </w:r>
    </w:p>
    <w:p>
      <w:pPr>
        <w:pStyle w:val="ManualHeading1"/>
        <w:rPr>
          <w:b w:val="0"/>
          <w:smallCaps w:val="0"/>
          <w:noProof/>
        </w:rPr>
      </w:pPr>
      <w:r>
        <w:rPr>
          <w:b w:val="0"/>
          <w:smallCaps w:val="0"/>
          <w:noProof/>
        </w:rPr>
        <w:t>Следователно е необходимо да се установи позицията на Съюза относно:</w:t>
      </w:r>
    </w:p>
    <w:p>
      <w:pPr>
        <w:pStyle w:val="Tiret0"/>
        <w:numPr>
          <w:ilvl w:val="0"/>
          <w:numId w:val="10"/>
        </w:numPr>
        <w:rPr>
          <w:noProof/>
        </w:rPr>
      </w:pPr>
      <w:r>
        <w:rPr>
          <w:noProof/>
        </w:rPr>
        <w:t xml:space="preserve">предложенията за промени в правила № 0, 16, 17, 21, 29, 43, 44, 48, 53, 55, 58, 67, 74, 80, 83, 85, 86, 98, 107, 112, 113, 115, 116, 123, 129, 135, 148, 149 и 150 на ООН; </w:t>
      </w:r>
    </w:p>
    <w:p>
      <w:pPr>
        <w:pStyle w:val="Tiret0"/>
        <w:rPr>
          <w:noProof/>
        </w:rPr>
      </w:pPr>
      <w:r>
        <w:rPr>
          <w:noProof/>
        </w:rPr>
        <w:t>предложението за промени в глобално техническо правило (ГТП) № 2;</w:t>
      </w:r>
    </w:p>
    <w:p>
      <w:pPr>
        <w:pStyle w:val="Tiret0"/>
        <w:rPr>
          <w:noProof/>
        </w:rPr>
      </w:pPr>
      <w:r>
        <w:rPr>
          <w:noProof/>
        </w:rPr>
        <w:t>предложението за изменения на Обща резолюция № 1;</w:t>
      </w:r>
    </w:p>
    <w:p>
      <w:pPr>
        <w:pStyle w:val="Tiret0"/>
        <w:rPr>
          <w:noProof/>
        </w:rPr>
      </w:pPr>
      <w:r>
        <w:rPr>
          <w:noProof/>
        </w:rPr>
        <w:t xml:space="preserve">предложенията за изменения на Консолидирани резолюции R.E.3 и R.E.5, както и </w:t>
      </w:r>
    </w:p>
    <w:p>
      <w:pPr>
        <w:pStyle w:val="Tiret0"/>
        <w:rPr>
          <w:noProof/>
        </w:rPr>
      </w:pPr>
      <w:r>
        <w:rPr>
          <w:noProof/>
        </w:rPr>
        <w:t>предложенията за разрешения за изготвяне на изменение на ГТП № 6 и за изготвяне на ново ГТП относно определянето на мощността на електрическите превозни средства,</w:t>
      </w:r>
    </w:p>
    <w:p>
      <w:pPr>
        <w:rPr>
          <w:noProof/>
        </w:rPr>
      </w:pPr>
      <w:r>
        <w:rPr>
          <w:noProof/>
        </w:rPr>
        <w:t>внесени за гласуване на заседанието на Работна група 29, което ще се проведе в периода 12—14 ноември 2019 г.</w:t>
      </w:r>
    </w:p>
    <w:p>
      <w:pPr>
        <w:rPr>
          <w:noProof/>
        </w:rPr>
      </w:pPr>
      <w:r>
        <w:rPr>
          <w:noProof/>
        </w:rPr>
        <w:t xml:space="preserve">Съюзът следва да подкрепи гореизброените актове, защото те са в пълно съответствие с политиката на Съюза в областта на вътрешния пазар по отношение на автомобилната промишленост и са съвместими с политиките на Съюза в областта на транспорта, климата и енергетиката. Тези актове имат много положително въздействие върху </w:t>
      </w:r>
      <w:r>
        <w:rPr>
          <w:noProof/>
        </w:rPr>
        <w:lastRenderedPageBreak/>
        <w:t xml:space="preserve">конкурентоспособността на автомобилната промишленост на ЕС и върху международната търговия. Гласуването в подкрепа на тези актове ще насърчи техническия напредък, ще генерира ползи от икономиите от мащаба, ще предотврати разпокъсването на вътрешния пазар и ще гарантира еднакви екологични стандарти и стандарти за безопасност в целия Съюз. </w:t>
      </w:r>
    </w:p>
    <w:p>
      <w:pPr>
        <w:rPr>
          <w:noProof/>
        </w:rPr>
      </w:pPr>
      <w:r>
        <w:rPr>
          <w:noProof/>
        </w:rPr>
        <w:t>Външни експертни становища не са приложими за целите на настоящото предложение. То обаче ще бъде разгледано от Техническия комитет по моторните превозни средства.</w:t>
      </w:r>
    </w:p>
    <w:p>
      <w:pPr>
        <w:rPr>
          <w:noProof/>
        </w:rPr>
      </w:pPr>
    </w:p>
    <w:p>
      <w:pPr>
        <w:pStyle w:val="ManualHeading1"/>
        <w:rPr>
          <w:noProof/>
        </w:rPr>
      </w:pPr>
      <w:r>
        <w:rPr>
          <w:noProof/>
        </w:rPr>
        <w:t>4.</w:t>
      </w:r>
      <w:r>
        <w:rPr>
          <w:noProof/>
        </w:rPr>
        <w:tab/>
        <w:t>ПРАВНО ОСНОВАНИЕ</w:t>
      </w:r>
    </w:p>
    <w:p>
      <w:pPr>
        <w:pStyle w:val="Text1"/>
        <w:ind w:left="0"/>
        <w:rPr>
          <w:noProof/>
        </w:rPr>
      </w:pPr>
    </w:p>
    <w:p>
      <w:pPr>
        <w:pStyle w:val="Text1"/>
        <w:ind w:left="0"/>
        <w:rPr>
          <w:b/>
          <w:noProof/>
        </w:rPr>
      </w:pPr>
      <w:r>
        <w:rPr>
          <w:b/>
          <w:noProof/>
        </w:rPr>
        <w:t xml:space="preserve">4.1. </w:t>
      </w:r>
      <w:r>
        <w:rPr>
          <w:b/>
          <w:noProof/>
        </w:rPr>
        <w:tab/>
        <w:t xml:space="preserve">Процесуалноправно основание </w:t>
      </w:r>
    </w:p>
    <w:p>
      <w:pPr>
        <w:pStyle w:val="Text1"/>
        <w:ind w:left="0"/>
        <w:rPr>
          <w:i/>
          <w:noProof/>
        </w:rPr>
      </w:pPr>
      <w:r>
        <w:rPr>
          <w:i/>
          <w:noProof/>
        </w:rPr>
        <w:t xml:space="preserve">4.1.1. </w:t>
      </w:r>
      <w:r>
        <w:rPr>
          <w:i/>
          <w:noProof/>
        </w:rPr>
        <w:tab/>
        <w:t xml:space="preserve">Принципи </w:t>
      </w:r>
    </w:p>
    <w:p>
      <w:pPr>
        <w:pStyle w:val="Text1"/>
        <w:ind w:left="0"/>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 </w:t>
      </w:r>
    </w:p>
    <w:p>
      <w:pPr>
        <w:pStyle w:val="Text1"/>
        <w:ind w:left="0"/>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Text1"/>
        <w:ind w:left="0"/>
        <w:rPr>
          <w:noProof/>
        </w:rPr>
      </w:pPr>
    </w:p>
    <w:p>
      <w:pPr>
        <w:pStyle w:val="Text1"/>
        <w:ind w:left="0"/>
        <w:rPr>
          <w:i/>
          <w:noProof/>
        </w:rPr>
      </w:pPr>
      <w:r>
        <w:rPr>
          <w:i/>
          <w:noProof/>
        </w:rPr>
        <w:t xml:space="preserve">4.1.2. </w:t>
      </w:r>
      <w:r>
        <w:rPr>
          <w:i/>
          <w:noProof/>
        </w:rPr>
        <w:tab/>
        <w:t xml:space="preserve">Приложение в конкретния случай </w:t>
      </w:r>
    </w:p>
    <w:p>
      <w:pPr>
        <w:pStyle w:val="Text1"/>
        <w:ind w:left="0"/>
        <w:rPr>
          <w:noProof/>
        </w:rPr>
      </w:pPr>
      <w:r>
        <w:rPr>
          <w:noProof/>
        </w:rPr>
        <w:t xml:space="preserve">Работна група 29 е орган, в рамките на който договарящите се страни на ИКЕ на ООН обсъждат изпълнението на Ревизираното споразумение от 1958 г. и на Паралелното споразумение.  </w:t>
      </w:r>
    </w:p>
    <w:p>
      <w:pPr>
        <w:pStyle w:val="Text1"/>
        <w:ind w:left="0"/>
        <w:rPr>
          <w:noProof/>
        </w:rPr>
      </w:pPr>
      <w:r>
        <w:rPr>
          <w:noProof/>
        </w:rPr>
        <w:t xml:space="preserve">Актовете, които Работна група 29 има за задача да приема, представляват актове с правно действие. </w:t>
      </w:r>
    </w:p>
    <w:p>
      <w:pPr>
        <w:pStyle w:val="Text1"/>
        <w:ind w:left="0"/>
        <w:rPr>
          <w:noProof/>
        </w:rPr>
      </w:pPr>
      <w:r>
        <w:rPr>
          <w:noProof/>
        </w:rPr>
        <w:t>Правилата на ООН, съдържащи се в предвидения акт, ще бъдат обвързващи за Съюза и могат да окажат съществено въздействие върху съдържанието на законодателството на ЕС в областта на одобрението на типа на превозните средства. Директива 2007/46/ЕО на Европейския парламент и на Съвета</w:t>
      </w:r>
      <w:r>
        <w:rPr>
          <w:rStyle w:val="FootnoteReference"/>
          <w:noProof/>
        </w:rPr>
        <w:footnoteReference w:id="3"/>
      </w:r>
      <w:r>
        <w:rPr>
          <w:noProof/>
        </w:rPr>
        <w:t xml:space="preserve"> замени системите за одобряване в отделните държави членки с процедура на Съюза за одобряване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тази директива правилата, приети съгласно Ревизираното споразумение от 1958 г. („правилата на ООН“), бяха инкорпорирани в системата на ЕС </w:t>
      </w:r>
      <w:r>
        <w:rPr>
          <w:noProof/>
        </w:rPr>
        <w:lastRenderedPageBreak/>
        <w:t xml:space="preserve">за одобряване на типа или като изисквания за одобряване на типа, или като алтернативи на законодателството на Съюза. След приемането на Директива 2007/46/ЕО правилата на ООН във все по-голяма степен се инкорпорират в законодателството на Съюза.  </w:t>
      </w:r>
    </w:p>
    <w:p>
      <w:pPr>
        <w:pStyle w:val="Text1"/>
        <w:ind w:left="0"/>
        <w:rPr>
          <w:noProof/>
        </w:rPr>
      </w:pPr>
      <w:r>
        <w:rPr>
          <w:noProof/>
        </w:rPr>
        <w:t xml:space="preserve">Предвидените актове не допълват, нито изменят институционалната рамка на споразумението. </w:t>
      </w:r>
    </w:p>
    <w:p>
      <w:pPr>
        <w:pStyle w:val="Text1"/>
        <w:ind w:left="0"/>
        <w:rPr>
          <w:noProof/>
        </w:rPr>
      </w:pPr>
      <w:r>
        <w:rPr>
          <w:noProof/>
        </w:rPr>
        <w:t>Поради това процесуалноправното основание за предложеното решение е член 218, параграф 9 от ДФЕС.</w:t>
      </w:r>
    </w:p>
    <w:p>
      <w:pPr>
        <w:pStyle w:val="Text1"/>
        <w:ind w:left="0"/>
        <w:rPr>
          <w:noProof/>
        </w:rPr>
      </w:pPr>
    </w:p>
    <w:p>
      <w:pPr>
        <w:pStyle w:val="Text1"/>
        <w:ind w:left="0"/>
        <w:rPr>
          <w:b/>
          <w:noProof/>
        </w:rPr>
      </w:pPr>
      <w:r>
        <w:rPr>
          <w:b/>
          <w:noProof/>
        </w:rPr>
        <w:t xml:space="preserve">4.2. </w:t>
      </w:r>
      <w:r>
        <w:rPr>
          <w:b/>
          <w:noProof/>
        </w:rPr>
        <w:tab/>
        <w:t xml:space="preserve">Материалноправно основание </w:t>
      </w:r>
    </w:p>
    <w:p>
      <w:pPr>
        <w:pStyle w:val="Text1"/>
        <w:ind w:left="0"/>
        <w:rPr>
          <w:i/>
          <w:noProof/>
        </w:rPr>
      </w:pPr>
      <w:r>
        <w:rPr>
          <w:i/>
          <w:noProof/>
        </w:rPr>
        <w:t xml:space="preserve">4.2.1. </w:t>
      </w:r>
      <w:r>
        <w:rPr>
          <w:i/>
          <w:noProof/>
        </w:rPr>
        <w:tab/>
        <w:t xml:space="preserve">Принципи </w:t>
      </w:r>
    </w:p>
    <w:p>
      <w:pPr>
        <w:pStyle w:val="Text1"/>
        <w:ind w:left="0"/>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 </w:t>
      </w:r>
    </w:p>
    <w:p>
      <w:pPr>
        <w:pStyle w:val="Text1"/>
        <w:ind w:left="0"/>
        <w:rPr>
          <w:noProof/>
        </w:rPr>
      </w:pPr>
    </w:p>
    <w:p>
      <w:pPr>
        <w:pStyle w:val="Text1"/>
        <w:ind w:left="0"/>
        <w:rPr>
          <w:i/>
          <w:noProof/>
        </w:rPr>
      </w:pPr>
      <w:r>
        <w:rPr>
          <w:i/>
          <w:noProof/>
        </w:rPr>
        <w:t xml:space="preserve">4.2.2. Приложение в конкретния случай </w:t>
      </w:r>
    </w:p>
    <w:p>
      <w:pPr>
        <w:pStyle w:val="Text1"/>
        <w:ind w:left="0"/>
        <w:rPr>
          <w:noProof/>
        </w:rPr>
      </w:pPr>
      <w:r>
        <w:rPr>
          <w:noProof/>
        </w:rPr>
        <w:t xml:space="preserve">Основната цел и съдържанието на предвидения акт са свързани със сближаване на законодателството. Поради това материалноправното основание за предложеното решение е член 114. </w:t>
      </w:r>
    </w:p>
    <w:p>
      <w:pPr>
        <w:pStyle w:val="Text1"/>
        <w:ind w:left="0"/>
        <w:rPr>
          <w:i/>
          <w:noProof/>
        </w:rPr>
      </w:pPr>
    </w:p>
    <w:p>
      <w:pPr>
        <w:pStyle w:val="Text1"/>
        <w:ind w:left="0"/>
        <w:rPr>
          <w:i/>
          <w:noProof/>
        </w:rPr>
      </w:pPr>
      <w:r>
        <w:rPr>
          <w:i/>
          <w:noProof/>
        </w:rPr>
        <w:t xml:space="preserve">4.3. </w:t>
      </w:r>
      <w:r>
        <w:rPr>
          <w:i/>
          <w:noProof/>
        </w:rPr>
        <w:tab/>
        <w:t xml:space="preserve">Заключение </w:t>
      </w:r>
    </w:p>
    <w:p>
      <w:pPr>
        <w:pStyle w:val="Text1"/>
        <w:ind w:left="0"/>
        <w:rPr>
          <w:noProof/>
        </w:rPr>
      </w:pPr>
      <w:r>
        <w:rPr>
          <w:noProof/>
        </w:rPr>
        <w:t>Правното основание на предложеното решение следва да бъде член 114 във връзка с член 218, параграф 9 от ДФЕС.</w:t>
      </w:r>
    </w:p>
    <w:p>
      <w:pPr>
        <w:pStyle w:val="Text1"/>
        <w:ind w:left="0"/>
        <w:rPr>
          <w:noProof/>
        </w:rPr>
      </w:pPr>
    </w:p>
    <w:p>
      <w:pPr>
        <w:spacing w:before="0" w:after="200" w:line="276" w:lineRule="auto"/>
        <w:jc w:val="cente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2019/0232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съответните комитети на Икономическата комисия за Европа на Организацията на обединените нации по отношение на предложенията за промени в правила № 0, 16, 17, 21, 29, 43, 44, 48, 53, 55, 58, 67, 74, 80, 83, 85, 86, 98, 107, 112, 113, 115, 116, 123, 129, 135, 148, 149 и 150 на ООН, по отношение на предложението за промени в глобално техническо правило (ГТП) № 2, по отношение на предложението за изменения на Обща резолюция № 1, по отношение на предложенията за изменения на Консолидирани резолюции R.E.3 и R.E.5, както и по отношение на предложенията за разрешения за изготвяне на изменение на ГТП № 6 и за изготвяне на ново ГТП относно определянето на мощността на електрическите превозни средства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97/836/ЕО на Съвета</w:t>
      </w:r>
      <w:r>
        <w:rPr>
          <w:rStyle w:val="FootnoteReference"/>
          <w:noProof/>
        </w:rPr>
        <w:footnoteReference w:id="4"/>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Ревизираното споразумение от 1958 г. влезе в сила на 24 март 1998 г.</w:t>
      </w:r>
    </w:p>
    <w:p>
      <w:pPr>
        <w:pStyle w:val="ManualConsidrant"/>
        <w:rPr>
          <w:noProof/>
        </w:rPr>
      </w:pPr>
      <w:r>
        <w:t>(2)</w:t>
      </w:r>
      <w:r>
        <w:tab/>
      </w:r>
      <w:r>
        <w:rPr>
          <w:noProof/>
        </w:rPr>
        <w:t>С Решение 2000/125/ЕО на Съвета</w:t>
      </w:r>
      <w:r>
        <w:rPr>
          <w:rStyle w:val="FootnoteReference"/>
          <w:noProof/>
        </w:rPr>
        <w:footnoteReference w:id="5"/>
      </w:r>
      <w:r>
        <w:rPr>
          <w:noProof/>
        </w:rPr>
        <w:t xml:space="preserve"> Съюзът се присъедини към Споразумението относно създаването на глобални технически правила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Паралелното споразумение влезе в сила на 15 февруари 2000 г.</w:t>
      </w:r>
    </w:p>
    <w:p>
      <w:pPr>
        <w:pStyle w:val="ManualConsidrant"/>
        <w:rPr>
          <w:noProof/>
        </w:rPr>
      </w:pPr>
      <w:r>
        <w:lastRenderedPageBreak/>
        <w:t>(3)</w:t>
      </w:r>
      <w:r>
        <w:tab/>
      </w:r>
      <w:r>
        <w:rPr>
          <w:noProof/>
        </w:rPr>
        <w:t>В съответствие с член 1 от Ревизираното споразумение от 1958 г. и член 6 от Паралелното споразумение Световният форум за хармонизация на правилата за превозните средства към ИКЕ на ООН (Работна група 29 или WP.29) може да приеме, ако е приложимо, предложенията за промени в правила № 0, 16, 17, 21, 29, 43, 44, 48, 53, 55, 58, 67, 74, 80, 83, 85, 86, 98, 107, 112, 113, 115, 116, 123, 129, 135, 148, 149 и 150 на ООН, предложението за промени в глобално техническо правило (ГТП) № 2, предложението за изменения на Обща резолюция № 1, предложенията за изменения на Консолидирани резолюции R.E.3 и R.E.5, както и предложенията за разрешения за изготвяне на изменение на ГТП № 6 и за изготвяне на ново ГТП относно определянето на мощността на електрическите превозни средства.</w:t>
      </w:r>
    </w:p>
    <w:p>
      <w:pPr>
        <w:pStyle w:val="ManualConsidrant"/>
        <w:rPr>
          <w:noProof/>
        </w:rPr>
      </w:pPr>
      <w:r>
        <w:t>(4)</w:t>
      </w:r>
      <w:r>
        <w:tab/>
      </w:r>
      <w:r>
        <w:rPr>
          <w:noProof/>
        </w:rPr>
        <w:t>Очаква се по време на 179-та сесия на Световния форум, която ще се проведе в периода 12–14 ноември 2019 г., Работна група 29 да приеме горепосочените актове във връзка с административните разпоредби и единните технически предписания за одобряване на колесните превозни средства, оборудване и части, които могат да се монтират и/или да се използват на колесните превозни средства, както и глобалните технически правила за тези превозни средства, оборудване и части</w:t>
      </w:r>
      <w:r>
        <w:t>.</w:t>
      </w:r>
    </w:p>
    <w:p>
      <w:pPr>
        <w:pStyle w:val="ManualConsidrant"/>
        <w:rPr>
          <w:noProof/>
        </w:rPr>
      </w:pPr>
      <w:r>
        <w:t>(5)</w:t>
      </w:r>
      <w:r>
        <w:tab/>
      </w:r>
      <w:r>
        <w:rPr>
          <w:noProof/>
        </w:rPr>
        <w:t>Целесъобразно е да се установи позицията, която трябва да се заеме от името на Съюза в рамките Работна група 29 по отношение на приемането на предложения за правила на ООН, тъй като правилата на ООН ще бъдат обвързващи за Съюза и могат да окажат съществено въздействие върху съдържанието на правото на Съюза в областта на одобряването на типа на превозните средства.</w:t>
      </w:r>
    </w:p>
    <w:p>
      <w:pPr>
        <w:pStyle w:val="ManualConsidrant"/>
        <w:rPr>
          <w:noProof/>
        </w:rPr>
      </w:pPr>
      <w:r>
        <w:t>(6)</w:t>
      </w:r>
      <w:r>
        <w:tab/>
      </w:r>
      <w:r>
        <w:rPr>
          <w:noProof/>
        </w:rPr>
        <w:t>Директива 2007/46/ЕО на Европейския парламент и на Съвета</w:t>
      </w:r>
      <w:r>
        <w:rPr>
          <w:rStyle w:val="FootnoteReference"/>
          <w:noProof/>
        </w:rPr>
        <w:footnoteReference w:id="6"/>
      </w:r>
      <w:r>
        <w:rPr>
          <w:noProof/>
        </w:rPr>
        <w:t xml:space="preserve"> замени системите за одобряване в отделните държави членки с процедура на Съюза за одобряване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тази директива правилата, приети съгласно Ревизираното споразумение от 1958 г. („правилата на ООН“), бяха инкорпорирани в системата на ЕС за одобряване на типа или като изисквания за одобряване на типа, или като алтернативи на законодателството на Съюза. След приемането на Директива 2007/46/ЕО правилата на ООН във все по-голяма степен се инкорпорират в законодателството на Съюза.  </w:t>
      </w:r>
    </w:p>
    <w:p>
      <w:pPr>
        <w:pStyle w:val="ManualConsidrant"/>
        <w:rPr>
          <w:noProof/>
        </w:rPr>
      </w:pPr>
      <w:r>
        <w:t>(7)</w:t>
      </w:r>
      <w:r>
        <w:tab/>
      </w:r>
      <w:r>
        <w:rPr>
          <w:noProof/>
        </w:rPr>
        <w:t>С оглед на натрупания опит и на постигнатия технически напредък, изискванията относно някои елементи или характеристики, обхванати от правила № 0, 16, 21, 29, 43, 44, 48, 53, 55, 58, 67, 74, 80, 83, 85, 86, 98, 107, 112, 113, 115, 116, 123, 129, 135, 148, 149 и 150 на ООН, трябва да бъдат адаптирани или допълнени. Освен това някои разпоредби в ГТП № 2 на ООН трябва да бъдат променени, а някои разпоредби в правило № 17 на ООН трябва да бъдат поправени. И накрая, трябва да бъдат приети измененията на Обща резолюция № 1 и измененията на Консолидирани резолюции R.E.3 и R.E.5.</w:t>
      </w:r>
    </w:p>
    <w:p>
      <w:pPr>
        <w:pStyle w:val="ManualConsidrant"/>
        <w:rPr>
          <w:noProof/>
        </w:rPr>
      </w:pPr>
      <w:r>
        <w:t>(8)</w:t>
      </w:r>
      <w:r>
        <w:tab/>
      </w:r>
      <w:r>
        <w:rPr>
          <w:noProof/>
        </w:rPr>
        <w:t xml:space="preserve">Работен документ ECE/TRANS/WP.29/2019/93 на Работна група 29 се отнася за предложение за серия от изменения 01 на правило № 35 на ООН (крачни органи за управление). Като се има предвид, че ЕС не прилага единните разпоредби на </w:t>
      </w:r>
      <w:r>
        <w:rPr>
          <w:noProof/>
        </w:rPr>
        <w:lastRenderedPageBreak/>
        <w:t xml:space="preserve">правило № 35 на ООН, не е необходимо да се установява позиция на Съюза по предложение ECE/TRANS/WP.29/2019/93. </w:t>
      </w:r>
    </w:p>
    <w:p>
      <w:pPr>
        <w:pStyle w:val="ManualConsidrant"/>
        <w:rPr>
          <w:noProof/>
        </w:rPr>
      </w:pPr>
      <w:r>
        <w:t>(9)</w:t>
      </w:r>
      <w:r>
        <w:tab/>
      </w:r>
      <w:r>
        <w:rPr>
          <w:noProof/>
        </w:rPr>
        <w:t xml:space="preserve">Работен документ ECE/TRANS/WP.29/2019/114 на Работна група 29 се отнася за предложение за допълнение 2 към серия от изменения 03 на правило № 79 на ООН (кормилна уредба), първоначално представено от председателя на съответния специализиран спомагателен орган на Работна група 29. На последното заседание на специализирания спомагателен орган поради изразените опасения от някои договарящи се страни председателят се съгласи да представи на Работна група 29 преработен документ. Тъй като документът понастоящем не е на разположение на портала на секретариата на Работна група 29, а по него може да се наложат допълнителни обсъждания от експертите, би било целесъобразно този документ да се представи обратно на специализирания спомагателен орган. </w:t>
      </w:r>
    </w:p>
    <w:p>
      <w:pPr>
        <w:pStyle w:val="ManualConsidrant"/>
        <w:rPr>
          <w:noProof/>
          <w:sz w:val="22"/>
        </w:rPr>
      </w:pPr>
      <w:r>
        <w:t>(10)</w:t>
      </w:r>
      <w:r>
        <w:tab/>
      </w:r>
      <w:r>
        <w:rPr>
          <w:noProof/>
        </w:rPr>
        <w:t>Разрешението за изготвяне на изменение 4 на глобално техническо правило (ГТП) № 2 е посочено неправилно на портала на Секретариата на Работна група 29 и ECE/TRANS/WP.29/AC.3./36 следва да бъде поправено на ECE/TRANS/WP.29/AC.3./36/Rev.1.</w:t>
      </w:r>
    </w:p>
    <w:p>
      <w:pPr>
        <w:pStyle w:val="ManualConsidrant"/>
        <w:rPr>
          <w:noProof/>
        </w:rPr>
      </w:pPr>
      <w:r>
        <w:t>(11)</w:t>
      </w:r>
      <w:r>
        <w:tab/>
      </w:r>
      <w:r>
        <w:rPr>
          <w:noProof/>
        </w:rPr>
        <w:t xml:space="preserve">Работен документ ECE/TRANS/WP.29/2019/118 на Работна група 29 се отнася за предложение за изменение на приложение IV към Консолидирана резолюция за конструкцията на превозните средства (R.E.3). Това предложение следва да се разглежда заедно с неофициалния документ WP.29-179-06, в който се изяснява препратката към ISO стандарт за измерване на качеството на горивата за определени параметри, </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Работна група 29 по време на 179-ата ѝ сесия, която ще се проведе в периода 12–14 ноември 2019 г., е да се гласува в подкрепа на предложенията, изброени в приложение 1 към настоящото решение.</w:t>
      </w:r>
    </w:p>
    <w:p>
      <w:pPr>
        <w:pStyle w:val="Titrearticle"/>
        <w:rPr>
          <w:noProof/>
        </w:rPr>
      </w:pPr>
      <w:r>
        <w:rPr>
          <w:noProof/>
        </w:rPr>
        <w:t>Член 2</w:t>
      </w:r>
    </w:p>
    <w:p>
      <w:pPr>
        <w:rPr>
          <w:noProof/>
        </w:rPr>
      </w:pPr>
      <w:r>
        <w:rPr>
          <w:noProof/>
        </w:rPr>
        <w:t>Позицията, която трябва да се заеме от името на Съюза в рамките на Работна група 29 по време на 179-ата ѝ сесия, която ще се проведе в периода 12—14 ноември 2019 г., е да се гласува против предложението за допълнение 2 към серия от изменения 03 на Правило № 79 на ООН (кормилна уредба, работен документ ECE/TRANS/WP.29/2019/114).</w:t>
      </w:r>
    </w:p>
    <w:p>
      <w:pPr>
        <w:pStyle w:val="Titrearticle"/>
        <w:rPr>
          <w:noProof/>
        </w:rPr>
      </w:pPr>
      <w:r>
        <w:rPr>
          <w:noProof/>
        </w:rPr>
        <w:t>Член 3</w:t>
      </w:r>
    </w:p>
    <w:p>
      <w:pPr>
        <w:rPr>
          <w:noProof/>
        </w:rPr>
      </w:pPr>
      <w:r>
        <w:rPr>
          <w:noProof/>
        </w:rPr>
        <w:t>Адресат на настоящото решение е Комисията.</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p>
    <w:p>
      <w:pPr>
        <w:pStyle w:val="Institutionquisigne"/>
        <w:spacing w:before="120"/>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(ОВ L 346, 17.12.1997 г., стр. 78).</w:t>
      </w:r>
    </w:p>
    <w:p>
      <w:pPr>
        <w:pStyle w:val="FootnoteText"/>
        <w:ind w:firstLine="0"/>
      </w:pPr>
      <w:r>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2">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одобряване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 w:id="4">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(ОВ L 346, 17.12.1997 г., стр. 78).</w:t>
      </w:r>
    </w:p>
  </w:footnote>
  <w:footnote w:id="5">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6">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одобряване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oNotTrackFormatting/>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14:10: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39CBBA9-D159-41D6-9F49-369404C65D9C"/>
    <w:docVar w:name="LW_COVERPAGE_TYPE" w:val="1"/>
    <w:docVar w:name="LW_CROSSREFERENCE" w:val="&lt;UNUSED&gt;"/>
    <w:docVar w:name="LW_DocType" w:val="COM"/>
    <w:docVar w:name="LW_EMISSION" w:val="11.10.2019"/>
    <w:docVar w:name="LW_EMISSION_ISODATE" w:val="2019-10-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2"/>
    <w:docVar w:name="LW_REF.II.NEW.CP_YEAR" w:val="2019"/>
    <w:docVar w:name="LW_REF.INST.NEW" w:val="COM"/>
    <w:docVar w:name="LW_REF.INST.NEW_ADOPTED" w:val="final"/>
    <w:docVar w:name="LW_REF.INST.NEW_TEXT" w:val="(2019)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7?\u1088?\u1086?\u1084?\u1077?\u1085?\u1080? \u1074? \u1087?\u1088?\u1072?\u1074?\u1080?\u1083?\u1072? \u8470? 0, 16, 17, 21, 29, 43, 44, 48, 53, 55, 58, 67, 74, 80, 83, 85, 86, 98, 107, 112, 113, 115, 116, 123, 129, 135, 148, 149 \u1080? 150 \u1085?\u1072? \u1054?\u1054?\u1053?, \u1087?\u1086? \u1086?\u1090?\u1085?\u1086?\u1096?\u1077?\u1085?\u1080?\u1077? \u1085?\u1072? \u1087?\u1088?\u1077?\u1076?\u1083?\u1086?\u1078?\u1077?\u1085?\u1080?\u1077?\u1090?\u1086? \u1079?\u1072? \u1087?\u1088?\u1086?\u1084?\u1077?\u1085?\u1080? \u1074? \u1075?\u1083?\u1086?\u1073?\u1072?\u1083?\u1085?\u1086? \u1090?\u1077?\u1093?\u1085?\u1080?\u1095?\u1077?\u1089?\u1082?\u1086? \u1087?\u1088?\u1072?\u1074?\u1080?\u1083?\u1086? (\u1043?\u1058?\u1055?) \u8470? 2, \u1087?\u1086? \u1086?\u1090?\u1085?\u1086?\u1096?\u1077?\u1085?\u1080?\u1077? \u1085?\u1072? \u1087?\u1088?\u1077?\u1076?\u1083?\u1086?\u1078?\u1077?\u1085?\u1080?\u1077?\u1090?\u1086? \u1079?\u1072? \u1080?\u1079?\u1084?\u1077?\u1085?\u1077?\u1085?\u1080?\u1103? \u1085?\u1072? \u1054?\u1073?\u1097?\u1072? \u1088?\u1077?\u1079?\u1086?\u1083?\u1102?\u1094?\u1080?\u1103? \u8470? 1, \u1087?\u1086? \u1086?\u1090?\u1085?\u1086?\u1096?\u1077?\u1085?\u1080?\u1077? \u1085?\u1072? \u1087?\u1088?\u1077?\u1076?\u1083?\u1086?\u1078?\u1077?\u1085?\u1080?\u1103?\u1090?\u1072? \u1079?\u1072? \u1080?\u1079?\u1084?\u1077?\u1085?\u1077?\u1085?\u1080?\u1103? \u1085?\u1072? \u1050?\u1086?\u1085?\u1089?\u1086?\u1083?\u1080?\u1076?\u1080?\u1088?\u1072?\u1085?\u1080? \u1088?\u1077?\u1079?\u1086?\u1083?\u1102?\u1094?\u1080?\u1080? R.E.3 \u1080? R.E.5, \u1082?\u1072?\u1082?\u1090?\u1086? \u1080? \u1087?\u1086? \u1086?\u1090?\u1085?\u1086?\u1096?\u1077?\u1085?\u1080?\u1077? \u1085?\u1072? \u1087?\u1088?\u1077?\u1076?\u1083?\u1086?\u1078?\u1077?\u1085?\u1080?\u1103?\u1090?\u1072? \u1079?\u1072? \u1088?\u1072?\u1079?\u1088?\u1077?\u1096?\u1077?\u1085?\u1080?\u1103? \u1079?\u1072? \u1080?\u1079?\u1075?\u1086?\u1090?\u1074?\u1103?\u1085?\u1077? \u1085?\u1072? \u1080?\u1079?\u1084?\u1077?\u1085?\u1077?\u1085?\u1080?\u1077? \u1085?\u1072? \u1043?\u1058?\u1055? \u8470? 6 \u1080? \u1079?\u1072? \u1080?\u1079?\u1075?\u1086?\u1090?\u1074?\u1103?\u1085?\u1077? \u1085?\u1072? \u1085?\u1086?\u1074?\u1086? \u1043?\u1058?\u1055? \u1086?\u1090?\u1085?\u1086?\u1089?\u1085?\u1086? \u1086?\u1087?\u1088?\u1077?\u1076?\u1077?\u1083?\u1103?\u1085?\u1077?\u1090?\u1086? \u1085?\u1072? \u1084?\u1086?\u1097?\u1085?\u1086?\u1089?\u1090?\u1090?\u1072? \u1085?\u1072? \u1077?\u1083?\u1077?\u1082?\u1090?\u1088?\u1080?\u1095?\u1077?\u1089?\u1082?\u1080?\u1090?\u1077? \u1087?\u1088?\u1077?\u1074?\u1086?\u1079?\u1085?\u1080? \u1089?\u1088?\u1077?\u1076?\u1089?\u1090?\u107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7470">
      <w:bodyDiv w:val="1"/>
      <w:marLeft w:val="0"/>
      <w:marRight w:val="0"/>
      <w:marTop w:val="0"/>
      <w:marBottom w:val="0"/>
      <w:divBdr>
        <w:top w:val="none" w:sz="0" w:space="0" w:color="auto"/>
        <w:left w:val="none" w:sz="0" w:space="0" w:color="auto"/>
        <w:bottom w:val="none" w:sz="0" w:space="0" w:color="auto"/>
        <w:right w:val="none" w:sz="0" w:space="0" w:color="auto"/>
      </w:divBdr>
    </w:div>
    <w:div w:id="1174107684">
      <w:bodyDiv w:val="1"/>
      <w:marLeft w:val="0"/>
      <w:marRight w:val="0"/>
      <w:marTop w:val="0"/>
      <w:marBottom w:val="0"/>
      <w:divBdr>
        <w:top w:val="none" w:sz="0" w:space="0" w:color="auto"/>
        <w:left w:val="none" w:sz="0" w:space="0" w:color="auto"/>
        <w:bottom w:val="none" w:sz="0" w:space="0" w:color="auto"/>
        <w:right w:val="none" w:sz="0" w:space="0" w:color="auto"/>
      </w:divBdr>
    </w:div>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 w:id="20214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6C35-C724-42EC-8510-9C8EB79E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3002</Words>
  <Characters>16547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2019-09-23T08:48:00Z</cp:lastPrinted>
  <dcterms:created xsi:type="dcterms:W3CDTF">2019-10-11T10:02:00Z</dcterms:created>
  <dcterms:modified xsi:type="dcterms:W3CDTF">2019-10-11T12:10:00Z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