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E9172D8-DB52-4D5B-8DE8-1F8AE9F754A4" style="width:450.55pt;height:493.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rStyle w:val="Marker"/>
          <w:noProof/>
        </w:rPr>
      </w:pPr>
      <w:bookmarkStart w:id="0" w:name="_GoBack"/>
      <w:bookmarkEnd w:id="0"/>
      <w:r>
        <w:rPr>
          <w:noProof/>
        </w:rPr>
        <w:lastRenderedPageBreak/>
        <w:t>ANNEX</w:t>
      </w:r>
    </w:p>
    <w:p>
      <w:pPr>
        <w:rPr>
          <w:noProof/>
        </w:rPr>
      </w:pPr>
    </w:p>
    <w:tbl>
      <w:tblPr>
        <w:tblW w:w="9087" w:type="dxa"/>
        <w:tblInd w:w="93" w:type="dxa"/>
        <w:tblLook w:val="04A0" w:firstRow="1" w:lastRow="0" w:firstColumn="1" w:lastColumn="0" w:noHBand="0" w:noVBand="1"/>
      </w:tblPr>
      <w:tblGrid>
        <w:gridCol w:w="1337"/>
        <w:gridCol w:w="4500"/>
        <w:gridCol w:w="3250"/>
      </w:tblGrid>
      <w:tr>
        <w:trPr>
          <w:trHeight w:val="630"/>
        </w:trPr>
        <w:tc>
          <w:tcPr>
            <w:tcW w:w="1337" w:type="dxa"/>
            <w:tcBorders>
              <w:top w:val="single" w:sz="8" w:space="0" w:color="auto"/>
              <w:left w:val="single" w:sz="8" w:space="0" w:color="auto"/>
              <w:bottom w:val="single" w:sz="4" w:space="0" w:color="auto"/>
              <w:right w:val="single" w:sz="4" w:space="0" w:color="auto"/>
            </w:tcBorders>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Regulation No</w:t>
            </w:r>
          </w:p>
        </w:tc>
        <w:tc>
          <w:tcPr>
            <w:tcW w:w="4500"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Agenda item title</w:t>
            </w:r>
          </w:p>
        </w:tc>
        <w:tc>
          <w:tcPr>
            <w:tcW w:w="3250"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Document reference</w:t>
            </w:r>
            <w:r>
              <w:rPr>
                <w:rStyle w:val="FootnoteReference"/>
                <w:rFonts w:eastAsia="Times New Roman"/>
                <w:b/>
                <w:bCs/>
                <w:noProof/>
                <w:sz w:val="20"/>
                <w:szCs w:val="20"/>
                <w:lang w:eastAsia="en-GB"/>
              </w:rPr>
              <w:footnoteReference w:id="1"/>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0</w:t>
            </w:r>
          </w:p>
        </w:tc>
        <w:tc>
          <w:tcPr>
            <w:tcW w:w="450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 xml:space="preserve">Proposal for Supplement 1 to the original series of UN Regulation No.0 (IWVTA) </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rPr>
            </w:pPr>
            <w:r>
              <w:rPr>
                <w:noProof/>
                <w:sz w:val="20"/>
                <w:szCs w:val="20"/>
              </w:rPr>
              <w:t xml:space="preserve">ECE/TRANS/WP.29/2019/74 </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0</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Proposal for Supplement 1 to the 01 series of UN Regulation No.0 (IWVTA)</w:t>
            </w:r>
          </w:p>
        </w:tc>
        <w:tc>
          <w:tcPr>
            <w:tcW w:w="3250" w:type="dxa"/>
            <w:tcBorders>
              <w:top w:val="nil"/>
              <w:left w:val="nil"/>
              <w:bottom w:val="single" w:sz="4" w:space="0" w:color="auto"/>
              <w:right w:val="single" w:sz="4" w:space="0" w:color="auto"/>
            </w:tcBorders>
            <w:shd w:val="clear" w:color="auto" w:fill="auto"/>
          </w:tcPr>
          <w:p>
            <w:pPr>
              <w:pStyle w:val="Default"/>
              <w:rPr>
                <w:noProof/>
                <w:sz w:val="20"/>
              </w:rPr>
            </w:pPr>
            <w:r>
              <w:rPr>
                <w:noProof/>
                <w:sz w:val="20"/>
                <w:szCs w:val="20"/>
              </w:rPr>
              <w:t>ECE/TRANS/WP.29/2019/75</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0</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Proposal for a new 02 series of amendments to UN Regulation No.0 (IWVTA)</w:t>
            </w:r>
          </w:p>
        </w:tc>
        <w:tc>
          <w:tcPr>
            <w:tcW w:w="325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ECE/TRANS/WP.29/2019/76</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16</w:t>
            </w:r>
          </w:p>
        </w:tc>
        <w:tc>
          <w:tcPr>
            <w:tcW w:w="450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 xml:space="preserve">Proposal for Supplement 12 to the 06 series of amendments to UN Regulation No. 16 (Safety-belts) </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ECE/TRANS/WP.29/2019/104</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16</w:t>
            </w:r>
          </w:p>
        </w:tc>
        <w:tc>
          <w:tcPr>
            <w:tcW w:w="450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 xml:space="preserve">Proposal for Supplement 5 to the 07 series of amendments to UN Regulation No. 16 (Safety-belts) </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ECE/TRANS/WP.29/2019/105</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17</w:t>
            </w:r>
          </w:p>
        </w:tc>
        <w:tc>
          <w:tcPr>
            <w:tcW w:w="450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 xml:space="preserve">Proposal for Corrigendum 1 to the 08 series of amendments to UN Regulation No. 17 (Strength of seats) </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ECE/TRANS/WP.29/2019/115</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17</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 xml:space="preserve">Proposal for Corrigendum 1 to the 09 series of amendments to UN Regulation No. 17 (Strength of seats) </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ECE/TRANS/WP.29/2019/116</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21</w:t>
            </w:r>
          </w:p>
        </w:tc>
        <w:tc>
          <w:tcPr>
            <w:tcW w:w="450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 xml:space="preserve">Proposal for Supplement 4 the 01 series of amendments to UN Regulation No. 21 (Interior fittings) </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ECE/TRANS/WP.29/2019/106</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29</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 xml:space="preserve">Proposal for Supplement 5 to the 03 series of amendments to UN Regulation No. 29 (Cabs of commercial vehicles) </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ECE/TRANS/WP.29/2019/107</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43</w:t>
            </w:r>
          </w:p>
        </w:tc>
        <w:tc>
          <w:tcPr>
            <w:tcW w:w="450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Proposal for Supplement 9 to the 01 series of amendments to UN Regulation No. 43 (Safety glazing)</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ECE/TRANS/WP.29/2019/95</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44</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 xml:space="preserve">Proposal for Supplement 17 to the 04 series of amendments to UN Regulation No. 44 (Child Restraint Systems) </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ECE/TRANS/WP.29/2019/108</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48</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 xml:space="preserve">Proposal for Supplement 13 to the 06 series of amendments to UN Regulation No. 48 (Installation of lighting and light-signalling devices) </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ECE/TRANS/WP.29/2019/84</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53</w:t>
            </w:r>
          </w:p>
        </w:tc>
        <w:tc>
          <w:tcPr>
            <w:tcW w:w="450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 xml:space="preserve">Proposal for a new 03 series of amendments to UN Regulation No 53 </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lang w:val="fr-BE"/>
              </w:rPr>
            </w:pPr>
            <w:r>
              <w:rPr>
                <w:noProof/>
                <w:sz w:val="20"/>
                <w:szCs w:val="20"/>
                <w:lang w:val="fr-BE"/>
              </w:rPr>
              <w:t>ECE/TRANS/WP.29/2019/80</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53</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 xml:space="preserve">Proposal for Supplement 3 to the 02 series of amendments to UN Regulation No.53 (Installation of lighting and light-signalling devices for L3 vehicles) </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ECE/TRANS/WP.29/2019/85</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53</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 xml:space="preserve">Proposal for Supplement 21 to the 01 series of amendments to UN Regulation No.53 (Installation of lighting and light-signalling devices for L3 vehicles) </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ECE/TRANS/WP.29/2019/86</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55</w:t>
            </w:r>
          </w:p>
        </w:tc>
        <w:tc>
          <w:tcPr>
            <w:tcW w:w="450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Proposal for Supplement 8 to the 01 series of amendments to UN Regulation No. 55 (Mechanical couplings)</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ECE/TRANS/WP.29/2019/96</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58</w:t>
            </w:r>
          </w:p>
        </w:tc>
        <w:tc>
          <w:tcPr>
            <w:tcW w:w="450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Proposal for Supplement 1 to the 03 series of amendments to UN Regulation No. 58 (Rear underrun protection)</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ECE/TRANS/WP.29/2019/97</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67</w:t>
            </w:r>
          </w:p>
        </w:tc>
        <w:tc>
          <w:tcPr>
            <w:tcW w:w="450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Proposal for the 03 series of amendments to UN Regulation No. 67 (LPG vehicles)</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ECE/TRANS/WP.29/2019/94</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67</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Proposal for Supplement 2 to the 02 series of amendments to UN Regulation No. 67 (LPG vehicles),</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ECE/TRANS/WP.29/2019/98</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74</w:t>
            </w:r>
          </w:p>
        </w:tc>
        <w:tc>
          <w:tcPr>
            <w:tcW w:w="4500" w:type="dxa"/>
            <w:tcBorders>
              <w:top w:val="nil"/>
              <w:left w:val="nil"/>
              <w:bottom w:val="single" w:sz="4" w:space="0" w:color="auto"/>
              <w:right w:val="single" w:sz="4" w:space="0" w:color="auto"/>
            </w:tcBorders>
            <w:shd w:val="clear" w:color="auto" w:fill="auto"/>
          </w:tcPr>
          <w:p>
            <w:pPr>
              <w:autoSpaceDE w:val="0"/>
              <w:autoSpaceDN w:val="0"/>
              <w:adjustRightInd w:val="0"/>
              <w:spacing w:before="0" w:after="0"/>
              <w:rPr>
                <w:rFonts w:eastAsia="Times New Roman"/>
                <w:noProof/>
                <w:color w:val="000000"/>
                <w:sz w:val="20"/>
                <w:szCs w:val="20"/>
                <w:lang w:eastAsia="en-GB"/>
              </w:rPr>
            </w:pPr>
            <w:r>
              <w:rPr>
                <w:rFonts w:eastAsia="Times New Roman"/>
                <w:noProof/>
                <w:color w:val="000000"/>
                <w:sz w:val="20"/>
                <w:szCs w:val="20"/>
                <w:lang w:eastAsia="en-GB"/>
              </w:rPr>
              <w:t xml:space="preserve">Proposal for a new 02 series of amendments to UN Regulation No. 74 (Installation of lighting and light-signalling devices for mopeds) </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ECE/TRANS/WP.29/2019/79</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74</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 xml:space="preserve">Proposal for Supplement 11 to the 01 series of amendments to UN Regulation No. 74 (Installation of lighting and light-signalling devices for mopeds) </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ECE/TRANS/WP.29/2019/87</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80</w:t>
            </w:r>
          </w:p>
        </w:tc>
        <w:tc>
          <w:tcPr>
            <w:tcW w:w="450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Proposal for the 04 series of amendments to UN Regulation No. 80 (Strength of seats and their anchorages (buses))</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ECE/TRANS/WP.29/2019/103</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83</w:t>
            </w:r>
          </w:p>
        </w:tc>
        <w:tc>
          <w:tcPr>
            <w:tcW w:w="450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Proposal for Supplement 10 to the 07 series of amendments to UN Regulation No. 83 (Emissions of M</w:t>
            </w:r>
            <w:r>
              <w:rPr>
                <w:noProof/>
                <w:sz w:val="13"/>
                <w:szCs w:val="13"/>
              </w:rPr>
              <w:t xml:space="preserve">1 </w:t>
            </w:r>
            <w:r>
              <w:rPr>
                <w:noProof/>
                <w:sz w:val="20"/>
                <w:szCs w:val="20"/>
              </w:rPr>
              <w:t>and N</w:t>
            </w:r>
            <w:r>
              <w:rPr>
                <w:noProof/>
                <w:sz w:val="13"/>
                <w:szCs w:val="13"/>
              </w:rPr>
              <w:t xml:space="preserve">1 </w:t>
            </w:r>
            <w:r>
              <w:rPr>
                <w:noProof/>
                <w:sz w:val="20"/>
                <w:szCs w:val="20"/>
              </w:rPr>
              <w:t xml:space="preserve">vehicles) </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ECE/TRANS/WP.29/2019/127</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85</w:t>
            </w:r>
          </w:p>
        </w:tc>
        <w:tc>
          <w:tcPr>
            <w:tcW w:w="450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 xml:space="preserve">Proposal for Supplement 10 to UN Regulation No. 85 (Measurement of the net power and the 30 min. power) </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ECE/TRANS/WP.29/2019/112</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86</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 xml:space="preserve">Proposal for Supplement 2 to the 01 series of amendments to Regulation No. 86 (Installation of lighting and light-signalling devices for agricultural vehicles) </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ECE/TRANS/WP.29/2019/88</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98</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 xml:space="preserve">Proposal for Supplement 1 to the 02 series of amendments to UN Regulation No. 98 </w:t>
            </w:r>
          </w:p>
          <w:p>
            <w:pPr>
              <w:pStyle w:val="Default"/>
              <w:rPr>
                <w:noProof/>
                <w:sz w:val="20"/>
                <w:szCs w:val="20"/>
              </w:rPr>
            </w:pPr>
            <w:r>
              <w:rPr>
                <w:noProof/>
                <w:sz w:val="20"/>
                <w:szCs w:val="20"/>
              </w:rPr>
              <w:t>(Headlamps with gas-discharge light sources)</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ECE/TRANS/WP.29/2019/89</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107</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Proposal for Supplement 8 to the 06 series of amendments to UN Regulation No. 107 (M2 and M3 vehicles)</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ECE/TRANS/WP.29/2019/99</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107</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Proposal for Supplement 7 to the 07 series of amendments to UN Regulation No. 107 (M2 and M3 vehicles)</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ECE/TRANS/WP.29/2019/100</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107</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Proposal for Supplement 2 to the 08 series of amendments to UN Regulation No. 107 (M2 and M3 vehicles)</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ECE/TRANS/WP.29/2019/101</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112</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 xml:space="preserve">Proposal for Supplement 1 to the 02 series of amendments to UN Regulation No. 112 (Headlamps emitting an asymmetrical passing-beam) </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ECE/TRANS/WP.29/2019/90</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113</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 xml:space="preserve">Proposal for Supplement 1 to the 03 series of amendments to UN Regulation No. 113 (Headlamps emitting a symmetrical passing-beam) </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ECE/TRANS/WP.29/2019/91</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115</w:t>
            </w:r>
          </w:p>
        </w:tc>
        <w:tc>
          <w:tcPr>
            <w:tcW w:w="450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 xml:space="preserve">Proposal for Supplement 9 to UN Regulation No. 115 (LPG and CNG retrofit systems) </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ECE/TRANS/WP.29/2019/113</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116</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Proposal for Supplement 7 to UN Regulation No. 116 (Anti-theft and alarm systems)</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ECE/TRANS/WP.29/2019/102</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123</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 xml:space="preserve">Proposal for Supplement 1 to the 02 series of amendments to UN Regulation No. 123 (Adaptive front lighting systems (AFS)) </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ECE/TRANS/WP.29/2019/92</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129</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 xml:space="preserve">Proposal for Supplement 3 to the 03 series of amendments to UN Regulation No. 129 (Enhanced Child Restraint Systems) </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ECE/TRANS/WP.29/2019/109</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135</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 xml:space="preserve">Proposal for Supplement 2 to the original series of UN Regulation No. 135 (Pole Side Impact (PSI)) </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ECE/TRANS/WP.29/2019/110</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135</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 xml:space="preserve">Proposal for Supplement 2 to the 01 series of amendments to UN Regulation No. 135 (Pole Side Impact (PSI)) </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ECE/TRANS/WP.29/2019/111</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148</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 xml:space="preserve">Proposal for Supplement 1 to the original series of UN Regulation No. [148] on Light-Signalling Devices (LSD) </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ECE/TRANS/WP.29/2019/81</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149</w:t>
            </w:r>
          </w:p>
        </w:tc>
        <w:tc>
          <w:tcPr>
            <w:tcW w:w="4500"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sz w:val="20"/>
                <w:szCs w:val="20"/>
              </w:rPr>
              <w:t xml:space="preserve">Proposal for Supplement 1 to the original series of UN Regulation No. [149] on Road Illumination Devices (RID) </w:t>
            </w:r>
          </w:p>
        </w:tc>
        <w:tc>
          <w:tcPr>
            <w:tcW w:w="3250"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ECE/TRANS/WP.29/2019/82</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149</w:t>
            </w:r>
          </w:p>
        </w:tc>
        <w:tc>
          <w:tcPr>
            <w:tcW w:w="4500" w:type="dxa"/>
            <w:tcBorders>
              <w:top w:val="single" w:sz="4" w:space="0" w:color="auto"/>
              <w:left w:val="nil"/>
              <w:bottom w:val="single" w:sz="4" w:space="0" w:color="auto"/>
              <w:right w:val="single" w:sz="4" w:space="0" w:color="auto"/>
            </w:tcBorders>
            <w:shd w:val="clear" w:color="auto" w:fill="auto"/>
          </w:tcPr>
          <w:p>
            <w:pPr>
              <w:pStyle w:val="Default"/>
              <w:rPr>
                <w:noProof/>
                <w:sz w:val="20"/>
                <w:szCs w:val="20"/>
              </w:rPr>
            </w:pPr>
            <w:r>
              <w:rPr>
                <w:noProof/>
                <w:sz w:val="20"/>
                <w:szCs w:val="20"/>
              </w:rPr>
              <w:t xml:space="preserve">Proposal for Supplement 2 to the original series of UN Regulation No. [149] on Road Illumination Devices (RID) </w:t>
            </w:r>
          </w:p>
        </w:tc>
        <w:tc>
          <w:tcPr>
            <w:tcW w:w="3250" w:type="dxa"/>
            <w:tcBorders>
              <w:top w:val="single" w:sz="4" w:space="0" w:color="auto"/>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ECE/TRANS/WP.29/2019/125</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150</w:t>
            </w:r>
          </w:p>
        </w:tc>
        <w:tc>
          <w:tcPr>
            <w:tcW w:w="4500" w:type="dxa"/>
            <w:tcBorders>
              <w:top w:val="single" w:sz="4" w:space="0" w:color="auto"/>
              <w:left w:val="nil"/>
              <w:bottom w:val="single" w:sz="4" w:space="0" w:color="auto"/>
              <w:right w:val="single" w:sz="4" w:space="0" w:color="auto"/>
            </w:tcBorders>
            <w:shd w:val="clear" w:color="auto" w:fill="auto"/>
          </w:tcPr>
          <w:p>
            <w:pPr>
              <w:pStyle w:val="Default"/>
              <w:jc w:val="both"/>
              <w:rPr>
                <w:noProof/>
                <w:sz w:val="20"/>
                <w:szCs w:val="20"/>
                <w:lang w:val="fr-BE"/>
              </w:rPr>
            </w:pPr>
            <w:r>
              <w:rPr>
                <w:noProof/>
                <w:sz w:val="20"/>
                <w:szCs w:val="20"/>
              </w:rPr>
              <w:t xml:space="preserve">Proposal for Supplement 1 to the original series of UN Regulation No. </w:t>
            </w:r>
            <w:r>
              <w:rPr>
                <w:noProof/>
                <w:sz w:val="20"/>
                <w:szCs w:val="20"/>
                <w:lang w:val="fr-BE"/>
              </w:rPr>
              <w:t xml:space="preserve">[150] on Retro-Reflective Devices (RRD) </w:t>
            </w:r>
          </w:p>
        </w:tc>
        <w:tc>
          <w:tcPr>
            <w:tcW w:w="3250" w:type="dxa"/>
            <w:tcBorders>
              <w:top w:val="single" w:sz="4" w:space="0" w:color="auto"/>
              <w:left w:val="nil"/>
              <w:bottom w:val="single" w:sz="4" w:space="0" w:color="auto"/>
              <w:right w:val="single" w:sz="4" w:space="0" w:color="auto"/>
            </w:tcBorders>
            <w:shd w:val="clear" w:color="auto" w:fill="auto"/>
          </w:tcPr>
          <w:p>
            <w:pPr>
              <w:pStyle w:val="Default"/>
              <w:jc w:val="both"/>
              <w:rPr>
                <w:noProof/>
                <w:sz w:val="20"/>
                <w:szCs w:val="20"/>
              </w:rPr>
            </w:pPr>
            <w:r>
              <w:rPr>
                <w:noProof/>
                <w:sz w:val="20"/>
                <w:szCs w:val="20"/>
              </w:rPr>
              <w:t>ECE/TRANS/WP.29/2019/83</w:t>
            </w:r>
          </w:p>
        </w:tc>
      </w:tr>
    </w:tbl>
    <w:p>
      <w:pPr>
        <w:pStyle w:val="Default"/>
        <w:rPr>
          <w:rFonts w:eastAsia="MS Mincho"/>
          <w:noProof/>
          <w:color w:val="auto"/>
          <w:sz w:val="20"/>
          <w:szCs w:val="20"/>
          <w:lang w:val="fr-BE" w:eastAsia="ja-JP"/>
        </w:rPr>
      </w:pP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4678"/>
        <w:gridCol w:w="2977"/>
      </w:tblGrid>
      <w:tr>
        <w:trPr>
          <w:trHeight w:val="465"/>
        </w:trPr>
        <w:tc>
          <w:tcPr>
            <w:tcW w:w="1291"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GTR No</w:t>
            </w:r>
          </w:p>
        </w:tc>
        <w:tc>
          <w:tcPr>
            <w:tcW w:w="4678"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Agenda item title</w:t>
            </w:r>
          </w:p>
        </w:tc>
        <w:tc>
          <w:tcPr>
            <w:tcW w:w="2977"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Document reference</w:t>
            </w:r>
          </w:p>
        </w:tc>
      </w:tr>
      <w:tr>
        <w:trPr>
          <w:trHeight w:val="600"/>
        </w:trPr>
        <w:tc>
          <w:tcPr>
            <w:tcW w:w="1291" w:type="dxa"/>
            <w:shd w:val="clear" w:color="auto" w:fill="auto"/>
          </w:tcPr>
          <w:p>
            <w:pPr>
              <w:rPr>
                <w:noProof/>
                <w:sz w:val="20"/>
                <w:szCs w:val="20"/>
              </w:rPr>
            </w:pPr>
            <w:r>
              <w:rPr>
                <w:noProof/>
                <w:sz w:val="20"/>
                <w:szCs w:val="20"/>
              </w:rPr>
              <w:t>2</w:t>
            </w:r>
          </w:p>
        </w:tc>
        <w:tc>
          <w:tcPr>
            <w:tcW w:w="4678" w:type="dxa"/>
            <w:shd w:val="clear" w:color="auto" w:fill="auto"/>
          </w:tcPr>
          <w:p>
            <w:pPr>
              <w:pStyle w:val="Default"/>
              <w:jc w:val="both"/>
              <w:rPr>
                <w:noProof/>
                <w:sz w:val="20"/>
                <w:szCs w:val="20"/>
              </w:rPr>
            </w:pPr>
            <w:r>
              <w:rPr>
                <w:noProof/>
                <w:sz w:val="20"/>
                <w:szCs w:val="20"/>
              </w:rPr>
              <w:t xml:space="preserve">Proposal for Amendment 4 to UN GTR No. 2 (on the measurement procedure for two- wheeled motorcycles equipped with a positive or compression ignition engine with regard to the emissions of gaseous pollutants, CO2 emissions and fuel consumption) </w:t>
            </w:r>
          </w:p>
          <w:p>
            <w:pPr>
              <w:pStyle w:val="SingleTxtG"/>
              <w:ind w:left="147" w:right="141"/>
              <w:rPr>
                <w:rFonts w:ascii="Times New Roman" w:hAnsi="Times New Roman" w:cs="Times New Roman"/>
                <w:noProof/>
                <w:sz w:val="20"/>
                <w:szCs w:val="20"/>
              </w:rPr>
            </w:pPr>
          </w:p>
          <w:p>
            <w:pPr>
              <w:pStyle w:val="Default"/>
              <w:jc w:val="both"/>
              <w:rPr>
                <w:noProof/>
                <w:sz w:val="20"/>
                <w:szCs w:val="20"/>
              </w:rPr>
            </w:pPr>
            <w:r>
              <w:rPr>
                <w:noProof/>
                <w:sz w:val="20"/>
                <w:szCs w:val="20"/>
              </w:rPr>
              <w:t xml:space="preserve">Technical report on the development of Amendment 4 to UN GTR No. 2 (on the measurement procedure for two- wheeled motorcycles equipped with a positive or compression ignition engine with regard to the emissions of gaseous pollutants, CO2 emissions and fuel consumption) </w:t>
            </w:r>
          </w:p>
          <w:p>
            <w:pPr>
              <w:pStyle w:val="SingleTxtG"/>
              <w:ind w:left="147" w:right="141"/>
              <w:rPr>
                <w:rFonts w:ascii="Times New Roman" w:hAnsi="Times New Roman" w:cs="Times New Roman"/>
                <w:noProof/>
                <w:sz w:val="20"/>
                <w:szCs w:val="20"/>
              </w:rPr>
            </w:pPr>
          </w:p>
          <w:p>
            <w:pPr>
              <w:pStyle w:val="Default"/>
              <w:rPr>
                <w:noProof/>
                <w:sz w:val="20"/>
              </w:rPr>
            </w:pPr>
            <w:r>
              <w:rPr>
                <w:noProof/>
                <w:sz w:val="20"/>
                <w:szCs w:val="20"/>
              </w:rPr>
              <w:t xml:space="preserve">Authorization to develop amendment 4 to the global technical regulation </w:t>
            </w:r>
          </w:p>
        </w:tc>
        <w:tc>
          <w:tcPr>
            <w:tcW w:w="2977" w:type="dxa"/>
            <w:shd w:val="clear" w:color="auto" w:fill="auto"/>
          </w:tcPr>
          <w:p>
            <w:pPr>
              <w:rPr>
                <w:noProof/>
                <w:sz w:val="20"/>
                <w:szCs w:val="20"/>
              </w:rPr>
            </w:pPr>
            <w:r>
              <w:rPr>
                <w:noProof/>
                <w:sz w:val="20"/>
                <w:szCs w:val="20"/>
              </w:rPr>
              <w:t>ECE/TRANS/WP.29/2019/121</w:t>
            </w:r>
          </w:p>
          <w:p>
            <w:pPr>
              <w:rPr>
                <w:noProof/>
                <w:sz w:val="20"/>
                <w:szCs w:val="20"/>
              </w:rPr>
            </w:pPr>
          </w:p>
          <w:p>
            <w:pPr>
              <w:rPr>
                <w:noProof/>
                <w:sz w:val="20"/>
                <w:szCs w:val="20"/>
              </w:rPr>
            </w:pPr>
          </w:p>
          <w:p>
            <w:pPr>
              <w:rPr>
                <w:noProof/>
                <w:sz w:val="20"/>
                <w:szCs w:val="20"/>
              </w:rPr>
            </w:pPr>
          </w:p>
          <w:p>
            <w:pPr>
              <w:rPr>
                <w:noProof/>
                <w:sz w:val="20"/>
                <w:szCs w:val="20"/>
              </w:rPr>
            </w:pPr>
            <w:r>
              <w:rPr>
                <w:noProof/>
                <w:sz w:val="20"/>
                <w:szCs w:val="20"/>
              </w:rPr>
              <w:t>ECE/TRANS/WP.29/2019/122</w:t>
            </w: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r>
              <w:rPr>
                <w:noProof/>
                <w:sz w:val="20"/>
                <w:szCs w:val="20"/>
              </w:rPr>
              <w:t>ECE/TRANS/WP.29/AC.3/36/Rev.1</w:t>
            </w:r>
          </w:p>
        </w:tc>
      </w:tr>
    </w:tbl>
    <w:p>
      <w:pPr>
        <w:pStyle w:val="Default"/>
        <w:rPr>
          <w:rFonts w:eastAsia="MS Mincho"/>
          <w:noProof/>
          <w:color w:val="auto"/>
          <w:sz w:val="20"/>
          <w:szCs w:val="20"/>
          <w:lang w:eastAsia="ja-JP"/>
        </w:rPr>
      </w:pPr>
      <w:r>
        <w:rPr>
          <w:rFonts w:eastAsia="MS Mincho"/>
          <w:noProof/>
          <w:color w:val="auto"/>
          <w:sz w:val="20"/>
          <w:szCs w:val="20"/>
          <w:lang w:eastAsia="ja-JP"/>
        </w:rPr>
        <w:t xml:space="preserve"> </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4678"/>
        <w:gridCol w:w="2977"/>
      </w:tblGrid>
      <w:tr>
        <w:trPr>
          <w:trHeight w:val="465"/>
        </w:trPr>
        <w:tc>
          <w:tcPr>
            <w:tcW w:w="1291"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Resolution No</w:t>
            </w:r>
          </w:p>
        </w:tc>
        <w:tc>
          <w:tcPr>
            <w:tcW w:w="4678"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Agenda item title</w:t>
            </w:r>
          </w:p>
        </w:tc>
        <w:tc>
          <w:tcPr>
            <w:tcW w:w="2977"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Document reference</w:t>
            </w:r>
          </w:p>
        </w:tc>
      </w:tr>
      <w:tr>
        <w:trPr>
          <w:trHeight w:val="600"/>
        </w:trPr>
        <w:tc>
          <w:tcPr>
            <w:tcW w:w="1291" w:type="dxa"/>
            <w:shd w:val="clear" w:color="auto" w:fill="auto"/>
          </w:tcPr>
          <w:p>
            <w:pPr>
              <w:rPr>
                <w:noProof/>
                <w:sz w:val="20"/>
                <w:szCs w:val="20"/>
              </w:rPr>
            </w:pPr>
            <w:r>
              <w:rPr>
                <w:noProof/>
                <w:sz w:val="20"/>
                <w:szCs w:val="20"/>
              </w:rPr>
              <w:t>R.E.3</w:t>
            </w:r>
          </w:p>
        </w:tc>
        <w:tc>
          <w:tcPr>
            <w:tcW w:w="4678" w:type="dxa"/>
            <w:shd w:val="clear" w:color="auto" w:fill="auto"/>
          </w:tcPr>
          <w:p>
            <w:pPr>
              <w:pStyle w:val="Default"/>
              <w:jc w:val="both"/>
              <w:rPr>
                <w:noProof/>
                <w:sz w:val="20"/>
                <w:szCs w:val="20"/>
              </w:rPr>
            </w:pPr>
            <w:r>
              <w:rPr>
                <w:noProof/>
                <w:sz w:val="20"/>
                <w:szCs w:val="20"/>
              </w:rPr>
              <w:t>Proposal for an amendment to the Consolidated Resolution on the Construction of Vehicles (R.E.3)</w:t>
            </w:r>
          </w:p>
        </w:tc>
        <w:tc>
          <w:tcPr>
            <w:tcW w:w="2977" w:type="dxa"/>
            <w:shd w:val="clear" w:color="auto" w:fill="auto"/>
          </w:tcPr>
          <w:p>
            <w:pPr>
              <w:rPr>
                <w:noProof/>
                <w:sz w:val="20"/>
                <w:szCs w:val="20"/>
              </w:rPr>
            </w:pPr>
            <w:r>
              <w:rPr>
                <w:noProof/>
                <w:sz w:val="20"/>
                <w:szCs w:val="20"/>
              </w:rPr>
              <w:t>ECE/TRANS/WP.29/2019/117</w:t>
            </w:r>
          </w:p>
        </w:tc>
      </w:tr>
      <w:tr>
        <w:trPr>
          <w:trHeight w:val="600"/>
        </w:trPr>
        <w:tc>
          <w:tcPr>
            <w:tcW w:w="1291" w:type="dxa"/>
            <w:shd w:val="clear" w:color="auto" w:fill="auto"/>
          </w:tcPr>
          <w:p>
            <w:pPr>
              <w:rPr>
                <w:noProof/>
                <w:sz w:val="20"/>
                <w:szCs w:val="20"/>
              </w:rPr>
            </w:pPr>
            <w:r>
              <w:rPr>
                <w:noProof/>
                <w:sz w:val="20"/>
                <w:szCs w:val="20"/>
              </w:rPr>
              <w:t>R.E.3</w:t>
            </w:r>
          </w:p>
        </w:tc>
        <w:tc>
          <w:tcPr>
            <w:tcW w:w="4678" w:type="dxa"/>
            <w:shd w:val="clear" w:color="auto" w:fill="auto"/>
          </w:tcPr>
          <w:p>
            <w:pPr>
              <w:pStyle w:val="Default"/>
              <w:rPr>
                <w:rFonts w:eastAsiaTheme="minorHAnsi"/>
                <w:noProof/>
                <w:color w:val="auto"/>
                <w:sz w:val="20"/>
                <w:szCs w:val="20"/>
              </w:rPr>
            </w:pPr>
            <w:r>
              <w:rPr>
                <w:rFonts w:eastAsiaTheme="minorHAnsi"/>
                <w:noProof/>
                <w:color w:val="auto"/>
                <w:sz w:val="20"/>
                <w:szCs w:val="20"/>
              </w:rPr>
              <w:t xml:space="preserve">Proposal for an amendment to Annex IV of Consolidated Resolution on the Construction of Vehicles (R.E. 3) </w:t>
            </w:r>
          </w:p>
        </w:tc>
        <w:tc>
          <w:tcPr>
            <w:tcW w:w="2977" w:type="dxa"/>
            <w:shd w:val="clear" w:color="auto" w:fill="auto"/>
          </w:tcPr>
          <w:p>
            <w:pPr>
              <w:rPr>
                <w:noProof/>
                <w:sz w:val="20"/>
                <w:szCs w:val="20"/>
              </w:rPr>
            </w:pPr>
            <w:r>
              <w:rPr>
                <w:noProof/>
                <w:sz w:val="20"/>
                <w:szCs w:val="20"/>
              </w:rPr>
              <w:t>ECE/TRANS/WP.29/2019/118,</w:t>
            </w:r>
          </w:p>
          <w:p>
            <w:pPr>
              <w:rPr>
                <w:noProof/>
                <w:sz w:val="20"/>
                <w:szCs w:val="20"/>
              </w:rPr>
            </w:pPr>
            <w:r>
              <w:rPr>
                <w:noProof/>
                <w:sz w:val="20"/>
                <w:szCs w:val="20"/>
              </w:rPr>
              <w:t>WP.29-179-06</w:t>
            </w:r>
          </w:p>
        </w:tc>
      </w:tr>
      <w:tr>
        <w:trPr>
          <w:trHeight w:val="600"/>
        </w:trPr>
        <w:tc>
          <w:tcPr>
            <w:tcW w:w="1291" w:type="dxa"/>
            <w:shd w:val="clear" w:color="auto" w:fill="auto"/>
          </w:tcPr>
          <w:p>
            <w:pPr>
              <w:rPr>
                <w:noProof/>
                <w:sz w:val="20"/>
                <w:szCs w:val="20"/>
              </w:rPr>
            </w:pPr>
            <w:r>
              <w:rPr>
                <w:noProof/>
                <w:sz w:val="20"/>
                <w:szCs w:val="20"/>
              </w:rPr>
              <w:t>R.E.5</w:t>
            </w:r>
          </w:p>
        </w:tc>
        <w:tc>
          <w:tcPr>
            <w:tcW w:w="4678" w:type="dxa"/>
            <w:shd w:val="clear" w:color="auto" w:fill="auto"/>
          </w:tcPr>
          <w:p>
            <w:pPr>
              <w:pStyle w:val="Default"/>
              <w:jc w:val="both"/>
              <w:rPr>
                <w:noProof/>
                <w:sz w:val="20"/>
                <w:szCs w:val="20"/>
              </w:rPr>
            </w:pPr>
            <w:r>
              <w:rPr>
                <w:noProof/>
                <w:sz w:val="20"/>
                <w:szCs w:val="20"/>
              </w:rPr>
              <w:t xml:space="preserve">Proposal for amendment 4 to the Consolidated Resolution on the common specification of light source categories (R.E.5) </w:t>
            </w:r>
          </w:p>
        </w:tc>
        <w:tc>
          <w:tcPr>
            <w:tcW w:w="2977" w:type="dxa"/>
            <w:shd w:val="clear" w:color="auto" w:fill="auto"/>
          </w:tcPr>
          <w:p>
            <w:pPr>
              <w:rPr>
                <w:noProof/>
                <w:sz w:val="20"/>
                <w:szCs w:val="20"/>
              </w:rPr>
            </w:pPr>
            <w:r>
              <w:rPr>
                <w:noProof/>
                <w:sz w:val="20"/>
                <w:szCs w:val="20"/>
              </w:rPr>
              <w:t>ECE/TRANS/WP.29/2019/126</w:t>
            </w:r>
          </w:p>
        </w:tc>
      </w:tr>
      <w:tr>
        <w:trPr>
          <w:trHeight w:val="600"/>
        </w:trPr>
        <w:tc>
          <w:tcPr>
            <w:tcW w:w="1291" w:type="dxa"/>
            <w:shd w:val="clear" w:color="auto" w:fill="auto"/>
          </w:tcPr>
          <w:p>
            <w:pPr>
              <w:rPr>
                <w:noProof/>
                <w:sz w:val="20"/>
                <w:szCs w:val="20"/>
              </w:rPr>
            </w:pPr>
            <w:r>
              <w:rPr>
                <w:noProof/>
                <w:sz w:val="20"/>
                <w:szCs w:val="20"/>
              </w:rPr>
              <w:t>MR.1</w:t>
            </w:r>
          </w:p>
        </w:tc>
        <w:tc>
          <w:tcPr>
            <w:tcW w:w="4678" w:type="dxa"/>
            <w:shd w:val="clear" w:color="auto" w:fill="auto"/>
          </w:tcPr>
          <w:p>
            <w:pPr>
              <w:pStyle w:val="Default"/>
              <w:jc w:val="both"/>
              <w:rPr>
                <w:noProof/>
                <w:sz w:val="20"/>
                <w:szCs w:val="20"/>
              </w:rPr>
            </w:pPr>
            <w:r>
              <w:rPr>
                <w:noProof/>
                <w:sz w:val="20"/>
                <w:szCs w:val="20"/>
              </w:rPr>
              <w:t xml:space="preserve">Proposal for Amendment 2 to Mutual Resolution No. 1 (MR.1) — Draft Addendum 3 </w:t>
            </w:r>
          </w:p>
        </w:tc>
        <w:tc>
          <w:tcPr>
            <w:tcW w:w="2977" w:type="dxa"/>
            <w:shd w:val="clear" w:color="auto" w:fill="auto"/>
          </w:tcPr>
          <w:p>
            <w:pPr>
              <w:rPr>
                <w:noProof/>
                <w:sz w:val="20"/>
                <w:szCs w:val="20"/>
              </w:rPr>
            </w:pPr>
            <w:r>
              <w:rPr>
                <w:noProof/>
                <w:sz w:val="20"/>
                <w:szCs w:val="20"/>
              </w:rPr>
              <w:t>ECE/TRANS/WP.29/2019/119</w:t>
            </w:r>
          </w:p>
        </w:tc>
      </w:tr>
    </w:tbl>
    <w:p>
      <w:pPr>
        <w:rPr>
          <w:noProof/>
          <w:sz w:val="20"/>
          <w:szCs w:val="20"/>
        </w:rPr>
      </w:pP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4678"/>
        <w:gridCol w:w="2977"/>
      </w:tblGrid>
      <w:tr>
        <w:trPr>
          <w:trHeight w:val="465"/>
        </w:trPr>
        <w:tc>
          <w:tcPr>
            <w:tcW w:w="1291"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Miscellaneous</w:t>
            </w:r>
          </w:p>
        </w:tc>
        <w:tc>
          <w:tcPr>
            <w:tcW w:w="4678"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Agenda item title</w:t>
            </w:r>
          </w:p>
        </w:tc>
        <w:tc>
          <w:tcPr>
            <w:tcW w:w="2977"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Document reference</w:t>
            </w:r>
          </w:p>
        </w:tc>
      </w:tr>
      <w:tr>
        <w:trPr>
          <w:trHeight w:val="600"/>
        </w:trPr>
        <w:tc>
          <w:tcPr>
            <w:tcW w:w="1291" w:type="dxa"/>
            <w:shd w:val="clear" w:color="auto" w:fill="auto"/>
          </w:tcPr>
          <w:p>
            <w:pPr>
              <w:rPr>
                <w:noProof/>
                <w:sz w:val="20"/>
                <w:szCs w:val="20"/>
              </w:rPr>
            </w:pPr>
          </w:p>
        </w:tc>
        <w:tc>
          <w:tcPr>
            <w:tcW w:w="4678" w:type="dxa"/>
            <w:shd w:val="clear" w:color="auto" w:fill="auto"/>
          </w:tcPr>
          <w:p>
            <w:pPr>
              <w:pStyle w:val="Default"/>
              <w:jc w:val="both"/>
              <w:rPr>
                <w:noProof/>
                <w:sz w:val="20"/>
              </w:rPr>
            </w:pPr>
            <w:r>
              <w:rPr>
                <w:noProof/>
                <w:sz w:val="20"/>
                <w:szCs w:val="20"/>
              </w:rPr>
              <w:t xml:space="preserve">Proposal for authorization to develop an amendment to UN GTR No. 6 </w:t>
            </w:r>
          </w:p>
        </w:tc>
        <w:tc>
          <w:tcPr>
            <w:tcW w:w="2977" w:type="dxa"/>
            <w:shd w:val="clear" w:color="auto" w:fill="auto"/>
          </w:tcPr>
          <w:p>
            <w:pPr>
              <w:rPr>
                <w:noProof/>
                <w:sz w:val="20"/>
                <w:szCs w:val="20"/>
              </w:rPr>
            </w:pPr>
            <w:r>
              <w:rPr>
                <w:noProof/>
                <w:sz w:val="20"/>
                <w:szCs w:val="20"/>
              </w:rPr>
              <w:t>ECE/TRANS/WP.29/2019/123</w:t>
            </w:r>
          </w:p>
        </w:tc>
      </w:tr>
      <w:tr>
        <w:trPr>
          <w:trHeight w:val="600"/>
        </w:trPr>
        <w:tc>
          <w:tcPr>
            <w:tcW w:w="1291" w:type="dxa"/>
            <w:shd w:val="clear" w:color="auto" w:fill="auto"/>
          </w:tcPr>
          <w:p>
            <w:pPr>
              <w:rPr>
                <w:noProof/>
                <w:sz w:val="20"/>
                <w:szCs w:val="20"/>
              </w:rPr>
            </w:pPr>
          </w:p>
        </w:tc>
        <w:tc>
          <w:tcPr>
            <w:tcW w:w="4678" w:type="dxa"/>
            <w:shd w:val="clear" w:color="auto" w:fill="auto"/>
          </w:tcPr>
          <w:p>
            <w:pPr>
              <w:pStyle w:val="Default"/>
              <w:jc w:val="both"/>
              <w:rPr>
                <w:noProof/>
                <w:sz w:val="20"/>
                <w:szCs w:val="22"/>
              </w:rPr>
            </w:pPr>
            <w:r>
              <w:rPr>
                <w:noProof/>
                <w:sz w:val="20"/>
                <w:szCs w:val="20"/>
              </w:rPr>
              <w:t>Proposal for Revision 1 to the Authorization to develop a new UN GTR on the Determination of Electrified Vehicle Power (DEVP)</w:t>
            </w:r>
          </w:p>
        </w:tc>
        <w:tc>
          <w:tcPr>
            <w:tcW w:w="2977" w:type="dxa"/>
            <w:shd w:val="clear" w:color="auto" w:fill="auto"/>
          </w:tcPr>
          <w:p>
            <w:pPr>
              <w:rPr>
                <w:noProof/>
                <w:sz w:val="20"/>
                <w:szCs w:val="20"/>
              </w:rPr>
            </w:pPr>
            <w:r>
              <w:rPr>
                <w:noProof/>
                <w:sz w:val="20"/>
                <w:szCs w:val="20"/>
              </w:rPr>
              <w:t>ECE/TRANS/WP.29/2019/124</w:t>
            </w:r>
          </w:p>
        </w:tc>
      </w:tr>
    </w:tbl>
    <w:p>
      <w:pPr>
        <w:rPr>
          <w:noProof/>
        </w:rPr>
        <w:sectPr>
          <w:footerReference w:type="default" r:id="rId16"/>
          <w:footerReference w:type="first" r:id="rId17"/>
          <w:pgSz w:w="11907" w:h="16839"/>
          <w:pgMar w:top="1134" w:right="1417" w:bottom="1134" w:left="1417" w:header="709" w:footer="709" w:gutter="0"/>
          <w:pgNumType w:start="1"/>
          <w:cols w:space="720"/>
          <w:docGrid w:linePitch="360"/>
        </w:sectPr>
      </w:pP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 w:val="18"/>
        </w:rPr>
      </w:pPr>
      <w:r>
        <w:rPr>
          <w:rStyle w:val="FootnoteReference"/>
        </w:rPr>
        <w:footnoteRef/>
      </w:r>
      <w:r>
        <w:tab/>
      </w:r>
      <w:r>
        <w:rPr>
          <w:sz w:val="18"/>
        </w:rPr>
        <w:t xml:space="preserve">All documents referred to in the table are available at: </w:t>
      </w:r>
    </w:p>
    <w:p>
      <w:pPr>
        <w:pStyle w:val="FootnoteText"/>
        <w:rPr>
          <w:sz w:val="18"/>
        </w:rPr>
      </w:pPr>
      <w:hyperlink r:id="rId1" w:history="1">
        <w:r>
          <w:rPr>
            <w:rStyle w:val="Hyperlink"/>
            <w:sz w:val="18"/>
          </w:rPr>
          <w:t>http://www.unece.org/trans/main/wp29/wp29wgs/wp29gen/gen2019.html</w:t>
        </w:r>
      </w:hyperlink>
    </w:p>
    <w:p>
      <w:pPr>
        <w:pStyle w:val="FootnoteText"/>
        <w:rPr>
          <w:sz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2942DF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6C83C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BD4DD18"/>
    <w:lvl w:ilvl="0">
      <w:start w:val="1"/>
      <w:numFmt w:val="decimal"/>
      <w:pStyle w:val="ListNumber2"/>
      <w:lvlText w:val="%1."/>
      <w:lvlJc w:val="left"/>
      <w:pPr>
        <w:tabs>
          <w:tab w:val="num" w:pos="643"/>
        </w:tabs>
        <w:ind w:left="643" w:hanging="360"/>
      </w:pPr>
    </w:lvl>
  </w:abstractNum>
  <w:abstractNum w:abstractNumId="4">
    <w:nsid w:val="FFFFFF81"/>
    <w:multiLevelType w:val="singleLevel"/>
    <w:tmpl w:val="82B03734"/>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AB94DC26"/>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76168A06"/>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8"/>
    <w:multiLevelType w:val="singleLevel"/>
    <w:tmpl w:val="923A696E"/>
    <w:lvl w:ilvl="0">
      <w:start w:val="1"/>
      <w:numFmt w:val="decimal"/>
      <w:pStyle w:val="ListNumber"/>
      <w:lvlText w:val="%1."/>
      <w:lvlJc w:val="left"/>
      <w:pPr>
        <w:tabs>
          <w:tab w:val="num" w:pos="360"/>
        </w:tabs>
        <w:ind w:left="360" w:hanging="360"/>
      </w:pPr>
    </w:lvl>
  </w:abstractNum>
  <w:abstractNum w:abstractNumId="8">
    <w:nsid w:val="FFFFFF89"/>
    <w:multiLevelType w:val="singleLevel"/>
    <w:tmpl w:val="240C621C"/>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20"/>
  </w:num>
  <w:num w:numId="11">
    <w:abstractNumId w:val="14"/>
  </w:num>
  <w:num w:numId="12">
    <w:abstractNumId w:val="22"/>
  </w:num>
  <w:num w:numId="13">
    <w:abstractNumId w:val="13"/>
  </w:num>
  <w:num w:numId="14">
    <w:abstractNumId w:val="15"/>
  </w:num>
  <w:num w:numId="15">
    <w:abstractNumId w:val="11"/>
  </w:num>
  <w:num w:numId="16">
    <w:abstractNumId w:val="21"/>
  </w:num>
  <w:num w:numId="17">
    <w:abstractNumId w:val="10"/>
  </w:num>
  <w:num w:numId="18">
    <w:abstractNumId w:val="16"/>
  </w:num>
  <w:num w:numId="19">
    <w:abstractNumId w:val="18"/>
  </w:num>
  <w:num w:numId="20">
    <w:abstractNumId w:val="19"/>
  </w:num>
  <w:num w:numId="21">
    <w:abstractNumId w:val="12"/>
  </w:num>
  <w:num w:numId="22">
    <w:abstractNumId w:val="17"/>
  </w:num>
  <w:num w:numId="23">
    <w:abstractNumId w:val="23"/>
  </w:num>
  <w:num w:numId="24">
    <w:abstractNumId w:val="9"/>
  </w:num>
  <w:num w:numId="25">
    <w:abstractNumId w:val="20"/>
  </w:num>
  <w:num w:numId="26">
    <w:abstractNumId w:val="14"/>
  </w:num>
  <w:num w:numId="27">
    <w:abstractNumId w:val="22"/>
  </w:num>
  <w:num w:numId="28">
    <w:abstractNumId w:val="13"/>
  </w:num>
  <w:num w:numId="29">
    <w:abstractNumId w:val="15"/>
  </w:num>
  <w:num w:numId="30">
    <w:abstractNumId w:val="11"/>
  </w:num>
  <w:num w:numId="31">
    <w:abstractNumId w:val="21"/>
  </w:num>
  <w:num w:numId="32">
    <w:abstractNumId w:val="10"/>
  </w:num>
  <w:num w:numId="33">
    <w:abstractNumId w:val="16"/>
  </w:num>
  <w:num w:numId="34">
    <w:abstractNumId w:val="18"/>
  </w:num>
  <w:num w:numId="35">
    <w:abstractNumId w:val="19"/>
  </w:num>
  <w:num w:numId="36">
    <w:abstractNumId w:val="12"/>
  </w:num>
  <w:num w:numId="37">
    <w:abstractNumId w:val="17"/>
  </w:num>
  <w:num w:numId="38">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isplayBackgroundShape/>
  <w:hideSpellingErrors/>
  <w:hideGrammaticalErrors/>
  <w:attachedTemplate r:id="rId1"/>
  <w:revisionView w:markup="0"/>
  <w:defaultTabStop w:val="720"/>
  <w:hyphenationZone w:val="425"/>
  <w:characterSpacingControl w:val="doNotCompress"/>
  <w:hdrShapeDefaults>
    <o:shapedefaults v:ext="edit" spidmax="1945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11 14:10:3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2"/>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8E9172D8-DB52-4D5B-8DE8-1F8AE9F754A4"/>
    <w:docVar w:name="LW_COVERPAGE_TYPE" w:val="1"/>
    <w:docVar w:name="LW_CROSSREFERENCE" w:val="&lt;UNUSED&gt;"/>
    <w:docVar w:name="LW_DocType" w:val="ANNEX"/>
    <w:docVar w:name="LW_EMISSION" w:val="11.10.2019"/>
    <w:docVar w:name="LW_EMISSION_ISODATE" w:val="2019-10-11"/>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relevant Committees of the United Nations Economic Commission for Europe as regards the proposals for modifications to UN Regulations Nos. 0, 16, 17, 21, 29, 43, 44, 48, 53, 55, 58, 67, 74, 80, 83, 85, 86, 98, 107, 112, 113, 115, 116, 123, 129, 135, 148, 149 and 150, as regards the proposal for modifications to Global Technical Regulation (GTR) No. 2, as regards the proposal for amendments to Mutual Resolution MR.1, as regards the proposals for amendments to Consolidated Resolutions R.E.3 and R.E.5, and as regards the proposals for authorisations to develop an amendment to GTR No. 6 and to develop a new GTR on the Determination of Electrified Vehicle Power (DEVP)_x000d__x000d__x000d__x000d__x000d__x000d__x000b_"/>
    <w:docVar w:name="LW_OBJETACTEPRINCIPAL.CP" w:val="on the position to be taken on behalf of the European Union in the relevant Committees of the United Nations Economic Commission for Europe as regards the proposals for modifications to UN Regulations Nos. 0, 16, 17, 21, 29, 43, 44, 48, 53, 55, 58, 67, 74, 80, 83, 85, 86, 98, 107, 112, 113, 115, 116, 123, 129, 135, 148, 149 and 150, as regards the proposal for modifications to Global Technical Regulation (GTR) No. 2, as regards the proposal for amendments to Mutual Resolution MR.1, as regards the proposals for amendments to Consolidated Resolutions R.E.3 and R.E.5, and as regards the proposals for authorisations to develop an amendment to GTR No. 6 and to develop a new GTR on the Determination of Electrified Vehicle Power (DEVP)_x000d__x000d__x000d__x000d__x000d__x000d__x000b_"/>
    <w:docVar w:name="LW_PART_NBR" w:val="1"/>
    <w:docVar w:name="LW_PART_NBR_TOTAL" w:val="1"/>
    <w:docVar w:name="LW_REF.INST.NEW" w:val="COM"/>
    <w:docVar w:name="LW_REF.INST.NEW_ADOPTED" w:val="final"/>
    <w:docVar w:name="LW_REF.INST.NEW_TEXT" w:val="(2019) 4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uiPriority="0"/>
    <w:lsdException w:name="Table Subt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SingleTxtGChar">
    <w:name w:val="_ Single Txt_G Char"/>
    <w:link w:val="SingleTxtG"/>
    <w:rPr>
      <w:lang w:val="en-GB"/>
    </w:rPr>
  </w:style>
  <w:style w:type="paragraph" w:customStyle="1" w:styleId="SingleTxtG">
    <w:name w:val="_ Single Txt_G"/>
    <w:basedOn w:val="Normal"/>
    <w:link w:val="SingleTxtGChar"/>
    <w:pPr>
      <w:suppressAutoHyphens/>
      <w:spacing w:before="0" w:line="240" w:lineRule="atLeast"/>
      <w:ind w:left="1134" w:right="1134"/>
    </w:pPr>
    <w:rPr>
      <w:rFonts w:asciiTheme="minorHAnsi" w:hAnsiTheme="minorHAnsi" w:cstheme="minorBidi"/>
      <w:sz w:val="22"/>
    </w:rPr>
  </w:style>
  <w:style w:type="paragraph" w:styleId="ListNumber5">
    <w:name w:val="List Number 5"/>
    <w:basedOn w:val="Normal"/>
    <w:semiHidden/>
    <w:pPr>
      <w:numPr>
        <w:numId w:val="9"/>
      </w:numPr>
      <w:suppressAutoHyphens/>
      <w:spacing w:before="0" w:after="0" w:line="240" w:lineRule="atLeast"/>
      <w:jc w:val="left"/>
    </w:pPr>
    <w:rPr>
      <w:rFonts w:eastAsia="Times New Roman"/>
      <w:sz w:val="20"/>
      <w:szCs w:val="20"/>
    </w:rPr>
  </w:style>
  <w:style w:type="paragraph" w:customStyle="1" w:styleId="Default">
    <w:name w:val="Default"/>
    <w:basedOn w:val="Normal"/>
    <w:pPr>
      <w:autoSpaceDE w:val="0"/>
      <w:autoSpaceDN w:val="0"/>
      <w:spacing w:before="0" w:after="0"/>
      <w:jc w:val="left"/>
    </w:pPr>
    <w:rPr>
      <w:rFonts w:eastAsia="SimSun"/>
      <w:color w:val="000000"/>
      <w:szCs w:val="24"/>
    </w:rPr>
  </w:style>
  <w:style w:type="paragraph" w:customStyle="1" w:styleId="H56G">
    <w:name w:val="_ H_5/6_G"/>
    <w:basedOn w:val="Normal"/>
    <w:next w:val="Normal"/>
    <w:pPr>
      <w:keepNext/>
      <w:keepLines/>
      <w:tabs>
        <w:tab w:val="right" w:pos="851"/>
      </w:tabs>
      <w:suppressAutoHyphens/>
      <w:spacing w:before="240" w:line="240" w:lineRule="exact"/>
      <w:ind w:left="1134" w:right="1134" w:hanging="1134"/>
      <w:jc w:val="left"/>
    </w:pPr>
    <w:rPr>
      <w:rFonts w:eastAsia="Times New Roman"/>
      <w:sz w:val="20"/>
      <w:szCs w:val="20"/>
    </w:rPr>
  </w:style>
  <w:style w:type="table" w:styleId="TableSubtle1">
    <w:name w:val="Table Subtle 1"/>
    <w:basedOn w:val="TableNormal"/>
    <w:semiHidden/>
    <w:pPr>
      <w:suppressAutoHyphens/>
      <w:spacing w:after="0" w:line="240" w:lineRule="atLeast"/>
    </w:pPr>
    <w:rPr>
      <w:rFonts w:ascii="Times New Roman" w:eastAsia="Times New Roma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styleId="1ai">
    <w:name w:val="Outline List 1"/>
    <w:basedOn w:val="NoList"/>
    <w:semiHidden/>
    <w:pPr>
      <w:numPr>
        <w:numId w:val="24"/>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uiPriority="0"/>
    <w:lsdException w:name="Table Subt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SingleTxtGChar">
    <w:name w:val="_ Single Txt_G Char"/>
    <w:link w:val="SingleTxtG"/>
    <w:rPr>
      <w:lang w:val="en-GB"/>
    </w:rPr>
  </w:style>
  <w:style w:type="paragraph" w:customStyle="1" w:styleId="SingleTxtG">
    <w:name w:val="_ Single Txt_G"/>
    <w:basedOn w:val="Normal"/>
    <w:link w:val="SingleTxtGChar"/>
    <w:pPr>
      <w:suppressAutoHyphens/>
      <w:spacing w:before="0" w:line="240" w:lineRule="atLeast"/>
      <w:ind w:left="1134" w:right="1134"/>
    </w:pPr>
    <w:rPr>
      <w:rFonts w:asciiTheme="minorHAnsi" w:hAnsiTheme="minorHAnsi" w:cstheme="minorBidi"/>
      <w:sz w:val="22"/>
    </w:rPr>
  </w:style>
  <w:style w:type="paragraph" w:styleId="ListNumber5">
    <w:name w:val="List Number 5"/>
    <w:basedOn w:val="Normal"/>
    <w:semiHidden/>
    <w:pPr>
      <w:numPr>
        <w:numId w:val="9"/>
      </w:numPr>
      <w:suppressAutoHyphens/>
      <w:spacing w:before="0" w:after="0" w:line="240" w:lineRule="atLeast"/>
      <w:jc w:val="left"/>
    </w:pPr>
    <w:rPr>
      <w:rFonts w:eastAsia="Times New Roman"/>
      <w:sz w:val="20"/>
      <w:szCs w:val="20"/>
    </w:rPr>
  </w:style>
  <w:style w:type="paragraph" w:customStyle="1" w:styleId="Default">
    <w:name w:val="Default"/>
    <w:basedOn w:val="Normal"/>
    <w:pPr>
      <w:autoSpaceDE w:val="0"/>
      <w:autoSpaceDN w:val="0"/>
      <w:spacing w:before="0" w:after="0"/>
      <w:jc w:val="left"/>
    </w:pPr>
    <w:rPr>
      <w:rFonts w:eastAsia="SimSun"/>
      <w:color w:val="000000"/>
      <w:szCs w:val="24"/>
    </w:rPr>
  </w:style>
  <w:style w:type="paragraph" w:customStyle="1" w:styleId="H56G">
    <w:name w:val="_ H_5/6_G"/>
    <w:basedOn w:val="Normal"/>
    <w:next w:val="Normal"/>
    <w:pPr>
      <w:keepNext/>
      <w:keepLines/>
      <w:tabs>
        <w:tab w:val="right" w:pos="851"/>
      </w:tabs>
      <w:suppressAutoHyphens/>
      <w:spacing w:before="240" w:line="240" w:lineRule="exact"/>
      <w:ind w:left="1134" w:right="1134" w:hanging="1134"/>
      <w:jc w:val="left"/>
    </w:pPr>
    <w:rPr>
      <w:rFonts w:eastAsia="Times New Roman"/>
      <w:sz w:val="20"/>
      <w:szCs w:val="20"/>
    </w:rPr>
  </w:style>
  <w:style w:type="table" w:styleId="TableSubtle1">
    <w:name w:val="Table Subtle 1"/>
    <w:basedOn w:val="TableNormal"/>
    <w:semiHidden/>
    <w:pPr>
      <w:suppressAutoHyphens/>
      <w:spacing w:after="0" w:line="240" w:lineRule="atLeast"/>
    </w:pPr>
    <w:rPr>
      <w:rFonts w:ascii="Times New Roman" w:eastAsia="Times New Roma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styleId="1ai">
    <w:name w:val="Outline List 1"/>
    <w:basedOn w:val="NoList"/>
    <w:semiHidden/>
    <w:pPr>
      <w:numPr>
        <w:numId w:val="24"/>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9432">
      <w:bodyDiv w:val="1"/>
      <w:marLeft w:val="0"/>
      <w:marRight w:val="0"/>
      <w:marTop w:val="0"/>
      <w:marBottom w:val="0"/>
      <w:divBdr>
        <w:top w:val="none" w:sz="0" w:space="0" w:color="auto"/>
        <w:left w:val="none" w:sz="0" w:space="0" w:color="auto"/>
        <w:bottom w:val="none" w:sz="0" w:space="0" w:color="auto"/>
        <w:right w:val="none" w:sz="0" w:space="0" w:color="auto"/>
      </w:divBdr>
    </w:div>
    <w:div w:id="111828688">
      <w:bodyDiv w:val="1"/>
      <w:marLeft w:val="0"/>
      <w:marRight w:val="0"/>
      <w:marTop w:val="0"/>
      <w:marBottom w:val="0"/>
      <w:divBdr>
        <w:top w:val="none" w:sz="0" w:space="0" w:color="auto"/>
        <w:left w:val="none" w:sz="0" w:space="0" w:color="auto"/>
        <w:bottom w:val="none" w:sz="0" w:space="0" w:color="auto"/>
        <w:right w:val="none" w:sz="0" w:space="0" w:color="auto"/>
      </w:divBdr>
    </w:div>
    <w:div w:id="138503308">
      <w:bodyDiv w:val="1"/>
      <w:marLeft w:val="0"/>
      <w:marRight w:val="0"/>
      <w:marTop w:val="0"/>
      <w:marBottom w:val="0"/>
      <w:divBdr>
        <w:top w:val="none" w:sz="0" w:space="0" w:color="auto"/>
        <w:left w:val="none" w:sz="0" w:space="0" w:color="auto"/>
        <w:bottom w:val="none" w:sz="0" w:space="0" w:color="auto"/>
        <w:right w:val="none" w:sz="0" w:space="0" w:color="auto"/>
      </w:divBdr>
    </w:div>
    <w:div w:id="142505270">
      <w:bodyDiv w:val="1"/>
      <w:marLeft w:val="0"/>
      <w:marRight w:val="0"/>
      <w:marTop w:val="0"/>
      <w:marBottom w:val="0"/>
      <w:divBdr>
        <w:top w:val="none" w:sz="0" w:space="0" w:color="auto"/>
        <w:left w:val="none" w:sz="0" w:space="0" w:color="auto"/>
        <w:bottom w:val="none" w:sz="0" w:space="0" w:color="auto"/>
        <w:right w:val="none" w:sz="0" w:space="0" w:color="auto"/>
      </w:divBdr>
    </w:div>
    <w:div w:id="170341956">
      <w:bodyDiv w:val="1"/>
      <w:marLeft w:val="0"/>
      <w:marRight w:val="0"/>
      <w:marTop w:val="0"/>
      <w:marBottom w:val="0"/>
      <w:divBdr>
        <w:top w:val="none" w:sz="0" w:space="0" w:color="auto"/>
        <w:left w:val="none" w:sz="0" w:space="0" w:color="auto"/>
        <w:bottom w:val="none" w:sz="0" w:space="0" w:color="auto"/>
        <w:right w:val="none" w:sz="0" w:space="0" w:color="auto"/>
      </w:divBdr>
    </w:div>
    <w:div w:id="184170899">
      <w:bodyDiv w:val="1"/>
      <w:marLeft w:val="0"/>
      <w:marRight w:val="0"/>
      <w:marTop w:val="0"/>
      <w:marBottom w:val="0"/>
      <w:divBdr>
        <w:top w:val="none" w:sz="0" w:space="0" w:color="auto"/>
        <w:left w:val="none" w:sz="0" w:space="0" w:color="auto"/>
        <w:bottom w:val="none" w:sz="0" w:space="0" w:color="auto"/>
        <w:right w:val="none" w:sz="0" w:space="0" w:color="auto"/>
      </w:divBdr>
    </w:div>
    <w:div w:id="201290352">
      <w:bodyDiv w:val="1"/>
      <w:marLeft w:val="0"/>
      <w:marRight w:val="0"/>
      <w:marTop w:val="0"/>
      <w:marBottom w:val="0"/>
      <w:divBdr>
        <w:top w:val="none" w:sz="0" w:space="0" w:color="auto"/>
        <w:left w:val="none" w:sz="0" w:space="0" w:color="auto"/>
        <w:bottom w:val="none" w:sz="0" w:space="0" w:color="auto"/>
        <w:right w:val="none" w:sz="0" w:space="0" w:color="auto"/>
      </w:divBdr>
    </w:div>
    <w:div w:id="238174989">
      <w:bodyDiv w:val="1"/>
      <w:marLeft w:val="0"/>
      <w:marRight w:val="0"/>
      <w:marTop w:val="0"/>
      <w:marBottom w:val="0"/>
      <w:divBdr>
        <w:top w:val="none" w:sz="0" w:space="0" w:color="auto"/>
        <w:left w:val="none" w:sz="0" w:space="0" w:color="auto"/>
        <w:bottom w:val="none" w:sz="0" w:space="0" w:color="auto"/>
        <w:right w:val="none" w:sz="0" w:space="0" w:color="auto"/>
      </w:divBdr>
    </w:div>
    <w:div w:id="343676691">
      <w:bodyDiv w:val="1"/>
      <w:marLeft w:val="0"/>
      <w:marRight w:val="0"/>
      <w:marTop w:val="0"/>
      <w:marBottom w:val="0"/>
      <w:divBdr>
        <w:top w:val="none" w:sz="0" w:space="0" w:color="auto"/>
        <w:left w:val="none" w:sz="0" w:space="0" w:color="auto"/>
        <w:bottom w:val="none" w:sz="0" w:space="0" w:color="auto"/>
        <w:right w:val="none" w:sz="0" w:space="0" w:color="auto"/>
      </w:divBdr>
    </w:div>
    <w:div w:id="374044499">
      <w:bodyDiv w:val="1"/>
      <w:marLeft w:val="0"/>
      <w:marRight w:val="0"/>
      <w:marTop w:val="0"/>
      <w:marBottom w:val="0"/>
      <w:divBdr>
        <w:top w:val="none" w:sz="0" w:space="0" w:color="auto"/>
        <w:left w:val="none" w:sz="0" w:space="0" w:color="auto"/>
        <w:bottom w:val="none" w:sz="0" w:space="0" w:color="auto"/>
        <w:right w:val="none" w:sz="0" w:space="0" w:color="auto"/>
      </w:divBdr>
    </w:div>
    <w:div w:id="450436389">
      <w:bodyDiv w:val="1"/>
      <w:marLeft w:val="0"/>
      <w:marRight w:val="0"/>
      <w:marTop w:val="0"/>
      <w:marBottom w:val="0"/>
      <w:divBdr>
        <w:top w:val="none" w:sz="0" w:space="0" w:color="auto"/>
        <w:left w:val="none" w:sz="0" w:space="0" w:color="auto"/>
        <w:bottom w:val="none" w:sz="0" w:space="0" w:color="auto"/>
        <w:right w:val="none" w:sz="0" w:space="0" w:color="auto"/>
      </w:divBdr>
    </w:div>
    <w:div w:id="504365913">
      <w:bodyDiv w:val="1"/>
      <w:marLeft w:val="0"/>
      <w:marRight w:val="0"/>
      <w:marTop w:val="0"/>
      <w:marBottom w:val="0"/>
      <w:divBdr>
        <w:top w:val="none" w:sz="0" w:space="0" w:color="auto"/>
        <w:left w:val="none" w:sz="0" w:space="0" w:color="auto"/>
        <w:bottom w:val="none" w:sz="0" w:space="0" w:color="auto"/>
        <w:right w:val="none" w:sz="0" w:space="0" w:color="auto"/>
      </w:divBdr>
    </w:div>
    <w:div w:id="516386169">
      <w:bodyDiv w:val="1"/>
      <w:marLeft w:val="0"/>
      <w:marRight w:val="0"/>
      <w:marTop w:val="0"/>
      <w:marBottom w:val="0"/>
      <w:divBdr>
        <w:top w:val="none" w:sz="0" w:space="0" w:color="auto"/>
        <w:left w:val="none" w:sz="0" w:space="0" w:color="auto"/>
        <w:bottom w:val="none" w:sz="0" w:space="0" w:color="auto"/>
        <w:right w:val="none" w:sz="0" w:space="0" w:color="auto"/>
      </w:divBdr>
    </w:div>
    <w:div w:id="573007855">
      <w:bodyDiv w:val="1"/>
      <w:marLeft w:val="0"/>
      <w:marRight w:val="0"/>
      <w:marTop w:val="0"/>
      <w:marBottom w:val="0"/>
      <w:divBdr>
        <w:top w:val="none" w:sz="0" w:space="0" w:color="auto"/>
        <w:left w:val="none" w:sz="0" w:space="0" w:color="auto"/>
        <w:bottom w:val="none" w:sz="0" w:space="0" w:color="auto"/>
        <w:right w:val="none" w:sz="0" w:space="0" w:color="auto"/>
      </w:divBdr>
    </w:div>
    <w:div w:id="640967684">
      <w:bodyDiv w:val="1"/>
      <w:marLeft w:val="0"/>
      <w:marRight w:val="0"/>
      <w:marTop w:val="0"/>
      <w:marBottom w:val="0"/>
      <w:divBdr>
        <w:top w:val="none" w:sz="0" w:space="0" w:color="auto"/>
        <w:left w:val="none" w:sz="0" w:space="0" w:color="auto"/>
        <w:bottom w:val="none" w:sz="0" w:space="0" w:color="auto"/>
        <w:right w:val="none" w:sz="0" w:space="0" w:color="auto"/>
      </w:divBdr>
    </w:div>
    <w:div w:id="681979674">
      <w:bodyDiv w:val="1"/>
      <w:marLeft w:val="0"/>
      <w:marRight w:val="0"/>
      <w:marTop w:val="0"/>
      <w:marBottom w:val="0"/>
      <w:divBdr>
        <w:top w:val="none" w:sz="0" w:space="0" w:color="auto"/>
        <w:left w:val="none" w:sz="0" w:space="0" w:color="auto"/>
        <w:bottom w:val="none" w:sz="0" w:space="0" w:color="auto"/>
        <w:right w:val="none" w:sz="0" w:space="0" w:color="auto"/>
      </w:divBdr>
    </w:div>
    <w:div w:id="684404924">
      <w:bodyDiv w:val="1"/>
      <w:marLeft w:val="0"/>
      <w:marRight w:val="0"/>
      <w:marTop w:val="0"/>
      <w:marBottom w:val="0"/>
      <w:divBdr>
        <w:top w:val="none" w:sz="0" w:space="0" w:color="auto"/>
        <w:left w:val="none" w:sz="0" w:space="0" w:color="auto"/>
        <w:bottom w:val="none" w:sz="0" w:space="0" w:color="auto"/>
        <w:right w:val="none" w:sz="0" w:space="0" w:color="auto"/>
      </w:divBdr>
    </w:div>
    <w:div w:id="855772137">
      <w:bodyDiv w:val="1"/>
      <w:marLeft w:val="0"/>
      <w:marRight w:val="0"/>
      <w:marTop w:val="0"/>
      <w:marBottom w:val="0"/>
      <w:divBdr>
        <w:top w:val="none" w:sz="0" w:space="0" w:color="auto"/>
        <w:left w:val="none" w:sz="0" w:space="0" w:color="auto"/>
        <w:bottom w:val="none" w:sz="0" w:space="0" w:color="auto"/>
        <w:right w:val="none" w:sz="0" w:space="0" w:color="auto"/>
      </w:divBdr>
    </w:div>
    <w:div w:id="901910588">
      <w:bodyDiv w:val="1"/>
      <w:marLeft w:val="0"/>
      <w:marRight w:val="0"/>
      <w:marTop w:val="0"/>
      <w:marBottom w:val="0"/>
      <w:divBdr>
        <w:top w:val="none" w:sz="0" w:space="0" w:color="auto"/>
        <w:left w:val="none" w:sz="0" w:space="0" w:color="auto"/>
        <w:bottom w:val="none" w:sz="0" w:space="0" w:color="auto"/>
        <w:right w:val="none" w:sz="0" w:space="0" w:color="auto"/>
      </w:divBdr>
    </w:div>
    <w:div w:id="969825675">
      <w:bodyDiv w:val="1"/>
      <w:marLeft w:val="0"/>
      <w:marRight w:val="0"/>
      <w:marTop w:val="0"/>
      <w:marBottom w:val="0"/>
      <w:divBdr>
        <w:top w:val="none" w:sz="0" w:space="0" w:color="auto"/>
        <w:left w:val="none" w:sz="0" w:space="0" w:color="auto"/>
        <w:bottom w:val="none" w:sz="0" w:space="0" w:color="auto"/>
        <w:right w:val="none" w:sz="0" w:space="0" w:color="auto"/>
      </w:divBdr>
    </w:div>
    <w:div w:id="990865892">
      <w:bodyDiv w:val="1"/>
      <w:marLeft w:val="0"/>
      <w:marRight w:val="0"/>
      <w:marTop w:val="0"/>
      <w:marBottom w:val="0"/>
      <w:divBdr>
        <w:top w:val="none" w:sz="0" w:space="0" w:color="auto"/>
        <w:left w:val="none" w:sz="0" w:space="0" w:color="auto"/>
        <w:bottom w:val="none" w:sz="0" w:space="0" w:color="auto"/>
        <w:right w:val="none" w:sz="0" w:space="0" w:color="auto"/>
      </w:divBdr>
    </w:div>
    <w:div w:id="991299113">
      <w:bodyDiv w:val="1"/>
      <w:marLeft w:val="0"/>
      <w:marRight w:val="0"/>
      <w:marTop w:val="0"/>
      <w:marBottom w:val="0"/>
      <w:divBdr>
        <w:top w:val="none" w:sz="0" w:space="0" w:color="auto"/>
        <w:left w:val="none" w:sz="0" w:space="0" w:color="auto"/>
        <w:bottom w:val="none" w:sz="0" w:space="0" w:color="auto"/>
        <w:right w:val="none" w:sz="0" w:space="0" w:color="auto"/>
      </w:divBdr>
    </w:div>
    <w:div w:id="1080249696">
      <w:bodyDiv w:val="1"/>
      <w:marLeft w:val="0"/>
      <w:marRight w:val="0"/>
      <w:marTop w:val="0"/>
      <w:marBottom w:val="0"/>
      <w:divBdr>
        <w:top w:val="none" w:sz="0" w:space="0" w:color="auto"/>
        <w:left w:val="none" w:sz="0" w:space="0" w:color="auto"/>
        <w:bottom w:val="none" w:sz="0" w:space="0" w:color="auto"/>
        <w:right w:val="none" w:sz="0" w:space="0" w:color="auto"/>
      </w:divBdr>
    </w:div>
    <w:div w:id="1092051145">
      <w:bodyDiv w:val="1"/>
      <w:marLeft w:val="0"/>
      <w:marRight w:val="0"/>
      <w:marTop w:val="0"/>
      <w:marBottom w:val="0"/>
      <w:divBdr>
        <w:top w:val="none" w:sz="0" w:space="0" w:color="auto"/>
        <w:left w:val="none" w:sz="0" w:space="0" w:color="auto"/>
        <w:bottom w:val="none" w:sz="0" w:space="0" w:color="auto"/>
        <w:right w:val="none" w:sz="0" w:space="0" w:color="auto"/>
      </w:divBdr>
    </w:div>
    <w:div w:id="1156922010">
      <w:bodyDiv w:val="1"/>
      <w:marLeft w:val="0"/>
      <w:marRight w:val="0"/>
      <w:marTop w:val="0"/>
      <w:marBottom w:val="0"/>
      <w:divBdr>
        <w:top w:val="none" w:sz="0" w:space="0" w:color="auto"/>
        <w:left w:val="none" w:sz="0" w:space="0" w:color="auto"/>
        <w:bottom w:val="none" w:sz="0" w:space="0" w:color="auto"/>
        <w:right w:val="none" w:sz="0" w:space="0" w:color="auto"/>
      </w:divBdr>
    </w:div>
    <w:div w:id="1269195738">
      <w:bodyDiv w:val="1"/>
      <w:marLeft w:val="0"/>
      <w:marRight w:val="0"/>
      <w:marTop w:val="0"/>
      <w:marBottom w:val="0"/>
      <w:divBdr>
        <w:top w:val="none" w:sz="0" w:space="0" w:color="auto"/>
        <w:left w:val="none" w:sz="0" w:space="0" w:color="auto"/>
        <w:bottom w:val="none" w:sz="0" w:space="0" w:color="auto"/>
        <w:right w:val="none" w:sz="0" w:space="0" w:color="auto"/>
      </w:divBdr>
    </w:div>
    <w:div w:id="1276327042">
      <w:bodyDiv w:val="1"/>
      <w:marLeft w:val="0"/>
      <w:marRight w:val="0"/>
      <w:marTop w:val="0"/>
      <w:marBottom w:val="0"/>
      <w:divBdr>
        <w:top w:val="none" w:sz="0" w:space="0" w:color="auto"/>
        <w:left w:val="none" w:sz="0" w:space="0" w:color="auto"/>
        <w:bottom w:val="none" w:sz="0" w:space="0" w:color="auto"/>
        <w:right w:val="none" w:sz="0" w:space="0" w:color="auto"/>
      </w:divBdr>
    </w:div>
    <w:div w:id="1337735261">
      <w:bodyDiv w:val="1"/>
      <w:marLeft w:val="0"/>
      <w:marRight w:val="0"/>
      <w:marTop w:val="0"/>
      <w:marBottom w:val="0"/>
      <w:divBdr>
        <w:top w:val="none" w:sz="0" w:space="0" w:color="auto"/>
        <w:left w:val="none" w:sz="0" w:space="0" w:color="auto"/>
        <w:bottom w:val="none" w:sz="0" w:space="0" w:color="auto"/>
        <w:right w:val="none" w:sz="0" w:space="0" w:color="auto"/>
      </w:divBdr>
    </w:div>
    <w:div w:id="1350335239">
      <w:bodyDiv w:val="1"/>
      <w:marLeft w:val="0"/>
      <w:marRight w:val="0"/>
      <w:marTop w:val="0"/>
      <w:marBottom w:val="0"/>
      <w:divBdr>
        <w:top w:val="none" w:sz="0" w:space="0" w:color="auto"/>
        <w:left w:val="none" w:sz="0" w:space="0" w:color="auto"/>
        <w:bottom w:val="none" w:sz="0" w:space="0" w:color="auto"/>
        <w:right w:val="none" w:sz="0" w:space="0" w:color="auto"/>
      </w:divBdr>
    </w:div>
    <w:div w:id="1356351216">
      <w:bodyDiv w:val="1"/>
      <w:marLeft w:val="0"/>
      <w:marRight w:val="0"/>
      <w:marTop w:val="0"/>
      <w:marBottom w:val="0"/>
      <w:divBdr>
        <w:top w:val="none" w:sz="0" w:space="0" w:color="auto"/>
        <w:left w:val="none" w:sz="0" w:space="0" w:color="auto"/>
        <w:bottom w:val="none" w:sz="0" w:space="0" w:color="auto"/>
        <w:right w:val="none" w:sz="0" w:space="0" w:color="auto"/>
      </w:divBdr>
    </w:div>
    <w:div w:id="1367486472">
      <w:bodyDiv w:val="1"/>
      <w:marLeft w:val="0"/>
      <w:marRight w:val="0"/>
      <w:marTop w:val="0"/>
      <w:marBottom w:val="0"/>
      <w:divBdr>
        <w:top w:val="none" w:sz="0" w:space="0" w:color="auto"/>
        <w:left w:val="none" w:sz="0" w:space="0" w:color="auto"/>
        <w:bottom w:val="none" w:sz="0" w:space="0" w:color="auto"/>
        <w:right w:val="none" w:sz="0" w:space="0" w:color="auto"/>
      </w:divBdr>
    </w:div>
    <w:div w:id="1390415999">
      <w:bodyDiv w:val="1"/>
      <w:marLeft w:val="0"/>
      <w:marRight w:val="0"/>
      <w:marTop w:val="0"/>
      <w:marBottom w:val="0"/>
      <w:divBdr>
        <w:top w:val="none" w:sz="0" w:space="0" w:color="auto"/>
        <w:left w:val="none" w:sz="0" w:space="0" w:color="auto"/>
        <w:bottom w:val="none" w:sz="0" w:space="0" w:color="auto"/>
        <w:right w:val="none" w:sz="0" w:space="0" w:color="auto"/>
      </w:divBdr>
    </w:div>
    <w:div w:id="1407339107">
      <w:bodyDiv w:val="1"/>
      <w:marLeft w:val="0"/>
      <w:marRight w:val="0"/>
      <w:marTop w:val="0"/>
      <w:marBottom w:val="0"/>
      <w:divBdr>
        <w:top w:val="none" w:sz="0" w:space="0" w:color="auto"/>
        <w:left w:val="none" w:sz="0" w:space="0" w:color="auto"/>
        <w:bottom w:val="none" w:sz="0" w:space="0" w:color="auto"/>
        <w:right w:val="none" w:sz="0" w:space="0" w:color="auto"/>
      </w:divBdr>
    </w:div>
    <w:div w:id="1423061380">
      <w:bodyDiv w:val="1"/>
      <w:marLeft w:val="0"/>
      <w:marRight w:val="0"/>
      <w:marTop w:val="0"/>
      <w:marBottom w:val="0"/>
      <w:divBdr>
        <w:top w:val="none" w:sz="0" w:space="0" w:color="auto"/>
        <w:left w:val="none" w:sz="0" w:space="0" w:color="auto"/>
        <w:bottom w:val="none" w:sz="0" w:space="0" w:color="auto"/>
        <w:right w:val="none" w:sz="0" w:space="0" w:color="auto"/>
      </w:divBdr>
    </w:div>
    <w:div w:id="1425153666">
      <w:bodyDiv w:val="1"/>
      <w:marLeft w:val="0"/>
      <w:marRight w:val="0"/>
      <w:marTop w:val="0"/>
      <w:marBottom w:val="0"/>
      <w:divBdr>
        <w:top w:val="none" w:sz="0" w:space="0" w:color="auto"/>
        <w:left w:val="none" w:sz="0" w:space="0" w:color="auto"/>
        <w:bottom w:val="none" w:sz="0" w:space="0" w:color="auto"/>
        <w:right w:val="none" w:sz="0" w:space="0" w:color="auto"/>
      </w:divBdr>
    </w:div>
    <w:div w:id="1434470401">
      <w:bodyDiv w:val="1"/>
      <w:marLeft w:val="0"/>
      <w:marRight w:val="0"/>
      <w:marTop w:val="0"/>
      <w:marBottom w:val="0"/>
      <w:divBdr>
        <w:top w:val="none" w:sz="0" w:space="0" w:color="auto"/>
        <w:left w:val="none" w:sz="0" w:space="0" w:color="auto"/>
        <w:bottom w:val="none" w:sz="0" w:space="0" w:color="auto"/>
        <w:right w:val="none" w:sz="0" w:space="0" w:color="auto"/>
      </w:divBdr>
    </w:div>
    <w:div w:id="1503550542">
      <w:bodyDiv w:val="1"/>
      <w:marLeft w:val="0"/>
      <w:marRight w:val="0"/>
      <w:marTop w:val="0"/>
      <w:marBottom w:val="0"/>
      <w:divBdr>
        <w:top w:val="none" w:sz="0" w:space="0" w:color="auto"/>
        <w:left w:val="none" w:sz="0" w:space="0" w:color="auto"/>
        <w:bottom w:val="none" w:sz="0" w:space="0" w:color="auto"/>
        <w:right w:val="none" w:sz="0" w:space="0" w:color="auto"/>
      </w:divBdr>
    </w:div>
    <w:div w:id="1548376118">
      <w:bodyDiv w:val="1"/>
      <w:marLeft w:val="0"/>
      <w:marRight w:val="0"/>
      <w:marTop w:val="0"/>
      <w:marBottom w:val="0"/>
      <w:divBdr>
        <w:top w:val="none" w:sz="0" w:space="0" w:color="auto"/>
        <w:left w:val="none" w:sz="0" w:space="0" w:color="auto"/>
        <w:bottom w:val="none" w:sz="0" w:space="0" w:color="auto"/>
        <w:right w:val="none" w:sz="0" w:space="0" w:color="auto"/>
      </w:divBdr>
    </w:div>
    <w:div w:id="1553955549">
      <w:bodyDiv w:val="1"/>
      <w:marLeft w:val="0"/>
      <w:marRight w:val="0"/>
      <w:marTop w:val="0"/>
      <w:marBottom w:val="0"/>
      <w:divBdr>
        <w:top w:val="none" w:sz="0" w:space="0" w:color="auto"/>
        <w:left w:val="none" w:sz="0" w:space="0" w:color="auto"/>
        <w:bottom w:val="none" w:sz="0" w:space="0" w:color="auto"/>
        <w:right w:val="none" w:sz="0" w:space="0" w:color="auto"/>
      </w:divBdr>
    </w:div>
    <w:div w:id="1560674708">
      <w:bodyDiv w:val="1"/>
      <w:marLeft w:val="0"/>
      <w:marRight w:val="0"/>
      <w:marTop w:val="0"/>
      <w:marBottom w:val="0"/>
      <w:divBdr>
        <w:top w:val="none" w:sz="0" w:space="0" w:color="auto"/>
        <w:left w:val="none" w:sz="0" w:space="0" w:color="auto"/>
        <w:bottom w:val="none" w:sz="0" w:space="0" w:color="auto"/>
        <w:right w:val="none" w:sz="0" w:space="0" w:color="auto"/>
      </w:divBdr>
    </w:div>
    <w:div w:id="1593859332">
      <w:bodyDiv w:val="1"/>
      <w:marLeft w:val="0"/>
      <w:marRight w:val="0"/>
      <w:marTop w:val="0"/>
      <w:marBottom w:val="0"/>
      <w:divBdr>
        <w:top w:val="none" w:sz="0" w:space="0" w:color="auto"/>
        <w:left w:val="none" w:sz="0" w:space="0" w:color="auto"/>
        <w:bottom w:val="none" w:sz="0" w:space="0" w:color="auto"/>
        <w:right w:val="none" w:sz="0" w:space="0" w:color="auto"/>
      </w:divBdr>
    </w:div>
    <w:div w:id="1661033355">
      <w:bodyDiv w:val="1"/>
      <w:marLeft w:val="0"/>
      <w:marRight w:val="0"/>
      <w:marTop w:val="0"/>
      <w:marBottom w:val="0"/>
      <w:divBdr>
        <w:top w:val="none" w:sz="0" w:space="0" w:color="auto"/>
        <w:left w:val="none" w:sz="0" w:space="0" w:color="auto"/>
        <w:bottom w:val="none" w:sz="0" w:space="0" w:color="auto"/>
        <w:right w:val="none" w:sz="0" w:space="0" w:color="auto"/>
      </w:divBdr>
    </w:div>
    <w:div w:id="1677878466">
      <w:bodyDiv w:val="1"/>
      <w:marLeft w:val="0"/>
      <w:marRight w:val="0"/>
      <w:marTop w:val="0"/>
      <w:marBottom w:val="0"/>
      <w:divBdr>
        <w:top w:val="none" w:sz="0" w:space="0" w:color="auto"/>
        <w:left w:val="none" w:sz="0" w:space="0" w:color="auto"/>
        <w:bottom w:val="none" w:sz="0" w:space="0" w:color="auto"/>
        <w:right w:val="none" w:sz="0" w:space="0" w:color="auto"/>
      </w:divBdr>
    </w:div>
    <w:div w:id="1678540575">
      <w:bodyDiv w:val="1"/>
      <w:marLeft w:val="0"/>
      <w:marRight w:val="0"/>
      <w:marTop w:val="0"/>
      <w:marBottom w:val="0"/>
      <w:divBdr>
        <w:top w:val="none" w:sz="0" w:space="0" w:color="auto"/>
        <w:left w:val="none" w:sz="0" w:space="0" w:color="auto"/>
        <w:bottom w:val="none" w:sz="0" w:space="0" w:color="auto"/>
        <w:right w:val="none" w:sz="0" w:space="0" w:color="auto"/>
      </w:divBdr>
    </w:div>
    <w:div w:id="1751465643">
      <w:bodyDiv w:val="1"/>
      <w:marLeft w:val="0"/>
      <w:marRight w:val="0"/>
      <w:marTop w:val="0"/>
      <w:marBottom w:val="0"/>
      <w:divBdr>
        <w:top w:val="none" w:sz="0" w:space="0" w:color="auto"/>
        <w:left w:val="none" w:sz="0" w:space="0" w:color="auto"/>
        <w:bottom w:val="none" w:sz="0" w:space="0" w:color="auto"/>
        <w:right w:val="none" w:sz="0" w:space="0" w:color="auto"/>
      </w:divBdr>
    </w:div>
    <w:div w:id="1767771731">
      <w:bodyDiv w:val="1"/>
      <w:marLeft w:val="0"/>
      <w:marRight w:val="0"/>
      <w:marTop w:val="0"/>
      <w:marBottom w:val="0"/>
      <w:divBdr>
        <w:top w:val="none" w:sz="0" w:space="0" w:color="auto"/>
        <w:left w:val="none" w:sz="0" w:space="0" w:color="auto"/>
        <w:bottom w:val="none" w:sz="0" w:space="0" w:color="auto"/>
        <w:right w:val="none" w:sz="0" w:space="0" w:color="auto"/>
      </w:divBdr>
    </w:div>
    <w:div w:id="1815756432">
      <w:bodyDiv w:val="1"/>
      <w:marLeft w:val="0"/>
      <w:marRight w:val="0"/>
      <w:marTop w:val="0"/>
      <w:marBottom w:val="0"/>
      <w:divBdr>
        <w:top w:val="none" w:sz="0" w:space="0" w:color="auto"/>
        <w:left w:val="none" w:sz="0" w:space="0" w:color="auto"/>
        <w:bottom w:val="none" w:sz="0" w:space="0" w:color="auto"/>
        <w:right w:val="none" w:sz="0" w:space="0" w:color="auto"/>
      </w:divBdr>
    </w:div>
    <w:div w:id="1836414878">
      <w:bodyDiv w:val="1"/>
      <w:marLeft w:val="0"/>
      <w:marRight w:val="0"/>
      <w:marTop w:val="0"/>
      <w:marBottom w:val="0"/>
      <w:divBdr>
        <w:top w:val="none" w:sz="0" w:space="0" w:color="auto"/>
        <w:left w:val="none" w:sz="0" w:space="0" w:color="auto"/>
        <w:bottom w:val="none" w:sz="0" w:space="0" w:color="auto"/>
        <w:right w:val="none" w:sz="0" w:space="0" w:color="auto"/>
      </w:divBdr>
    </w:div>
    <w:div w:id="1891109127">
      <w:bodyDiv w:val="1"/>
      <w:marLeft w:val="0"/>
      <w:marRight w:val="0"/>
      <w:marTop w:val="0"/>
      <w:marBottom w:val="0"/>
      <w:divBdr>
        <w:top w:val="none" w:sz="0" w:space="0" w:color="auto"/>
        <w:left w:val="none" w:sz="0" w:space="0" w:color="auto"/>
        <w:bottom w:val="none" w:sz="0" w:space="0" w:color="auto"/>
        <w:right w:val="none" w:sz="0" w:space="0" w:color="auto"/>
      </w:divBdr>
    </w:div>
    <w:div w:id="1971090968">
      <w:bodyDiv w:val="1"/>
      <w:marLeft w:val="0"/>
      <w:marRight w:val="0"/>
      <w:marTop w:val="0"/>
      <w:marBottom w:val="0"/>
      <w:divBdr>
        <w:top w:val="none" w:sz="0" w:space="0" w:color="auto"/>
        <w:left w:val="none" w:sz="0" w:space="0" w:color="auto"/>
        <w:bottom w:val="none" w:sz="0" w:space="0" w:color="auto"/>
        <w:right w:val="none" w:sz="0" w:space="0" w:color="auto"/>
      </w:divBdr>
    </w:div>
    <w:div w:id="205838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unece.org/trans/main/wp29/wp29wgs/wp29gen/gen201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3414E-392B-4F0C-AE2C-0C7E4BE31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5</Pages>
  <Words>1063</Words>
  <Characters>6296</Characters>
  <Application>Microsoft Office Word</Application>
  <DocSecurity>0</DocSecurity>
  <Lines>286</Lines>
  <Paragraphs>188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BRASSART Odile (GROW)</dc:creator>
  <cp:lastModifiedBy>WES PDFC Administrator</cp:lastModifiedBy>
  <cp:revision>9</cp:revision>
  <cp:lastPrinted>2019-09-12T14:28:00Z</cp:lastPrinted>
  <dcterms:created xsi:type="dcterms:W3CDTF">2019-10-08T08:10:00Z</dcterms:created>
  <dcterms:modified xsi:type="dcterms:W3CDTF">2019-10-11T12:10:00Z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